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widowControl/>
        <w:spacing w:line="360" w:lineRule="auto"/>
        <w:jc w:val="center"/>
        <w:rPr>
          <w:rFonts w:ascii="宋体" w:hAnsi="宋体" w:cs="宋体"/>
          <w:b/>
          <w:bCs/>
          <w:strike w:val="0"/>
          <w:sz w:val="72"/>
          <w:szCs w:val="72"/>
          <w:highlight w:val="none"/>
        </w:rPr>
      </w:pPr>
    </w:p>
    <w:p>
      <w:pPr>
        <w:pStyle w:val="24"/>
        <w:ind w:left="1260"/>
        <w:rPr>
          <w:rFonts w:ascii="宋体" w:hAnsi="宋体" w:cs="宋体"/>
          <w:strike w:val="0"/>
          <w:highlight w:val="none"/>
        </w:rPr>
      </w:pPr>
    </w:p>
    <w:p>
      <w:pPr>
        <w:shd w:val="clear" w:color="auto" w:fill="FFFFFF"/>
        <w:spacing w:line="360" w:lineRule="auto"/>
        <w:ind w:firstLine="1044" w:firstLineChars="200"/>
        <w:rPr>
          <w:rFonts w:hint="eastAsia" w:ascii="宋体" w:hAnsi="宋体" w:eastAsia="宋体" w:cs="宋体"/>
          <w:b/>
          <w:bCs/>
          <w:strike w:val="0"/>
          <w:sz w:val="52"/>
          <w:szCs w:val="52"/>
          <w:highlight w:val="none"/>
          <w:lang w:eastAsia="zh-CN"/>
        </w:rPr>
      </w:pPr>
      <w:r>
        <w:rPr>
          <w:rFonts w:hint="eastAsia" w:ascii="宋体" w:hAnsi="宋体" w:cs="宋体"/>
          <w:b/>
          <w:bCs/>
          <w:strike w:val="0"/>
          <w:sz w:val="52"/>
          <w:szCs w:val="52"/>
          <w:highlight w:val="none"/>
          <w:lang w:eastAsia="zh-CN"/>
        </w:rPr>
        <w:t>江苏大学附属医院洗涤服务项目</w:t>
      </w:r>
    </w:p>
    <w:p>
      <w:pPr>
        <w:pStyle w:val="42"/>
        <w:rPr>
          <w:rFonts w:ascii="宋体" w:hAnsi="宋体" w:cs="宋体"/>
          <w:b/>
          <w:strike w:val="0"/>
          <w:sz w:val="72"/>
          <w:szCs w:val="72"/>
          <w:highlight w:val="none"/>
        </w:rPr>
      </w:pPr>
    </w:p>
    <w:p>
      <w:pPr>
        <w:pStyle w:val="42"/>
        <w:rPr>
          <w:rFonts w:ascii="宋体" w:hAnsi="宋体" w:cs="宋体"/>
          <w:b/>
          <w:strike w:val="0"/>
          <w:sz w:val="72"/>
          <w:szCs w:val="72"/>
          <w:highlight w:val="none"/>
        </w:rPr>
      </w:pPr>
    </w:p>
    <w:p>
      <w:pPr>
        <w:widowControl/>
        <w:spacing w:line="360" w:lineRule="auto"/>
        <w:jc w:val="center"/>
        <w:rPr>
          <w:rFonts w:ascii="宋体" w:hAnsi="宋体" w:cs="宋体"/>
          <w:b/>
          <w:strike w:val="0"/>
          <w:kern w:val="0"/>
          <w:sz w:val="72"/>
          <w:szCs w:val="72"/>
          <w:highlight w:val="none"/>
        </w:rPr>
      </w:pPr>
      <w:r>
        <w:rPr>
          <w:rFonts w:hint="eastAsia" w:ascii="宋体" w:hAnsi="宋体" w:cs="宋体"/>
          <w:b/>
          <w:strike w:val="0"/>
          <w:kern w:val="0"/>
          <w:sz w:val="72"/>
          <w:szCs w:val="72"/>
          <w:highlight w:val="none"/>
        </w:rPr>
        <w:t>招标文件</w:t>
      </w:r>
    </w:p>
    <w:p>
      <w:pPr>
        <w:jc w:val="center"/>
        <w:rPr>
          <w:rFonts w:hint="eastAsia" w:ascii="宋体" w:hAnsi="宋体" w:cs="宋体"/>
          <w:b/>
          <w:strike w:val="0"/>
          <w:kern w:val="0"/>
          <w:sz w:val="36"/>
          <w:szCs w:val="36"/>
          <w:highlight w:val="none"/>
        </w:rPr>
      </w:pPr>
      <w:r>
        <w:rPr>
          <w:rFonts w:hint="eastAsia" w:ascii="宋体" w:hAnsi="宋体" w:cs="宋体"/>
          <w:b/>
          <w:strike w:val="0"/>
          <w:kern w:val="0"/>
          <w:sz w:val="36"/>
          <w:szCs w:val="36"/>
          <w:highlight w:val="none"/>
        </w:rPr>
        <w:t>项目编号：</w:t>
      </w:r>
      <w:bookmarkStart w:id="0" w:name="OLE_LINK2"/>
      <w:r>
        <w:rPr>
          <w:rFonts w:hint="eastAsia" w:ascii="宋体" w:hAnsi="宋体" w:eastAsia="宋体" w:cs="宋体"/>
          <w:b/>
          <w:i w:val="0"/>
          <w:iCs w:val="0"/>
          <w:caps w:val="0"/>
          <w:spacing w:val="0"/>
          <w:kern w:val="0"/>
          <w:sz w:val="36"/>
          <w:szCs w:val="36"/>
          <w:highlight w:val="none"/>
          <w:shd w:val="clear" w:fill="auto"/>
        </w:rPr>
        <w:t>JSZC-320000-JCEC-G2025-0154</w:t>
      </w:r>
      <w:bookmarkEnd w:id="0"/>
    </w:p>
    <w:p>
      <w:pPr>
        <w:jc w:val="center"/>
        <w:rPr>
          <w:rFonts w:hint="eastAsia" w:ascii="宋体" w:hAnsi="宋体" w:eastAsia="宋体" w:cs="宋体"/>
          <w:b/>
          <w:strike w:val="0"/>
          <w:kern w:val="0"/>
          <w:sz w:val="36"/>
          <w:szCs w:val="36"/>
          <w:highlight w:val="none"/>
          <w:lang w:val="en-US" w:eastAsia="zh-CN"/>
        </w:rPr>
      </w:pPr>
      <w:r>
        <w:rPr>
          <w:rFonts w:hint="eastAsia" w:ascii="宋体" w:hAnsi="宋体" w:cs="宋体"/>
          <w:b/>
          <w:i w:val="0"/>
          <w:iCs w:val="0"/>
          <w:caps w:val="0"/>
          <w:spacing w:val="0"/>
          <w:kern w:val="0"/>
          <w:sz w:val="36"/>
          <w:szCs w:val="36"/>
          <w:highlight w:val="none"/>
          <w:shd w:val="clear"/>
          <w:lang w:eastAsia="zh-CN"/>
        </w:rPr>
        <w:t>（</w:t>
      </w:r>
      <w:r>
        <w:rPr>
          <w:rFonts w:hint="eastAsia" w:ascii="宋体" w:hAnsi="宋体" w:eastAsia="宋体" w:cs="宋体"/>
          <w:b/>
          <w:i w:val="0"/>
          <w:iCs w:val="0"/>
          <w:caps w:val="0"/>
          <w:color w:val="auto"/>
          <w:spacing w:val="0"/>
          <w:kern w:val="0"/>
          <w:sz w:val="36"/>
          <w:szCs w:val="36"/>
          <w:highlight w:val="none"/>
          <w:shd w:val="clear" w:fill="auto"/>
        </w:rPr>
        <w:t>JG06602589ZC00034</w:t>
      </w:r>
      <w:r>
        <w:rPr>
          <w:rFonts w:hint="eastAsia" w:ascii="宋体" w:hAnsi="宋体" w:cs="宋体"/>
          <w:b/>
          <w:i w:val="0"/>
          <w:iCs w:val="0"/>
          <w:caps w:val="0"/>
          <w:spacing w:val="0"/>
          <w:kern w:val="0"/>
          <w:sz w:val="36"/>
          <w:szCs w:val="36"/>
          <w:highlight w:val="none"/>
          <w:shd w:val="clear"/>
          <w:lang w:eastAsia="zh-CN"/>
        </w:rPr>
        <w:t>）</w:t>
      </w:r>
    </w:p>
    <w:p>
      <w:pPr>
        <w:widowControl/>
        <w:shd w:val="clear" w:color="auto" w:fill="FFFFFF"/>
        <w:spacing w:line="360" w:lineRule="auto"/>
        <w:rPr>
          <w:rFonts w:ascii="宋体" w:hAnsi="宋体" w:cs="宋体"/>
          <w:strike w:val="0"/>
          <w:kern w:val="0"/>
          <w:sz w:val="44"/>
          <w:szCs w:val="44"/>
          <w:highlight w:val="none"/>
        </w:rPr>
      </w:pPr>
    </w:p>
    <w:p>
      <w:pPr>
        <w:widowControl/>
        <w:spacing w:line="360" w:lineRule="auto"/>
        <w:rPr>
          <w:rFonts w:ascii="宋体" w:hAnsi="宋体" w:cs="宋体"/>
          <w:b/>
          <w:strike w:val="0"/>
          <w:kern w:val="0"/>
          <w:sz w:val="36"/>
          <w:szCs w:val="36"/>
          <w:highlight w:val="none"/>
        </w:rPr>
      </w:pPr>
    </w:p>
    <w:p>
      <w:pPr>
        <w:widowControl/>
        <w:spacing w:line="360" w:lineRule="auto"/>
        <w:jc w:val="center"/>
        <w:rPr>
          <w:rFonts w:ascii="宋体" w:hAnsi="宋体" w:cs="宋体"/>
          <w:b/>
          <w:strike w:val="0"/>
          <w:kern w:val="0"/>
          <w:sz w:val="36"/>
          <w:szCs w:val="36"/>
          <w:highlight w:val="none"/>
        </w:rPr>
      </w:pPr>
    </w:p>
    <w:p>
      <w:pPr>
        <w:pStyle w:val="24"/>
        <w:ind w:left="1260"/>
        <w:rPr>
          <w:rFonts w:ascii="宋体" w:hAnsi="宋体" w:cs="宋体"/>
          <w:b/>
          <w:strike w:val="0"/>
          <w:kern w:val="0"/>
          <w:sz w:val="36"/>
          <w:szCs w:val="36"/>
          <w:highlight w:val="none"/>
        </w:rPr>
      </w:pPr>
    </w:p>
    <w:p>
      <w:pPr>
        <w:rPr>
          <w:rFonts w:ascii="宋体" w:hAnsi="宋体" w:cs="宋体"/>
          <w:b/>
          <w:strike w:val="0"/>
          <w:kern w:val="0"/>
          <w:sz w:val="36"/>
          <w:szCs w:val="36"/>
          <w:highlight w:val="none"/>
        </w:rPr>
      </w:pPr>
    </w:p>
    <w:p>
      <w:pPr>
        <w:widowControl/>
        <w:spacing w:line="360" w:lineRule="auto"/>
        <w:rPr>
          <w:rFonts w:ascii="宋体" w:hAnsi="宋体" w:cs="宋体"/>
          <w:b/>
          <w:strike w:val="0"/>
          <w:kern w:val="0"/>
          <w:sz w:val="36"/>
          <w:szCs w:val="36"/>
          <w:highlight w:val="none"/>
        </w:rPr>
      </w:pPr>
    </w:p>
    <w:p>
      <w:pPr>
        <w:pStyle w:val="42"/>
        <w:rPr>
          <w:rFonts w:ascii="宋体" w:hAnsi="宋体" w:cs="宋体"/>
          <w:strike w:val="0"/>
          <w:highlight w:val="none"/>
        </w:rPr>
      </w:pPr>
    </w:p>
    <w:p>
      <w:pPr>
        <w:pStyle w:val="42"/>
        <w:jc w:val="center"/>
        <w:rPr>
          <w:rFonts w:ascii="宋体" w:hAnsi="宋体" w:cs="宋体"/>
          <w:b/>
          <w:strike w:val="0"/>
          <w:sz w:val="36"/>
          <w:szCs w:val="36"/>
          <w:highlight w:val="none"/>
        </w:rPr>
      </w:pPr>
      <w:r>
        <w:rPr>
          <w:rFonts w:hint="eastAsia" w:ascii="宋体" w:hAnsi="宋体" w:cs="宋体"/>
          <w:b/>
          <w:strike w:val="0"/>
          <w:sz w:val="36"/>
          <w:szCs w:val="36"/>
          <w:highlight w:val="none"/>
        </w:rPr>
        <w:t>采购人：江苏大学附属医院</w:t>
      </w:r>
    </w:p>
    <w:p>
      <w:pPr>
        <w:widowControl/>
        <w:spacing w:line="360" w:lineRule="auto"/>
        <w:jc w:val="center"/>
        <w:rPr>
          <w:rFonts w:ascii="宋体" w:hAnsi="宋体" w:cs="宋体"/>
          <w:b/>
          <w:strike w:val="0"/>
          <w:kern w:val="0"/>
          <w:sz w:val="36"/>
          <w:szCs w:val="36"/>
          <w:highlight w:val="none"/>
        </w:rPr>
      </w:pPr>
      <w:r>
        <w:rPr>
          <w:rFonts w:hint="eastAsia" w:ascii="宋体" w:hAnsi="宋体" w:cs="宋体"/>
          <w:b/>
          <w:strike w:val="0"/>
          <w:kern w:val="0"/>
          <w:sz w:val="36"/>
          <w:szCs w:val="36"/>
          <w:highlight w:val="none"/>
        </w:rPr>
        <w:t>采购代理机构：江苏省设备成套股份有限公司</w:t>
      </w:r>
    </w:p>
    <w:p>
      <w:pPr>
        <w:widowControl/>
        <w:shd w:val="clear" w:color="auto" w:fill="FFFFFF"/>
        <w:spacing w:line="360" w:lineRule="auto"/>
        <w:jc w:val="center"/>
        <w:rPr>
          <w:rFonts w:ascii="宋体" w:hAnsi="宋体" w:cs="宋体"/>
          <w:b/>
          <w:strike w:val="0"/>
          <w:kern w:val="0"/>
          <w:sz w:val="36"/>
          <w:szCs w:val="36"/>
          <w:highlight w:val="none"/>
        </w:rPr>
      </w:pPr>
      <w:r>
        <w:rPr>
          <w:rFonts w:hint="eastAsia" w:ascii="宋体" w:hAnsi="宋体" w:cs="宋体"/>
          <w:b/>
          <w:strike w:val="0"/>
          <w:kern w:val="0"/>
          <w:sz w:val="36"/>
          <w:szCs w:val="36"/>
          <w:highlight w:val="none"/>
        </w:rPr>
        <w:t>202</w:t>
      </w:r>
      <w:r>
        <w:rPr>
          <w:rFonts w:hint="eastAsia" w:ascii="宋体" w:hAnsi="宋体" w:cs="宋体"/>
          <w:b/>
          <w:strike w:val="0"/>
          <w:kern w:val="0"/>
          <w:sz w:val="36"/>
          <w:szCs w:val="36"/>
          <w:highlight w:val="none"/>
          <w:lang w:val="en-US" w:eastAsia="zh-CN"/>
        </w:rPr>
        <w:t>5</w:t>
      </w:r>
      <w:r>
        <w:rPr>
          <w:rFonts w:hint="eastAsia" w:ascii="宋体" w:hAnsi="宋体" w:cs="宋体"/>
          <w:b/>
          <w:strike w:val="0"/>
          <w:kern w:val="0"/>
          <w:sz w:val="36"/>
          <w:szCs w:val="36"/>
          <w:highlight w:val="none"/>
        </w:rPr>
        <w:t>年</w:t>
      </w:r>
      <w:r>
        <w:rPr>
          <w:rFonts w:hint="eastAsia" w:ascii="宋体" w:hAnsi="宋体" w:cs="宋体"/>
          <w:b/>
          <w:strike w:val="0"/>
          <w:kern w:val="0"/>
          <w:sz w:val="36"/>
          <w:szCs w:val="36"/>
          <w:highlight w:val="none"/>
          <w:lang w:val="en-US" w:eastAsia="zh-CN"/>
        </w:rPr>
        <w:t>4</w:t>
      </w:r>
      <w:r>
        <w:rPr>
          <w:rFonts w:hint="eastAsia" w:ascii="宋体" w:hAnsi="宋体" w:cs="宋体"/>
          <w:b/>
          <w:strike w:val="0"/>
          <w:kern w:val="0"/>
          <w:sz w:val="36"/>
          <w:szCs w:val="36"/>
          <w:highlight w:val="none"/>
        </w:rPr>
        <w:t>月</w:t>
      </w:r>
      <w:r>
        <w:rPr>
          <w:rFonts w:hint="eastAsia" w:ascii="宋体" w:hAnsi="宋体" w:cs="宋体"/>
          <w:b/>
          <w:strike w:val="0"/>
          <w:kern w:val="0"/>
          <w:sz w:val="36"/>
          <w:szCs w:val="36"/>
          <w:highlight w:val="none"/>
          <w:lang w:val="en-US" w:eastAsia="zh-CN"/>
        </w:rPr>
        <w:t>30</w:t>
      </w:r>
      <w:r>
        <w:rPr>
          <w:rFonts w:hint="eastAsia" w:ascii="宋体" w:hAnsi="宋体" w:cs="宋体"/>
          <w:b/>
          <w:strike w:val="0"/>
          <w:kern w:val="0"/>
          <w:sz w:val="36"/>
          <w:szCs w:val="36"/>
          <w:highlight w:val="none"/>
        </w:rPr>
        <w:t>日</w:t>
      </w:r>
    </w:p>
    <w:p>
      <w:pPr>
        <w:widowControl/>
        <w:shd w:val="clear" w:color="auto" w:fill="FFFFFF"/>
        <w:spacing w:line="360" w:lineRule="auto"/>
        <w:jc w:val="center"/>
        <w:rPr>
          <w:rFonts w:ascii="宋体" w:hAnsi="宋体" w:cs="宋体"/>
          <w:strike w:val="0"/>
          <w:sz w:val="36"/>
          <w:szCs w:val="36"/>
          <w:highlight w:val="none"/>
          <w:lang w:val="zh-CN"/>
        </w:rPr>
        <w:sectPr>
          <w:pgSz w:w="11906" w:h="16838"/>
          <w:pgMar w:top="1135" w:right="1135" w:bottom="1135" w:left="1135" w:header="720" w:footer="720" w:gutter="0"/>
          <w:pgNumType w:start="0"/>
          <w:cols w:space="720" w:num="1"/>
          <w:docGrid w:type="lines" w:linePitch="312" w:charSpace="0"/>
        </w:sectPr>
      </w:pPr>
    </w:p>
    <w:p>
      <w:pPr>
        <w:widowControl/>
        <w:shd w:val="clear" w:color="auto" w:fill="FFFFFF"/>
        <w:spacing w:line="360" w:lineRule="auto"/>
        <w:jc w:val="center"/>
        <w:rPr>
          <w:rFonts w:ascii="宋体" w:hAnsi="宋体" w:cs="宋体"/>
          <w:strike w:val="0"/>
          <w:sz w:val="36"/>
          <w:szCs w:val="36"/>
          <w:highlight w:val="none"/>
        </w:rPr>
      </w:pPr>
      <w:r>
        <w:rPr>
          <w:rFonts w:hint="eastAsia" w:ascii="宋体" w:hAnsi="宋体" w:cs="宋体"/>
          <w:strike w:val="0"/>
          <w:sz w:val="36"/>
          <w:szCs w:val="36"/>
          <w:highlight w:val="none"/>
          <w:lang w:val="zh-CN"/>
        </w:rPr>
        <w:t>目</w:t>
      </w:r>
      <w:r>
        <w:rPr>
          <w:rFonts w:hint="eastAsia" w:ascii="宋体" w:hAnsi="宋体" w:cs="宋体"/>
          <w:strike w:val="0"/>
          <w:sz w:val="36"/>
          <w:szCs w:val="36"/>
          <w:highlight w:val="none"/>
          <w:lang w:val="en-US" w:eastAsia="zh-CN"/>
        </w:rPr>
        <w:t xml:space="preserve">  </w:t>
      </w:r>
      <w:r>
        <w:rPr>
          <w:rFonts w:hint="eastAsia" w:ascii="宋体" w:hAnsi="宋体" w:cs="宋体"/>
          <w:strike w:val="0"/>
          <w:sz w:val="36"/>
          <w:szCs w:val="36"/>
          <w:highlight w:val="none"/>
          <w:lang w:val="zh-CN"/>
        </w:rPr>
        <w:t>录</w:t>
      </w:r>
    </w:p>
    <w:p>
      <w:pPr>
        <w:pStyle w:val="34"/>
        <w:tabs>
          <w:tab w:val="right" w:leader="dot" w:pos="9581"/>
        </w:tabs>
        <w:spacing w:line="360" w:lineRule="auto"/>
      </w:pPr>
      <w:r>
        <w:rPr>
          <w:rFonts w:hint="eastAsia" w:ascii="宋体" w:hAnsi="宋体" w:cs="宋体"/>
          <w:strike w:val="0"/>
          <w:sz w:val="30"/>
          <w:szCs w:val="30"/>
          <w:highlight w:val="none"/>
        </w:rPr>
        <w:fldChar w:fldCharType="begin"/>
      </w:r>
      <w:r>
        <w:rPr>
          <w:rFonts w:hint="eastAsia" w:ascii="宋体" w:hAnsi="宋体" w:cs="宋体"/>
          <w:strike w:val="0"/>
          <w:sz w:val="30"/>
          <w:szCs w:val="30"/>
          <w:highlight w:val="none"/>
        </w:rPr>
        <w:instrText xml:space="preserve">TOC \o "1-1" \h \u </w:instrText>
      </w:r>
      <w:r>
        <w:rPr>
          <w:rFonts w:hint="eastAsia" w:ascii="宋体" w:hAnsi="宋体" w:cs="宋体"/>
          <w:strike w:val="0"/>
          <w:sz w:val="30"/>
          <w:szCs w:val="30"/>
          <w:highlight w:val="none"/>
        </w:rPr>
        <w:fldChar w:fldCharType="separate"/>
      </w:r>
      <w:r>
        <w:rPr>
          <w:rFonts w:hint="eastAsia" w:ascii="宋体" w:hAnsi="宋体" w:cs="宋体"/>
          <w:strike w:val="0"/>
          <w:szCs w:val="30"/>
          <w:highlight w:val="none"/>
        </w:rPr>
        <w:fldChar w:fldCharType="begin"/>
      </w:r>
      <w:r>
        <w:rPr>
          <w:rFonts w:hint="eastAsia" w:ascii="宋体" w:hAnsi="宋体" w:cs="宋体"/>
          <w:strike w:val="0"/>
          <w:szCs w:val="30"/>
          <w:highlight w:val="none"/>
        </w:rPr>
        <w:instrText xml:space="preserve"> HYPERLINK \l _Toc14532 </w:instrText>
      </w:r>
      <w:r>
        <w:rPr>
          <w:rFonts w:hint="eastAsia" w:ascii="宋体" w:hAnsi="宋体" w:cs="宋体"/>
          <w:strike w:val="0"/>
          <w:szCs w:val="30"/>
          <w:highlight w:val="none"/>
        </w:rPr>
        <w:fldChar w:fldCharType="separate"/>
      </w:r>
      <w:r>
        <w:rPr>
          <w:rFonts w:hint="eastAsia" w:ascii="宋体" w:hAnsi="宋体" w:cs="宋体"/>
          <w:strike w:val="0"/>
          <w:highlight w:val="none"/>
        </w:rPr>
        <w:t>第一章 招标公告</w:t>
      </w:r>
      <w:r>
        <w:tab/>
      </w:r>
      <w:r>
        <w:fldChar w:fldCharType="begin"/>
      </w:r>
      <w:r>
        <w:instrText xml:space="preserve"> PAGEREF _Toc14532 \h </w:instrText>
      </w:r>
      <w:r>
        <w:fldChar w:fldCharType="separate"/>
      </w:r>
      <w:r>
        <w:t>2</w:t>
      </w:r>
      <w:r>
        <w:fldChar w:fldCharType="end"/>
      </w:r>
      <w:r>
        <w:rPr>
          <w:rFonts w:hint="eastAsia" w:ascii="宋体" w:hAnsi="宋体" w:cs="宋体"/>
          <w:strike w:val="0"/>
          <w:szCs w:val="30"/>
          <w:highlight w:val="none"/>
        </w:rPr>
        <w:fldChar w:fldCharType="end"/>
      </w:r>
    </w:p>
    <w:p>
      <w:pPr>
        <w:pStyle w:val="34"/>
        <w:tabs>
          <w:tab w:val="right" w:leader="dot" w:pos="9581"/>
        </w:tabs>
        <w:spacing w:line="360" w:lineRule="auto"/>
      </w:pPr>
      <w:r>
        <w:rPr>
          <w:rFonts w:hint="eastAsia" w:ascii="宋体" w:hAnsi="宋体" w:cs="宋体"/>
          <w:strike w:val="0"/>
          <w:szCs w:val="30"/>
          <w:highlight w:val="none"/>
        </w:rPr>
        <w:fldChar w:fldCharType="begin"/>
      </w:r>
      <w:r>
        <w:rPr>
          <w:rFonts w:hint="eastAsia" w:ascii="宋体" w:hAnsi="宋体" w:cs="宋体"/>
          <w:strike w:val="0"/>
          <w:szCs w:val="30"/>
          <w:highlight w:val="none"/>
        </w:rPr>
        <w:instrText xml:space="preserve"> HYPERLINK \l _Toc18533 </w:instrText>
      </w:r>
      <w:r>
        <w:rPr>
          <w:rFonts w:hint="eastAsia" w:ascii="宋体" w:hAnsi="宋体" w:cs="宋体"/>
          <w:strike w:val="0"/>
          <w:szCs w:val="30"/>
          <w:highlight w:val="none"/>
        </w:rPr>
        <w:fldChar w:fldCharType="separate"/>
      </w:r>
      <w:r>
        <w:rPr>
          <w:rFonts w:hint="eastAsia" w:ascii="宋体" w:hAnsi="宋体" w:cs="宋体"/>
          <w:strike w:val="0"/>
          <w:highlight w:val="none"/>
        </w:rPr>
        <w:t>第二章 供应商须知</w:t>
      </w:r>
      <w:r>
        <w:tab/>
      </w:r>
      <w:r>
        <w:fldChar w:fldCharType="begin"/>
      </w:r>
      <w:r>
        <w:instrText xml:space="preserve"> PAGEREF _Toc18533 \h </w:instrText>
      </w:r>
      <w:r>
        <w:fldChar w:fldCharType="separate"/>
      </w:r>
      <w:r>
        <w:t>6</w:t>
      </w:r>
      <w:r>
        <w:fldChar w:fldCharType="end"/>
      </w:r>
      <w:r>
        <w:rPr>
          <w:rFonts w:hint="eastAsia" w:ascii="宋体" w:hAnsi="宋体" w:cs="宋体"/>
          <w:strike w:val="0"/>
          <w:szCs w:val="30"/>
          <w:highlight w:val="none"/>
        </w:rPr>
        <w:fldChar w:fldCharType="end"/>
      </w:r>
    </w:p>
    <w:p>
      <w:pPr>
        <w:pStyle w:val="34"/>
        <w:tabs>
          <w:tab w:val="right" w:leader="dot" w:pos="9581"/>
        </w:tabs>
        <w:spacing w:line="360" w:lineRule="auto"/>
      </w:pPr>
      <w:r>
        <w:rPr>
          <w:rFonts w:hint="eastAsia" w:ascii="宋体" w:hAnsi="宋体" w:cs="宋体"/>
          <w:strike w:val="0"/>
          <w:szCs w:val="30"/>
          <w:highlight w:val="none"/>
        </w:rPr>
        <w:fldChar w:fldCharType="begin"/>
      </w:r>
      <w:r>
        <w:rPr>
          <w:rFonts w:hint="eastAsia" w:ascii="宋体" w:hAnsi="宋体" w:cs="宋体"/>
          <w:strike w:val="0"/>
          <w:szCs w:val="30"/>
          <w:highlight w:val="none"/>
        </w:rPr>
        <w:instrText xml:space="preserve"> HYPERLINK \l _Toc19024 </w:instrText>
      </w:r>
      <w:r>
        <w:rPr>
          <w:rFonts w:hint="eastAsia" w:ascii="宋体" w:hAnsi="宋体" w:cs="宋体"/>
          <w:strike w:val="0"/>
          <w:szCs w:val="30"/>
          <w:highlight w:val="none"/>
        </w:rPr>
        <w:fldChar w:fldCharType="separate"/>
      </w:r>
      <w:r>
        <w:rPr>
          <w:rFonts w:hint="eastAsia" w:ascii="宋体" w:hAnsi="宋体" w:cs="宋体"/>
          <w:strike w:val="0"/>
          <w:kern w:val="0"/>
          <w:highlight w:val="none"/>
        </w:rPr>
        <w:t>第三章 评标标准</w:t>
      </w:r>
      <w:r>
        <w:tab/>
      </w:r>
      <w:r>
        <w:fldChar w:fldCharType="begin"/>
      </w:r>
      <w:r>
        <w:instrText xml:space="preserve"> PAGEREF _Toc19024 \h </w:instrText>
      </w:r>
      <w:r>
        <w:fldChar w:fldCharType="separate"/>
      </w:r>
      <w:r>
        <w:t>18</w:t>
      </w:r>
      <w:r>
        <w:fldChar w:fldCharType="end"/>
      </w:r>
      <w:r>
        <w:rPr>
          <w:rFonts w:hint="eastAsia" w:ascii="宋体" w:hAnsi="宋体" w:cs="宋体"/>
          <w:strike w:val="0"/>
          <w:szCs w:val="30"/>
          <w:highlight w:val="none"/>
        </w:rPr>
        <w:fldChar w:fldCharType="end"/>
      </w:r>
    </w:p>
    <w:p>
      <w:pPr>
        <w:pStyle w:val="34"/>
        <w:tabs>
          <w:tab w:val="right" w:leader="dot" w:pos="9581"/>
        </w:tabs>
        <w:spacing w:line="360" w:lineRule="auto"/>
      </w:pPr>
      <w:r>
        <w:rPr>
          <w:rFonts w:hint="eastAsia" w:ascii="宋体" w:hAnsi="宋体" w:cs="宋体"/>
          <w:strike w:val="0"/>
          <w:szCs w:val="30"/>
          <w:highlight w:val="none"/>
        </w:rPr>
        <w:fldChar w:fldCharType="begin"/>
      </w:r>
      <w:r>
        <w:rPr>
          <w:rFonts w:hint="eastAsia" w:ascii="宋体" w:hAnsi="宋体" w:cs="宋体"/>
          <w:strike w:val="0"/>
          <w:szCs w:val="30"/>
          <w:highlight w:val="none"/>
        </w:rPr>
        <w:instrText xml:space="preserve"> HYPERLINK \l _Toc27161 </w:instrText>
      </w:r>
      <w:r>
        <w:rPr>
          <w:rFonts w:hint="eastAsia" w:ascii="宋体" w:hAnsi="宋体" w:cs="宋体"/>
          <w:strike w:val="0"/>
          <w:szCs w:val="30"/>
          <w:highlight w:val="none"/>
        </w:rPr>
        <w:fldChar w:fldCharType="separate"/>
      </w:r>
      <w:r>
        <w:rPr>
          <w:rFonts w:hint="eastAsia" w:ascii="宋体" w:hAnsi="宋体" w:cs="Times New Roman"/>
          <w:strike w:val="0"/>
          <w:kern w:val="0"/>
        </w:rPr>
        <w:t xml:space="preserve">第四章 </w:t>
      </w:r>
      <w:r>
        <w:rPr>
          <w:rFonts w:hint="eastAsia" w:ascii="宋体" w:hAnsi="宋体" w:cs="宋体"/>
          <w:strike w:val="0"/>
          <w:kern w:val="0"/>
          <w:highlight w:val="none"/>
        </w:rPr>
        <w:t>采购需求</w:t>
      </w:r>
      <w:r>
        <w:tab/>
      </w:r>
      <w:r>
        <w:fldChar w:fldCharType="begin"/>
      </w:r>
      <w:r>
        <w:instrText xml:space="preserve"> PAGEREF _Toc27161 \h </w:instrText>
      </w:r>
      <w:r>
        <w:fldChar w:fldCharType="separate"/>
      </w:r>
      <w:r>
        <w:t>21</w:t>
      </w:r>
      <w:r>
        <w:fldChar w:fldCharType="end"/>
      </w:r>
      <w:r>
        <w:rPr>
          <w:rFonts w:hint="eastAsia" w:ascii="宋体" w:hAnsi="宋体" w:cs="宋体"/>
          <w:strike w:val="0"/>
          <w:szCs w:val="30"/>
          <w:highlight w:val="none"/>
        </w:rPr>
        <w:fldChar w:fldCharType="end"/>
      </w:r>
    </w:p>
    <w:p>
      <w:pPr>
        <w:pStyle w:val="34"/>
        <w:tabs>
          <w:tab w:val="right" w:leader="dot" w:pos="9581"/>
        </w:tabs>
        <w:spacing w:line="360" w:lineRule="auto"/>
      </w:pPr>
      <w:r>
        <w:rPr>
          <w:rFonts w:hint="eastAsia" w:ascii="宋体" w:hAnsi="宋体" w:cs="宋体"/>
          <w:strike w:val="0"/>
          <w:szCs w:val="30"/>
          <w:highlight w:val="none"/>
        </w:rPr>
        <w:fldChar w:fldCharType="begin"/>
      </w:r>
      <w:r>
        <w:rPr>
          <w:rFonts w:hint="eastAsia" w:ascii="宋体" w:hAnsi="宋体" w:cs="宋体"/>
          <w:strike w:val="0"/>
          <w:szCs w:val="30"/>
          <w:highlight w:val="none"/>
        </w:rPr>
        <w:instrText xml:space="preserve"> HYPERLINK \l _Toc10973 </w:instrText>
      </w:r>
      <w:r>
        <w:rPr>
          <w:rFonts w:hint="eastAsia" w:ascii="宋体" w:hAnsi="宋体" w:cs="宋体"/>
          <w:strike w:val="0"/>
          <w:szCs w:val="30"/>
          <w:highlight w:val="none"/>
        </w:rPr>
        <w:fldChar w:fldCharType="separate"/>
      </w:r>
      <w:r>
        <w:rPr>
          <w:rFonts w:hint="eastAsia" w:ascii="宋体" w:hAnsi="宋体" w:cs="宋体"/>
          <w:strike w:val="0"/>
          <w:highlight w:val="none"/>
        </w:rPr>
        <w:t>第五章 拟签订合同的主要条款</w:t>
      </w:r>
      <w:r>
        <w:tab/>
      </w:r>
      <w:r>
        <w:fldChar w:fldCharType="begin"/>
      </w:r>
      <w:r>
        <w:instrText xml:space="preserve"> PAGEREF _Toc10973 \h </w:instrText>
      </w:r>
      <w:r>
        <w:fldChar w:fldCharType="separate"/>
      </w:r>
      <w:r>
        <w:t>28</w:t>
      </w:r>
      <w:r>
        <w:fldChar w:fldCharType="end"/>
      </w:r>
      <w:r>
        <w:rPr>
          <w:rFonts w:hint="eastAsia" w:ascii="宋体" w:hAnsi="宋体" w:cs="宋体"/>
          <w:strike w:val="0"/>
          <w:szCs w:val="30"/>
          <w:highlight w:val="none"/>
        </w:rPr>
        <w:fldChar w:fldCharType="end"/>
      </w:r>
    </w:p>
    <w:p>
      <w:pPr>
        <w:pStyle w:val="34"/>
        <w:tabs>
          <w:tab w:val="right" w:leader="dot" w:pos="9581"/>
        </w:tabs>
        <w:spacing w:line="360" w:lineRule="auto"/>
      </w:pPr>
      <w:r>
        <w:rPr>
          <w:rFonts w:hint="eastAsia" w:ascii="宋体" w:hAnsi="宋体" w:cs="宋体"/>
          <w:strike w:val="0"/>
          <w:szCs w:val="30"/>
          <w:highlight w:val="none"/>
        </w:rPr>
        <w:fldChar w:fldCharType="begin"/>
      </w:r>
      <w:r>
        <w:rPr>
          <w:rFonts w:hint="eastAsia" w:ascii="宋体" w:hAnsi="宋体" w:cs="宋体"/>
          <w:strike w:val="0"/>
          <w:szCs w:val="30"/>
          <w:highlight w:val="none"/>
        </w:rPr>
        <w:instrText xml:space="preserve"> HYPERLINK \l _Toc14594 </w:instrText>
      </w:r>
      <w:r>
        <w:rPr>
          <w:rFonts w:hint="eastAsia" w:ascii="宋体" w:hAnsi="宋体" w:cs="宋体"/>
          <w:strike w:val="0"/>
          <w:szCs w:val="30"/>
          <w:highlight w:val="none"/>
        </w:rPr>
        <w:fldChar w:fldCharType="separate"/>
      </w:r>
      <w:r>
        <w:rPr>
          <w:rFonts w:hint="eastAsia" w:ascii="宋体" w:hAnsi="宋体" w:cs="宋体"/>
          <w:strike w:val="0"/>
          <w:highlight w:val="none"/>
        </w:rPr>
        <w:t>第六章 附件</w:t>
      </w:r>
      <w:r>
        <w:tab/>
      </w:r>
      <w:r>
        <w:fldChar w:fldCharType="begin"/>
      </w:r>
      <w:r>
        <w:instrText xml:space="preserve"> PAGEREF _Toc14594 \h </w:instrText>
      </w:r>
      <w:r>
        <w:fldChar w:fldCharType="separate"/>
      </w:r>
      <w:r>
        <w:t>36</w:t>
      </w:r>
      <w:r>
        <w:fldChar w:fldCharType="end"/>
      </w:r>
      <w:r>
        <w:rPr>
          <w:rFonts w:hint="eastAsia" w:ascii="宋体" w:hAnsi="宋体" w:cs="宋体"/>
          <w:strike w:val="0"/>
          <w:szCs w:val="30"/>
          <w:highlight w:val="none"/>
        </w:rPr>
        <w:fldChar w:fldCharType="end"/>
      </w:r>
    </w:p>
    <w:p>
      <w:pPr>
        <w:widowControl/>
        <w:shd w:val="clear" w:color="auto" w:fill="FFFFFF"/>
        <w:spacing w:line="360" w:lineRule="auto"/>
        <w:rPr>
          <w:rFonts w:ascii="宋体" w:hAnsi="宋体" w:cs="宋体"/>
          <w:b/>
          <w:strike w:val="0"/>
          <w:kern w:val="0"/>
          <w:sz w:val="36"/>
          <w:szCs w:val="36"/>
          <w:highlight w:val="none"/>
        </w:rPr>
      </w:pPr>
      <w:r>
        <w:rPr>
          <w:rFonts w:hint="eastAsia" w:ascii="宋体" w:hAnsi="宋体" w:cs="宋体"/>
          <w:strike w:val="0"/>
          <w:sz w:val="30"/>
          <w:szCs w:val="30"/>
          <w:highlight w:val="none"/>
        </w:rPr>
        <w:fldChar w:fldCharType="end"/>
      </w:r>
    </w:p>
    <w:p>
      <w:pPr>
        <w:widowControl/>
        <w:shd w:val="clear" w:color="auto" w:fill="FFFFFF"/>
        <w:spacing w:line="360" w:lineRule="auto"/>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rPr>
          <w:rFonts w:ascii="宋体" w:hAnsi="宋体" w:cs="宋体"/>
          <w:strike w:val="0"/>
          <w:kern w:val="0"/>
          <w:sz w:val="36"/>
          <w:szCs w:val="36"/>
          <w:highlight w:val="none"/>
          <w:shd w:val="clear" w:color="auto" w:fill="FFFFFF"/>
        </w:rPr>
      </w:pPr>
    </w:p>
    <w:p>
      <w:pPr>
        <w:pStyle w:val="3"/>
        <w:numPr>
          <w:ilvl w:val="0"/>
          <w:numId w:val="0"/>
        </w:numPr>
        <w:spacing w:line="360" w:lineRule="auto"/>
        <w:rPr>
          <w:rFonts w:ascii="宋体" w:hAnsi="宋体" w:cs="宋体"/>
          <w:strike w:val="0"/>
          <w:highlight w:val="none"/>
        </w:rPr>
      </w:pPr>
      <w:bookmarkStart w:id="1" w:name="_Toc14532"/>
      <w:bookmarkStart w:id="2" w:name="_Toc481057143"/>
      <w:bookmarkStart w:id="3" w:name="_Toc11904"/>
      <w:bookmarkStart w:id="4" w:name="_Toc14317"/>
      <w:bookmarkStart w:id="5" w:name="_Toc463"/>
      <w:bookmarkStart w:id="6" w:name="_Toc17363"/>
      <w:bookmarkStart w:id="7" w:name="_Toc19389"/>
      <w:bookmarkStart w:id="8" w:name="_Toc10168"/>
      <w:bookmarkStart w:id="9" w:name="_Toc18773"/>
      <w:r>
        <w:rPr>
          <w:rFonts w:hint="eastAsia" w:ascii="宋体" w:hAnsi="宋体" w:cs="宋体"/>
          <w:strike w:val="0"/>
          <w:highlight w:val="none"/>
        </w:rPr>
        <w:t>第一章 招标公告</w:t>
      </w:r>
      <w:bookmarkEnd w:id="1"/>
      <w:bookmarkEnd w:id="2"/>
      <w:bookmarkEnd w:id="3"/>
      <w:bookmarkEnd w:id="4"/>
      <w:bookmarkEnd w:id="5"/>
      <w:bookmarkEnd w:id="6"/>
      <w:bookmarkEnd w:id="7"/>
      <w:bookmarkEnd w:id="8"/>
      <w:bookmarkEnd w:id="9"/>
    </w:p>
    <w:p>
      <w:pPr>
        <w:widowControl/>
        <w:shd w:val="clear" w:color="auto" w:fill="FFFFFF"/>
        <w:spacing w:line="360" w:lineRule="auto"/>
        <w:ind w:firstLine="370"/>
        <w:rPr>
          <w:rFonts w:ascii="宋体" w:hAnsi="宋体" w:cs="宋体"/>
          <w:strike w:val="0"/>
          <w:spacing w:val="8"/>
          <w:kern w:val="0"/>
          <w:szCs w:val="21"/>
          <w:highlight w:val="none"/>
        </w:rPr>
      </w:pPr>
      <w:bookmarkStart w:id="10" w:name="OLE_LINK6"/>
      <w:r>
        <w:rPr>
          <w:rFonts w:hint="eastAsia" w:ascii="宋体" w:hAnsi="宋体" w:cs="宋体"/>
          <w:strike w:val="0"/>
          <w:spacing w:val="8"/>
          <w:kern w:val="0"/>
          <w:szCs w:val="21"/>
          <w:highlight w:val="none"/>
          <w:lang w:eastAsia="zh-CN"/>
        </w:rPr>
        <w:t>江苏大学附属医院洗涤服务项目</w:t>
      </w:r>
      <w:r>
        <w:rPr>
          <w:rFonts w:hint="eastAsia" w:ascii="宋体" w:hAnsi="宋体" w:cs="宋体"/>
          <w:strike w:val="0"/>
          <w:spacing w:val="8"/>
          <w:kern w:val="0"/>
          <w:szCs w:val="21"/>
          <w:highlight w:val="none"/>
        </w:rPr>
        <w:t>的潜在供应商应在</w:t>
      </w:r>
      <w:r>
        <w:rPr>
          <w:rFonts w:hint="eastAsia" w:ascii="宋体" w:hAnsi="宋体" w:cs="宋体"/>
          <w:bCs/>
          <w:strike w:val="0"/>
          <w:highlight w:val="none"/>
        </w:rPr>
        <w:t>江苏招采平台（https://www.jsygjy.cn）</w:t>
      </w:r>
      <w:r>
        <w:rPr>
          <w:rFonts w:hint="eastAsia" w:ascii="宋体" w:hAnsi="宋体" w:cs="宋体"/>
          <w:strike w:val="0"/>
          <w:spacing w:val="8"/>
          <w:kern w:val="0"/>
          <w:szCs w:val="21"/>
          <w:highlight w:val="none"/>
        </w:rPr>
        <w:t>获取招标文件，并于202</w:t>
      </w:r>
      <w:r>
        <w:rPr>
          <w:rFonts w:hint="eastAsia" w:ascii="宋体" w:hAnsi="宋体" w:cs="宋体"/>
          <w:strike w:val="0"/>
          <w:spacing w:val="8"/>
          <w:kern w:val="0"/>
          <w:szCs w:val="21"/>
          <w:highlight w:val="none"/>
          <w:lang w:val="en-US" w:eastAsia="zh-CN"/>
        </w:rPr>
        <w:t>5</w:t>
      </w:r>
      <w:r>
        <w:rPr>
          <w:rFonts w:hint="eastAsia" w:ascii="宋体" w:hAnsi="宋体" w:cs="宋体"/>
          <w:strike w:val="0"/>
          <w:spacing w:val="8"/>
          <w:kern w:val="0"/>
          <w:szCs w:val="21"/>
          <w:highlight w:val="none"/>
        </w:rPr>
        <w:t>年</w:t>
      </w:r>
      <w:r>
        <w:rPr>
          <w:rFonts w:hint="eastAsia" w:ascii="宋体" w:hAnsi="宋体" w:cs="宋体"/>
          <w:strike w:val="0"/>
          <w:spacing w:val="8"/>
          <w:kern w:val="0"/>
          <w:szCs w:val="21"/>
          <w:highlight w:val="none"/>
          <w:lang w:val="en-US" w:eastAsia="zh-CN"/>
        </w:rPr>
        <w:t>5</w:t>
      </w:r>
      <w:r>
        <w:rPr>
          <w:rFonts w:hint="eastAsia" w:ascii="宋体" w:hAnsi="宋体" w:cs="宋体"/>
          <w:strike w:val="0"/>
          <w:spacing w:val="8"/>
          <w:kern w:val="0"/>
          <w:szCs w:val="21"/>
          <w:highlight w:val="none"/>
        </w:rPr>
        <w:t>月</w:t>
      </w:r>
      <w:r>
        <w:rPr>
          <w:rFonts w:hint="eastAsia" w:ascii="宋体" w:hAnsi="宋体" w:cs="宋体"/>
          <w:strike w:val="0"/>
          <w:spacing w:val="8"/>
          <w:kern w:val="0"/>
          <w:szCs w:val="21"/>
          <w:highlight w:val="none"/>
          <w:lang w:val="en-US" w:eastAsia="zh-CN"/>
        </w:rPr>
        <w:t>22</w:t>
      </w:r>
      <w:r>
        <w:rPr>
          <w:rFonts w:hint="eastAsia" w:ascii="宋体" w:hAnsi="宋体" w:cs="宋体"/>
          <w:strike w:val="0"/>
          <w:spacing w:val="8"/>
          <w:kern w:val="0"/>
          <w:szCs w:val="21"/>
          <w:highlight w:val="none"/>
        </w:rPr>
        <w:t>日9点30分（北京时间）前递交投标文件。</w:t>
      </w:r>
    </w:p>
    <w:p>
      <w:pPr>
        <w:widowControl/>
        <w:shd w:val="clear" w:color="auto" w:fill="FFFFFF"/>
        <w:spacing w:line="360" w:lineRule="auto"/>
        <w:rPr>
          <w:rFonts w:ascii="宋体" w:hAnsi="宋体" w:cs="宋体"/>
          <w:b/>
          <w:strike w:val="0"/>
          <w:spacing w:val="8"/>
          <w:kern w:val="0"/>
          <w:sz w:val="24"/>
          <w:highlight w:val="none"/>
        </w:rPr>
      </w:pPr>
      <w:r>
        <w:rPr>
          <w:rFonts w:hint="eastAsia" w:ascii="宋体" w:hAnsi="宋体" w:cs="宋体"/>
          <w:b/>
          <w:strike w:val="0"/>
          <w:spacing w:val="8"/>
          <w:kern w:val="0"/>
          <w:sz w:val="24"/>
          <w:highlight w:val="none"/>
        </w:rPr>
        <w:t>一、项目基本情况</w:t>
      </w:r>
    </w:p>
    <w:p>
      <w:pPr>
        <w:widowControl/>
        <w:shd w:val="clear" w:color="auto" w:fill="FFFFFF"/>
        <w:spacing w:line="360" w:lineRule="auto"/>
        <w:ind w:firstLine="370"/>
        <w:rPr>
          <w:rFonts w:hint="eastAsia" w:ascii="宋体" w:hAnsi="宋体" w:eastAsia="宋体" w:cs="宋体"/>
          <w:strike w:val="0"/>
          <w:spacing w:val="8"/>
          <w:kern w:val="0"/>
          <w:szCs w:val="21"/>
          <w:highlight w:val="none"/>
          <w:lang w:val="en-US" w:eastAsia="zh-CN"/>
        </w:rPr>
      </w:pPr>
      <w:r>
        <w:rPr>
          <w:rFonts w:hint="eastAsia" w:ascii="宋体" w:hAnsi="宋体" w:cs="宋体"/>
          <w:strike w:val="0"/>
          <w:spacing w:val="8"/>
          <w:kern w:val="0"/>
          <w:szCs w:val="21"/>
          <w:highlight w:val="none"/>
        </w:rPr>
        <w:t>1.1 项目编号：</w:t>
      </w:r>
      <w:r>
        <w:rPr>
          <w:rFonts w:hint="eastAsia" w:ascii="宋体" w:hAnsi="宋体" w:eastAsia="宋体" w:cs="宋体"/>
          <w:b w:val="0"/>
          <w:i w:val="0"/>
          <w:iCs w:val="0"/>
          <w:caps w:val="0"/>
          <w:spacing w:val="8"/>
          <w:kern w:val="0"/>
          <w:sz w:val="21"/>
          <w:szCs w:val="21"/>
          <w:highlight w:val="none"/>
          <w:shd w:val="clear"/>
        </w:rPr>
        <w:t>JSZC-320000-JCEC-G2025-0154</w:t>
      </w:r>
      <w:r>
        <w:rPr>
          <w:rFonts w:hint="eastAsia" w:ascii="宋体" w:hAnsi="宋体" w:cs="宋体"/>
          <w:b w:val="0"/>
          <w:i w:val="0"/>
          <w:iCs w:val="0"/>
          <w:caps w:val="0"/>
          <w:spacing w:val="8"/>
          <w:kern w:val="0"/>
          <w:sz w:val="21"/>
          <w:szCs w:val="21"/>
          <w:highlight w:val="none"/>
          <w:shd w:val="clear"/>
          <w:lang w:eastAsia="zh-CN"/>
        </w:rPr>
        <w:t>（</w:t>
      </w:r>
      <w:r>
        <w:rPr>
          <w:rFonts w:hint="eastAsia" w:ascii="宋体" w:hAnsi="宋体" w:eastAsia="宋体" w:cs="宋体"/>
          <w:b w:val="0"/>
          <w:i w:val="0"/>
          <w:iCs w:val="0"/>
          <w:caps w:val="0"/>
          <w:spacing w:val="8"/>
          <w:kern w:val="0"/>
          <w:sz w:val="21"/>
          <w:szCs w:val="21"/>
          <w:highlight w:val="none"/>
          <w:shd w:val="clear"/>
        </w:rPr>
        <w:t>JG06602589ZC00034</w:t>
      </w:r>
      <w:r>
        <w:rPr>
          <w:rFonts w:hint="eastAsia" w:ascii="宋体" w:hAnsi="宋体" w:cs="宋体"/>
          <w:b w:val="0"/>
          <w:i w:val="0"/>
          <w:iCs w:val="0"/>
          <w:caps w:val="0"/>
          <w:spacing w:val="8"/>
          <w:kern w:val="0"/>
          <w:sz w:val="21"/>
          <w:szCs w:val="21"/>
          <w:highlight w:val="none"/>
          <w:shd w:val="clear"/>
          <w:lang w:eastAsia="zh-CN"/>
        </w:rPr>
        <w:t>）</w:t>
      </w:r>
    </w:p>
    <w:p>
      <w:pPr>
        <w:widowControl/>
        <w:shd w:val="clear" w:color="auto" w:fill="FFFFFF"/>
        <w:spacing w:line="360" w:lineRule="auto"/>
        <w:ind w:firstLine="370"/>
        <w:rPr>
          <w:rFonts w:hint="eastAsia" w:ascii="宋体" w:hAnsi="宋体" w:eastAsia="宋体" w:cs="宋体"/>
          <w:strike w:val="0"/>
          <w:spacing w:val="8"/>
          <w:kern w:val="0"/>
          <w:szCs w:val="21"/>
          <w:highlight w:val="none"/>
          <w:lang w:eastAsia="zh-CN"/>
        </w:rPr>
      </w:pPr>
      <w:r>
        <w:rPr>
          <w:rFonts w:hint="eastAsia" w:ascii="宋体" w:hAnsi="宋体" w:cs="宋体"/>
          <w:strike w:val="0"/>
          <w:spacing w:val="8"/>
          <w:kern w:val="0"/>
          <w:szCs w:val="21"/>
          <w:highlight w:val="none"/>
        </w:rPr>
        <w:t>1.2 项目名称：</w:t>
      </w:r>
      <w:r>
        <w:rPr>
          <w:rFonts w:hint="eastAsia" w:ascii="宋体" w:hAnsi="宋体" w:cs="宋体"/>
          <w:strike w:val="0"/>
          <w:spacing w:val="8"/>
          <w:kern w:val="0"/>
          <w:szCs w:val="21"/>
          <w:highlight w:val="none"/>
          <w:lang w:eastAsia="zh-CN"/>
        </w:rPr>
        <w:t>江苏大学附属医院洗涤服务项目</w:t>
      </w:r>
    </w:p>
    <w:p>
      <w:pPr>
        <w:widowControl/>
        <w:shd w:val="clear" w:color="auto" w:fill="FFFFFF"/>
        <w:spacing w:line="360" w:lineRule="auto"/>
        <w:ind w:firstLine="370"/>
        <w:rPr>
          <w:rFonts w:hint="eastAsia" w:ascii="宋体" w:hAnsi="宋体" w:eastAsia="宋体" w:cs="宋体"/>
          <w:strike w:val="0"/>
          <w:spacing w:val="8"/>
          <w:kern w:val="0"/>
          <w:szCs w:val="21"/>
          <w:highlight w:val="none"/>
          <w:lang w:val="en-US" w:eastAsia="zh-CN"/>
        </w:rPr>
      </w:pPr>
      <w:r>
        <w:rPr>
          <w:rFonts w:hint="eastAsia" w:ascii="宋体" w:hAnsi="宋体" w:cs="宋体"/>
          <w:strike w:val="0"/>
          <w:spacing w:val="8"/>
          <w:kern w:val="0"/>
          <w:szCs w:val="21"/>
          <w:highlight w:val="none"/>
        </w:rPr>
        <w:t>1.3 预算金额：人民币</w:t>
      </w:r>
      <w:r>
        <w:rPr>
          <w:rFonts w:hint="eastAsia" w:ascii="宋体" w:hAnsi="宋体"/>
          <w:szCs w:val="21"/>
          <w:highlight w:val="none"/>
        </w:rPr>
        <w:t>260万元/年，共计</w:t>
      </w:r>
      <w:r>
        <w:rPr>
          <w:rFonts w:hint="eastAsia" w:ascii="宋体" w:hAnsi="宋体"/>
          <w:szCs w:val="21"/>
          <w:highlight w:val="none"/>
          <w:lang w:val="en-US" w:eastAsia="zh-CN"/>
        </w:rPr>
        <w:t>780</w:t>
      </w:r>
      <w:r>
        <w:rPr>
          <w:rFonts w:hint="eastAsia" w:ascii="宋体" w:hAnsi="宋体"/>
          <w:szCs w:val="21"/>
          <w:highlight w:val="none"/>
        </w:rPr>
        <w:t>万元/三年</w:t>
      </w:r>
      <w:r>
        <w:rPr>
          <w:rFonts w:hint="eastAsia" w:ascii="宋体" w:hAnsi="宋体" w:cs="宋体"/>
          <w:strike w:val="0"/>
          <w:spacing w:val="8"/>
          <w:kern w:val="0"/>
          <w:szCs w:val="21"/>
          <w:highlight w:val="none"/>
        </w:rPr>
        <w:t>。</w:t>
      </w:r>
    </w:p>
    <w:p>
      <w:pPr>
        <w:widowControl/>
        <w:shd w:val="clear" w:color="auto" w:fill="FFFFFF"/>
        <w:spacing w:line="360" w:lineRule="auto"/>
        <w:ind w:firstLine="370"/>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1.4 最高限价：人民币</w:t>
      </w:r>
      <w:r>
        <w:rPr>
          <w:rFonts w:hint="eastAsia" w:ascii="宋体" w:hAnsi="宋体"/>
          <w:szCs w:val="21"/>
          <w:highlight w:val="none"/>
        </w:rPr>
        <w:t>260万元/年，共计</w:t>
      </w:r>
      <w:r>
        <w:rPr>
          <w:rFonts w:hint="eastAsia" w:ascii="宋体" w:hAnsi="宋体"/>
          <w:szCs w:val="21"/>
          <w:highlight w:val="none"/>
          <w:lang w:val="en-US" w:eastAsia="zh-CN"/>
        </w:rPr>
        <w:t>780</w:t>
      </w:r>
      <w:r>
        <w:rPr>
          <w:rFonts w:hint="eastAsia" w:ascii="宋体" w:hAnsi="宋体"/>
          <w:szCs w:val="21"/>
          <w:highlight w:val="none"/>
        </w:rPr>
        <w:t>万元/三年</w:t>
      </w:r>
      <w:r>
        <w:rPr>
          <w:rFonts w:hint="eastAsia" w:ascii="宋体" w:hAnsi="宋体" w:cs="宋体"/>
          <w:strike w:val="0"/>
          <w:spacing w:val="8"/>
          <w:kern w:val="0"/>
          <w:szCs w:val="21"/>
          <w:highlight w:val="none"/>
        </w:rPr>
        <w:t>。</w:t>
      </w:r>
    </w:p>
    <w:p>
      <w:pPr>
        <w:widowControl/>
        <w:shd w:val="clear" w:color="auto" w:fill="FFFFFF"/>
        <w:spacing w:line="360" w:lineRule="auto"/>
        <w:ind w:firstLine="370"/>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1.5 采购需求：</w:t>
      </w:r>
      <w:r>
        <w:rPr>
          <w:rFonts w:hint="eastAsia" w:ascii="宋体" w:hAnsi="宋体"/>
          <w:color w:val="000000"/>
          <w:szCs w:val="21"/>
          <w:highlight w:val="none"/>
        </w:rPr>
        <w:t>江</w:t>
      </w:r>
      <w:r>
        <w:rPr>
          <w:rFonts w:hint="eastAsia" w:ascii="宋体" w:hAnsi="宋体"/>
          <w:szCs w:val="21"/>
          <w:highlight w:val="none"/>
        </w:rPr>
        <w:t>苏大学附属医院全院核定床位1500张，目前开放床位1700张左右。</w:t>
      </w:r>
      <w:r>
        <w:rPr>
          <w:rFonts w:hint="eastAsia" w:ascii="宋体" w:hAnsi="宋体"/>
          <w:szCs w:val="21"/>
          <w:highlight w:val="none"/>
          <w:lang w:val="en-US" w:eastAsia="zh-CN"/>
        </w:rPr>
        <w:t>现需一家</w:t>
      </w:r>
      <w:r>
        <w:rPr>
          <w:rFonts w:hint="eastAsia" w:ascii="宋体" w:hAnsi="宋体"/>
          <w:szCs w:val="21"/>
          <w:highlight w:val="none"/>
        </w:rPr>
        <w:t>洗涤外包服务</w:t>
      </w:r>
      <w:r>
        <w:rPr>
          <w:rFonts w:hint="eastAsia" w:ascii="宋体" w:hAnsi="宋体"/>
          <w:szCs w:val="21"/>
          <w:highlight w:val="none"/>
          <w:lang w:val="en-US" w:eastAsia="zh-CN"/>
        </w:rPr>
        <w:t>单位进行服务</w:t>
      </w:r>
      <w:r>
        <w:rPr>
          <w:rFonts w:hint="eastAsia" w:ascii="宋体" w:hAnsi="宋体" w:cs="宋体"/>
          <w:strike w:val="0"/>
          <w:spacing w:val="8"/>
          <w:kern w:val="0"/>
          <w:szCs w:val="21"/>
          <w:highlight w:val="none"/>
        </w:rPr>
        <w:t>，具体详见招标文件。</w:t>
      </w:r>
    </w:p>
    <w:p>
      <w:pPr>
        <w:widowControl/>
        <w:shd w:val="clear" w:color="auto" w:fill="FFFFFF"/>
        <w:spacing w:line="360" w:lineRule="auto"/>
        <w:ind w:firstLine="370"/>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1.6 合同履行期限：</w:t>
      </w:r>
      <w:r>
        <w:rPr>
          <w:rFonts w:hint="eastAsia" w:ascii="宋体" w:hAnsi="宋体" w:eastAsia="宋体" w:cs="宋体"/>
          <w:snapToGrid w:val="0"/>
          <w:kern w:val="0"/>
          <w:szCs w:val="21"/>
          <w:highlight w:val="none"/>
          <w:lang w:val="zh-CN"/>
        </w:rPr>
        <w:t>三年（202</w:t>
      </w:r>
      <w:r>
        <w:rPr>
          <w:rFonts w:hint="eastAsia" w:ascii="宋体" w:hAnsi="宋体" w:eastAsia="宋体" w:cs="宋体"/>
          <w:snapToGrid w:val="0"/>
          <w:kern w:val="0"/>
          <w:szCs w:val="21"/>
          <w:highlight w:val="none"/>
        </w:rPr>
        <w:t>5</w:t>
      </w:r>
      <w:r>
        <w:rPr>
          <w:rFonts w:hint="eastAsia" w:ascii="宋体" w:hAnsi="宋体" w:eastAsia="宋体" w:cs="宋体"/>
          <w:snapToGrid w:val="0"/>
          <w:kern w:val="0"/>
          <w:szCs w:val="21"/>
          <w:highlight w:val="none"/>
          <w:lang w:val="zh-CN"/>
        </w:rPr>
        <w:t>年6月1日至202</w:t>
      </w:r>
      <w:r>
        <w:rPr>
          <w:rFonts w:hint="eastAsia" w:ascii="宋体" w:hAnsi="宋体" w:eastAsia="宋体" w:cs="宋体"/>
          <w:snapToGrid w:val="0"/>
          <w:kern w:val="0"/>
          <w:szCs w:val="21"/>
          <w:highlight w:val="none"/>
        </w:rPr>
        <w:t>8</w:t>
      </w:r>
      <w:r>
        <w:rPr>
          <w:rFonts w:hint="eastAsia" w:ascii="宋体" w:hAnsi="宋体" w:eastAsia="宋体" w:cs="宋体"/>
          <w:snapToGrid w:val="0"/>
          <w:kern w:val="0"/>
          <w:szCs w:val="21"/>
          <w:highlight w:val="none"/>
          <w:lang w:val="zh-CN"/>
        </w:rPr>
        <w:t>年5月31日）</w:t>
      </w:r>
    </w:p>
    <w:p>
      <w:pPr>
        <w:widowControl/>
        <w:shd w:val="clear" w:color="auto" w:fill="FFFFFF"/>
        <w:spacing w:line="360" w:lineRule="auto"/>
        <w:ind w:firstLine="370"/>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1.7 行业</w:t>
      </w:r>
      <w:r>
        <w:rPr>
          <w:rFonts w:hint="eastAsia" w:ascii="宋体" w:hAnsi="宋体" w:eastAsia="宋体" w:cs="宋体"/>
          <w:strike w:val="0"/>
          <w:snapToGrid w:val="0"/>
          <w:spacing w:val="0"/>
          <w:kern w:val="0"/>
          <w:szCs w:val="21"/>
          <w:highlight w:val="none"/>
          <w:lang w:val="zh-CN"/>
        </w:rPr>
        <w:t>划分：其他未列明行业</w:t>
      </w:r>
      <w:r>
        <w:rPr>
          <w:rFonts w:hint="default" w:ascii="宋体" w:hAnsi="宋体" w:cs="宋体"/>
          <w:strike w:val="0"/>
          <w:spacing w:val="8"/>
          <w:kern w:val="0"/>
          <w:szCs w:val="21"/>
          <w:highlight w:val="none"/>
        </w:rPr>
        <w:t>‌</w:t>
      </w:r>
    </w:p>
    <w:p>
      <w:pPr>
        <w:widowControl/>
        <w:shd w:val="clear" w:color="auto" w:fill="FFFFFF"/>
        <w:spacing w:line="360" w:lineRule="auto"/>
        <w:ind w:firstLine="370"/>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1.8 本项目非专门面向中小企业（或监狱企业或残疾人福利性单位）采购。</w:t>
      </w:r>
    </w:p>
    <w:p>
      <w:pPr>
        <w:widowControl/>
        <w:shd w:val="clear" w:color="auto" w:fill="FFFFFF"/>
        <w:spacing w:line="360" w:lineRule="auto"/>
        <w:ind w:firstLine="370"/>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1.9 本项目不接受联合体投标。</w:t>
      </w:r>
    </w:p>
    <w:p>
      <w:pPr>
        <w:widowControl/>
        <w:shd w:val="clear" w:color="auto" w:fill="FFFFFF"/>
        <w:spacing w:line="360" w:lineRule="auto"/>
        <w:rPr>
          <w:rFonts w:ascii="宋体" w:hAnsi="宋体" w:cs="宋体"/>
          <w:b/>
          <w:strike w:val="0"/>
          <w:spacing w:val="8"/>
          <w:kern w:val="0"/>
          <w:sz w:val="24"/>
          <w:highlight w:val="none"/>
        </w:rPr>
      </w:pPr>
      <w:r>
        <w:rPr>
          <w:rFonts w:hint="eastAsia" w:ascii="宋体" w:hAnsi="宋体" w:cs="宋体"/>
          <w:b/>
          <w:strike w:val="0"/>
          <w:spacing w:val="8"/>
          <w:kern w:val="0"/>
          <w:sz w:val="24"/>
          <w:highlight w:val="none"/>
        </w:rPr>
        <w:t>二、申请人的资格要求：</w:t>
      </w:r>
    </w:p>
    <w:p>
      <w:pPr>
        <w:widowControl/>
        <w:shd w:val="clear" w:color="auto" w:fill="FFFFFF"/>
        <w:spacing w:line="360" w:lineRule="auto"/>
        <w:ind w:firstLine="452" w:firstLineChars="200"/>
        <w:rPr>
          <w:rFonts w:ascii="宋体" w:hAnsi="宋体" w:cs="宋体"/>
          <w:strike w:val="0"/>
          <w:spacing w:val="8"/>
          <w:kern w:val="0"/>
          <w:szCs w:val="21"/>
          <w:highlight w:val="none"/>
        </w:rPr>
      </w:pPr>
      <w:bookmarkStart w:id="11" w:name="_Hlk167468729"/>
      <w:r>
        <w:rPr>
          <w:rFonts w:hint="eastAsia" w:ascii="宋体" w:hAnsi="宋体" w:cs="宋体"/>
          <w:strike w:val="0"/>
          <w:spacing w:val="8"/>
          <w:kern w:val="0"/>
          <w:szCs w:val="21"/>
          <w:highlight w:val="none"/>
        </w:rPr>
        <w:t>2.1 满足《中华人民共和国政府采购法》第二十二条规定；</w:t>
      </w:r>
    </w:p>
    <w:p>
      <w:pPr>
        <w:widowControl/>
        <w:shd w:val="clear" w:color="auto" w:fill="FFFFFF"/>
        <w:spacing w:line="360" w:lineRule="auto"/>
        <w:ind w:firstLine="370"/>
        <w:rPr>
          <w:rFonts w:ascii="宋体" w:hAnsi="宋体" w:cs="宋体"/>
          <w:bCs/>
          <w:strike w:val="0"/>
          <w:szCs w:val="21"/>
          <w:highlight w:val="none"/>
        </w:rPr>
      </w:pPr>
      <w:r>
        <w:rPr>
          <w:rFonts w:hint="eastAsia" w:ascii="宋体" w:hAnsi="宋体" w:cs="宋体"/>
          <w:bCs/>
          <w:strike w:val="0"/>
          <w:szCs w:val="21"/>
          <w:highlight w:val="none"/>
        </w:rPr>
        <w:t>（1）具有独立承担民事责任的能力（提供法人或者其他组织的营业执照等证明文件，复印件加盖公章）；</w:t>
      </w:r>
    </w:p>
    <w:p>
      <w:pPr>
        <w:widowControl/>
        <w:shd w:val="clear" w:color="auto" w:fill="FFFFFF"/>
        <w:spacing w:line="360" w:lineRule="auto"/>
        <w:ind w:firstLine="370"/>
        <w:rPr>
          <w:rFonts w:ascii="宋体" w:hAnsi="宋体" w:cs="宋体"/>
          <w:bCs/>
          <w:strike w:val="0"/>
          <w:szCs w:val="21"/>
          <w:highlight w:val="none"/>
        </w:rPr>
      </w:pPr>
      <w:r>
        <w:rPr>
          <w:rFonts w:hint="eastAsia" w:ascii="宋体" w:hAnsi="宋体" w:cs="宋体"/>
          <w:bCs/>
          <w:strike w:val="0"/>
          <w:szCs w:val="21"/>
          <w:highlight w:val="none"/>
        </w:rPr>
        <w:t>（2）供应商须提供法人代表授权书（原件），法定代表人、授权代表身份证复印件及供应商</w:t>
      </w:r>
      <w:r>
        <w:rPr>
          <w:rFonts w:hint="eastAsia" w:ascii="宋体" w:hAnsi="宋体" w:cs="宋体"/>
          <w:bCs/>
          <w:strike w:val="0"/>
          <w:szCs w:val="21"/>
          <w:highlight w:val="none"/>
          <w:lang w:eastAsia="zh-CN"/>
        </w:rPr>
        <w:t>2024年10月-2025年3月</w:t>
      </w:r>
      <w:r>
        <w:rPr>
          <w:rFonts w:hint="eastAsia" w:ascii="宋体" w:hAnsi="宋体" w:cs="宋体"/>
          <w:bCs/>
          <w:strike w:val="0"/>
          <w:szCs w:val="21"/>
          <w:highlight w:val="none"/>
        </w:rPr>
        <w:t>任意一个月为其缴纳社保的证明材料。（如果是法定代表人直接参与投标的可以不提供授权书及社保证明材料）；</w:t>
      </w:r>
    </w:p>
    <w:p>
      <w:pPr>
        <w:spacing w:line="360" w:lineRule="auto"/>
        <w:ind w:firstLine="420" w:firstLineChars="200"/>
        <w:rPr>
          <w:rFonts w:ascii="宋体" w:hAnsi="宋体" w:cs="宋体"/>
          <w:strike w:val="0"/>
          <w:kern w:val="0"/>
          <w:szCs w:val="21"/>
          <w:highlight w:val="none"/>
        </w:rPr>
      </w:pPr>
      <w:r>
        <w:rPr>
          <w:rFonts w:hint="eastAsia" w:ascii="宋体" w:hAnsi="宋体" w:cs="宋体"/>
          <w:strike w:val="0"/>
          <w:kern w:val="0"/>
          <w:szCs w:val="21"/>
          <w:highlight w:val="none"/>
        </w:rPr>
        <w:t>（3）具有良好的商业信誉和健全的财务会计制度，提供距开标时间一年内（</w:t>
      </w:r>
      <w:r>
        <w:rPr>
          <w:rFonts w:hint="eastAsia" w:ascii="宋体" w:hAnsi="宋体" w:cs="宋体"/>
          <w:strike w:val="0"/>
          <w:kern w:val="0"/>
          <w:szCs w:val="21"/>
          <w:highlight w:val="none"/>
          <w:lang w:eastAsia="zh-CN"/>
        </w:rPr>
        <w:t>2024年4月-2025年3月</w:t>
      </w:r>
      <w:r>
        <w:rPr>
          <w:rFonts w:hint="eastAsia" w:ascii="宋体" w:hAnsi="宋体" w:cs="宋体"/>
          <w:strike w:val="0"/>
          <w:kern w:val="0"/>
          <w:szCs w:val="21"/>
          <w:highlight w:val="none"/>
        </w:rPr>
        <w:t>）任意一月份的财务状况报</w:t>
      </w:r>
      <w:r>
        <w:rPr>
          <w:rFonts w:hint="eastAsia" w:ascii="宋体" w:hAnsi="宋体" w:cs="宋体"/>
          <w:bCs/>
          <w:strike w:val="0"/>
          <w:szCs w:val="21"/>
          <w:highlight w:val="none"/>
        </w:rPr>
        <w:t>告（至少包括资产负债表和利润表）（法人</w:t>
      </w:r>
      <w:r>
        <w:rPr>
          <w:rFonts w:hint="eastAsia" w:ascii="宋体" w:hAnsi="宋体" w:cs="宋体"/>
          <w:strike w:val="0"/>
          <w:kern w:val="0"/>
          <w:szCs w:val="21"/>
          <w:highlight w:val="none"/>
        </w:rPr>
        <w:t>或者其他组织成立未满三个月的可以不提供），或其银行出具的资信证书（复印件）（开标前一年内（</w:t>
      </w:r>
      <w:r>
        <w:rPr>
          <w:rFonts w:hint="eastAsia" w:ascii="宋体" w:hAnsi="宋体" w:cs="宋体"/>
          <w:strike w:val="0"/>
          <w:kern w:val="0"/>
          <w:szCs w:val="21"/>
          <w:highlight w:val="none"/>
          <w:lang w:eastAsia="zh-CN"/>
        </w:rPr>
        <w:t>2024年4月-2025年3月</w:t>
      </w:r>
      <w:r>
        <w:rPr>
          <w:rFonts w:hint="eastAsia" w:ascii="宋体" w:hAnsi="宋体" w:cs="宋体"/>
          <w:strike w:val="0"/>
          <w:kern w:val="0"/>
          <w:szCs w:val="21"/>
          <w:highlight w:val="none"/>
        </w:rPr>
        <w:t>）），或其</w:t>
      </w:r>
      <w:r>
        <w:rPr>
          <w:rFonts w:hint="eastAsia" w:ascii="宋体" w:hAnsi="宋体" w:cs="宋体"/>
          <w:strike w:val="0"/>
          <w:kern w:val="0"/>
          <w:szCs w:val="21"/>
          <w:highlight w:val="none"/>
          <w:lang w:eastAsia="zh-CN"/>
        </w:rPr>
        <w:t>2023年度或2024年度经审计</w:t>
      </w:r>
      <w:r>
        <w:rPr>
          <w:rFonts w:hint="eastAsia" w:ascii="宋体" w:hAnsi="宋体" w:cs="宋体"/>
          <w:strike w:val="0"/>
          <w:kern w:val="0"/>
          <w:szCs w:val="21"/>
          <w:highlight w:val="none"/>
        </w:rPr>
        <w:t>的财务报告复印件加盖公章；</w:t>
      </w:r>
    </w:p>
    <w:p>
      <w:pPr>
        <w:widowControl/>
        <w:shd w:val="clear" w:color="auto" w:fill="FFFFFF"/>
        <w:spacing w:line="360" w:lineRule="auto"/>
        <w:ind w:firstLine="420" w:firstLineChars="200"/>
        <w:rPr>
          <w:rFonts w:ascii="宋体" w:hAnsi="宋体" w:cs="宋体"/>
          <w:bCs/>
          <w:strike w:val="0"/>
          <w:szCs w:val="21"/>
          <w:highlight w:val="none"/>
        </w:rPr>
      </w:pPr>
      <w:r>
        <w:rPr>
          <w:rFonts w:hint="eastAsia" w:ascii="宋体" w:hAnsi="宋体" w:cs="宋体"/>
          <w:bCs/>
          <w:strike w:val="0"/>
          <w:szCs w:val="21"/>
          <w:highlight w:val="none"/>
        </w:rPr>
        <w:t>（4）具有履行合同所必需的设备和专业技术能力（供应商根据履行采购项目合同需要，提供履行合同所必需的设备和专业技术能力的证明材料）；</w:t>
      </w:r>
    </w:p>
    <w:p>
      <w:pPr>
        <w:spacing w:line="360" w:lineRule="auto"/>
        <w:ind w:firstLine="420" w:firstLineChars="200"/>
        <w:rPr>
          <w:rFonts w:ascii="宋体" w:hAnsi="宋体" w:cs="宋体"/>
          <w:strike w:val="0"/>
          <w:kern w:val="0"/>
          <w:szCs w:val="21"/>
          <w:highlight w:val="none"/>
        </w:rPr>
      </w:pPr>
      <w:r>
        <w:rPr>
          <w:rFonts w:hint="eastAsia" w:ascii="宋体" w:hAnsi="宋体" w:cs="宋体"/>
          <w:strike w:val="0"/>
          <w:kern w:val="0"/>
          <w:szCs w:val="21"/>
          <w:highlight w:val="none"/>
        </w:rPr>
        <w:t>（5）有依法缴纳税收的良好记录，提供距开标时间六个月内（2024年</w:t>
      </w:r>
      <w:r>
        <w:rPr>
          <w:rFonts w:hint="eastAsia" w:ascii="宋体" w:hAnsi="宋体" w:cs="宋体"/>
          <w:strike w:val="0"/>
          <w:kern w:val="0"/>
          <w:szCs w:val="21"/>
          <w:highlight w:val="none"/>
          <w:lang w:val="en-US" w:eastAsia="zh-CN"/>
        </w:rPr>
        <w:t>10</w:t>
      </w:r>
      <w:r>
        <w:rPr>
          <w:rFonts w:hint="eastAsia" w:ascii="宋体" w:hAnsi="宋体" w:cs="宋体"/>
          <w:strike w:val="0"/>
          <w:kern w:val="0"/>
          <w:szCs w:val="21"/>
          <w:highlight w:val="none"/>
        </w:rPr>
        <w:t>月-202</w:t>
      </w:r>
      <w:r>
        <w:rPr>
          <w:rFonts w:hint="eastAsia" w:ascii="宋体" w:hAnsi="宋体" w:cs="宋体"/>
          <w:strike w:val="0"/>
          <w:kern w:val="0"/>
          <w:szCs w:val="21"/>
          <w:highlight w:val="none"/>
          <w:lang w:val="en-US" w:eastAsia="zh-CN"/>
        </w:rPr>
        <w:t>5</w:t>
      </w:r>
      <w:r>
        <w:rPr>
          <w:rFonts w:hint="eastAsia" w:ascii="宋体" w:hAnsi="宋体" w:cs="宋体"/>
          <w:strike w:val="0"/>
          <w:kern w:val="0"/>
          <w:szCs w:val="21"/>
          <w:highlight w:val="none"/>
        </w:rPr>
        <w:t>年</w:t>
      </w:r>
      <w:r>
        <w:rPr>
          <w:rFonts w:hint="eastAsia" w:ascii="宋体" w:hAnsi="宋体" w:cs="宋体"/>
          <w:strike w:val="0"/>
          <w:kern w:val="0"/>
          <w:szCs w:val="21"/>
          <w:highlight w:val="none"/>
          <w:lang w:val="en-US" w:eastAsia="zh-CN"/>
        </w:rPr>
        <w:t>3</w:t>
      </w:r>
      <w:r>
        <w:rPr>
          <w:rFonts w:hint="eastAsia" w:ascii="宋体" w:hAnsi="宋体" w:cs="宋体"/>
          <w:strike w:val="0"/>
          <w:kern w:val="0"/>
          <w:szCs w:val="21"/>
          <w:highlight w:val="none"/>
        </w:rPr>
        <w:t>月）任意一月份的纳税凭据复印件加盖公章（依法免税的应提供相应文件说明）；</w:t>
      </w:r>
    </w:p>
    <w:p>
      <w:pPr>
        <w:spacing w:line="360" w:lineRule="auto"/>
        <w:ind w:firstLine="420" w:firstLineChars="200"/>
        <w:rPr>
          <w:rFonts w:ascii="宋体" w:hAnsi="宋体" w:cs="宋体"/>
          <w:strike w:val="0"/>
          <w:kern w:val="0"/>
          <w:szCs w:val="21"/>
          <w:highlight w:val="none"/>
        </w:rPr>
      </w:pPr>
      <w:r>
        <w:rPr>
          <w:rFonts w:hint="eastAsia" w:ascii="宋体" w:hAnsi="宋体" w:cs="宋体"/>
          <w:strike w:val="0"/>
          <w:kern w:val="0"/>
          <w:szCs w:val="21"/>
          <w:highlight w:val="none"/>
        </w:rPr>
        <w:t>（6）有依法缴纳社会保障资金的良好记录，提供距开标时间六个月内（202</w:t>
      </w:r>
      <w:r>
        <w:rPr>
          <w:rFonts w:hint="eastAsia" w:ascii="宋体" w:hAnsi="宋体" w:cs="宋体"/>
          <w:strike w:val="0"/>
          <w:kern w:val="0"/>
          <w:szCs w:val="21"/>
          <w:highlight w:val="none"/>
          <w:lang w:val="en-US" w:eastAsia="zh-CN"/>
        </w:rPr>
        <w:t>4</w:t>
      </w:r>
      <w:r>
        <w:rPr>
          <w:rFonts w:hint="eastAsia" w:ascii="宋体" w:hAnsi="宋体" w:cs="宋体"/>
          <w:strike w:val="0"/>
          <w:kern w:val="0"/>
          <w:szCs w:val="21"/>
          <w:highlight w:val="none"/>
        </w:rPr>
        <w:t>年</w:t>
      </w:r>
      <w:r>
        <w:rPr>
          <w:rFonts w:hint="eastAsia" w:ascii="宋体" w:hAnsi="宋体" w:cs="宋体"/>
          <w:strike w:val="0"/>
          <w:kern w:val="0"/>
          <w:szCs w:val="21"/>
          <w:highlight w:val="none"/>
          <w:lang w:val="en-US" w:eastAsia="zh-CN"/>
        </w:rPr>
        <w:t>10</w:t>
      </w:r>
      <w:r>
        <w:rPr>
          <w:rFonts w:hint="eastAsia" w:ascii="宋体" w:hAnsi="宋体" w:cs="宋体"/>
          <w:strike w:val="0"/>
          <w:kern w:val="0"/>
          <w:szCs w:val="21"/>
          <w:highlight w:val="none"/>
        </w:rPr>
        <w:t>月-202</w:t>
      </w:r>
      <w:r>
        <w:rPr>
          <w:rFonts w:hint="eastAsia" w:ascii="宋体" w:hAnsi="宋体" w:cs="宋体"/>
          <w:strike w:val="0"/>
          <w:kern w:val="0"/>
          <w:szCs w:val="21"/>
          <w:highlight w:val="none"/>
          <w:lang w:val="en-US" w:eastAsia="zh-CN"/>
        </w:rPr>
        <w:t>5</w:t>
      </w:r>
      <w:r>
        <w:rPr>
          <w:rFonts w:hint="eastAsia" w:ascii="宋体" w:hAnsi="宋体" w:cs="宋体"/>
          <w:strike w:val="0"/>
          <w:kern w:val="0"/>
          <w:szCs w:val="21"/>
          <w:highlight w:val="none"/>
        </w:rPr>
        <w:t>年</w:t>
      </w:r>
      <w:r>
        <w:rPr>
          <w:rFonts w:hint="eastAsia" w:ascii="宋体" w:hAnsi="宋体" w:cs="宋体"/>
          <w:strike w:val="0"/>
          <w:kern w:val="0"/>
          <w:szCs w:val="21"/>
          <w:highlight w:val="none"/>
          <w:lang w:val="en-US" w:eastAsia="zh-CN"/>
        </w:rPr>
        <w:t>3</w:t>
      </w:r>
      <w:r>
        <w:rPr>
          <w:rFonts w:hint="eastAsia" w:ascii="宋体" w:hAnsi="宋体" w:cs="宋体"/>
          <w:strike w:val="0"/>
          <w:kern w:val="0"/>
          <w:szCs w:val="21"/>
          <w:highlight w:val="none"/>
        </w:rPr>
        <w:t>月）任意一月份的依法缴纳社会保障资金的凭据复印件加盖公章；</w:t>
      </w:r>
    </w:p>
    <w:p>
      <w:pPr>
        <w:widowControl/>
        <w:shd w:val="clear" w:color="auto" w:fill="FFFFFF"/>
        <w:spacing w:line="360" w:lineRule="auto"/>
        <w:ind w:firstLine="420" w:firstLineChars="200"/>
        <w:rPr>
          <w:rFonts w:ascii="宋体" w:hAnsi="宋体" w:cs="宋体"/>
          <w:bCs/>
          <w:strike w:val="0"/>
          <w:szCs w:val="21"/>
          <w:highlight w:val="none"/>
        </w:rPr>
      </w:pPr>
      <w:r>
        <w:rPr>
          <w:rFonts w:hint="eastAsia" w:ascii="宋体" w:hAnsi="宋体" w:cs="宋体"/>
          <w:bCs/>
          <w:strike w:val="0"/>
          <w:szCs w:val="21"/>
          <w:highlight w:val="none"/>
        </w:rPr>
        <w:t>（7）参加政府采购活动前三年内，在经营活动中没有重大违法记录（提供承诺书并加盖供应商公章）；重大违法记录，是指供应商因违法经营受到刑事处罚或者责令停产停业、吊销许可证或者执照、较大数额罚款等行政处罚。</w:t>
      </w:r>
    </w:p>
    <w:p>
      <w:pPr>
        <w:widowControl/>
        <w:shd w:val="clear" w:color="auto" w:fill="FFFFFF"/>
        <w:spacing w:line="360" w:lineRule="auto"/>
        <w:ind w:firstLine="370"/>
        <w:rPr>
          <w:rFonts w:ascii="宋体" w:hAnsi="宋体" w:cs="宋体"/>
          <w:bCs/>
          <w:strike w:val="0"/>
          <w:szCs w:val="21"/>
          <w:highlight w:val="none"/>
        </w:rPr>
      </w:pPr>
      <w:r>
        <w:rPr>
          <w:rFonts w:hint="eastAsia" w:ascii="宋体" w:hAnsi="宋体" w:cs="宋体"/>
          <w:bCs/>
          <w:strike w:val="0"/>
          <w:szCs w:val="21"/>
          <w:highlight w:val="none"/>
        </w:rPr>
        <w:t>（8）法律、行政法规规定的其他条件：无。</w:t>
      </w:r>
    </w:p>
    <w:p>
      <w:pPr>
        <w:widowControl/>
        <w:shd w:val="clear" w:color="auto" w:fill="FFFFFF"/>
        <w:spacing w:line="360" w:lineRule="auto"/>
        <w:ind w:firstLine="452" w:firstLineChars="200"/>
        <w:rPr>
          <w:rFonts w:ascii="宋体" w:hAnsi="宋体" w:cs="宋体"/>
          <w:strike w:val="0"/>
          <w:spacing w:val="8"/>
          <w:kern w:val="0"/>
          <w:szCs w:val="21"/>
          <w:highlight w:val="none"/>
          <w:u w:val="single"/>
        </w:rPr>
      </w:pPr>
      <w:r>
        <w:rPr>
          <w:rFonts w:hint="eastAsia" w:ascii="宋体" w:hAnsi="宋体" w:cs="宋体"/>
          <w:strike w:val="0"/>
          <w:spacing w:val="8"/>
          <w:kern w:val="0"/>
          <w:szCs w:val="21"/>
          <w:highlight w:val="none"/>
        </w:rPr>
        <w:t>2.2 落实政府采购政策需满足的资格要求：无。</w:t>
      </w:r>
    </w:p>
    <w:p>
      <w:pPr>
        <w:widowControl/>
        <w:shd w:val="clear" w:color="auto" w:fill="FFFFFF"/>
        <w:spacing w:line="360" w:lineRule="auto"/>
        <w:ind w:firstLine="420" w:firstLineChars="200"/>
        <w:rPr>
          <w:rFonts w:hint="eastAsia" w:ascii="宋体" w:hAnsi="宋体" w:cs="宋体"/>
          <w:bCs/>
          <w:strike w:val="0"/>
          <w:szCs w:val="21"/>
          <w:highlight w:val="none"/>
        </w:rPr>
      </w:pPr>
      <w:r>
        <w:rPr>
          <w:rFonts w:hint="eastAsia" w:ascii="宋体" w:hAnsi="宋体" w:cs="宋体"/>
          <w:bCs/>
          <w:strike w:val="0"/>
          <w:szCs w:val="21"/>
          <w:highlight w:val="none"/>
        </w:rPr>
        <w:t>2.3 采购人根据采购项目的特殊要求规定的特定条件，并提供符合特殊要求的证明材料或者情况说明：</w:t>
      </w:r>
      <w:r>
        <w:rPr>
          <w:rFonts w:hint="eastAsia" w:ascii="微软雅黑" w:hAnsi="微软雅黑" w:cs="微软雅黑"/>
          <w:bCs/>
          <w:szCs w:val="21"/>
          <w:highlight w:val="none"/>
        </w:rPr>
        <w:t>具有</w:t>
      </w:r>
      <w:bookmarkStart w:id="12" w:name="OLE_LINK1"/>
      <w:r>
        <w:rPr>
          <w:rFonts w:hint="eastAsia" w:ascii="微软雅黑" w:hAnsi="微软雅黑" w:cs="微软雅黑"/>
          <w:bCs/>
          <w:highlight w:val="none"/>
        </w:rPr>
        <w:t>环保主管部门颁发的洗涤污水排放许可证</w:t>
      </w:r>
      <w:bookmarkEnd w:id="12"/>
      <w:r>
        <w:rPr>
          <w:rFonts w:hint="eastAsia" w:ascii="微软雅黑" w:hAnsi="微软雅黑" w:cs="微软雅黑"/>
          <w:bCs/>
          <w:highlight w:val="none"/>
        </w:rPr>
        <w:t>（提供证书复印件并加盖公章）。</w:t>
      </w:r>
    </w:p>
    <w:p>
      <w:pPr>
        <w:widowControl/>
        <w:shd w:val="clear" w:color="auto" w:fill="FFFFFF"/>
        <w:spacing w:line="360" w:lineRule="auto"/>
        <w:ind w:firstLine="420" w:firstLineChars="200"/>
        <w:rPr>
          <w:rFonts w:ascii="宋体" w:hAnsi="宋体" w:cs="宋体"/>
          <w:bCs/>
          <w:strike w:val="0"/>
          <w:szCs w:val="21"/>
          <w:highlight w:val="none"/>
        </w:rPr>
      </w:pPr>
      <w:r>
        <w:rPr>
          <w:rFonts w:hint="eastAsia" w:ascii="宋体" w:hAnsi="宋体" w:cs="宋体"/>
          <w:bCs/>
          <w:strike w:val="0"/>
          <w:szCs w:val="21"/>
          <w:highlight w:val="none"/>
        </w:rPr>
        <w:t xml:space="preserve">2.4 </w:t>
      </w:r>
      <w:bookmarkStart w:id="102" w:name="_GoBack"/>
      <w:r>
        <w:rPr>
          <w:rFonts w:hint="eastAsia" w:ascii="宋体" w:hAnsi="宋体" w:cs="宋体"/>
          <w:bCs/>
          <w:strike w:val="0"/>
          <w:szCs w:val="21"/>
          <w:highlight w:val="none"/>
        </w:rPr>
        <w:t>供应商在参加政府采购活动前3年内因违法经营被禁止在一定期限内参加政府采购活动，期限届满的，可以参加政府采购活动。</w:t>
      </w:r>
    </w:p>
    <w:bookmarkEnd w:id="102"/>
    <w:p>
      <w:pPr>
        <w:widowControl/>
        <w:shd w:val="clear" w:color="auto" w:fill="FFFFFF"/>
        <w:spacing w:line="360" w:lineRule="auto"/>
        <w:ind w:firstLine="452" w:firstLineChars="200"/>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2.5 单位负责人为同一人或者存在直接控股、管理关系的不同供应商，不得参加同一合同项下的政府采购活动。</w:t>
      </w:r>
    </w:p>
    <w:p>
      <w:pPr>
        <w:widowControl/>
        <w:shd w:val="clear" w:color="auto" w:fill="FFFFFF"/>
        <w:spacing w:line="360" w:lineRule="auto"/>
        <w:ind w:firstLine="452" w:firstLineChars="200"/>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为采购项目提供整体设计、规范编制或者项目管理、监理、检测等服务的供应商，不得再参加该采购项目的其他采购活动。</w:t>
      </w:r>
    </w:p>
    <w:p>
      <w:pPr>
        <w:widowControl/>
        <w:shd w:val="clear" w:color="auto" w:fill="FFFFFF"/>
        <w:spacing w:line="360" w:lineRule="auto"/>
        <w:ind w:firstLine="452" w:firstLineChars="200"/>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2.6 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p>
    <w:bookmarkEnd w:id="11"/>
    <w:p>
      <w:pPr>
        <w:widowControl/>
        <w:shd w:val="clear" w:color="auto" w:fill="FFFFFF"/>
        <w:spacing w:line="360" w:lineRule="auto"/>
        <w:rPr>
          <w:rFonts w:ascii="宋体" w:hAnsi="宋体" w:cs="宋体"/>
          <w:b/>
          <w:strike w:val="0"/>
          <w:spacing w:val="8"/>
          <w:kern w:val="0"/>
          <w:sz w:val="24"/>
          <w:highlight w:val="none"/>
        </w:rPr>
      </w:pPr>
      <w:r>
        <w:rPr>
          <w:rFonts w:hint="eastAsia" w:ascii="宋体" w:hAnsi="宋体" w:cs="宋体"/>
          <w:b/>
          <w:strike w:val="0"/>
          <w:spacing w:val="8"/>
          <w:kern w:val="0"/>
          <w:sz w:val="24"/>
          <w:highlight w:val="none"/>
        </w:rPr>
        <w:t>三、</w:t>
      </w:r>
      <w:bookmarkStart w:id="13" w:name="_Hlk167468867"/>
      <w:r>
        <w:rPr>
          <w:rFonts w:hint="eastAsia" w:ascii="宋体" w:hAnsi="宋体" w:cs="宋体"/>
          <w:b/>
          <w:strike w:val="0"/>
          <w:spacing w:val="8"/>
          <w:kern w:val="0"/>
          <w:sz w:val="24"/>
          <w:highlight w:val="none"/>
        </w:rPr>
        <w:t>获取招标文件</w:t>
      </w:r>
      <w:bookmarkEnd w:id="13"/>
    </w:p>
    <w:p>
      <w:pPr>
        <w:widowControl/>
        <w:shd w:val="clear" w:color="auto" w:fill="FFFFFF"/>
        <w:spacing w:line="360" w:lineRule="auto"/>
        <w:ind w:firstLine="452" w:firstLineChars="200"/>
        <w:rPr>
          <w:rFonts w:ascii="宋体" w:hAnsi="宋体" w:cs="宋体"/>
          <w:strike w:val="0"/>
          <w:spacing w:val="8"/>
          <w:kern w:val="0"/>
          <w:szCs w:val="21"/>
          <w:highlight w:val="none"/>
        </w:rPr>
      </w:pPr>
      <w:bookmarkStart w:id="14" w:name="_Hlk167468892"/>
      <w:r>
        <w:rPr>
          <w:rFonts w:hint="eastAsia" w:ascii="宋体" w:hAnsi="宋体" w:cs="宋体"/>
          <w:strike w:val="0"/>
          <w:spacing w:val="8"/>
          <w:kern w:val="0"/>
          <w:szCs w:val="21"/>
          <w:highlight w:val="none"/>
        </w:rPr>
        <w:t>3.1 时间：202</w:t>
      </w:r>
      <w:r>
        <w:rPr>
          <w:rFonts w:hint="eastAsia" w:ascii="宋体" w:hAnsi="宋体" w:cs="宋体"/>
          <w:strike w:val="0"/>
          <w:spacing w:val="8"/>
          <w:kern w:val="0"/>
          <w:szCs w:val="21"/>
          <w:highlight w:val="none"/>
          <w:lang w:val="en-US" w:eastAsia="zh-CN"/>
        </w:rPr>
        <w:t>5</w:t>
      </w:r>
      <w:r>
        <w:rPr>
          <w:rFonts w:hint="eastAsia" w:ascii="宋体" w:hAnsi="宋体" w:cs="宋体"/>
          <w:strike w:val="0"/>
          <w:spacing w:val="8"/>
          <w:kern w:val="0"/>
          <w:szCs w:val="21"/>
          <w:highlight w:val="none"/>
        </w:rPr>
        <w:t>年</w:t>
      </w:r>
      <w:r>
        <w:rPr>
          <w:rFonts w:hint="eastAsia" w:ascii="宋体" w:hAnsi="宋体" w:cs="宋体"/>
          <w:strike w:val="0"/>
          <w:spacing w:val="8"/>
          <w:kern w:val="0"/>
          <w:szCs w:val="21"/>
          <w:highlight w:val="none"/>
          <w:lang w:val="en-US" w:eastAsia="zh-CN"/>
        </w:rPr>
        <w:t>4</w:t>
      </w:r>
      <w:r>
        <w:rPr>
          <w:rFonts w:hint="eastAsia" w:ascii="宋体" w:hAnsi="宋体" w:cs="宋体"/>
          <w:strike w:val="0"/>
          <w:spacing w:val="8"/>
          <w:kern w:val="0"/>
          <w:szCs w:val="21"/>
          <w:highlight w:val="none"/>
        </w:rPr>
        <w:t>月</w:t>
      </w:r>
      <w:r>
        <w:rPr>
          <w:rFonts w:hint="eastAsia" w:ascii="宋体" w:hAnsi="宋体" w:cs="宋体"/>
          <w:strike w:val="0"/>
          <w:spacing w:val="8"/>
          <w:kern w:val="0"/>
          <w:szCs w:val="21"/>
          <w:highlight w:val="none"/>
          <w:lang w:val="en-US" w:eastAsia="zh-CN"/>
        </w:rPr>
        <w:t>30</w:t>
      </w:r>
      <w:r>
        <w:rPr>
          <w:rFonts w:hint="eastAsia" w:ascii="宋体" w:hAnsi="宋体" w:cs="宋体"/>
          <w:strike w:val="0"/>
          <w:spacing w:val="8"/>
          <w:kern w:val="0"/>
          <w:szCs w:val="21"/>
          <w:highlight w:val="none"/>
        </w:rPr>
        <w:t>日至202</w:t>
      </w:r>
      <w:r>
        <w:rPr>
          <w:rFonts w:hint="eastAsia" w:ascii="宋体" w:hAnsi="宋体" w:cs="宋体"/>
          <w:strike w:val="0"/>
          <w:spacing w:val="8"/>
          <w:kern w:val="0"/>
          <w:szCs w:val="21"/>
          <w:highlight w:val="none"/>
          <w:lang w:val="en-US" w:eastAsia="zh-CN"/>
        </w:rPr>
        <w:t>5</w:t>
      </w:r>
      <w:r>
        <w:rPr>
          <w:rFonts w:hint="eastAsia" w:ascii="宋体" w:hAnsi="宋体" w:cs="宋体"/>
          <w:strike w:val="0"/>
          <w:spacing w:val="8"/>
          <w:kern w:val="0"/>
          <w:szCs w:val="21"/>
          <w:highlight w:val="none"/>
        </w:rPr>
        <w:t>年</w:t>
      </w:r>
      <w:r>
        <w:rPr>
          <w:rFonts w:hint="eastAsia" w:ascii="宋体" w:hAnsi="宋体" w:cs="宋体"/>
          <w:strike w:val="0"/>
          <w:spacing w:val="8"/>
          <w:kern w:val="0"/>
          <w:szCs w:val="21"/>
          <w:highlight w:val="none"/>
          <w:lang w:val="en-US" w:eastAsia="zh-CN"/>
        </w:rPr>
        <w:t>5</w:t>
      </w:r>
      <w:r>
        <w:rPr>
          <w:rFonts w:hint="eastAsia" w:ascii="宋体" w:hAnsi="宋体" w:cs="宋体"/>
          <w:strike w:val="0"/>
          <w:spacing w:val="8"/>
          <w:kern w:val="0"/>
          <w:szCs w:val="21"/>
          <w:highlight w:val="none"/>
        </w:rPr>
        <w:t>月</w:t>
      </w:r>
      <w:r>
        <w:rPr>
          <w:rFonts w:hint="eastAsia" w:ascii="宋体" w:hAnsi="宋体" w:cs="宋体"/>
          <w:strike w:val="0"/>
          <w:spacing w:val="8"/>
          <w:kern w:val="0"/>
          <w:szCs w:val="21"/>
          <w:highlight w:val="none"/>
          <w:lang w:val="en-US" w:eastAsia="zh-CN"/>
        </w:rPr>
        <w:t>12</w:t>
      </w:r>
      <w:r>
        <w:rPr>
          <w:rFonts w:hint="eastAsia" w:ascii="宋体" w:hAnsi="宋体" w:cs="宋体"/>
          <w:strike w:val="0"/>
          <w:spacing w:val="8"/>
          <w:kern w:val="0"/>
          <w:szCs w:val="21"/>
          <w:highlight w:val="none"/>
        </w:rPr>
        <w:t>日，每天上午8:30至11:30，下午13:30至17:30。（北京时间，法定节假日除外）</w:t>
      </w:r>
    </w:p>
    <w:p>
      <w:pPr>
        <w:widowControl/>
        <w:shd w:val="clear" w:color="auto" w:fill="FFFFFF"/>
        <w:spacing w:line="360" w:lineRule="auto"/>
        <w:ind w:firstLine="452" w:firstLineChars="200"/>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3.2 方式：</w:t>
      </w:r>
    </w:p>
    <w:p>
      <w:pPr>
        <w:widowControl/>
        <w:shd w:val="clear" w:color="auto" w:fill="FFFFFF"/>
        <w:spacing w:line="360" w:lineRule="auto"/>
        <w:ind w:firstLine="370"/>
        <w:rPr>
          <w:rFonts w:hint="eastAsia" w:ascii="宋体" w:hAnsi="宋体" w:cs="宋体"/>
          <w:bCs/>
          <w:strike w:val="0"/>
          <w:highlight w:val="none"/>
        </w:rPr>
      </w:pPr>
      <w:r>
        <w:rPr>
          <w:rFonts w:hint="eastAsia" w:ascii="宋体" w:hAnsi="宋体" w:cs="宋体"/>
          <w:bCs/>
          <w:strike w:val="0"/>
          <w:highlight w:val="none"/>
        </w:rPr>
        <w:t>（</w:t>
      </w:r>
      <w:r>
        <w:rPr>
          <w:rFonts w:hint="eastAsia" w:ascii="宋体" w:hAnsi="宋体" w:cs="宋体"/>
          <w:bCs/>
          <w:strike w:val="0"/>
          <w:highlight w:val="none"/>
          <w:lang w:val="en-US" w:eastAsia="zh-CN"/>
        </w:rPr>
        <w:t>1</w:t>
      </w:r>
      <w:r>
        <w:rPr>
          <w:rFonts w:hint="eastAsia" w:ascii="宋体" w:hAnsi="宋体" w:cs="宋体"/>
          <w:bCs/>
          <w:strike w:val="0"/>
          <w:highlight w:val="none"/>
        </w:rPr>
        <w:t>）凡有意参加响应者，请于获取时间内（北京时间，下同），登录江苏招采平台（网址为：https://www.jsygjy.cn）按照要求进行实名会员注册、完善相关信息及选择项目报名、下载文件。</w:t>
      </w:r>
    </w:p>
    <w:p>
      <w:pPr>
        <w:widowControl/>
        <w:shd w:val="clear" w:color="auto" w:fill="FFFFFF"/>
        <w:spacing w:line="360" w:lineRule="auto"/>
        <w:ind w:firstLine="370"/>
        <w:rPr>
          <w:rFonts w:hint="eastAsia" w:ascii="宋体" w:hAnsi="宋体" w:cs="宋体"/>
          <w:bCs/>
          <w:strike w:val="0"/>
          <w:highlight w:val="none"/>
        </w:rPr>
      </w:pPr>
      <w:r>
        <w:rPr>
          <w:rFonts w:hint="eastAsia" w:ascii="宋体" w:hAnsi="宋体" w:cs="宋体"/>
          <w:bCs/>
          <w:strike w:val="0"/>
          <w:highlight w:val="none"/>
        </w:rPr>
        <w:t>（</w:t>
      </w:r>
      <w:r>
        <w:rPr>
          <w:rFonts w:hint="eastAsia" w:ascii="宋体" w:hAnsi="宋体" w:cs="宋体"/>
          <w:bCs/>
          <w:strike w:val="0"/>
          <w:highlight w:val="none"/>
          <w:lang w:val="en-US" w:eastAsia="zh-CN"/>
        </w:rPr>
        <w:t>2</w:t>
      </w:r>
      <w:r>
        <w:rPr>
          <w:rFonts w:hint="eastAsia" w:ascii="宋体" w:hAnsi="宋体" w:cs="宋体"/>
          <w:bCs/>
          <w:strike w:val="0"/>
          <w:highlight w:val="none"/>
        </w:rPr>
        <w:t>）平台网址为：https://www.jsygjy.cn。下载者首次登陆平台前，须前往平台免费注册，注册成功且完善相关信息后，可以及时参与平台上所有发布的项目。</w:t>
      </w:r>
    </w:p>
    <w:p>
      <w:pPr>
        <w:widowControl/>
        <w:shd w:val="clear" w:color="auto" w:fill="FFFFFF"/>
        <w:spacing w:line="360" w:lineRule="auto"/>
        <w:ind w:firstLine="370"/>
        <w:rPr>
          <w:rFonts w:hint="eastAsia" w:ascii="宋体" w:hAnsi="宋体" w:cs="宋体"/>
          <w:bCs/>
          <w:strike w:val="0"/>
          <w:highlight w:val="none"/>
        </w:rPr>
      </w:pPr>
      <w:r>
        <w:rPr>
          <w:rFonts w:hint="eastAsia" w:ascii="宋体" w:hAnsi="宋体" w:cs="宋体"/>
          <w:bCs/>
          <w:strike w:val="0"/>
          <w:highlight w:val="none"/>
        </w:rPr>
        <w:t>（</w:t>
      </w:r>
      <w:r>
        <w:rPr>
          <w:rFonts w:hint="eastAsia" w:ascii="宋体" w:hAnsi="宋体" w:cs="宋体"/>
          <w:bCs/>
          <w:strike w:val="0"/>
          <w:highlight w:val="none"/>
          <w:lang w:val="en-US" w:eastAsia="zh-CN"/>
        </w:rPr>
        <w:t>3</w:t>
      </w:r>
      <w:r>
        <w:rPr>
          <w:rFonts w:hint="eastAsia" w:ascii="宋体" w:hAnsi="宋体" w:cs="宋体"/>
          <w:bCs/>
          <w:strike w:val="0"/>
          <w:highlight w:val="none"/>
        </w:rPr>
        <w:t>）下载者应充分考虑平台注册、信息检查、资料上传、购标确认、费用支付所需时间，下载者必须在获取时间内完成支付，否则将无法保证获取文件。未按照本公告要求获得本项目文件的，采购代理机构不予接收其响应文件。</w:t>
      </w:r>
    </w:p>
    <w:p>
      <w:pPr>
        <w:widowControl/>
        <w:shd w:val="clear" w:color="auto" w:fill="FFFFFF"/>
        <w:spacing w:line="360" w:lineRule="auto"/>
        <w:ind w:firstLine="370"/>
        <w:rPr>
          <w:rFonts w:hint="eastAsia" w:ascii="宋体" w:hAnsi="宋体" w:cs="宋体"/>
          <w:bCs/>
          <w:strike w:val="0"/>
          <w:highlight w:val="none"/>
        </w:rPr>
      </w:pPr>
      <w:r>
        <w:rPr>
          <w:rFonts w:hint="eastAsia" w:ascii="宋体" w:hAnsi="宋体" w:cs="宋体"/>
          <w:bCs/>
          <w:strike w:val="0"/>
          <w:highlight w:val="none"/>
        </w:rPr>
        <w:t>（</w:t>
      </w:r>
      <w:r>
        <w:rPr>
          <w:rFonts w:hint="eastAsia" w:ascii="宋体" w:hAnsi="宋体" w:cs="宋体"/>
          <w:bCs/>
          <w:strike w:val="0"/>
          <w:highlight w:val="none"/>
          <w:lang w:val="en-US" w:eastAsia="zh-CN"/>
        </w:rPr>
        <w:t>4</w:t>
      </w:r>
      <w:r>
        <w:rPr>
          <w:rFonts w:hint="eastAsia" w:ascii="宋体" w:hAnsi="宋体" w:cs="宋体"/>
          <w:bCs/>
          <w:strike w:val="0"/>
          <w:highlight w:val="none"/>
        </w:rPr>
        <w:t>）下载者需要发票的，须通过平台“费用管理”模块进行操作。招标文件服务费发票由招标代理机构开具；下载者可在”费用管理--发票管理”下载发票；平台服务费发票由江苏招采信息技术有限公司开具。非因招标代理机构或平台原因，发票一经开具不予退换。</w:t>
      </w:r>
    </w:p>
    <w:p>
      <w:pPr>
        <w:widowControl/>
        <w:shd w:val="clear" w:color="auto" w:fill="FFFFFF"/>
        <w:spacing w:line="360" w:lineRule="auto"/>
        <w:ind w:firstLine="370"/>
        <w:rPr>
          <w:rFonts w:hint="eastAsia" w:ascii="宋体" w:hAnsi="宋体" w:cs="宋体"/>
          <w:bCs/>
          <w:strike w:val="0"/>
          <w:highlight w:val="none"/>
        </w:rPr>
      </w:pPr>
      <w:r>
        <w:rPr>
          <w:rFonts w:hint="eastAsia" w:ascii="宋体" w:hAnsi="宋体" w:cs="宋体"/>
          <w:bCs/>
          <w:strike w:val="0"/>
          <w:highlight w:val="none"/>
        </w:rPr>
        <w:t>（</w:t>
      </w:r>
      <w:r>
        <w:rPr>
          <w:rFonts w:hint="eastAsia" w:ascii="宋体" w:hAnsi="宋体" w:cs="宋体"/>
          <w:bCs/>
          <w:strike w:val="0"/>
          <w:highlight w:val="none"/>
          <w:lang w:val="en-US" w:eastAsia="zh-CN"/>
        </w:rPr>
        <w:t>5</w:t>
      </w:r>
      <w:r>
        <w:rPr>
          <w:rFonts w:hint="eastAsia" w:ascii="宋体" w:hAnsi="宋体" w:cs="宋体"/>
          <w:bCs/>
          <w:strike w:val="0"/>
          <w:highlight w:val="none"/>
        </w:rPr>
        <w:t>）平台网站首页“帮助中心”提供操作手册，下载者可以下载并根据操作手册提示进行注册、登录等操作。平台会通过短信提醒下载者进行注册、支付、下载等操作。</w:t>
      </w:r>
    </w:p>
    <w:p>
      <w:pPr>
        <w:widowControl/>
        <w:shd w:val="clear" w:color="auto" w:fill="FFFFFF"/>
        <w:spacing w:line="360" w:lineRule="auto"/>
        <w:ind w:firstLine="370"/>
        <w:rPr>
          <w:rFonts w:hint="eastAsia" w:ascii="宋体" w:hAnsi="宋体" w:cs="宋体"/>
          <w:bCs/>
          <w:strike w:val="0"/>
          <w:highlight w:val="none"/>
        </w:rPr>
      </w:pPr>
      <w:r>
        <w:rPr>
          <w:rFonts w:hint="eastAsia" w:ascii="宋体" w:hAnsi="宋体" w:cs="宋体"/>
          <w:bCs/>
          <w:strike w:val="0"/>
          <w:highlight w:val="none"/>
        </w:rPr>
        <w:t>（</w:t>
      </w:r>
      <w:r>
        <w:rPr>
          <w:rFonts w:hint="eastAsia" w:ascii="宋体" w:hAnsi="宋体" w:cs="宋体"/>
          <w:bCs/>
          <w:strike w:val="0"/>
          <w:highlight w:val="none"/>
          <w:lang w:val="en-US" w:eastAsia="zh-CN"/>
        </w:rPr>
        <w:t>6</w:t>
      </w:r>
      <w:r>
        <w:rPr>
          <w:rFonts w:hint="eastAsia" w:ascii="宋体" w:hAnsi="宋体" w:cs="宋体"/>
          <w:bCs/>
          <w:strike w:val="0"/>
          <w:highlight w:val="none"/>
        </w:rPr>
        <w:t>）联合体响应（如允许）的，联合体各方应当指定牵头人，并授权其以自身名义在平台办理注册、下载文件、缴纳保证金等手续，其在平台的办理行为，对联合体各方均具有约束力。</w:t>
      </w:r>
    </w:p>
    <w:p>
      <w:pPr>
        <w:widowControl/>
        <w:spacing w:line="360" w:lineRule="auto"/>
        <w:ind w:firstLine="420" w:firstLineChars="200"/>
        <w:rPr>
          <w:rFonts w:ascii="宋体" w:hAnsi="宋体" w:cs="宋体"/>
          <w:bCs/>
          <w:strike w:val="0"/>
          <w:highlight w:val="none"/>
        </w:rPr>
      </w:pPr>
      <w:r>
        <w:rPr>
          <w:rFonts w:hint="eastAsia" w:ascii="宋体" w:hAnsi="宋体" w:cs="宋体"/>
          <w:bCs/>
          <w:strike w:val="0"/>
          <w:highlight w:val="none"/>
        </w:rPr>
        <w:t>3.3</w:t>
      </w:r>
      <w:r>
        <w:rPr>
          <w:rFonts w:hint="eastAsia" w:ascii="宋体" w:hAnsi="宋体" w:cs="宋体"/>
          <w:strike w:val="0"/>
          <w:spacing w:val="8"/>
          <w:kern w:val="0"/>
          <w:szCs w:val="21"/>
          <w:highlight w:val="none"/>
        </w:rPr>
        <w:t xml:space="preserve"> </w:t>
      </w:r>
      <w:r>
        <w:rPr>
          <w:rFonts w:hint="eastAsia" w:ascii="宋体" w:hAnsi="宋体" w:cs="宋体"/>
          <w:bCs/>
          <w:strike w:val="0"/>
          <w:highlight w:val="none"/>
        </w:rPr>
        <w:t>纸质采购文件服务费每套500元，售后不退。</w:t>
      </w:r>
    </w:p>
    <w:bookmarkEnd w:id="14"/>
    <w:p>
      <w:pPr>
        <w:widowControl/>
        <w:shd w:val="clear" w:color="auto" w:fill="FFFFFF"/>
        <w:spacing w:line="360" w:lineRule="auto"/>
        <w:rPr>
          <w:rFonts w:ascii="宋体" w:hAnsi="宋体" w:cs="宋体"/>
          <w:b/>
          <w:strike w:val="0"/>
          <w:spacing w:val="8"/>
          <w:kern w:val="0"/>
          <w:sz w:val="24"/>
          <w:highlight w:val="none"/>
        </w:rPr>
      </w:pPr>
      <w:r>
        <w:rPr>
          <w:rFonts w:hint="eastAsia" w:ascii="宋体" w:hAnsi="宋体" w:cs="宋体"/>
          <w:b/>
          <w:strike w:val="0"/>
          <w:spacing w:val="8"/>
          <w:kern w:val="0"/>
          <w:sz w:val="24"/>
          <w:highlight w:val="none"/>
        </w:rPr>
        <w:t>四、提交投标文件截止时间、开标时间和地点</w:t>
      </w:r>
    </w:p>
    <w:p>
      <w:pPr>
        <w:widowControl/>
        <w:shd w:val="clear" w:color="auto" w:fill="FFFFFF"/>
        <w:spacing w:line="360" w:lineRule="auto"/>
        <w:ind w:firstLine="420" w:firstLineChars="200"/>
        <w:rPr>
          <w:rFonts w:ascii="宋体" w:hAnsi="宋体" w:cs="宋体"/>
          <w:strike w:val="0"/>
          <w:szCs w:val="21"/>
          <w:highlight w:val="none"/>
        </w:rPr>
      </w:pPr>
      <w:bookmarkStart w:id="15" w:name="_Hlk167469037"/>
      <w:r>
        <w:rPr>
          <w:rFonts w:hint="eastAsia" w:ascii="宋体" w:hAnsi="宋体" w:cs="宋体"/>
          <w:strike w:val="0"/>
          <w:szCs w:val="21"/>
          <w:highlight w:val="none"/>
        </w:rPr>
        <w:t>4.1</w:t>
      </w:r>
      <w:r>
        <w:rPr>
          <w:rFonts w:hint="eastAsia" w:ascii="宋体" w:hAnsi="宋体" w:cs="宋体"/>
          <w:strike w:val="0"/>
          <w:spacing w:val="8"/>
          <w:kern w:val="0"/>
          <w:szCs w:val="21"/>
          <w:highlight w:val="none"/>
        </w:rPr>
        <w:t xml:space="preserve"> </w:t>
      </w:r>
      <w:r>
        <w:rPr>
          <w:rFonts w:hint="eastAsia" w:ascii="宋体" w:hAnsi="宋体" w:cs="宋体"/>
          <w:strike w:val="0"/>
          <w:szCs w:val="21"/>
          <w:highlight w:val="none"/>
        </w:rPr>
        <w:t>提交投标文件截止时间：</w:t>
      </w:r>
      <w:r>
        <w:rPr>
          <w:rFonts w:hint="eastAsia" w:ascii="宋体" w:hAnsi="宋体" w:cs="宋体"/>
          <w:strike w:val="0"/>
          <w:spacing w:val="8"/>
          <w:kern w:val="0"/>
          <w:szCs w:val="21"/>
          <w:highlight w:val="none"/>
        </w:rPr>
        <w:t>202</w:t>
      </w:r>
      <w:r>
        <w:rPr>
          <w:rFonts w:hint="eastAsia" w:ascii="宋体" w:hAnsi="宋体" w:cs="宋体"/>
          <w:strike w:val="0"/>
          <w:spacing w:val="8"/>
          <w:kern w:val="0"/>
          <w:szCs w:val="21"/>
          <w:highlight w:val="none"/>
          <w:lang w:val="en-US" w:eastAsia="zh-CN"/>
        </w:rPr>
        <w:t>5</w:t>
      </w:r>
      <w:r>
        <w:rPr>
          <w:rFonts w:hint="eastAsia" w:ascii="宋体" w:hAnsi="宋体" w:cs="宋体"/>
          <w:strike w:val="0"/>
          <w:spacing w:val="8"/>
          <w:kern w:val="0"/>
          <w:szCs w:val="21"/>
          <w:highlight w:val="none"/>
        </w:rPr>
        <w:t>年</w:t>
      </w:r>
      <w:r>
        <w:rPr>
          <w:rFonts w:hint="eastAsia" w:ascii="宋体" w:hAnsi="宋体" w:cs="宋体"/>
          <w:strike w:val="0"/>
          <w:spacing w:val="8"/>
          <w:kern w:val="0"/>
          <w:szCs w:val="21"/>
          <w:highlight w:val="none"/>
          <w:lang w:val="en-US" w:eastAsia="zh-CN"/>
        </w:rPr>
        <w:t>5</w:t>
      </w:r>
      <w:r>
        <w:rPr>
          <w:rFonts w:hint="eastAsia" w:ascii="宋体" w:hAnsi="宋体" w:cs="宋体"/>
          <w:strike w:val="0"/>
          <w:spacing w:val="8"/>
          <w:kern w:val="0"/>
          <w:szCs w:val="21"/>
          <w:highlight w:val="none"/>
        </w:rPr>
        <w:t>月</w:t>
      </w:r>
      <w:r>
        <w:rPr>
          <w:rFonts w:hint="eastAsia" w:ascii="宋体" w:hAnsi="宋体" w:cs="宋体"/>
          <w:strike w:val="0"/>
          <w:spacing w:val="8"/>
          <w:kern w:val="0"/>
          <w:szCs w:val="21"/>
          <w:highlight w:val="none"/>
          <w:lang w:val="en-US" w:eastAsia="zh-CN"/>
        </w:rPr>
        <w:t>22</w:t>
      </w:r>
      <w:r>
        <w:rPr>
          <w:rFonts w:hint="eastAsia" w:ascii="宋体" w:hAnsi="宋体" w:cs="宋体"/>
          <w:strike w:val="0"/>
          <w:spacing w:val="8"/>
          <w:kern w:val="0"/>
          <w:szCs w:val="21"/>
          <w:highlight w:val="none"/>
        </w:rPr>
        <w:t>日9点30分</w:t>
      </w:r>
      <w:r>
        <w:rPr>
          <w:rFonts w:hint="eastAsia" w:ascii="宋体" w:hAnsi="宋体" w:cs="宋体"/>
          <w:strike w:val="0"/>
          <w:szCs w:val="21"/>
          <w:highlight w:val="none"/>
        </w:rPr>
        <w:t>（北京时间）</w:t>
      </w:r>
    </w:p>
    <w:p>
      <w:pPr>
        <w:widowControl/>
        <w:shd w:val="clear" w:color="auto" w:fill="FFFFFF"/>
        <w:spacing w:line="360" w:lineRule="auto"/>
        <w:ind w:firstLine="420" w:firstLineChars="200"/>
        <w:rPr>
          <w:rFonts w:ascii="宋体" w:hAnsi="宋体" w:cs="宋体"/>
          <w:strike w:val="0"/>
          <w:szCs w:val="21"/>
          <w:highlight w:val="none"/>
        </w:rPr>
      </w:pPr>
      <w:r>
        <w:rPr>
          <w:rFonts w:hint="eastAsia" w:ascii="宋体" w:hAnsi="宋体" w:cs="宋体"/>
          <w:strike w:val="0"/>
          <w:szCs w:val="21"/>
          <w:highlight w:val="none"/>
        </w:rPr>
        <w:t>4.2</w:t>
      </w:r>
      <w:r>
        <w:rPr>
          <w:rFonts w:hint="eastAsia" w:ascii="宋体" w:hAnsi="宋体" w:cs="宋体"/>
          <w:strike w:val="0"/>
          <w:spacing w:val="8"/>
          <w:kern w:val="0"/>
          <w:szCs w:val="21"/>
          <w:highlight w:val="none"/>
        </w:rPr>
        <w:t xml:space="preserve"> </w:t>
      </w:r>
      <w:r>
        <w:rPr>
          <w:rFonts w:hint="eastAsia" w:ascii="宋体" w:hAnsi="宋体" w:cs="宋体"/>
          <w:strike w:val="0"/>
          <w:szCs w:val="21"/>
          <w:highlight w:val="none"/>
        </w:rPr>
        <w:t>提交投标文件地点：南京市鼓楼区清江南路18号鼓楼创新广场D栋11楼开标2室</w:t>
      </w:r>
    </w:p>
    <w:p>
      <w:pPr>
        <w:widowControl/>
        <w:shd w:val="clear" w:color="auto" w:fill="FFFFFF"/>
        <w:spacing w:line="360" w:lineRule="auto"/>
        <w:ind w:firstLine="420" w:firstLineChars="200"/>
        <w:rPr>
          <w:rFonts w:ascii="宋体" w:hAnsi="宋体" w:cs="宋体"/>
          <w:strike w:val="0"/>
          <w:szCs w:val="21"/>
          <w:highlight w:val="none"/>
        </w:rPr>
      </w:pPr>
      <w:r>
        <w:rPr>
          <w:rFonts w:hint="eastAsia" w:ascii="宋体" w:hAnsi="宋体" w:cs="宋体"/>
          <w:strike w:val="0"/>
          <w:szCs w:val="21"/>
          <w:highlight w:val="none"/>
        </w:rPr>
        <w:t>4.3</w:t>
      </w:r>
      <w:r>
        <w:rPr>
          <w:rFonts w:hint="eastAsia" w:ascii="宋体" w:hAnsi="宋体" w:cs="宋体"/>
          <w:strike w:val="0"/>
          <w:spacing w:val="8"/>
          <w:kern w:val="0"/>
          <w:szCs w:val="21"/>
          <w:highlight w:val="none"/>
        </w:rPr>
        <w:t xml:space="preserve"> </w:t>
      </w:r>
      <w:r>
        <w:rPr>
          <w:rFonts w:hint="eastAsia" w:ascii="宋体" w:hAnsi="宋体" w:cs="宋体"/>
          <w:strike w:val="0"/>
          <w:szCs w:val="21"/>
          <w:highlight w:val="none"/>
        </w:rPr>
        <w:t>开标时间：</w:t>
      </w:r>
      <w:r>
        <w:rPr>
          <w:rFonts w:hint="eastAsia" w:ascii="宋体" w:hAnsi="宋体" w:cs="宋体"/>
          <w:strike w:val="0"/>
          <w:spacing w:val="8"/>
          <w:kern w:val="0"/>
          <w:szCs w:val="21"/>
          <w:highlight w:val="none"/>
        </w:rPr>
        <w:t>202</w:t>
      </w:r>
      <w:r>
        <w:rPr>
          <w:rFonts w:hint="eastAsia" w:ascii="宋体" w:hAnsi="宋体" w:cs="宋体"/>
          <w:strike w:val="0"/>
          <w:spacing w:val="8"/>
          <w:kern w:val="0"/>
          <w:szCs w:val="21"/>
          <w:highlight w:val="none"/>
          <w:lang w:val="en-US" w:eastAsia="zh-CN"/>
        </w:rPr>
        <w:t>5</w:t>
      </w:r>
      <w:r>
        <w:rPr>
          <w:rFonts w:hint="eastAsia" w:ascii="宋体" w:hAnsi="宋体" w:cs="宋体"/>
          <w:strike w:val="0"/>
          <w:spacing w:val="8"/>
          <w:kern w:val="0"/>
          <w:szCs w:val="21"/>
          <w:highlight w:val="none"/>
        </w:rPr>
        <w:t>年</w:t>
      </w:r>
      <w:r>
        <w:rPr>
          <w:rFonts w:hint="eastAsia" w:ascii="宋体" w:hAnsi="宋体" w:cs="宋体"/>
          <w:strike w:val="0"/>
          <w:spacing w:val="8"/>
          <w:kern w:val="0"/>
          <w:szCs w:val="21"/>
          <w:highlight w:val="none"/>
          <w:lang w:val="en-US" w:eastAsia="zh-CN"/>
        </w:rPr>
        <w:t>5</w:t>
      </w:r>
      <w:r>
        <w:rPr>
          <w:rFonts w:hint="eastAsia" w:ascii="宋体" w:hAnsi="宋体" w:cs="宋体"/>
          <w:strike w:val="0"/>
          <w:spacing w:val="8"/>
          <w:kern w:val="0"/>
          <w:szCs w:val="21"/>
          <w:highlight w:val="none"/>
        </w:rPr>
        <w:t>月</w:t>
      </w:r>
      <w:r>
        <w:rPr>
          <w:rFonts w:hint="eastAsia" w:ascii="宋体" w:hAnsi="宋体" w:cs="宋体"/>
          <w:strike w:val="0"/>
          <w:spacing w:val="8"/>
          <w:kern w:val="0"/>
          <w:szCs w:val="21"/>
          <w:highlight w:val="none"/>
          <w:lang w:val="en-US" w:eastAsia="zh-CN"/>
        </w:rPr>
        <w:t>22</w:t>
      </w:r>
      <w:r>
        <w:rPr>
          <w:rFonts w:hint="eastAsia" w:ascii="宋体" w:hAnsi="宋体" w:cs="宋体"/>
          <w:strike w:val="0"/>
          <w:spacing w:val="8"/>
          <w:kern w:val="0"/>
          <w:szCs w:val="21"/>
          <w:highlight w:val="none"/>
        </w:rPr>
        <w:t>日9点30分</w:t>
      </w:r>
      <w:r>
        <w:rPr>
          <w:rFonts w:hint="eastAsia" w:ascii="宋体" w:hAnsi="宋体" w:cs="宋体"/>
          <w:strike w:val="0"/>
          <w:szCs w:val="21"/>
          <w:highlight w:val="none"/>
        </w:rPr>
        <w:t>（北京时间）</w:t>
      </w:r>
    </w:p>
    <w:p>
      <w:pPr>
        <w:widowControl/>
        <w:shd w:val="clear" w:color="auto" w:fill="FFFFFF"/>
        <w:spacing w:line="360" w:lineRule="auto"/>
        <w:ind w:firstLine="420" w:firstLineChars="200"/>
        <w:rPr>
          <w:rFonts w:ascii="宋体" w:hAnsi="宋体" w:cs="宋体"/>
          <w:strike w:val="0"/>
          <w:szCs w:val="21"/>
          <w:highlight w:val="none"/>
        </w:rPr>
      </w:pPr>
      <w:r>
        <w:rPr>
          <w:rFonts w:hint="eastAsia" w:ascii="宋体" w:hAnsi="宋体" w:cs="宋体"/>
          <w:strike w:val="0"/>
          <w:szCs w:val="21"/>
          <w:highlight w:val="none"/>
        </w:rPr>
        <w:t>4.4</w:t>
      </w:r>
      <w:r>
        <w:rPr>
          <w:rFonts w:hint="eastAsia" w:ascii="宋体" w:hAnsi="宋体" w:cs="宋体"/>
          <w:strike w:val="0"/>
          <w:spacing w:val="8"/>
          <w:kern w:val="0"/>
          <w:szCs w:val="21"/>
          <w:highlight w:val="none"/>
        </w:rPr>
        <w:t xml:space="preserve"> </w:t>
      </w:r>
      <w:r>
        <w:rPr>
          <w:rFonts w:hint="eastAsia" w:ascii="宋体" w:hAnsi="宋体" w:cs="宋体"/>
          <w:strike w:val="0"/>
          <w:szCs w:val="21"/>
          <w:highlight w:val="none"/>
        </w:rPr>
        <w:t>开标地点：南京市鼓楼区清江南路18号鼓楼创新广场D栋11楼开标2室</w:t>
      </w:r>
    </w:p>
    <w:p>
      <w:pPr>
        <w:widowControl/>
        <w:shd w:val="clear" w:color="auto" w:fill="FFFFFF"/>
        <w:spacing w:line="360" w:lineRule="auto"/>
        <w:ind w:firstLine="452" w:firstLineChars="200"/>
        <w:jc w:val="both"/>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4.5</w:t>
      </w:r>
      <w:r>
        <w:rPr>
          <w:rFonts w:hint="eastAsia" w:ascii="宋体" w:hAnsi="宋体" w:cs="宋体"/>
          <w:b/>
          <w:bCs/>
          <w:strike w:val="0"/>
          <w:spacing w:val="8"/>
          <w:kern w:val="0"/>
          <w:szCs w:val="21"/>
          <w:highlight w:val="none"/>
        </w:rPr>
        <w:t xml:space="preserve"> 投标人应提供投标文件一式伍份（正本壹份、副本肆份），所有投标文件均应密封后递交，同时应提供电子版投标文件壹份（电子版须为投标文件正本加盖公章、签字后形成PDF扫描件，扫描件内容应与纸质投标文件正本完全一致、U盘形式（单独封装）、随纸质正本文件一并提交）。</w:t>
      </w:r>
      <w:r>
        <w:rPr>
          <w:rFonts w:hint="eastAsia" w:ascii="宋体" w:hAnsi="宋体" w:cs="宋体"/>
          <w:strike w:val="0"/>
          <w:spacing w:val="8"/>
          <w:kern w:val="0"/>
          <w:szCs w:val="21"/>
          <w:highlight w:val="none"/>
        </w:rPr>
        <w:t>当电子版文件和纸质正本文件不一致时，以纸质正本文件为准。电子版文件用于辅助评标和平台存档，投标人需承担前述不一致造成的不利后果。</w:t>
      </w:r>
    </w:p>
    <w:bookmarkEnd w:id="15"/>
    <w:p>
      <w:pPr>
        <w:widowControl/>
        <w:shd w:val="clear" w:color="auto" w:fill="FFFFFF"/>
        <w:spacing w:line="360" w:lineRule="auto"/>
        <w:rPr>
          <w:rFonts w:ascii="宋体" w:hAnsi="宋体" w:cs="宋体"/>
          <w:b/>
          <w:strike w:val="0"/>
          <w:spacing w:val="8"/>
          <w:kern w:val="0"/>
          <w:sz w:val="24"/>
          <w:highlight w:val="none"/>
        </w:rPr>
      </w:pPr>
      <w:r>
        <w:rPr>
          <w:rFonts w:hint="eastAsia" w:ascii="宋体" w:hAnsi="宋体" w:cs="宋体"/>
          <w:b/>
          <w:strike w:val="0"/>
          <w:spacing w:val="8"/>
          <w:kern w:val="0"/>
          <w:sz w:val="24"/>
          <w:highlight w:val="none"/>
        </w:rPr>
        <w:t>五、公告期限</w:t>
      </w:r>
    </w:p>
    <w:p>
      <w:pPr>
        <w:widowControl/>
        <w:shd w:val="clear" w:color="auto" w:fill="FFFFFF"/>
        <w:spacing w:line="360" w:lineRule="auto"/>
        <w:ind w:firstLine="370"/>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自本公告发布之日起5个工作日。</w:t>
      </w:r>
    </w:p>
    <w:p>
      <w:pPr>
        <w:widowControl/>
        <w:shd w:val="clear" w:color="auto" w:fill="FFFFFF"/>
        <w:spacing w:line="360" w:lineRule="auto"/>
        <w:rPr>
          <w:rFonts w:ascii="宋体" w:hAnsi="宋体" w:cs="宋体"/>
          <w:b/>
          <w:strike w:val="0"/>
          <w:spacing w:val="8"/>
          <w:kern w:val="0"/>
          <w:sz w:val="24"/>
          <w:highlight w:val="none"/>
        </w:rPr>
      </w:pPr>
      <w:r>
        <w:rPr>
          <w:rFonts w:hint="eastAsia" w:ascii="宋体" w:hAnsi="宋体" w:cs="宋体"/>
          <w:b/>
          <w:strike w:val="0"/>
          <w:spacing w:val="8"/>
          <w:kern w:val="0"/>
          <w:sz w:val="24"/>
          <w:highlight w:val="none"/>
        </w:rPr>
        <w:t>六、其他补充事宜</w:t>
      </w:r>
    </w:p>
    <w:p>
      <w:pPr>
        <w:widowControl/>
        <w:shd w:val="clear" w:color="auto" w:fill="FFFFFF"/>
        <w:spacing w:line="360" w:lineRule="auto"/>
        <w:ind w:firstLine="420" w:firstLineChars="200"/>
        <w:rPr>
          <w:rFonts w:ascii="宋体" w:hAnsi="宋体" w:cs="宋体"/>
          <w:strike w:val="0"/>
          <w:szCs w:val="21"/>
          <w:highlight w:val="none"/>
          <w:lang w:val="zh-CN"/>
        </w:rPr>
      </w:pPr>
      <w:bookmarkStart w:id="16" w:name="_Hlk167469157"/>
      <w:r>
        <w:rPr>
          <w:rFonts w:hint="eastAsia" w:ascii="宋体" w:hAnsi="宋体" w:cs="宋体"/>
          <w:strike w:val="0"/>
          <w:szCs w:val="21"/>
          <w:highlight w:val="none"/>
          <w:lang w:val="zh-CN"/>
        </w:rPr>
        <w:t>6.1</w:t>
      </w:r>
      <w:r>
        <w:rPr>
          <w:rFonts w:hint="eastAsia" w:ascii="宋体" w:hAnsi="宋体" w:cs="宋体"/>
          <w:strike w:val="0"/>
          <w:spacing w:val="8"/>
          <w:kern w:val="0"/>
          <w:szCs w:val="21"/>
          <w:highlight w:val="none"/>
        </w:rPr>
        <w:t xml:space="preserve"> </w:t>
      </w:r>
      <w:r>
        <w:rPr>
          <w:rFonts w:hint="eastAsia" w:ascii="宋体" w:hAnsi="宋体" w:cs="宋体"/>
          <w:szCs w:val="21"/>
          <w:highlight w:val="none"/>
          <w:lang w:val="zh-CN"/>
        </w:rPr>
        <w:t>本项目在</w:t>
      </w:r>
      <w:r>
        <w:rPr>
          <w:rFonts w:hint="eastAsia" w:ascii="宋体" w:hAnsi="宋体" w:cs="宋体"/>
          <w:szCs w:val="21"/>
          <w:highlight w:val="none"/>
        </w:rPr>
        <w:t>江苏</w:t>
      </w:r>
      <w:r>
        <w:rPr>
          <w:rFonts w:hint="eastAsia" w:ascii="宋体" w:hAnsi="宋体" w:cs="宋体"/>
          <w:szCs w:val="21"/>
          <w:highlight w:val="none"/>
          <w:lang w:val="zh-CN"/>
        </w:rPr>
        <w:t>政府采购网发布公告。</w:t>
      </w:r>
    </w:p>
    <w:p>
      <w:pPr>
        <w:widowControl/>
        <w:shd w:val="clear" w:color="auto" w:fill="FFFFFF"/>
        <w:spacing w:line="360" w:lineRule="auto"/>
        <w:ind w:firstLine="420" w:firstLineChars="200"/>
        <w:rPr>
          <w:rFonts w:ascii="宋体" w:hAnsi="宋体" w:cs="宋体"/>
          <w:strike w:val="0"/>
          <w:szCs w:val="21"/>
          <w:highlight w:val="none"/>
          <w:lang w:val="zh-CN"/>
        </w:rPr>
      </w:pPr>
      <w:r>
        <w:rPr>
          <w:rFonts w:hint="eastAsia" w:ascii="宋体" w:hAnsi="宋体" w:cs="宋体"/>
          <w:strike w:val="0"/>
          <w:szCs w:val="21"/>
          <w:highlight w:val="none"/>
          <w:lang w:val="zh-CN"/>
        </w:rPr>
        <w:t>6.</w:t>
      </w:r>
      <w:r>
        <w:rPr>
          <w:rFonts w:hint="eastAsia" w:ascii="宋体" w:hAnsi="宋体" w:cs="宋体"/>
          <w:strike w:val="0"/>
          <w:szCs w:val="21"/>
          <w:highlight w:val="none"/>
        </w:rPr>
        <w:t>2</w:t>
      </w:r>
      <w:r>
        <w:rPr>
          <w:rFonts w:hint="eastAsia" w:ascii="宋体" w:hAnsi="宋体" w:cs="宋体"/>
          <w:strike w:val="0"/>
          <w:spacing w:val="8"/>
          <w:kern w:val="0"/>
          <w:szCs w:val="21"/>
          <w:highlight w:val="none"/>
        </w:rPr>
        <w:t xml:space="preserve"> </w:t>
      </w:r>
      <w:r>
        <w:rPr>
          <w:rFonts w:hint="eastAsia" w:ascii="宋体" w:hAnsi="宋体" w:cs="宋体"/>
          <w:strike w:val="0"/>
          <w:szCs w:val="21"/>
          <w:highlight w:val="none"/>
          <w:lang w:val="zh-CN"/>
        </w:rPr>
        <w:t>供应商应当从招标代理机构合法获得招标项目的招标文件。</w:t>
      </w:r>
    </w:p>
    <w:p>
      <w:pPr>
        <w:widowControl/>
        <w:shd w:val="clear" w:color="auto" w:fill="FFFFFF"/>
        <w:spacing w:line="360" w:lineRule="auto"/>
        <w:ind w:firstLine="420" w:firstLineChars="200"/>
        <w:rPr>
          <w:rFonts w:ascii="宋体" w:hAnsi="宋体" w:cs="宋体"/>
          <w:strike w:val="0"/>
          <w:szCs w:val="21"/>
          <w:highlight w:val="none"/>
        </w:rPr>
      </w:pPr>
      <w:r>
        <w:rPr>
          <w:rFonts w:hint="eastAsia" w:ascii="宋体" w:hAnsi="宋体" w:cs="宋体"/>
          <w:strike w:val="0"/>
          <w:szCs w:val="21"/>
          <w:highlight w:val="none"/>
        </w:rPr>
        <w:t>6.3</w:t>
      </w:r>
      <w:r>
        <w:rPr>
          <w:rFonts w:hint="eastAsia" w:ascii="宋体" w:hAnsi="宋体" w:cs="宋体"/>
          <w:strike w:val="0"/>
          <w:spacing w:val="8"/>
          <w:kern w:val="0"/>
          <w:szCs w:val="21"/>
          <w:highlight w:val="none"/>
        </w:rPr>
        <w:t xml:space="preserve"> </w:t>
      </w:r>
      <w:r>
        <w:rPr>
          <w:rFonts w:hint="eastAsia" w:ascii="宋体" w:hAnsi="宋体" w:cs="宋体"/>
          <w:strike w:val="0"/>
          <w:szCs w:val="21"/>
          <w:highlight w:val="none"/>
        </w:rPr>
        <w:t>勘察现场或答疑：无</w:t>
      </w:r>
    </w:p>
    <w:bookmarkEnd w:id="16"/>
    <w:p>
      <w:pPr>
        <w:widowControl/>
        <w:shd w:val="clear" w:color="auto" w:fill="FFFFFF"/>
        <w:spacing w:line="360" w:lineRule="auto"/>
        <w:rPr>
          <w:rFonts w:ascii="宋体" w:hAnsi="宋体" w:cs="宋体"/>
          <w:b/>
          <w:strike w:val="0"/>
          <w:spacing w:val="8"/>
          <w:kern w:val="0"/>
          <w:sz w:val="24"/>
          <w:highlight w:val="none"/>
        </w:rPr>
      </w:pPr>
      <w:r>
        <w:rPr>
          <w:rFonts w:hint="eastAsia" w:ascii="宋体" w:hAnsi="宋体" w:cs="宋体"/>
          <w:b/>
          <w:strike w:val="0"/>
          <w:spacing w:val="8"/>
          <w:kern w:val="0"/>
          <w:sz w:val="24"/>
          <w:highlight w:val="none"/>
        </w:rPr>
        <w:t>七、对本次招标提出询问，请按以下方式联系。</w:t>
      </w:r>
    </w:p>
    <w:p>
      <w:pPr>
        <w:widowControl/>
        <w:shd w:val="clear" w:color="auto" w:fill="FFFFFF"/>
        <w:spacing w:line="360" w:lineRule="auto"/>
        <w:ind w:firstLine="452" w:firstLineChars="200"/>
        <w:jc w:val="left"/>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7.1采购人信息</w:t>
      </w:r>
    </w:p>
    <w:p>
      <w:pPr>
        <w:widowControl/>
        <w:shd w:val="clear" w:color="auto" w:fill="FFFFFF"/>
        <w:spacing w:line="360" w:lineRule="auto"/>
        <w:ind w:firstLine="452" w:firstLineChars="200"/>
        <w:jc w:val="left"/>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名称：江苏大学附属医院</w:t>
      </w:r>
    </w:p>
    <w:p>
      <w:pPr>
        <w:widowControl/>
        <w:shd w:val="clear" w:color="auto" w:fill="FFFFFF"/>
        <w:spacing w:line="360" w:lineRule="auto"/>
        <w:ind w:firstLine="452" w:firstLineChars="200"/>
        <w:jc w:val="left"/>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地址：</w:t>
      </w:r>
      <w:r>
        <w:rPr>
          <w:rFonts w:hint="eastAsia" w:ascii="宋体" w:hAnsi="宋体" w:cs="宋体"/>
          <w:strike w:val="0"/>
          <w:szCs w:val="21"/>
          <w:highlight w:val="none"/>
        </w:rPr>
        <w:t>江苏省镇江市解放路438号</w:t>
      </w:r>
    </w:p>
    <w:p>
      <w:pPr>
        <w:widowControl/>
        <w:shd w:val="clear" w:color="auto" w:fill="FFFFFF"/>
        <w:spacing w:line="360" w:lineRule="auto"/>
        <w:ind w:firstLine="452" w:firstLineChars="200"/>
        <w:jc w:val="left"/>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联系方式：</w:t>
      </w:r>
      <w:r>
        <w:rPr>
          <w:rFonts w:hint="eastAsia" w:ascii="宋体" w:hAnsi="宋体" w:cs="宋体"/>
          <w:strike w:val="0"/>
          <w:highlight w:val="none"/>
        </w:rPr>
        <w:t>张老师</w:t>
      </w:r>
      <w:r>
        <w:rPr>
          <w:rFonts w:hint="eastAsia" w:ascii="宋体" w:hAnsi="宋体" w:cs="宋体"/>
          <w:strike w:val="0"/>
          <w:highlight w:val="none"/>
          <w:lang w:val="en-US" w:eastAsia="zh-CN"/>
        </w:rPr>
        <w:t xml:space="preserve">  </w:t>
      </w:r>
      <w:r>
        <w:rPr>
          <w:rFonts w:hint="eastAsia" w:ascii="宋体" w:hAnsi="宋体" w:cs="宋体"/>
          <w:strike w:val="0"/>
          <w:highlight w:val="none"/>
        </w:rPr>
        <w:t>0511-</w:t>
      </w:r>
      <w:r>
        <w:rPr>
          <w:rFonts w:hint="eastAsia" w:ascii="宋体" w:hAnsi="宋体" w:cs="宋体"/>
          <w:strike w:val="0"/>
          <w:szCs w:val="21"/>
          <w:highlight w:val="none"/>
        </w:rPr>
        <w:t>80820337</w:t>
      </w:r>
    </w:p>
    <w:p>
      <w:pPr>
        <w:widowControl/>
        <w:shd w:val="clear" w:color="auto" w:fill="FFFFFF"/>
        <w:spacing w:line="360" w:lineRule="auto"/>
        <w:ind w:firstLine="452" w:firstLineChars="200"/>
        <w:jc w:val="left"/>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7.2采购代理机构信息</w:t>
      </w:r>
    </w:p>
    <w:p>
      <w:pPr>
        <w:widowControl/>
        <w:shd w:val="clear" w:color="auto" w:fill="FFFFFF"/>
        <w:spacing w:line="360" w:lineRule="auto"/>
        <w:ind w:firstLine="420" w:firstLineChars="200"/>
        <w:rPr>
          <w:rFonts w:ascii="宋体" w:hAnsi="宋体" w:cs="宋体"/>
          <w:strike w:val="0"/>
          <w:highlight w:val="none"/>
        </w:rPr>
      </w:pPr>
      <w:r>
        <w:rPr>
          <w:rFonts w:hint="eastAsia" w:ascii="宋体" w:hAnsi="宋体" w:cs="宋体"/>
          <w:strike w:val="0"/>
          <w:highlight w:val="none"/>
        </w:rPr>
        <w:t>名称：江苏省设备成套股份有限公司</w:t>
      </w:r>
    </w:p>
    <w:p>
      <w:pPr>
        <w:widowControl/>
        <w:shd w:val="clear" w:color="auto" w:fill="FFFFFF"/>
        <w:spacing w:line="360" w:lineRule="auto"/>
        <w:ind w:firstLine="420" w:firstLineChars="200"/>
        <w:rPr>
          <w:rFonts w:ascii="宋体" w:hAnsi="宋体" w:cs="宋体"/>
          <w:strike w:val="0"/>
          <w:highlight w:val="none"/>
        </w:rPr>
      </w:pPr>
      <w:r>
        <w:rPr>
          <w:rFonts w:hint="eastAsia" w:ascii="宋体" w:hAnsi="宋体" w:cs="宋体"/>
          <w:strike w:val="0"/>
          <w:highlight w:val="none"/>
        </w:rPr>
        <w:t>地址：南京市鼓楼区清江南路18号鼓楼创新广场D栋10楼100</w:t>
      </w:r>
      <w:r>
        <w:rPr>
          <w:rFonts w:hint="eastAsia" w:ascii="宋体" w:hAnsi="宋体" w:cs="宋体"/>
          <w:strike w:val="0"/>
          <w:highlight w:val="none"/>
          <w:lang w:val="en-US" w:eastAsia="zh-CN"/>
        </w:rPr>
        <w:t>3</w:t>
      </w:r>
      <w:r>
        <w:rPr>
          <w:rFonts w:hint="eastAsia" w:ascii="宋体" w:hAnsi="宋体" w:cs="宋体"/>
          <w:strike w:val="0"/>
          <w:highlight w:val="none"/>
        </w:rPr>
        <w:t>室</w:t>
      </w:r>
    </w:p>
    <w:p>
      <w:pPr>
        <w:widowControl/>
        <w:shd w:val="clear" w:color="auto" w:fill="FFFFFF"/>
        <w:spacing w:line="360" w:lineRule="auto"/>
        <w:ind w:firstLine="420" w:firstLineChars="200"/>
        <w:rPr>
          <w:rFonts w:ascii="宋体" w:hAnsi="宋体" w:cs="宋体"/>
          <w:strike w:val="0"/>
          <w:highlight w:val="none"/>
        </w:rPr>
      </w:pPr>
      <w:r>
        <w:rPr>
          <w:rFonts w:hint="eastAsia" w:ascii="宋体" w:hAnsi="宋体" w:cs="宋体"/>
          <w:strike w:val="0"/>
          <w:highlight w:val="none"/>
        </w:rPr>
        <w:t>联系方式：</w:t>
      </w:r>
      <w:bookmarkStart w:id="17" w:name="OLE_LINK24"/>
      <w:r>
        <w:rPr>
          <w:rFonts w:hint="eastAsia" w:ascii="宋体" w:hAnsi="宋体" w:cs="宋体"/>
          <w:strike w:val="0"/>
          <w:highlight w:val="none"/>
        </w:rPr>
        <w:t>吴宏、颜丽、徐鑫磊</w:t>
      </w:r>
      <w:bookmarkEnd w:id="17"/>
      <w:r>
        <w:rPr>
          <w:rFonts w:hint="eastAsia" w:ascii="宋体" w:hAnsi="宋体" w:cs="宋体"/>
          <w:strike w:val="0"/>
          <w:highlight w:val="none"/>
          <w:lang w:val="en-US" w:eastAsia="zh-CN"/>
        </w:rPr>
        <w:t xml:space="preserve">  </w:t>
      </w:r>
      <w:r>
        <w:rPr>
          <w:rFonts w:hint="eastAsia" w:ascii="宋体" w:hAnsi="宋体" w:cs="宋体"/>
          <w:strike w:val="0"/>
          <w:highlight w:val="none"/>
        </w:rPr>
        <w:t>025-83315832、13913931305</w:t>
      </w:r>
    </w:p>
    <w:p>
      <w:pPr>
        <w:widowControl/>
        <w:shd w:val="clear" w:color="auto" w:fill="FFFFFF"/>
        <w:spacing w:line="360" w:lineRule="auto"/>
        <w:ind w:firstLine="452" w:firstLineChars="200"/>
        <w:jc w:val="left"/>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7.3项目联系方式</w:t>
      </w:r>
    </w:p>
    <w:p>
      <w:pPr>
        <w:widowControl/>
        <w:shd w:val="clear" w:color="auto" w:fill="FFFFFF"/>
        <w:spacing w:line="360" w:lineRule="auto"/>
        <w:ind w:firstLine="452" w:firstLineChars="200"/>
        <w:rPr>
          <w:rFonts w:ascii="宋体" w:hAnsi="宋体" w:cs="宋体"/>
          <w:strike w:val="0"/>
          <w:spacing w:val="8"/>
          <w:kern w:val="0"/>
          <w:szCs w:val="21"/>
          <w:highlight w:val="none"/>
        </w:rPr>
      </w:pPr>
      <w:r>
        <w:rPr>
          <w:rFonts w:hint="eastAsia" w:ascii="宋体" w:hAnsi="宋体" w:cs="宋体"/>
          <w:strike w:val="0"/>
          <w:spacing w:val="8"/>
          <w:kern w:val="0"/>
          <w:szCs w:val="21"/>
          <w:highlight w:val="none"/>
        </w:rPr>
        <w:t>项目联系人：</w:t>
      </w:r>
      <w:r>
        <w:rPr>
          <w:rFonts w:hint="eastAsia" w:ascii="宋体" w:hAnsi="宋体" w:cs="宋体"/>
          <w:strike w:val="0"/>
          <w:highlight w:val="none"/>
        </w:rPr>
        <w:t>吴宏、颜丽、徐鑫磊</w:t>
      </w:r>
    </w:p>
    <w:p>
      <w:pPr>
        <w:widowControl/>
        <w:shd w:val="clear" w:color="auto" w:fill="FFFFFF"/>
        <w:spacing w:line="360" w:lineRule="auto"/>
        <w:ind w:firstLine="452" w:firstLineChars="200"/>
        <w:rPr>
          <w:rFonts w:ascii="宋体" w:hAnsi="宋体" w:cs="宋体"/>
          <w:strike w:val="0"/>
          <w:highlight w:val="none"/>
        </w:rPr>
      </w:pPr>
      <w:r>
        <w:rPr>
          <w:rFonts w:hint="eastAsia" w:ascii="宋体" w:hAnsi="宋体" w:cs="宋体"/>
          <w:strike w:val="0"/>
          <w:spacing w:val="8"/>
          <w:kern w:val="0"/>
          <w:szCs w:val="21"/>
          <w:highlight w:val="none"/>
        </w:rPr>
        <w:t>电话：</w:t>
      </w:r>
      <w:r>
        <w:rPr>
          <w:rFonts w:hint="eastAsia" w:ascii="宋体" w:hAnsi="宋体" w:cs="宋体"/>
          <w:strike w:val="0"/>
          <w:highlight w:val="none"/>
        </w:rPr>
        <w:t>025-83315832、13913931305</w:t>
      </w:r>
    </w:p>
    <w:p>
      <w:pPr>
        <w:pStyle w:val="42"/>
        <w:rPr>
          <w:rFonts w:ascii="宋体" w:hAnsi="宋体" w:cs="宋体"/>
          <w:strike w:val="0"/>
          <w:highlight w:val="none"/>
        </w:rPr>
      </w:pPr>
    </w:p>
    <w:p>
      <w:pPr>
        <w:rPr>
          <w:rFonts w:ascii="宋体" w:hAnsi="宋体" w:cs="宋体"/>
          <w:strike w:val="0"/>
          <w:highlight w:val="none"/>
        </w:rPr>
      </w:pPr>
      <w:r>
        <w:rPr>
          <w:rFonts w:hint="eastAsia" w:ascii="宋体" w:hAnsi="宋体" w:cs="宋体"/>
          <w:strike w:val="0"/>
          <w:highlight w:val="none"/>
        </w:rPr>
        <w:br w:type="page"/>
      </w:r>
    </w:p>
    <w:bookmarkEnd w:id="10"/>
    <w:p>
      <w:pPr>
        <w:pStyle w:val="3"/>
        <w:numPr>
          <w:ilvl w:val="0"/>
          <w:numId w:val="0"/>
        </w:numPr>
        <w:spacing w:line="360" w:lineRule="auto"/>
        <w:rPr>
          <w:rFonts w:ascii="宋体" w:hAnsi="宋体" w:cs="宋体"/>
          <w:strike w:val="0"/>
          <w:highlight w:val="none"/>
        </w:rPr>
      </w:pPr>
      <w:bookmarkStart w:id="18" w:name="_Toc27030"/>
      <w:bookmarkStart w:id="19" w:name="_Toc25447"/>
      <w:bookmarkStart w:id="20" w:name="_Toc22684"/>
      <w:bookmarkStart w:id="21" w:name="_Toc31601"/>
      <w:bookmarkStart w:id="22" w:name="_Toc9691"/>
      <w:bookmarkStart w:id="23" w:name="_Toc43902849"/>
      <w:bookmarkStart w:id="24" w:name="_Toc30279"/>
      <w:bookmarkStart w:id="25" w:name="_Toc19262"/>
      <w:bookmarkStart w:id="26" w:name="_Toc18533"/>
      <w:bookmarkStart w:id="27" w:name="OLE_LINK17"/>
      <w:r>
        <w:rPr>
          <w:rFonts w:hint="eastAsia" w:ascii="宋体" w:hAnsi="宋体" w:cs="宋体"/>
          <w:strike w:val="0"/>
          <w:highlight w:val="none"/>
        </w:rPr>
        <w:t>第二章 供应商须知</w:t>
      </w:r>
      <w:bookmarkEnd w:id="18"/>
      <w:bookmarkEnd w:id="19"/>
      <w:bookmarkEnd w:id="20"/>
      <w:bookmarkEnd w:id="21"/>
      <w:bookmarkEnd w:id="22"/>
      <w:bookmarkEnd w:id="23"/>
      <w:bookmarkEnd w:id="24"/>
      <w:bookmarkEnd w:id="25"/>
      <w:bookmarkEnd w:id="26"/>
    </w:p>
    <w:bookmarkEnd w:id="27"/>
    <w:p>
      <w:pPr>
        <w:pStyle w:val="4"/>
        <w:spacing w:line="360" w:lineRule="auto"/>
        <w:rPr>
          <w:rFonts w:ascii="宋体" w:hAnsi="宋体" w:cs="宋体"/>
          <w:sz w:val="21"/>
          <w:szCs w:val="21"/>
          <w:highlight w:val="none"/>
        </w:rPr>
      </w:pPr>
      <w:bookmarkStart w:id="28" w:name="_Toc259"/>
      <w:bookmarkStart w:id="29" w:name="_Toc481057145"/>
      <w:r>
        <w:rPr>
          <w:rFonts w:hint="eastAsia" w:ascii="宋体" w:hAnsi="宋体" w:cs="宋体"/>
          <w:sz w:val="21"/>
          <w:szCs w:val="21"/>
          <w:highlight w:val="none"/>
        </w:rPr>
        <w:t>一、总则</w:t>
      </w:r>
    </w:p>
    <w:p>
      <w:pPr>
        <w:widowControl/>
        <w:shd w:val="clear" w:color="auto" w:fill="FFFFFF"/>
        <w:spacing w:line="360" w:lineRule="auto"/>
        <w:ind w:firstLine="422" w:firstLineChars="200"/>
        <w:rPr>
          <w:rFonts w:ascii="宋体" w:hAnsi="宋体" w:cs="宋体"/>
          <w:kern w:val="0"/>
          <w:szCs w:val="21"/>
          <w:highlight w:val="none"/>
        </w:rPr>
      </w:pPr>
      <w:r>
        <w:rPr>
          <w:rFonts w:hint="eastAsia" w:ascii="宋体" w:hAnsi="宋体" w:cs="宋体"/>
          <w:b/>
          <w:bCs/>
          <w:kern w:val="0"/>
          <w:szCs w:val="21"/>
          <w:highlight w:val="none"/>
        </w:rPr>
        <w:t>1、适用法律</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2、定义</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2.1“采购人”是指依法进行政府采购的国家机关、事业单位、团体组织。</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2.2“供应商”是指参加投标竞争，并符合招标文件规定资格条件的法人、其他组织或者自然人。</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2.3“招标代理机构（采购代理机构）”是指集中采购机构和集中采购机构以外的采购代理机构，集中采购机构以外的招标（采购）代理机构，是从事招标（采购）代理业务的社会中介机构。</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2.4“货物和服务”指本招标文件中所述</w:t>
      </w:r>
      <w:r>
        <w:rPr>
          <w:rFonts w:hint="eastAsia" w:ascii="宋体" w:hAnsi="宋体" w:cs="宋体"/>
          <w:bCs/>
          <w:kern w:val="0"/>
          <w:szCs w:val="21"/>
          <w:highlight w:val="none"/>
        </w:rPr>
        <w:t>产品</w:t>
      </w:r>
      <w:r>
        <w:rPr>
          <w:rFonts w:hint="eastAsia" w:ascii="宋体" w:hAnsi="宋体" w:cs="宋体"/>
          <w:kern w:val="0"/>
          <w:szCs w:val="21"/>
          <w:highlight w:val="none"/>
        </w:rPr>
        <w:t>及相关服务。</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2.5“用户或使用单位”是指使用货物，接受服务的单位。</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3、政策功能</w:t>
      </w:r>
    </w:p>
    <w:p>
      <w:pPr>
        <w:widowControl/>
        <w:numPr>
          <w:ilvl w:val="0"/>
          <w:numId w:val="0"/>
        </w:numPr>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p>
    <w:p>
      <w:pPr>
        <w:widowControl/>
        <w:numPr>
          <w:ilvl w:val="0"/>
          <w:numId w:val="0"/>
        </w:numPr>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pPr>
        <w:widowControl/>
        <w:numPr>
          <w:ilvl w:val="0"/>
          <w:numId w:val="0"/>
        </w:numPr>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pPr>
        <w:widowControl/>
        <w:numPr>
          <w:ilvl w:val="0"/>
          <w:numId w:val="0"/>
        </w:numPr>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pPr>
        <w:widowControl/>
        <w:numPr>
          <w:ilvl w:val="0"/>
          <w:numId w:val="0"/>
        </w:numPr>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3.5 强制采购信息安全产品。参加政府采购活动的信息安全产品供应商应当选择经国家认证的信息安全产品投标，并提供由国家信息安全认证中心按国家标准认证颁发的有效认证证书。</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3.6进口产品政策</w:t>
      </w:r>
    </w:p>
    <w:p>
      <w:pPr>
        <w:widowControl/>
        <w:numPr>
          <w:ilvl w:val="0"/>
          <w:numId w:val="0"/>
        </w:numPr>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（1）除招标公告载明接受进口产品参加外，不允许进口产品参加。进口产品认定依照《财政部关于政府采购进口产品管理有关问题的通知》（财办库〔2008〕248号）的规定。</w:t>
      </w:r>
    </w:p>
    <w:p>
      <w:pPr>
        <w:widowControl/>
        <w:numPr>
          <w:ilvl w:val="0"/>
          <w:numId w:val="0"/>
        </w:numPr>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（2）允许进口产品参加的，满足需求的国内产品可以参加。</w:t>
      </w:r>
    </w:p>
    <w:p>
      <w:pPr>
        <w:widowControl/>
        <w:numPr>
          <w:ilvl w:val="0"/>
          <w:numId w:val="0"/>
        </w:numPr>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（3）允许进口产品参加的，优先采购向我国企业转让技术、与我国企业签订消化吸收再创新方案的供应商的进口产品。</w:t>
      </w:r>
    </w:p>
    <w:p>
      <w:pPr>
        <w:widowControl/>
        <w:numPr>
          <w:ilvl w:val="0"/>
          <w:numId w:val="0"/>
        </w:numPr>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3.7未按要求提供相关材料的，不享受相关政策。</w:t>
      </w:r>
    </w:p>
    <w:p>
      <w:pPr>
        <w:pStyle w:val="4"/>
        <w:rPr>
          <w:rFonts w:ascii="宋体" w:hAnsi="宋体" w:cs="宋体"/>
          <w:sz w:val="21"/>
          <w:szCs w:val="21"/>
          <w:highlight w:val="none"/>
        </w:rPr>
      </w:pPr>
      <w:r>
        <w:rPr>
          <w:rFonts w:hint="eastAsia" w:ascii="宋体" w:hAnsi="宋体" w:cs="宋体"/>
          <w:sz w:val="21"/>
          <w:szCs w:val="21"/>
          <w:highlight w:val="none"/>
        </w:rPr>
        <w:t>二、招标文件构成</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4、招标文件组成</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4.1招标文件包括以下主要内容：招标公告；供应商须知；供应商应当提交的资格、资信证明文件；为落实政府采购政策，采购标的需满足的要求，以及供应商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供应商信用信息查询渠道及截止时点、信用信息查询记录和证据留存的具体方式、信用信息的使用规则等；省级以上财政部门规定的其他事项。</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4.2 招标的最小单位是包。招标货物数量及技术要求中未分包的，供应商对要求提供的货物和服务不得部分投标；招标货物数量及技术要求中已经分包的，可以以包为单位投标。</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4.3 招标代理机构如果要求供应商按照招标文件规定提交备选投标方案的，供应商可以提交备选方案；否则，备选方案将被拒绝。</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4.4 招标文件中要求的产品品牌或型号，是采购人根据项目所要实现的功能推荐的品牌或型号，仅供供应商参考，并不是限制条件。</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5、招标文件的澄清或者修改</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5.1采购人或者招标代理机构可以对已发出的招标文件进行必要的澄清或者修改，但不得改变采购标的和资格条件。澄清或者修改应当在原公告发布媒体上发布澄清公告。澄清或者修改的内容为招标文件的组成部分。</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澄清或者修改的内容可能影响投标文件编制的，采购人或者招标代理机构应当在投标截止时间至少15日前，以书面形式通知所有获取招标文件的潜在供应商；不足15日的，采购人或者招标代理机构应当顺延提交投标文件的截止时间。</w:t>
      </w:r>
    </w:p>
    <w:p>
      <w:pPr>
        <w:pStyle w:val="4"/>
        <w:rPr>
          <w:rFonts w:ascii="宋体" w:hAnsi="宋体" w:cs="宋体"/>
          <w:sz w:val="21"/>
          <w:szCs w:val="21"/>
          <w:highlight w:val="none"/>
        </w:rPr>
      </w:pPr>
      <w:r>
        <w:rPr>
          <w:rFonts w:hint="eastAsia" w:ascii="宋体" w:hAnsi="宋体" w:cs="宋体"/>
          <w:sz w:val="21"/>
          <w:szCs w:val="21"/>
          <w:highlight w:val="none"/>
        </w:rPr>
        <w:t>三、投标文件的编制</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6、投标文件的语言、计量单位、货币和编制</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6.1供应商提交的投标文件、技术文件和资料，包括图纸中的说明，以及供应商与招标代理机构就有关投标的所有来往函电均应使用中文。投标文件中若有英文或其他语言文字的资料，应提供相应的中文翻译资料。对不同文本投标文件的解释发生异议的，以中文文本为准。</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6.2供应商所使用的计量单位应为国家法定计量单位。</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6.3供应商应用人民币报价；</w:t>
      </w:r>
      <w:r>
        <w:rPr>
          <w:rFonts w:hint="eastAsia" w:ascii="宋体" w:hAnsi="宋体" w:cs="宋体"/>
          <w:b/>
          <w:bCs/>
          <w:kern w:val="0"/>
          <w:szCs w:val="21"/>
          <w:highlight w:val="none"/>
        </w:rPr>
        <w:t>报价单位为“元”。</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6.4投标文件应按照招标文件规定的顺序打印、装订成册并编制目录。因编排混乱导致投标文件被误读或查找不到，责任由投标人承担。</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6.5供应商应在投标文件中写清相应的项目编号、项目名称、供应商全称、地址、电话、传真等。</w:t>
      </w:r>
    </w:p>
    <w:p>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7、联合体投标</w:t>
      </w:r>
      <w:r>
        <w:rPr>
          <w:rStyle w:val="59"/>
          <w:rFonts w:hint="eastAsia" w:ascii="宋体" w:hAnsi="宋体" w:cs="宋体"/>
          <w:szCs w:val="20"/>
          <w:highlight w:val="none"/>
        </w:rPr>
        <w:t>（本项目不适用）</w:t>
      </w:r>
    </w:p>
    <w:p>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7.1 两个以上的自然人、法人或者其他组织可以组成一个联合体，以一个供应商的身份共同参加政府采购。</w:t>
      </w:r>
    </w:p>
    <w:p>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7.2 联合体中有同类资质的供应商按照联合体分工承担相同工作的，按照资质等级较低的供应商确定资质等级。</w:t>
      </w:r>
    </w:p>
    <w:p>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7.3 联合体各方之间应当签订联合体协议，明确约定联合体各方承担的工作和相应的责任，并将联合体协议连同投标文件一同提交。</w:t>
      </w:r>
    </w:p>
    <w:p>
      <w:pPr>
        <w:widowControl/>
        <w:shd w:val="clear" w:color="auto" w:fill="FFFFFF"/>
        <w:spacing w:line="360" w:lineRule="auto"/>
        <w:ind w:firstLine="412"/>
        <w:rPr>
          <w:rFonts w:ascii="宋体" w:hAnsi="宋体" w:cs="宋体"/>
          <w:kern w:val="0"/>
          <w:szCs w:val="21"/>
          <w:highlight w:val="none"/>
        </w:rPr>
      </w:pPr>
      <w:r>
        <w:rPr>
          <w:rFonts w:hint="eastAsia" w:ascii="宋体" w:hAnsi="宋体" w:cs="宋体"/>
          <w:bCs/>
          <w:kern w:val="0"/>
          <w:szCs w:val="21"/>
          <w:highlight w:val="none"/>
        </w:rPr>
        <w:t>7.4 以联合体形式参加政府采购活动的，联合体各方不得再单独参加或者与其他供应商另外组成联合体参加同一合同项下的政府采购活动。</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8、投标文件的组成</w:t>
      </w:r>
    </w:p>
    <w:p>
      <w:pPr>
        <w:widowControl/>
        <w:shd w:val="clear" w:color="auto" w:fill="FFFFFF"/>
        <w:spacing w:line="360" w:lineRule="auto"/>
        <w:ind w:firstLine="412"/>
        <w:rPr>
          <w:rFonts w:ascii="宋体" w:hAnsi="宋体" w:cs="宋体"/>
          <w:bCs/>
          <w:kern w:val="0"/>
          <w:szCs w:val="21"/>
          <w:highlight w:val="none"/>
        </w:rPr>
      </w:pPr>
      <w:r>
        <w:rPr>
          <w:rFonts w:hint="eastAsia" w:ascii="宋体" w:hAnsi="宋体" w:cs="宋体"/>
          <w:bCs/>
          <w:kern w:val="0"/>
          <w:szCs w:val="21"/>
          <w:highlight w:val="none"/>
        </w:rPr>
        <w:t>8.1供应商应当根据招标文件要求编制投标文件，投标文件应对招标文件提出的要求和条件作出实质性响应，并在《采购需求条款偏离表》逐条标明满足与否。</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8.2 投标文件由商务部分、技术部分、价格部分以及其他部分组成。</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9、投标文件的商务部分</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9.1商务部分是证明供应商有资格参加投标和中标后有能力履行合同的文件，这些文件应能满足招标的要求，包括但不限于下列文件（</w:t>
      </w:r>
      <w:r>
        <w:rPr>
          <w:rFonts w:hint="eastAsia" w:ascii="宋体" w:hAnsi="宋体" w:cs="宋体"/>
          <w:b/>
          <w:kern w:val="0"/>
          <w:szCs w:val="21"/>
          <w:highlight w:val="none"/>
        </w:rPr>
        <w:t>（1）-（6）所述材料不得有缺失或提供不全或不满足招标文件的实质性要求</w:t>
      </w:r>
      <w:r>
        <w:rPr>
          <w:rFonts w:hint="eastAsia" w:ascii="宋体" w:hAnsi="宋体" w:cs="宋体"/>
          <w:kern w:val="0"/>
          <w:szCs w:val="21"/>
          <w:highlight w:val="none"/>
        </w:rPr>
        <w:t>）：</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格式见附件</w:t>
      </w:r>
      <w:r>
        <w:rPr>
          <w:rFonts w:hint="eastAsia" w:ascii="宋体" w:hAnsi="宋体" w:cs="宋体"/>
          <w:bCs/>
          <w:szCs w:val="21"/>
          <w:highlight w:val="none"/>
        </w:rPr>
        <w:t>）</w:t>
      </w:r>
      <w:r>
        <w:rPr>
          <w:rFonts w:hint="eastAsia" w:ascii="宋体" w:hAnsi="宋体" w:cs="宋体"/>
          <w:kern w:val="0"/>
          <w:szCs w:val="21"/>
          <w:highlight w:val="none"/>
        </w:rPr>
        <w:t>；</w:t>
      </w:r>
    </w:p>
    <w:p>
      <w:pPr>
        <w:widowControl/>
        <w:shd w:val="clear" w:color="auto" w:fill="FFFFFF"/>
        <w:spacing w:line="360" w:lineRule="auto"/>
        <w:ind w:firstLine="420" w:firstLineChars="200"/>
        <w:jc w:val="left"/>
        <w:rPr>
          <w:rFonts w:ascii="宋体" w:hAnsi="宋体" w:cs="宋体"/>
          <w:color w:val="000000"/>
          <w:kern w:val="0"/>
          <w:szCs w:val="21"/>
          <w:highlight w:val="none"/>
        </w:rPr>
      </w:pPr>
      <w:r>
        <w:rPr>
          <w:rFonts w:hint="eastAsia" w:ascii="宋体" w:hAnsi="宋体" w:cs="宋体"/>
          <w:color w:val="000000"/>
          <w:kern w:val="0"/>
          <w:szCs w:val="21"/>
          <w:highlight w:val="none"/>
        </w:rPr>
        <w:t>（2）法定代表人授权委托书及委托代理人的身份证明文件的复印件、非法人组织</w:t>
      </w:r>
      <w:r>
        <w:rPr>
          <w:rFonts w:hint="eastAsia" w:ascii="宋体" w:hAnsi="宋体" w:cs="宋体"/>
          <w:color w:val="333333"/>
          <w:kern w:val="0"/>
          <w:szCs w:val="21"/>
          <w:highlight w:val="none"/>
        </w:rPr>
        <w:t>自然人</w:t>
      </w:r>
      <w:r>
        <w:rPr>
          <w:rFonts w:hint="eastAsia" w:ascii="宋体" w:hAnsi="宋体" w:cs="宋体"/>
          <w:color w:val="000000"/>
          <w:kern w:val="0"/>
          <w:szCs w:val="21"/>
          <w:highlight w:val="none"/>
        </w:rPr>
        <w:t>授权委托书及委托代理人的身份证明文件的复印件；</w:t>
      </w:r>
      <w:r>
        <w:rPr>
          <w:rFonts w:hint="eastAsia" w:ascii="宋体" w:hAnsi="宋体" w:cs="宋体"/>
          <w:bCs/>
          <w:szCs w:val="21"/>
          <w:highlight w:val="none"/>
        </w:rPr>
        <w:t>（</w:t>
      </w:r>
      <w:r>
        <w:rPr>
          <w:rFonts w:hint="eastAsia" w:ascii="宋体" w:hAnsi="宋体" w:cs="宋体"/>
          <w:b/>
          <w:bCs/>
          <w:szCs w:val="21"/>
          <w:highlight w:val="none"/>
        </w:rPr>
        <w:t>格式见附件</w:t>
      </w:r>
      <w:r>
        <w:rPr>
          <w:rFonts w:hint="eastAsia" w:ascii="宋体" w:hAnsi="宋体" w:cs="宋体"/>
          <w:bCs/>
          <w:szCs w:val="21"/>
          <w:highlight w:val="none"/>
        </w:rPr>
        <w:t>）</w:t>
      </w:r>
      <w:r>
        <w:rPr>
          <w:rFonts w:hint="eastAsia" w:ascii="宋体" w:hAnsi="宋体" w:cs="宋体"/>
          <w:color w:val="000000"/>
          <w:kern w:val="0"/>
          <w:szCs w:val="21"/>
          <w:highlight w:val="none"/>
        </w:rPr>
        <w:t>；</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（3）供应商资格资信证明文件：</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第一章招标公告中2.1规定的资格条件证明文件；</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第一章招标公告中2.2落实政府采购政策需满足的资格要求；</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第一章招标公告中2.3采购人根据采购项目的特殊要求规定的特定条件证明文件。</w:t>
      </w:r>
    </w:p>
    <w:p>
      <w:pPr>
        <w:widowControl/>
        <w:shd w:val="clear" w:color="auto" w:fill="FFFFFF"/>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（4）开标一览表</w:t>
      </w:r>
      <w:r>
        <w:rPr>
          <w:rFonts w:hint="eastAsia" w:ascii="宋体" w:hAnsi="宋体" w:cs="宋体"/>
          <w:bCs/>
          <w:szCs w:val="21"/>
          <w:highlight w:val="none"/>
        </w:rPr>
        <w:t>（</w:t>
      </w:r>
      <w:r>
        <w:rPr>
          <w:rFonts w:hint="eastAsia" w:ascii="宋体" w:hAnsi="宋体" w:cs="宋体"/>
          <w:b/>
          <w:bCs/>
          <w:szCs w:val="21"/>
          <w:highlight w:val="none"/>
        </w:rPr>
        <w:t>格式见附件</w:t>
      </w:r>
      <w:r>
        <w:rPr>
          <w:rFonts w:hint="eastAsia" w:ascii="宋体" w:hAnsi="宋体" w:cs="宋体"/>
          <w:bCs/>
          <w:szCs w:val="21"/>
          <w:highlight w:val="none"/>
        </w:rPr>
        <w:t>）；</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（5）供应商缴纳投标保证金凭证（如需要）；</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（6）第三章评标标准中对应的其它所需证明材料（如有自行添加）；</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（7）要求采购人提供的配合（如有自拟并自行添加）；</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（8）其它（供应商认为有必要提供的声明和文件，如有，自行拟定并添加）。</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b/>
          <w:bCs/>
          <w:kern w:val="0"/>
          <w:szCs w:val="21"/>
          <w:highlight w:val="none"/>
        </w:rPr>
        <w:t>10、投标文件的技术部分</w:t>
      </w:r>
    </w:p>
    <w:p>
      <w:pPr>
        <w:widowControl/>
        <w:adjustRightInd w:val="0"/>
        <w:spacing w:line="360" w:lineRule="auto"/>
        <w:ind w:firstLine="420"/>
        <w:jc w:val="left"/>
        <w:rPr>
          <w:rFonts w:ascii="宋体" w:hAnsi="宋体" w:cs="宋体"/>
          <w:szCs w:val="21"/>
          <w:highlight w:val="none"/>
          <w:lang w:val="zh-CN"/>
        </w:rPr>
      </w:pPr>
      <w:r>
        <w:rPr>
          <w:rFonts w:hint="eastAsia" w:ascii="宋体" w:hAnsi="宋体" w:cs="宋体"/>
          <w:szCs w:val="21"/>
          <w:highlight w:val="none"/>
          <w:lang w:val="zh-CN"/>
        </w:rPr>
        <w:t>技术部分是证明</w:t>
      </w:r>
      <w:r>
        <w:rPr>
          <w:rFonts w:hint="eastAsia" w:ascii="宋体" w:hAnsi="宋体" w:cs="宋体"/>
          <w:szCs w:val="21"/>
          <w:highlight w:val="none"/>
        </w:rPr>
        <w:t>供应商提供的货物和服务是合格的、并符合招标文件要求的证明文件，以及</w:t>
      </w:r>
      <w:r>
        <w:rPr>
          <w:rFonts w:hint="eastAsia" w:ascii="宋体" w:hAnsi="宋体" w:cs="宋体"/>
          <w:szCs w:val="21"/>
          <w:highlight w:val="none"/>
          <w:lang w:val="zh-CN"/>
        </w:rPr>
        <w:t>对货物和服务的详细说明，这些文件可以是文字资料、图纸、数据</w:t>
      </w:r>
      <w:r>
        <w:rPr>
          <w:rFonts w:hint="eastAsia" w:ascii="宋体" w:hAnsi="宋体" w:cs="宋体"/>
          <w:szCs w:val="21"/>
          <w:highlight w:val="none"/>
        </w:rPr>
        <w:t>或其他证明文件</w:t>
      </w:r>
      <w:r>
        <w:rPr>
          <w:rFonts w:hint="eastAsia" w:ascii="宋体" w:hAnsi="宋体" w:cs="宋体"/>
          <w:szCs w:val="21"/>
          <w:highlight w:val="none"/>
          <w:lang w:val="zh-CN"/>
        </w:rPr>
        <w:t>等。。提供的货物和服务如与招标文件要求有不符之处，应说明其差别之所在。包括但不限于下列文件：</w:t>
      </w:r>
    </w:p>
    <w:p>
      <w:pPr>
        <w:widowControl/>
        <w:adjustRightInd w:val="0"/>
        <w:spacing w:line="360" w:lineRule="auto"/>
        <w:ind w:firstLine="420"/>
        <w:jc w:val="left"/>
        <w:rPr>
          <w:rFonts w:ascii="宋体" w:hAnsi="宋体" w:cs="宋体"/>
          <w:kern w:val="0"/>
          <w:szCs w:val="21"/>
          <w:highlight w:val="none"/>
          <w:lang w:val="zh-CN"/>
        </w:rPr>
      </w:pPr>
      <w:r>
        <w:rPr>
          <w:rFonts w:hint="eastAsia" w:ascii="宋体" w:hAnsi="宋体" w:cs="宋体"/>
          <w:kern w:val="0"/>
          <w:szCs w:val="21"/>
          <w:highlight w:val="none"/>
          <w:lang w:val="zh-CN"/>
        </w:rPr>
        <w:t>（1）服务方案；</w:t>
      </w:r>
    </w:p>
    <w:p>
      <w:pPr>
        <w:widowControl/>
        <w:adjustRightInd w:val="0"/>
        <w:spacing w:line="360" w:lineRule="auto"/>
        <w:ind w:firstLine="420"/>
        <w:jc w:val="left"/>
        <w:rPr>
          <w:rFonts w:ascii="宋体" w:hAnsi="宋体" w:cs="宋体"/>
          <w:szCs w:val="21"/>
          <w:highlight w:val="none"/>
          <w:lang w:val="zh-CN"/>
        </w:rPr>
      </w:pPr>
      <w:r>
        <w:rPr>
          <w:rFonts w:hint="eastAsia" w:ascii="宋体" w:hAnsi="宋体" w:cs="宋体"/>
          <w:szCs w:val="21"/>
          <w:highlight w:val="none"/>
          <w:lang w:val="zh-CN"/>
        </w:rPr>
        <w:t>（2）《采购需求条款偏离表》；</w:t>
      </w:r>
    </w:p>
    <w:p>
      <w:pPr>
        <w:widowControl/>
        <w:adjustRightInd w:val="0"/>
        <w:spacing w:line="360" w:lineRule="auto"/>
        <w:ind w:firstLine="420"/>
        <w:jc w:val="left"/>
        <w:rPr>
          <w:rFonts w:ascii="宋体" w:hAnsi="宋体" w:cs="宋体"/>
          <w:szCs w:val="21"/>
          <w:highlight w:val="none"/>
          <w:lang w:val="zh-CN"/>
        </w:rPr>
      </w:pPr>
      <w:r>
        <w:rPr>
          <w:rFonts w:hint="eastAsia" w:ascii="宋体" w:hAnsi="宋体" w:cs="宋体"/>
          <w:szCs w:val="21"/>
          <w:highlight w:val="none"/>
          <w:lang w:val="zh-CN"/>
        </w:rPr>
        <w:t>（3）服务承诺；</w:t>
      </w:r>
    </w:p>
    <w:p>
      <w:pPr>
        <w:widowControl/>
        <w:adjustRightInd w:val="0"/>
        <w:spacing w:line="360" w:lineRule="auto"/>
        <w:ind w:firstLine="420"/>
        <w:jc w:val="left"/>
        <w:rPr>
          <w:rFonts w:ascii="宋体" w:hAnsi="宋体" w:cs="宋体"/>
          <w:kern w:val="0"/>
          <w:szCs w:val="21"/>
          <w:highlight w:val="none"/>
          <w:lang w:val="zh-CN"/>
        </w:rPr>
      </w:pPr>
      <w:r>
        <w:rPr>
          <w:rFonts w:hint="eastAsia" w:ascii="宋体" w:hAnsi="宋体" w:cs="宋体"/>
          <w:szCs w:val="21"/>
          <w:highlight w:val="none"/>
          <w:lang w:val="zh-CN"/>
        </w:rPr>
        <w:t>（4）供应商拟投入本项目</w:t>
      </w:r>
      <w:r>
        <w:rPr>
          <w:rFonts w:hint="eastAsia" w:ascii="宋体" w:hAnsi="宋体" w:cs="宋体"/>
          <w:kern w:val="0"/>
          <w:szCs w:val="21"/>
          <w:highlight w:val="none"/>
          <w:lang w:val="zh-CN"/>
        </w:rPr>
        <w:t>的设备、人员情况一览表；</w:t>
      </w:r>
    </w:p>
    <w:p>
      <w:pPr>
        <w:widowControl/>
        <w:adjustRightInd w:val="0"/>
        <w:spacing w:line="360" w:lineRule="auto"/>
        <w:ind w:firstLine="420"/>
        <w:jc w:val="left"/>
        <w:rPr>
          <w:rFonts w:ascii="宋体" w:hAnsi="宋体" w:cs="宋体"/>
          <w:kern w:val="0"/>
          <w:szCs w:val="21"/>
          <w:highlight w:val="none"/>
          <w:lang w:val="zh-CN"/>
        </w:rPr>
      </w:pPr>
      <w:r>
        <w:rPr>
          <w:rFonts w:hint="eastAsia" w:ascii="宋体" w:hAnsi="宋体" w:cs="宋体"/>
          <w:kern w:val="0"/>
          <w:szCs w:val="21"/>
          <w:highlight w:val="none"/>
          <w:lang w:val="zh-CN"/>
        </w:rPr>
        <w:t>（5）供应商认为需要提供的其他技术资料。</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11、投标文件的价格部分</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11.1价格部分是对采购标的价格构成的说明，招标文件如无特别说明，每一项货物及服务仅接受一个价格。</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11.2报价应包含为履行本项目合同项下所有义务的全部含税费用（包括但不限于</w:t>
      </w:r>
      <w:r>
        <w:rPr>
          <w:rFonts w:hint="eastAsia" w:ascii="宋体" w:hAnsi="宋体" w:cs="宋体"/>
          <w:szCs w:val="21"/>
          <w:highlight w:val="none"/>
        </w:rPr>
        <w:t>货物设计、制造、包装、仓储、运输装缷、保险、调试及其材料及验收合格之前保管及质保期内备品备件、专用工具、伴随服务、技术图纸资料、人员培训发生的所有含税费用、支付给员工的工资和国家强制缴纳的各种社会保障资金</w:t>
      </w:r>
      <w:r>
        <w:rPr>
          <w:rFonts w:hint="eastAsia" w:ascii="宋体" w:hAnsi="宋体" w:cs="宋体"/>
          <w:kern w:val="0"/>
          <w:szCs w:val="21"/>
          <w:highlight w:val="none"/>
        </w:rPr>
        <w:t>）</w:t>
      </w:r>
      <w:r>
        <w:rPr>
          <w:rFonts w:hint="eastAsia" w:ascii="宋体" w:hAnsi="宋体" w:cs="宋体"/>
          <w:kern w:val="0"/>
          <w:szCs w:val="21"/>
          <w:highlight w:val="none"/>
          <w:lang w:val="zh-CN"/>
        </w:rPr>
        <w:t>，</w:t>
      </w:r>
      <w:r>
        <w:rPr>
          <w:rFonts w:hint="eastAsia" w:ascii="宋体" w:hAnsi="宋体" w:cs="宋体"/>
          <w:bCs/>
          <w:szCs w:val="21"/>
          <w:highlight w:val="none"/>
        </w:rPr>
        <w:t>以</w:t>
      </w:r>
      <w:r>
        <w:rPr>
          <w:rFonts w:hint="eastAsia" w:ascii="宋体" w:hAnsi="宋体" w:cs="宋体"/>
          <w:szCs w:val="21"/>
          <w:highlight w:val="none"/>
        </w:rPr>
        <w:t>及投标人认为需要的其他费用等</w:t>
      </w:r>
      <w:r>
        <w:rPr>
          <w:rFonts w:hint="eastAsia" w:ascii="宋体" w:hAnsi="宋体" w:cs="宋体"/>
          <w:b/>
          <w:szCs w:val="21"/>
          <w:highlight w:val="none"/>
        </w:rPr>
        <w:t>。</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11.3供应商的任何错漏、优惠、竞争性报价不得作为减轻责任、减少服务、增加收费、降低质量的理由。</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kern w:val="0"/>
          <w:szCs w:val="21"/>
          <w:highlight w:val="none"/>
        </w:rPr>
        <w:t>无效投标处理</w:t>
      </w:r>
      <w:r>
        <w:rPr>
          <w:rFonts w:hint="eastAsia" w:ascii="宋体" w:hAnsi="宋体" w:cs="宋体"/>
          <w:kern w:val="0"/>
          <w:szCs w:val="21"/>
          <w:highlight w:val="none"/>
        </w:rPr>
        <w:t>。</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11.5 供应商应在《开标一览表》、《分项报价》等标明投标货物和服务等的单价、总价以及分项报价。供应商符合本须知3.1条所述情形的，须在《开标一览表》、《分项报价》中注明。</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11.6 《开标一览表》一式两份，一份装订在投标文件中，一份单独封装，并标明“开标一览表”字样，随投标文件一并递交，以便唱标时使用。</w:t>
      </w:r>
    </w:p>
    <w:p>
      <w:pPr>
        <w:widowControl/>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11.7本项目预算为：详见第一章</w:t>
      </w:r>
      <w:r>
        <w:rPr>
          <w:rFonts w:hint="eastAsia" w:ascii="宋体" w:hAnsi="宋体" w:cs="宋体"/>
          <w:bCs/>
          <w:kern w:val="0"/>
          <w:szCs w:val="21"/>
          <w:highlight w:val="none"/>
        </w:rPr>
        <w:t>。</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12、投标文件的其他部分</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12.1 其他部分由供应商根据编制投标文件需要提供的其他相关文件组成。</w:t>
      </w:r>
    </w:p>
    <w:p>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13、投标保证金</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本项目不收取投标保证金。</w:t>
      </w:r>
    </w:p>
    <w:p>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14、投标有效期</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14.1 自开标之日起</w:t>
      </w:r>
      <w:r>
        <w:rPr>
          <w:rFonts w:hint="eastAsia" w:ascii="宋体" w:hAnsi="宋体" w:cs="宋体"/>
          <w:b/>
          <w:kern w:val="0"/>
          <w:szCs w:val="21"/>
          <w:highlight w:val="none"/>
        </w:rPr>
        <w:t>90</w:t>
      </w:r>
      <w:r>
        <w:rPr>
          <w:rFonts w:hint="eastAsia" w:ascii="宋体" w:hAnsi="宋体" w:cs="宋体"/>
          <w:kern w:val="0"/>
          <w:szCs w:val="21"/>
          <w:highlight w:val="none"/>
        </w:rPr>
        <w:t>天内投标有效</w:t>
      </w:r>
      <w:r>
        <w:rPr>
          <w:rFonts w:hint="eastAsia" w:ascii="宋体" w:hAnsi="宋体" w:cs="宋体"/>
          <w:b/>
          <w:highlight w:val="none"/>
        </w:rPr>
        <w:t>，投标有效期从提交投标文件的截止之日起算。投标文件中承诺的投标有效期应当不少于招标文件中载明的投标有效期。</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14.2 特殊情况下，在原投标有效期截止之前，招标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15、投标文件签署</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15.1 投标文件的正本和副本均应由供应商法定代表人或经正式授权并对供应商有约束力的委托代理人签字，如果它们之间内容有差异，则以正本为准。</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16、投标费用</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16.1 供应商应承担所有与准备和参加投标有关的费用，无论招标结果如何，招标代理机构和采购人在任何情况下均无义务和责任承担这些费用。</w:t>
      </w:r>
    </w:p>
    <w:p>
      <w:pPr>
        <w:spacing w:line="360" w:lineRule="auto"/>
        <w:ind w:firstLine="422" w:firstLineChars="200"/>
        <w:rPr>
          <w:rFonts w:ascii="宋体" w:hAnsi="宋体" w:cs="宋体"/>
          <w:b/>
          <w:kern w:val="0"/>
          <w:szCs w:val="21"/>
          <w:highlight w:val="none"/>
        </w:rPr>
      </w:pPr>
      <w:r>
        <w:rPr>
          <w:rFonts w:hint="eastAsia" w:ascii="宋体" w:hAnsi="宋体" w:cs="宋体"/>
          <w:b/>
          <w:kern w:val="0"/>
          <w:szCs w:val="21"/>
          <w:highlight w:val="none"/>
        </w:rPr>
        <w:t>16.2 本次招标，按照国家发改委“发改价格[2011]534号”文件规定的招标代理服务收费标准的45%收取，单个项目的招标代理服务费最高不超过￥2.30万元(贰万叁仟圆整)、最低为￥2500.0元(贰仟伍佰圆整)。本项费用无需在投标报价表中单列。</w:t>
      </w:r>
    </w:p>
    <w:p>
      <w:pPr>
        <w:pStyle w:val="4"/>
        <w:rPr>
          <w:rFonts w:ascii="宋体" w:hAnsi="宋体" w:cs="宋体"/>
          <w:bCs/>
          <w:kern w:val="0"/>
          <w:szCs w:val="21"/>
          <w:highlight w:val="none"/>
        </w:rPr>
      </w:pPr>
      <w:r>
        <w:rPr>
          <w:rFonts w:hint="eastAsia" w:ascii="宋体" w:hAnsi="宋体" w:cs="宋体"/>
          <w:sz w:val="21"/>
          <w:szCs w:val="21"/>
          <w:highlight w:val="none"/>
        </w:rPr>
        <w:t>四、投标文件的递交</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17、投标文件的密封和递交</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17.1</w:t>
      </w:r>
      <w:r>
        <w:rPr>
          <w:rFonts w:hint="eastAsia" w:ascii="宋体" w:hAnsi="宋体" w:cs="宋体"/>
          <w:b/>
          <w:bCs/>
          <w:kern w:val="0"/>
          <w:szCs w:val="21"/>
          <w:highlight w:val="none"/>
        </w:rPr>
        <w:t>投标人的</w:t>
      </w:r>
      <w:r>
        <w:rPr>
          <w:rFonts w:hint="eastAsia" w:ascii="宋体" w:hAnsi="宋体" w:cs="宋体"/>
          <w:b/>
          <w:highlight w:val="none"/>
        </w:rPr>
        <w:t>所有投标文件均应密封后递交，同时应提供电子版投标文件</w:t>
      </w:r>
      <w:r>
        <w:rPr>
          <w:rFonts w:hint="eastAsia" w:ascii="宋体" w:hAnsi="宋体" w:cs="宋体"/>
          <w:b/>
          <w:szCs w:val="21"/>
          <w:highlight w:val="none"/>
        </w:rPr>
        <w:t>壹份（电子版须为投标文件正本加盖公章、签字后形成PDF扫描件，扫描件内容应与纸质投标文件正本完全一致、U盘形式（单独封装）、随纸质正本文件一并提交）</w:t>
      </w:r>
      <w:r>
        <w:rPr>
          <w:rFonts w:hint="eastAsia" w:ascii="宋体" w:hAnsi="宋体" w:cs="宋体"/>
          <w:b/>
          <w:highlight w:val="none"/>
        </w:rPr>
        <w:t>。</w:t>
      </w:r>
      <w:r>
        <w:rPr>
          <w:rFonts w:hint="eastAsia" w:ascii="宋体" w:hAnsi="宋体" w:cs="宋体"/>
          <w:highlight w:val="none"/>
        </w:rPr>
        <w:t>当电子版文件和纸质正本文件不一致时，以纸质正本文件为准。</w:t>
      </w:r>
      <w:r>
        <w:rPr>
          <w:rFonts w:hint="eastAsia" w:ascii="宋体" w:hAnsi="宋体" w:cs="宋体"/>
          <w:kern w:val="0"/>
          <w:szCs w:val="21"/>
          <w:highlight w:val="none"/>
        </w:rPr>
        <w:t>每套投标文件须清楚标明“正本”、“副本”。</w:t>
      </w:r>
      <w:r>
        <w:rPr>
          <w:rFonts w:hint="eastAsia" w:ascii="宋体" w:hAnsi="宋体" w:cs="宋体"/>
          <w:highlight w:val="none"/>
        </w:rPr>
        <w:t>如果它们之间内容有差异，以正本为准。</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 xml:space="preserve">17.2 </w:t>
      </w:r>
      <w:r>
        <w:rPr>
          <w:rFonts w:hint="eastAsia" w:ascii="宋体" w:hAnsi="宋体" w:cs="宋体"/>
          <w:b/>
          <w:highlight w:val="none"/>
        </w:rPr>
        <w:t>投标文件正本和所有副本均需打印或用不褪色墨水书写，并由供应商的法定代表人或授权代表签字并在招标文件中注明须加盖公章的地方加盖公章，如为授权代表签字的应附“法定代表人授权委托书”，正本必须为原件，但供应商的相关证明文件可采用复印件，采用复印件的，评标委员会认为需要时，供应商应提供原件供核对。</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17.3 投标文件不应有涂改、增删之处，如必须修改时，修改处必须有供应商法定代表人或授权代表签字，同时加盖供应商公章。</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highlight w:val="none"/>
        </w:rPr>
        <w:t>17.4投标文件提倡按照A4幅面打印或复印并进行装订，如有资料超过A4幅面折叠成A4幅面；投标文件装订提倡采用胶装的形式。</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17.5 供应商应当在招标文件要求提交投标文件的截止时间前，将投标文件密封送达投标地点。任何单位和个人不得在开标前开启投标文件。</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18、有下列情形的投标文件将被拒收：</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18.1逾期送达的；</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18.2未按照招标文件要求密封的。</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19、投标文件的修改和撤回</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19.1供应商在投标截止时间前，可以对所递交的投标文件进行补充、修改或者撤回，并书面通知采购人或者招标代理机构。补充、修改的内容应当按照招标文件要求签署、盖章、密封后，作为投标文件的组成部分。</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19.2 投标截止时间之后，投标文件不得撤回；如撤回，投标保证金不予退还。</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20、诚实信用</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20.1供应商应当遵循公平竞争的原则，不得恶意串通，不得妨碍其他供应商的竞争行为，不得损害采购人或者其他供应商的合法权益。</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20.2在评标过程中发现供应商有上述情形的，评标委员会应当认定其投标无效，并书面报告本级财政部门。</w:t>
      </w:r>
    </w:p>
    <w:p>
      <w:pPr>
        <w:pStyle w:val="4"/>
        <w:rPr>
          <w:rFonts w:ascii="宋体" w:hAnsi="宋体" w:cs="宋体"/>
          <w:sz w:val="21"/>
          <w:szCs w:val="21"/>
          <w:highlight w:val="none"/>
        </w:rPr>
      </w:pPr>
      <w:r>
        <w:rPr>
          <w:rFonts w:hint="eastAsia" w:ascii="宋体" w:hAnsi="宋体" w:cs="宋体"/>
          <w:sz w:val="21"/>
          <w:szCs w:val="21"/>
          <w:highlight w:val="none"/>
        </w:rPr>
        <w:t>五、开标、评标与定标</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21、开标</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21.1 招标代理机构将在招标文件确定的时间和地点进行公开开标。</w:t>
      </w:r>
      <w:r>
        <w:rPr>
          <w:rFonts w:hint="eastAsia" w:ascii="宋体" w:hAnsi="宋体" w:cs="宋体"/>
          <w:highlight w:val="none"/>
        </w:rPr>
        <w:t>供应商可委派代表准时参加，参加开标的代表须签名报到。供应商未参加开标的视同认可开标结果。</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21.2开标时，应当由供应商或者其推选的代表检查投标文件的密封情况；经确认无误后，由采购人或者招标代理机构工作人员当众拆封，宣布供应商名称、投标价格和招标文件规定的需要宣布的其他内容。</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21.3供应商不足3家的，不得开标。</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21.4开标过程由招标代理机构负责记录，由参加开标的各供应商代表和相关工作人员签字确认后随招标文件一并存档。</w:t>
      </w:r>
    </w:p>
    <w:p>
      <w:pPr>
        <w:spacing w:line="360" w:lineRule="auto"/>
        <w:ind w:firstLine="420" w:firstLineChars="200"/>
        <w:rPr>
          <w:rFonts w:ascii="宋体" w:hAnsi="宋体" w:cs="宋体"/>
          <w:highlight w:val="none"/>
        </w:rPr>
      </w:pPr>
      <w:r>
        <w:rPr>
          <w:rFonts w:hint="eastAsia" w:ascii="宋体" w:hAnsi="宋体" w:cs="宋体"/>
          <w:highlight w:val="none"/>
        </w:rPr>
        <w:t>供应商代表对开标过程和开标记录有疑义，以及认为采购人、招标代理机构相关工作人员有需要回避的情形的，应当场提出询问或者回避申请。采购人、招标代理机构对供应商代表提出的询问或者回避申请及时处理。</w:t>
      </w:r>
    </w:p>
    <w:p>
      <w:pPr>
        <w:spacing w:line="360" w:lineRule="auto"/>
        <w:ind w:firstLine="420" w:firstLineChars="200"/>
        <w:rPr>
          <w:rFonts w:ascii="宋体" w:hAnsi="宋体" w:cs="宋体"/>
          <w:highlight w:val="none"/>
        </w:rPr>
      </w:pPr>
      <w:r>
        <w:rPr>
          <w:rFonts w:hint="eastAsia" w:ascii="宋体" w:hAnsi="宋体" w:cs="宋体"/>
          <w:highlight w:val="none"/>
        </w:rPr>
        <w:t>21.5供应商未参加开标的，视同认可开标结果。</w:t>
      </w:r>
    </w:p>
    <w:p>
      <w:pPr>
        <w:spacing w:line="360" w:lineRule="auto"/>
        <w:ind w:firstLine="420" w:firstLineChars="200"/>
        <w:rPr>
          <w:rFonts w:ascii="宋体" w:hAnsi="宋体" w:cs="宋体"/>
          <w:highlight w:val="none"/>
        </w:rPr>
      </w:pPr>
      <w:r>
        <w:rPr>
          <w:rFonts w:hint="eastAsia" w:ascii="宋体" w:hAnsi="宋体" w:cs="宋体"/>
          <w:highlight w:val="none"/>
        </w:rPr>
        <w:t>21.6公开招标数额标准以上的采购项目，投标截止后供应商不足3家或者通过资格审查或符合性审查的供应商不足3家的，除采购任务取消情形外，按照以下方式处理：</w:t>
      </w:r>
    </w:p>
    <w:p>
      <w:pPr>
        <w:spacing w:line="360" w:lineRule="auto"/>
        <w:ind w:firstLine="420" w:firstLineChars="200"/>
        <w:rPr>
          <w:rFonts w:ascii="宋体" w:hAnsi="宋体" w:cs="宋体"/>
          <w:highlight w:val="none"/>
        </w:rPr>
      </w:pPr>
      <w:r>
        <w:rPr>
          <w:rFonts w:hint="eastAsia" w:ascii="宋体" w:hAnsi="宋体" w:cs="宋体"/>
          <w:highlight w:val="none"/>
        </w:rPr>
        <w:t>（1）招标文件存在不合理条款或者招标程序不符合规定的，采购人、招标代理机构改正后依法重新招标；</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highlight w:val="none"/>
        </w:rPr>
        <w:t>（2）招标文件没有不合理条款、招标程序符合规定，需要采用其他采购方式采购的，采购人依照规定报批</w:t>
      </w:r>
      <w:r>
        <w:rPr>
          <w:rFonts w:hint="eastAsia" w:ascii="宋体" w:hAnsi="宋体" w:cs="宋体"/>
          <w:kern w:val="0"/>
          <w:szCs w:val="21"/>
          <w:highlight w:val="none"/>
        </w:rPr>
        <w:t>后，可变更为其他采购方式采购。本次招标文件中对供应商资格条件要求、技术要求和商务等要求，将作为其他采购方式采购的基本要求和谈判依据。</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22、评标</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22.1 评标委员会</w:t>
      </w:r>
    </w:p>
    <w:p>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
          <w:bCs/>
          <w:kern w:val="0"/>
          <w:szCs w:val="21"/>
          <w:highlight w:val="none"/>
        </w:rPr>
        <w:t>22.1.1</w:t>
      </w:r>
      <w:r>
        <w:rPr>
          <w:rFonts w:hint="eastAsia" w:ascii="宋体" w:hAnsi="宋体" w:cs="宋体"/>
          <w:bCs/>
          <w:kern w:val="0"/>
          <w:szCs w:val="21"/>
          <w:highlight w:val="none"/>
        </w:rPr>
        <w:t>评标委员会负责具体评标事务，并独立履行下列职责：</w:t>
      </w:r>
    </w:p>
    <w:p>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w:t>
      </w:r>
      <w:r>
        <w:rPr>
          <w:rFonts w:hint="eastAsia" w:ascii="宋体" w:hAnsi="宋体" w:cs="宋体"/>
          <w:bCs/>
          <w:kern w:val="0"/>
          <w:szCs w:val="21"/>
          <w:highlight w:val="none"/>
          <w:lang w:val="en-US" w:eastAsia="zh-CN"/>
        </w:rPr>
        <w:t>1</w:t>
      </w:r>
      <w:r>
        <w:rPr>
          <w:rFonts w:hint="eastAsia" w:ascii="宋体" w:hAnsi="宋体" w:cs="宋体"/>
          <w:bCs/>
          <w:kern w:val="0"/>
          <w:szCs w:val="21"/>
          <w:highlight w:val="none"/>
        </w:rPr>
        <w:t>）审查、评价投标文件是否符合招标文件的商务、技术等实质性要求；</w:t>
      </w:r>
    </w:p>
    <w:p>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w:t>
      </w:r>
      <w:r>
        <w:rPr>
          <w:rFonts w:hint="eastAsia" w:ascii="宋体" w:hAnsi="宋体" w:cs="宋体"/>
          <w:bCs/>
          <w:kern w:val="0"/>
          <w:szCs w:val="21"/>
          <w:highlight w:val="none"/>
          <w:lang w:val="en-US" w:eastAsia="zh-CN"/>
        </w:rPr>
        <w:t>2</w:t>
      </w:r>
      <w:r>
        <w:rPr>
          <w:rFonts w:hint="eastAsia" w:ascii="宋体" w:hAnsi="宋体" w:cs="宋体"/>
          <w:bCs/>
          <w:kern w:val="0"/>
          <w:szCs w:val="21"/>
          <w:highlight w:val="none"/>
        </w:rPr>
        <w:t>）要求供应商对投标文件有关事项作出澄清或者说明；</w:t>
      </w:r>
    </w:p>
    <w:p>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w:t>
      </w:r>
      <w:r>
        <w:rPr>
          <w:rFonts w:hint="eastAsia" w:ascii="宋体" w:hAnsi="宋体" w:cs="宋体"/>
          <w:bCs/>
          <w:kern w:val="0"/>
          <w:szCs w:val="21"/>
          <w:highlight w:val="none"/>
          <w:lang w:val="en-US" w:eastAsia="zh-CN"/>
        </w:rPr>
        <w:t>3</w:t>
      </w:r>
      <w:r>
        <w:rPr>
          <w:rFonts w:hint="eastAsia" w:ascii="宋体" w:hAnsi="宋体" w:cs="宋体"/>
          <w:bCs/>
          <w:kern w:val="0"/>
          <w:szCs w:val="21"/>
          <w:highlight w:val="none"/>
        </w:rPr>
        <w:t>）对投标文件进行比较和评价；</w:t>
      </w:r>
    </w:p>
    <w:p>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w:t>
      </w:r>
      <w:r>
        <w:rPr>
          <w:rFonts w:hint="eastAsia" w:ascii="宋体" w:hAnsi="宋体" w:cs="宋体"/>
          <w:bCs/>
          <w:kern w:val="0"/>
          <w:szCs w:val="21"/>
          <w:highlight w:val="none"/>
          <w:lang w:val="en-US" w:eastAsia="zh-CN"/>
        </w:rPr>
        <w:t>4</w:t>
      </w:r>
      <w:r>
        <w:rPr>
          <w:rFonts w:hint="eastAsia" w:ascii="宋体" w:hAnsi="宋体" w:cs="宋体"/>
          <w:bCs/>
          <w:kern w:val="0"/>
          <w:szCs w:val="21"/>
          <w:highlight w:val="none"/>
        </w:rPr>
        <w:t>）确定中标候选人名单，以及根据采购人委托直接确定中标人；</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Cs/>
          <w:kern w:val="0"/>
          <w:szCs w:val="21"/>
          <w:highlight w:val="none"/>
        </w:rPr>
        <w:t>（</w:t>
      </w:r>
      <w:r>
        <w:rPr>
          <w:rFonts w:hint="eastAsia" w:ascii="宋体" w:hAnsi="宋体" w:cs="宋体"/>
          <w:bCs/>
          <w:kern w:val="0"/>
          <w:szCs w:val="21"/>
          <w:highlight w:val="none"/>
          <w:lang w:val="en-US" w:eastAsia="zh-CN"/>
        </w:rPr>
        <w:t>5</w:t>
      </w:r>
      <w:r>
        <w:rPr>
          <w:rFonts w:hint="eastAsia" w:ascii="宋体" w:hAnsi="宋体" w:cs="宋体"/>
          <w:bCs/>
          <w:kern w:val="0"/>
          <w:szCs w:val="21"/>
          <w:highlight w:val="none"/>
        </w:rPr>
        <w:t>）向采购人、招标代理机构或者有关部门报告评标中发现的违法行为。</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 xml:space="preserve">22.1.2 </w:t>
      </w:r>
      <w:r>
        <w:rPr>
          <w:rFonts w:hint="eastAsia" w:ascii="宋体" w:hAnsi="宋体" w:cs="宋体"/>
          <w:kern w:val="0"/>
          <w:szCs w:val="21"/>
          <w:highlight w:val="none"/>
        </w:rPr>
        <w:t>评标委员会由</w:t>
      </w:r>
      <w:r>
        <w:rPr>
          <w:rFonts w:hint="eastAsia" w:ascii="宋体" w:hAnsi="宋体" w:cs="宋体"/>
          <w:bCs/>
          <w:kern w:val="0"/>
          <w:szCs w:val="21"/>
          <w:highlight w:val="none"/>
        </w:rPr>
        <w:t>采购人</w:t>
      </w:r>
      <w:r>
        <w:rPr>
          <w:rFonts w:hint="eastAsia" w:ascii="宋体" w:hAnsi="宋体" w:cs="宋体"/>
          <w:kern w:val="0"/>
          <w:szCs w:val="21"/>
          <w:highlight w:val="none"/>
        </w:rPr>
        <w:t>代表和有关技术、经济等方面的专家组成，独立开展评审工作。</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b/>
          <w:bCs/>
          <w:kern w:val="0"/>
          <w:szCs w:val="21"/>
          <w:highlight w:val="none"/>
        </w:rPr>
        <w:t>22.2  评标程序</w:t>
      </w:r>
    </w:p>
    <w:p>
      <w:pPr>
        <w:widowControl/>
        <w:shd w:val="clear" w:color="auto" w:fill="FFFFFF"/>
        <w:spacing w:line="360" w:lineRule="auto"/>
        <w:ind w:firstLine="420"/>
        <w:jc w:val="left"/>
        <w:rPr>
          <w:rFonts w:ascii="宋体" w:hAnsi="宋体" w:cs="宋体"/>
          <w:b/>
          <w:kern w:val="0"/>
          <w:szCs w:val="21"/>
          <w:highlight w:val="none"/>
        </w:rPr>
      </w:pPr>
      <w:r>
        <w:rPr>
          <w:rFonts w:hint="eastAsia" w:ascii="宋体" w:hAnsi="宋体" w:cs="宋体"/>
          <w:b/>
          <w:kern w:val="0"/>
          <w:szCs w:val="21"/>
          <w:highlight w:val="none"/>
        </w:rPr>
        <w:t xml:space="preserve">22.2.1 </w:t>
      </w:r>
      <w:r>
        <w:rPr>
          <w:rFonts w:hint="eastAsia" w:ascii="宋体" w:hAnsi="宋体" w:cs="宋体"/>
          <w:b/>
          <w:bCs/>
          <w:kern w:val="0"/>
          <w:szCs w:val="21"/>
          <w:highlight w:val="none"/>
        </w:rPr>
        <w:t>投标文件的资格性检查。</w:t>
      </w:r>
      <w:r>
        <w:rPr>
          <w:rFonts w:hint="eastAsia" w:ascii="宋体" w:hAnsi="宋体" w:cs="宋体"/>
          <w:kern w:val="0"/>
          <w:szCs w:val="21"/>
          <w:highlight w:val="none"/>
        </w:rPr>
        <w:t>公开招标采购项目开标结束后，</w:t>
      </w:r>
      <w:r>
        <w:rPr>
          <w:rFonts w:hint="eastAsia" w:ascii="宋体" w:hAnsi="宋体" w:cs="宋体"/>
          <w:highlight w:val="none"/>
        </w:rPr>
        <w:t>采购人</w:t>
      </w:r>
      <w:r>
        <w:rPr>
          <w:rFonts w:hint="eastAsia" w:ascii="宋体" w:hAnsi="宋体" w:cs="宋体"/>
          <w:kern w:val="0"/>
          <w:szCs w:val="21"/>
          <w:highlight w:val="none"/>
        </w:rPr>
        <w:t>或者</w:t>
      </w:r>
      <w:r>
        <w:rPr>
          <w:rFonts w:hint="eastAsia" w:ascii="宋体" w:hAnsi="宋体" w:cs="宋体"/>
          <w:highlight w:val="none"/>
        </w:rPr>
        <w:t>招标</w:t>
      </w:r>
      <w:r>
        <w:rPr>
          <w:rFonts w:hint="eastAsia" w:ascii="宋体" w:hAnsi="宋体" w:cs="宋体"/>
          <w:kern w:val="0"/>
          <w:szCs w:val="21"/>
          <w:highlight w:val="none"/>
        </w:rPr>
        <w:t>代理机构应当依法对供应商的资格进行审查。合格供应商不足3家的，不得评标。</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b/>
          <w:bCs/>
          <w:kern w:val="0"/>
          <w:szCs w:val="21"/>
          <w:highlight w:val="none"/>
        </w:rPr>
        <w:t>22.2.2投标文件的符合性审查</w:t>
      </w:r>
      <w:r>
        <w:rPr>
          <w:rFonts w:hint="eastAsia" w:ascii="宋体" w:hAnsi="宋体" w:cs="宋体"/>
          <w:kern w:val="0"/>
          <w:szCs w:val="21"/>
          <w:highlight w:val="none"/>
        </w:rPr>
        <w:t>。评标委员会对通过资格性检查的供应商的投标文件进行符合性审查，以确定其是否满足招标文件的实质性要求。投标文件有下列情况之一的，在符合性检查时按照无效投标处理：</w:t>
      </w:r>
    </w:p>
    <w:p>
      <w:pPr>
        <w:widowControl/>
        <w:shd w:val="clear" w:color="auto" w:fill="FFFFFF"/>
        <w:spacing w:line="360" w:lineRule="auto"/>
        <w:ind w:firstLine="420"/>
        <w:jc w:val="left"/>
        <w:rPr>
          <w:rFonts w:ascii="宋体" w:hAnsi="宋体" w:cs="宋体"/>
          <w:b/>
          <w:kern w:val="0"/>
          <w:szCs w:val="21"/>
          <w:highlight w:val="none"/>
        </w:rPr>
      </w:pPr>
      <w:r>
        <w:rPr>
          <w:rFonts w:hint="eastAsia" w:ascii="宋体" w:hAnsi="宋体" w:cs="宋体"/>
          <w:b/>
          <w:kern w:val="0"/>
          <w:szCs w:val="21"/>
          <w:highlight w:val="none"/>
        </w:rPr>
        <w:t>（1）未按投标邀请规定的数额和办法交纳投标保证金的；</w:t>
      </w:r>
    </w:p>
    <w:p>
      <w:pPr>
        <w:widowControl/>
        <w:shd w:val="clear" w:color="auto" w:fill="FFFFFF"/>
        <w:spacing w:line="360" w:lineRule="auto"/>
        <w:ind w:firstLine="420"/>
        <w:jc w:val="left"/>
        <w:rPr>
          <w:rFonts w:ascii="宋体" w:hAnsi="宋体" w:cs="宋体"/>
          <w:b/>
          <w:kern w:val="0"/>
          <w:szCs w:val="21"/>
          <w:highlight w:val="none"/>
        </w:rPr>
      </w:pPr>
      <w:r>
        <w:rPr>
          <w:rFonts w:hint="eastAsia" w:ascii="宋体" w:hAnsi="宋体" w:cs="宋体"/>
          <w:b/>
          <w:kern w:val="0"/>
          <w:szCs w:val="21"/>
          <w:highlight w:val="none"/>
        </w:rPr>
        <w:t>（2）未按照招标文件规定要求密封、签署、盖章的</w:t>
      </w:r>
      <w:r>
        <w:rPr>
          <w:rFonts w:hint="eastAsia" w:ascii="宋体" w:hAnsi="宋体" w:cs="宋体"/>
          <w:b/>
          <w:bCs/>
          <w:kern w:val="0"/>
          <w:szCs w:val="21"/>
          <w:highlight w:val="none"/>
        </w:rPr>
        <w:t>；</w:t>
      </w:r>
    </w:p>
    <w:p>
      <w:pPr>
        <w:widowControl/>
        <w:shd w:val="clear" w:color="auto" w:fill="FFFFFF"/>
        <w:spacing w:line="360" w:lineRule="auto"/>
        <w:ind w:firstLine="420"/>
        <w:jc w:val="left"/>
        <w:rPr>
          <w:rFonts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3</w:t>
      </w:r>
      <w:r>
        <w:rPr>
          <w:rFonts w:hint="eastAsia" w:ascii="宋体" w:hAnsi="宋体" w:cs="宋体"/>
          <w:b/>
          <w:kern w:val="0"/>
          <w:szCs w:val="21"/>
          <w:highlight w:val="none"/>
        </w:rPr>
        <w:t>）报价超过招标文件中规定的预算金额或者最高限价的；</w:t>
      </w:r>
    </w:p>
    <w:p>
      <w:pPr>
        <w:widowControl/>
        <w:shd w:val="clear" w:color="auto" w:fill="FFFFFF"/>
        <w:spacing w:line="360" w:lineRule="auto"/>
        <w:ind w:firstLine="420"/>
        <w:jc w:val="left"/>
        <w:rPr>
          <w:rFonts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4</w:t>
      </w:r>
      <w:r>
        <w:rPr>
          <w:rFonts w:hint="eastAsia" w:ascii="宋体" w:hAnsi="宋体" w:cs="宋体"/>
          <w:b/>
          <w:kern w:val="0"/>
          <w:szCs w:val="21"/>
          <w:highlight w:val="none"/>
        </w:rPr>
        <w:t>）投标文件含有采购人不能接受的附加条件的；</w:t>
      </w:r>
    </w:p>
    <w:p>
      <w:pPr>
        <w:widowControl/>
        <w:shd w:val="clear" w:color="auto" w:fill="FFFFFF"/>
        <w:spacing w:line="360" w:lineRule="auto"/>
        <w:ind w:firstLine="420"/>
        <w:jc w:val="left"/>
        <w:rPr>
          <w:rFonts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5</w:t>
      </w:r>
      <w:r>
        <w:rPr>
          <w:rFonts w:hint="eastAsia" w:ascii="宋体" w:hAnsi="宋体" w:cs="宋体"/>
          <w:b/>
          <w:kern w:val="0"/>
          <w:szCs w:val="21"/>
          <w:highlight w:val="none"/>
        </w:rPr>
        <w:t>）投标文件内容不全或不符合招标文件中规定的其它实质性要求的；</w:t>
      </w:r>
    </w:p>
    <w:p>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6</w:t>
      </w:r>
      <w:r>
        <w:rPr>
          <w:rFonts w:hint="eastAsia" w:ascii="宋体" w:hAnsi="宋体" w:cs="宋体"/>
          <w:b/>
          <w:kern w:val="0"/>
          <w:szCs w:val="21"/>
          <w:highlight w:val="none"/>
        </w:rPr>
        <w:t>）现行法律、法规、规章和招标文件规定的其他无效情形。</w:t>
      </w:r>
    </w:p>
    <w:p>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22.2.2.1 实质性要求是指本招标文件中用带星号（“</w:t>
      </w:r>
      <w:r>
        <w:rPr>
          <w:rFonts w:hint="eastAsia" w:ascii="宋体" w:hAnsi="宋体" w:cs="宋体"/>
          <w:b/>
          <w:bCs/>
          <w:highlight w:val="none"/>
        </w:rPr>
        <w:t>★</w:t>
      </w:r>
      <w:r>
        <w:rPr>
          <w:rFonts w:hint="eastAsia" w:ascii="宋体" w:hAnsi="宋体" w:cs="宋体"/>
          <w:b/>
          <w:bCs/>
          <w:kern w:val="0"/>
          <w:szCs w:val="21"/>
          <w:highlight w:val="none"/>
        </w:rPr>
        <w:t>”）等其他文字说明的商务和技术要求。</w:t>
      </w:r>
    </w:p>
    <w:p>
      <w:pPr>
        <w:widowControl/>
        <w:shd w:val="clear" w:color="auto" w:fill="FFFFFF"/>
        <w:spacing w:line="360" w:lineRule="auto"/>
        <w:ind w:firstLine="420"/>
        <w:jc w:val="left"/>
        <w:rPr>
          <w:rFonts w:ascii="宋体" w:hAnsi="宋体" w:cs="宋体"/>
          <w:b/>
          <w:kern w:val="0"/>
          <w:szCs w:val="21"/>
          <w:highlight w:val="none"/>
        </w:rPr>
      </w:pPr>
      <w:r>
        <w:rPr>
          <w:rFonts w:hint="eastAsia" w:ascii="宋体" w:hAnsi="宋体" w:cs="宋体"/>
          <w:b/>
          <w:kern w:val="0"/>
          <w:szCs w:val="21"/>
          <w:highlight w:val="none"/>
        </w:rPr>
        <w:t>22.2.2.2</w:t>
      </w:r>
      <w:r>
        <w:rPr>
          <w:rFonts w:hint="eastAsia" w:ascii="宋体" w:hAnsi="宋体" w:cs="宋体"/>
          <w:kern w:val="0"/>
          <w:szCs w:val="21"/>
          <w:highlight w:val="none"/>
        </w:rPr>
        <w:t>有下列情形</w:t>
      </w:r>
      <w:r>
        <w:rPr>
          <w:rFonts w:hint="eastAsia" w:ascii="宋体" w:hAnsi="宋体" w:cs="宋体"/>
          <w:color w:val="000000"/>
          <w:kern w:val="0"/>
          <w:szCs w:val="21"/>
          <w:highlight w:val="none"/>
        </w:rPr>
        <w:t>之一的予以废标：</w:t>
      </w:r>
    </w:p>
    <w:p>
      <w:pPr>
        <w:widowControl/>
        <w:shd w:val="clear" w:color="auto" w:fill="FFFFFF"/>
        <w:spacing w:line="360" w:lineRule="auto"/>
        <w:ind w:firstLine="420"/>
        <w:rPr>
          <w:rFonts w:ascii="宋体" w:hAnsi="宋体" w:cs="宋体"/>
          <w:color w:val="000000"/>
          <w:kern w:val="0"/>
          <w:szCs w:val="21"/>
          <w:highlight w:val="none"/>
        </w:rPr>
      </w:pPr>
      <w:r>
        <w:rPr>
          <w:rFonts w:hint="eastAsia" w:ascii="宋体" w:hAnsi="宋体" w:cs="宋体"/>
          <w:color w:val="000000"/>
          <w:kern w:val="0"/>
          <w:szCs w:val="21"/>
          <w:highlight w:val="none"/>
        </w:rPr>
        <w:t>（1）符合专业条件的供应商或者对招标文件作实质性响应的供应商不足三家的；</w:t>
      </w:r>
    </w:p>
    <w:p>
      <w:pPr>
        <w:widowControl/>
        <w:shd w:val="clear" w:color="auto" w:fill="FFFFFF"/>
        <w:spacing w:line="360" w:lineRule="auto"/>
        <w:ind w:firstLine="420"/>
        <w:rPr>
          <w:rFonts w:ascii="宋体" w:hAnsi="宋体" w:cs="宋体"/>
          <w:color w:val="000000"/>
          <w:kern w:val="0"/>
          <w:szCs w:val="21"/>
          <w:highlight w:val="none"/>
        </w:rPr>
      </w:pPr>
      <w:r>
        <w:rPr>
          <w:rFonts w:hint="eastAsia" w:ascii="宋体" w:hAnsi="宋体" w:cs="宋体"/>
          <w:color w:val="000000"/>
          <w:kern w:val="0"/>
          <w:szCs w:val="21"/>
          <w:highlight w:val="none"/>
        </w:rPr>
        <w:t>（2）出现影响采购公正的违法、违规行为的；</w:t>
      </w:r>
    </w:p>
    <w:p>
      <w:pPr>
        <w:widowControl/>
        <w:shd w:val="clear" w:color="auto" w:fill="FFFFFF"/>
        <w:spacing w:line="360" w:lineRule="auto"/>
        <w:ind w:firstLine="420"/>
        <w:rPr>
          <w:rFonts w:ascii="宋体" w:hAnsi="宋体" w:cs="宋体"/>
          <w:color w:val="000000"/>
          <w:kern w:val="0"/>
          <w:szCs w:val="21"/>
          <w:highlight w:val="none"/>
        </w:rPr>
      </w:pPr>
      <w:r>
        <w:rPr>
          <w:rFonts w:hint="eastAsia" w:ascii="宋体" w:hAnsi="宋体" w:cs="宋体"/>
          <w:color w:val="000000"/>
          <w:kern w:val="0"/>
          <w:szCs w:val="21"/>
          <w:highlight w:val="none"/>
        </w:rPr>
        <w:t>（3）供应商的报价均超过了采购预算，采购人不能支付的；</w:t>
      </w:r>
    </w:p>
    <w:p>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（4）因重大变故，采购任务取消的。</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22.2.3</w:t>
      </w:r>
      <w:r>
        <w:rPr>
          <w:rFonts w:hint="eastAsia" w:ascii="宋体" w:hAnsi="宋体" w:cs="宋体"/>
          <w:b/>
          <w:bCs/>
          <w:kern w:val="0"/>
          <w:szCs w:val="21"/>
          <w:highlight w:val="none"/>
        </w:rPr>
        <w:t>澄清有关问题</w:t>
      </w:r>
      <w:r>
        <w:rPr>
          <w:rFonts w:hint="eastAsia" w:ascii="宋体" w:hAnsi="宋体" w:cs="宋体"/>
          <w:kern w:val="0"/>
          <w:szCs w:val="21"/>
          <w:highlight w:val="none"/>
        </w:rPr>
        <w:t>。</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22.2.3.1对于投标文件中含义不明确、同类问题表述不一致或者有明显文字和计算错误的内容，评标委员会应当以书面形式要求供应商作出必要的澄清、说明或者补正。</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22.2.3.2供应商的澄清、说明或者补正应当采用书面形式，并加盖公章，或者由法定代表人或其授权代表签字。供应商的澄清、说明或者补正不得超出投标文件的范围或者改变投标文件的实质性内容。</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22.2.3.3投标文件报价出现前后不一致的，除招标文件另有规定外，按照下列规定修正：</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（1）投标文件中开标一览表（报价表）内容与投标文件中相应内容不一致的，以开标一览表（报价表）为准；</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（2）大写金额和小写金额不一致的，以大写金额为准；</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（3）单价金额小数点或者百分比有明显错位的，以开标一览表的总价为准，并修改单价；</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（4）总价金额与按单价汇总金额不一致的，以单价金额计算结果为准。</w:t>
      </w:r>
    </w:p>
    <w:p>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kern w:val="0"/>
          <w:szCs w:val="21"/>
          <w:highlight w:val="none"/>
        </w:rPr>
        <w:t>同时出现两种以上不一致的，按照前款规定的顺序修正。</w:t>
      </w:r>
      <w:r>
        <w:rPr>
          <w:rFonts w:hint="eastAsia" w:ascii="宋体" w:hAnsi="宋体" w:cs="宋体"/>
          <w:b/>
          <w:kern w:val="0"/>
          <w:szCs w:val="21"/>
          <w:highlight w:val="none"/>
        </w:rPr>
        <w:t>修正后的报价按照前款规定经供应商确认后产生约束力，供应商不确认的，其投标无效。</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22.2.3.4</w:t>
      </w:r>
      <w:r>
        <w:rPr>
          <w:rFonts w:hint="eastAsia" w:ascii="宋体" w:hAnsi="宋体" w:cs="宋体"/>
          <w:highlight w:val="none"/>
        </w:rPr>
        <w:t>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ascii="宋体" w:hAnsi="宋体" w:cs="宋体"/>
          <w:b/>
          <w:highlight w:val="none"/>
        </w:rPr>
        <w:t>供应商不能证明其报价合理性的，评标委员会将其作为无效投标处理。</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22.2.4</w:t>
      </w:r>
      <w:r>
        <w:rPr>
          <w:rFonts w:hint="eastAsia" w:ascii="宋体" w:hAnsi="宋体" w:cs="宋体"/>
          <w:bCs/>
          <w:kern w:val="0"/>
          <w:szCs w:val="21"/>
          <w:highlight w:val="none"/>
        </w:rPr>
        <w:t>比较与评价。</w:t>
      </w:r>
      <w:r>
        <w:rPr>
          <w:rFonts w:hint="eastAsia" w:ascii="宋体" w:hAnsi="宋体" w:cs="宋体"/>
          <w:kern w:val="0"/>
          <w:szCs w:val="21"/>
          <w:highlight w:val="none"/>
        </w:rPr>
        <w:t>评标委员会应当按照招标文件中规定的评标方法和标准，对符合性审查合格的投标文件进行商务和技术评估，综合比较与评价。</w:t>
      </w:r>
    </w:p>
    <w:p>
      <w:pPr>
        <w:widowControl/>
        <w:shd w:val="clear" w:color="auto" w:fill="FFFFFF"/>
        <w:spacing w:line="360" w:lineRule="auto"/>
        <w:ind w:firstLine="420"/>
        <w:jc w:val="left"/>
        <w:rPr>
          <w:rFonts w:ascii="宋体" w:hAnsi="宋体" w:cs="宋体"/>
          <w:highlight w:val="none"/>
        </w:rPr>
      </w:pPr>
      <w:r>
        <w:rPr>
          <w:rFonts w:hint="eastAsia" w:ascii="宋体" w:hAnsi="宋体" w:cs="宋体"/>
          <w:kern w:val="0"/>
          <w:szCs w:val="21"/>
          <w:highlight w:val="none"/>
        </w:rPr>
        <w:t>22.2.5</w:t>
      </w:r>
      <w:r>
        <w:rPr>
          <w:rFonts w:hint="eastAsia" w:ascii="宋体" w:hAnsi="宋体" w:cs="宋体"/>
          <w:highlight w:val="none"/>
        </w:rPr>
        <w:t>相同品牌产品的投标</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非单一产品采购项目，确定核心产品的方法在招标文件采购需求中载明。多家供应商提供的核心产品品牌相同的，按前两款规定处理。</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b/>
          <w:bCs/>
          <w:kern w:val="0"/>
          <w:szCs w:val="21"/>
          <w:highlight w:val="none"/>
        </w:rPr>
        <w:t>22.3 评标方法和标准</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22.3.1评标方法分为最低评标价法和综合评分法。本次招标的评标方法和标准，详见本招标文件第三章。</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22.3.2最低评标价法，是指投标文件满足招标文件全部实质性要求，且投标报价最低的供应商为中标候选人的评标方法。</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采用最低评标价法评标时，除了算术修正和落实政府采购政策需进行的价格扣除外，不对供应商的投标价格进行任何调整。</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22.3.3综合评分法，是指投标文件满足招标文件全部实质性要求，且按照评审因素的量化指标评审得分最高的供应商为中标候选人的评标方法。</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评审因素，包括价格、技术、商务等。</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评标时，评标委员会各成员应当独立对每个供应商的投标文件进行评价，并汇总每个供应商的得分。</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价格分采用低价优先法计算，即满足招标文件要求且投标价格最低的投标报价为评标基准价，其价格分为满分。</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评标总得分＝F1×A1＋F2×A2＋……＋Fn×An</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F1、F2……Fn分别为各项评审因素的得分；</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A1、A2、……An 分别为各项评审因素所占的权重(A1＋A2＋……＋An＝1)。</w:t>
      </w:r>
    </w:p>
    <w:p>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23.1 采用最低评标价法的，评标结果按投标报价由低到高顺序排列。投标报价相同的并列。投标文件满足招标文件全部实质性要求且投标报价最低的供应商为排名第一的中标候选人。</w:t>
      </w:r>
    </w:p>
    <w:p>
      <w:pPr>
        <w:shd w:val="clear" w:color="auto" w:fill="FFFFFF"/>
        <w:spacing w:line="360" w:lineRule="auto"/>
        <w:ind w:firstLine="420"/>
        <w:rPr>
          <w:rFonts w:ascii="宋体" w:hAnsi="宋体" w:cs="宋体"/>
          <w:szCs w:val="21"/>
          <w:highlight w:val="none"/>
        </w:rPr>
      </w:pPr>
      <w:r>
        <w:rPr>
          <w:rFonts w:hint="eastAsia" w:ascii="宋体" w:hAnsi="宋体" w:cs="宋体"/>
          <w:kern w:val="0"/>
          <w:szCs w:val="21"/>
          <w:highlight w:val="none"/>
        </w:rPr>
        <w:t>23.2采用综合评分法的，评标结果按评审后得分由高到低顺序排列。得分相同的，</w:t>
      </w:r>
      <w:r>
        <w:rPr>
          <w:rFonts w:hint="eastAsia" w:ascii="宋体" w:hAnsi="宋体" w:cs="宋体"/>
          <w:szCs w:val="21"/>
          <w:highlight w:val="none"/>
        </w:rPr>
        <w:t>以投标报价低的优先；投标报价也相等的，以技术得分高的优先；如果技术得分也相等，按照</w:t>
      </w:r>
      <w:r>
        <w:rPr>
          <w:rFonts w:hint="eastAsia" w:ascii="宋体" w:hAnsi="宋体" w:cs="宋体"/>
          <w:szCs w:val="21"/>
          <w:highlight w:val="none"/>
          <w:u w:val="single"/>
        </w:rPr>
        <w:t>（3）</w:t>
      </w:r>
      <w:r>
        <w:rPr>
          <w:rFonts w:hint="eastAsia" w:ascii="宋体" w:hAnsi="宋体" w:cs="宋体"/>
          <w:szCs w:val="21"/>
          <w:highlight w:val="none"/>
        </w:rPr>
        <w:t>确定中标候选人顺序为：</w:t>
      </w:r>
    </w:p>
    <w:p>
      <w:pPr>
        <w:shd w:val="clear" w:color="auto" w:fill="FFFFFF"/>
        <w:spacing w:line="360" w:lineRule="auto"/>
        <w:ind w:firstLine="420"/>
        <w:rPr>
          <w:rFonts w:ascii="宋体" w:hAnsi="宋体" w:cs="宋体"/>
          <w:szCs w:val="21"/>
          <w:highlight w:val="none"/>
        </w:rPr>
      </w:pPr>
      <w:r>
        <w:rPr>
          <w:rFonts w:hint="eastAsia" w:ascii="宋体" w:hAnsi="宋体" w:cs="宋体"/>
          <w:szCs w:val="21"/>
          <w:highlight w:val="none"/>
        </w:rPr>
        <w:t>（1）随机确定；</w:t>
      </w:r>
    </w:p>
    <w:p>
      <w:pPr>
        <w:shd w:val="clear" w:color="auto" w:fill="FFFFFF"/>
        <w:spacing w:line="360" w:lineRule="auto"/>
        <w:ind w:firstLine="420"/>
        <w:rPr>
          <w:rFonts w:ascii="宋体" w:hAnsi="宋体" w:cs="宋体"/>
          <w:szCs w:val="21"/>
          <w:highlight w:val="none"/>
        </w:rPr>
      </w:pPr>
      <w:r>
        <w:rPr>
          <w:rFonts w:hint="eastAsia" w:ascii="宋体" w:hAnsi="宋体" w:cs="宋体"/>
          <w:szCs w:val="21"/>
          <w:highlight w:val="none"/>
        </w:rPr>
        <w:t>（2）上一年度主营业务收入高的优先；</w:t>
      </w:r>
    </w:p>
    <w:p>
      <w:pPr>
        <w:shd w:val="clear" w:color="auto" w:fill="FFFFFF"/>
        <w:spacing w:line="360" w:lineRule="auto"/>
        <w:ind w:firstLine="420"/>
        <w:rPr>
          <w:rFonts w:ascii="宋体" w:hAnsi="宋体" w:cs="宋体"/>
          <w:szCs w:val="21"/>
          <w:highlight w:val="none"/>
        </w:rPr>
      </w:pPr>
      <w:r>
        <w:rPr>
          <w:rFonts w:hint="eastAsia" w:ascii="宋体" w:hAnsi="宋体" w:cs="宋体"/>
          <w:szCs w:val="21"/>
          <w:highlight w:val="none"/>
        </w:rPr>
        <w:t>（3）采购人确定；</w:t>
      </w:r>
    </w:p>
    <w:p>
      <w:pPr>
        <w:shd w:val="clear" w:color="auto" w:fill="FFFFFF"/>
        <w:spacing w:line="360" w:lineRule="auto"/>
        <w:ind w:firstLine="420"/>
        <w:rPr>
          <w:rFonts w:ascii="宋体" w:hAnsi="宋体" w:cs="宋体"/>
          <w:kern w:val="0"/>
          <w:szCs w:val="21"/>
          <w:highlight w:val="none"/>
        </w:rPr>
      </w:pPr>
      <w:r>
        <w:rPr>
          <w:rFonts w:hint="eastAsia" w:ascii="宋体" w:hAnsi="宋体" w:cs="宋体"/>
          <w:szCs w:val="21"/>
          <w:highlight w:val="none"/>
        </w:rPr>
        <w:t>（4）其他方法。</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23.3中标人确定后，在省级以上财政部门指定的媒体上公告中标结果，中标公告期为1个工作日，公告的同时向中标人发出中标通知书。</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23.4中标通知书对采购人和中标人具有同等法律效力。</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23.5中标通知书发出后，采购人或中标人拒绝签订合同的，拒绝签订合同的一方应至少向另一方支付与投标保证金相等的补偿金，以及为招标、投标所发生的有关费用和双方商定的其他补偿。</w:t>
      </w:r>
    </w:p>
    <w:p>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23.6中标通知书发出后，中标人无正当理由不与采购人签订合同的，投标保证金不予退还；情节严重的，由财政部门将其列入不良行为记录名单，在一至三年内禁止参加政府采购活动，并予以通报。</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23.7所有投标文件不论中标与否，均不退回。</w:t>
      </w:r>
    </w:p>
    <w:p>
      <w:pPr>
        <w:widowControl/>
        <w:shd w:val="clear" w:color="auto" w:fill="FFFFFF"/>
        <w:spacing w:line="360" w:lineRule="auto"/>
        <w:ind w:firstLine="412"/>
        <w:rPr>
          <w:rFonts w:ascii="宋体" w:hAnsi="宋体" w:cs="宋体"/>
          <w:kern w:val="0"/>
          <w:szCs w:val="21"/>
          <w:highlight w:val="none"/>
        </w:rPr>
      </w:pPr>
      <w:r>
        <w:rPr>
          <w:rFonts w:hint="eastAsia" w:ascii="宋体" w:hAnsi="宋体" w:cs="宋体"/>
          <w:b/>
          <w:bCs/>
          <w:kern w:val="0"/>
          <w:szCs w:val="21"/>
          <w:highlight w:val="none"/>
        </w:rPr>
        <w:t>24、编写评标报告</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24.1评标委员会根据全体评标成员签字的原始评标记录和评标结果编写评标报告。</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25、评标过程的保密性</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25.1 采购人和招标代理机构将采取必要措施，保证评标在严格保密的情况下进行。</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25.2 任何单位和个人不得非法干预、影响评标办法的确定，以及评标过程和结果。</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25.3 凡是与审查、澄清、评价和比较投标的有关资料等，均不向供应商及与评标无关的其他人员透露。</w:t>
      </w:r>
    </w:p>
    <w:p>
      <w:pPr>
        <w:pStyle w:val="4"/>
        <w:rPr>
          <w:rFonts w:ascii="宋体" w:hAnsi="宋体" w:cs="宋体"/>
          <w:sz w:val="21"/>
          <w:szCs w:val="21"/>
          <w:highlight w:val="none"/>
        </w:rPr>
      </w:pPr>
      <w:r>
        <w:rPr>
          <w:rFonts w:hint="eastAsia" w:ascii="宋体" w:hAnsi="宋体" w:cs="宋体"/>
          <w:sz w:val="21"/>
          <w:szCs w:val="21"/>
          <w:highlight w:val="none"/>
        </w:rPr>
        <w:t>六、签订合同</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26、签订合同</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pPr>
        <w:widowControl/>
        <w:shd w:val="clear" w:color="auto" w:fill="FFFFFF"/>
        <w:spacing w:line="360" w:lineRule="auto"/>
        <w:ind w:firstLine="420"/>
        <w:rPr>
          <w:rFonts w:ascii="宋体" w:hAnsi="宋体" w:cs="宋体"/>
          <w:b/>
          <w:bCs/>
          <w:szCs w:val="21"/>
          <w:highlight w:val="none"/>
        </w:rPr>
      </w:pPr>
      <w:r>
        <w:rPr>
          <w:rFonts w:hint="eastAsia" w:ascii="宋体" w:hAnsi="宋体" w:cs="宋体"/>
          <w:b/>
          <w:kern w:val="0"/>
          <w:szCs w:val="21"/>
          <w:highlight w:val="none"/>
        </w:rPr>
        <w:t>26.2</w:t>
      </w:r>
      <w:r>
        <w:rPr>
          <w:rFonts w:hint="eastAsia" w:ascii="宋体" w:hAnsi="宋体" w:cs="宋体"/>
          <w:szCs w:val="21"/>
          <w:highlight w:val="none"/>
        </w:rPr>
        <w:t>除继续履行将损害国家利益和社会公众利益的，政府采购合同的双方当事人不得擅自变更、中止或者终止合同。</w:t>
      </w:r>
      <w:r>
        <w:rPr>
          <w:rFonts w:hint="eastAsia" w:ascii="宋体" w:hAnsi="宋体" w:cs="宋体"/>
          <w:b/>
          <w:bCs/>
          <w:szCs w:val="21"/>
          <w:highlight w:val="none"/>
        </w:rPr>
        <w:t>放弃或拒绝签订合同的，中标人不得参加对该项目重新开展的采购活动，投标保证金不予退还</w:t>
      </w:r>
      <w:r>
        <w:rPr>
          <w:rFonts w:hint="eastAsia" w:ascii="宋体" w:hAnsi="宋体" w:cs="宋体"/>
          <w:b/>
          <w:bCs/>
          <w:kern w:val="0"/>
          <w:szCs w:val="21"/>
          <w:highlight w:val="none"/>
        </w:rPr>
        <w:t>，不收取投标保证金的项目，中标人应向采购人支付采购人为招标所发生的相关费用，</w:t>
      </w:r>
      <w:r>
        <w:rPr>
          <w:rFonts w:hint="eastAsia" w:ascii="宋体" w:hAnsi="宋体" w:cs="宋体"/>
          <w:b/>
          <w:bCs/>
          <w:szCs w:val="21"/>
          <w:highlight w:val="none"/>
        </w:rPr>
        <w:t>由财政部门列入不良行为记录名单，在一至三年内禁止参加政府采购活动，并予以通报。</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26.3中标人拒绝与采购人签订合同的，采购人可以按照评审报告推荐的中标或者成交候选人名单排序，确定下一候选人为中标或者成交供应商，也可以重新开展政府采购活动。</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26.4 政府采购合同履行中，采购人需追加与合同标的相同的货物或者服务的，在不改变合同其他条款的前提下，可以与供应商协商签订补充合同，但所有补充合同的采购金额不得超过原合同采购金额的百分之十。</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26.5 采购人与中标人应当根据合同的约定依法履行合同义务。</w:t>
      </w:r>
    </w:p>
    <w:p>
      <w:pPr>
        <w:pStyle w:val="4"/>
        <w:rPr>
          <w:rFonts w:ascii="宋体" w:hAnsi="宋体" w:cs="宋体"/>
          <w:sz w:val="21"/>
          <w:szCs w:val="21"/>
          <w:highlight w:val="none"/>
        </w:rPr>
      </w:pPr>
      <w:r>
        <w:rPr>
          <w:rFonts w:hint="eastAsia" w:ascii="宋体" w:hAnsi="宋体" w:cs="宋体"/>
          <w:sz w:val="21"/>
          <w:szCs w:val="21"/>
          <w:highlight w:val="none"/>
        </w:rPr>
        <w:t>七、质疑和投诉</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27、质疑</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27.1供应商对招标活动事项有疑问的，可以向招标代理机构提出询问，招标代理机构将依法作出答复，但答复的内容不涉及商业秘密</w:t>
      </w:r>
      <w:r>
        <w:rPr>
          <w:rFonts w:hint="eastAsia" w:ascii="宋体" w:hAnsi="宋体" w:cs="宋体"/>
          <w:b/>
          <w:bCs/>
          <w:kern w:val="0"/>
          <w:szCs w:val="21"/>
          <w:highlight w:val="none"/>
        </w:rPr>
        <w:t>。</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27.2提出质疑的供应商应当是参与所质疑项目采购活动的供应商。潜在供应商已依法获取其可质疑的采购文件的，可以对该文件提出质疑。</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szCs w:val="21"/>
          <w:highlight w:val="none"/>
        </w:rPr>
        <w:t>以联合体形式参加政府采购活动的，其质疑应当由组成联合体的所有供应商共同提出。</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27.3供应商认为采购文件、采购过程和中标结果使自己的合法权益受到损害的，可以在知道或者应知其权益受到损害之日起七个工作日内，将质疑文件原件送达采购人或采购代理机构。</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highlight w:val="none"/>
        </w:rPr>
        <w:t>供应商必须在法定质疑期内一次性提出针对同一采购程序环节的质疑。</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27.4 供应商提出质疑应当提交质疑函和必要的证明材料。质疑函应当包括下列内容：</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　　（一）供应商的姓名或者名称、地址、邮编、联系人及联系电话；</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　　（二）质疑项目的名称、编号；</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　　（三）具体、明确的质疑事项和与质疑事项相关的请求（具体条款）；</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　　（四）事实依据（具体条款）；</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　　（五）必要的法律依据（具体条款）；</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　　（六）提出质疑的日期。</w:t>
      </w:r>
    </w:p>
    <w:p>
      <w:pPr>
        <w:widowControl/>
        <w:shd w:val="clear" w:color="auto" w:fill="FFFFFF"/>
        <w:spacing w:line="360" w:lineRule="auto"/>
        <w:ind w:firstLine="420"/>
        <w:rPr>
          <w:rFonts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pPr>
        <w:widowControl/>
        <w:shd w:val="clear" w:color="auto" w:fill="FFFFFF"/>
        <w:spacing w:line="360" w:lineRule="auto"/>
        <w:ind w:firstLine="420"/>
        <w:rPr>
          <w:rFonts w:ascii="宋体" w:hAnsi="宋体" w:cs="宋体"/>
          <w:szCs w:val="21"/>
          <w:highlight w:val="none"/>
        </w:rPr>
      </w:pPr>
      <w:r>
        <w:rPr>
          <w:rFonts w:hint="eastAsia" w:ascii="宋体" w:hAnsi="宋体" w:cs="宋体"/>
          <w:szCs w:val="21"/>
          <w:highlight w:val="none"/>
        </w:rPr>
        <w:t>质疑函应当使用中文。相关当事人提供外文书证或者外国语视听资料的，应当附有中文译本，由翻译机构盖章或者翻译人员签名。</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27.5质疑函应当现场提交至采购代理机构联系人处，提交时应出示有效身份证明。未按上述要求提交质疑函的，质疑不予受理。</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27.7采购代理机构在收到供应商的书面质疑后将及时组织调查核实，在</w:t>
      </w:r>
      <w:r>
        <w:rPr>
          <w:rFonts w:hint="eastAsia" w:ascii="宋体" w:hAnsi="宋体" w:cs="宋体"/>
          <w:b/>
          <w:bCs/>
          <w:kern w:val="0"/>
          <w:szCs w:val="21"/>
          <w:highlight w:val="none"/>
        </w:rPr>
        <w:t>七个工作日内</w:t>
      </w:r>
      <w:r>
        <w:rPr>
          <w:rFonts w:hint="eastAsia" w:ascii="宋体" w:hAnsi="宋体" w:cs="宋体"/>
          <w:kern w:val="0"/>
          <w:szCs w:val="21"/>
          <w:highlight w:val="none"/>
        </w:rPr>
        <w:t>作出答复，并以书面或在网站公告形式通知质疑供应商和其他有关供应商，答复的内容不涉及商业秘密。</w:t>
      </w:r>
    </w:p>
    <w:p>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任何单位和个人对代理机构在招标采购活动中的违法行为，有权控告和检举，联系电话：025-86636139（招标代理机构质量管理部门）、025-86636853（招标代理机构纪检监察部门）。</w:t>
      </w:r>
    </w:p>
    <w:p>
      <w:pPr>
        <w:widowControl/>
        <w:shd w:val="clear" w:color="auto" w:fill="FFFFFF"/>
        <w:spacing w:line="420" w:lineRule="exact"/>
        <w:ind w:firstLine="420"/>
        <w:rPr>
          <w:rFonts w:ascii="宋体" w:hAnsi="宋体" w:cs="宋体"/>
          <w:kern w:val="0"/>
          <w:szCs w:val="21"/>
          <w:highlight w:val="none"/>
        </w:rPr>
      </w:pPr>
      <w:r>
        <w:rPr>
          <w:rFonts w:hint="eastAsia" w:ascii="宋体" w:hAnsi="宋体" w:cs="宋体"/>
          <w:b/>
          <w:bCs/>
          <w:kern w:val="0"/>
          <w:szCs w:val="21"/>
          <w:highlight w:val="none"/>
        </w:rPr>
        <w:t>28、投诉</w:t>
      </w:r>
    </w:p>
    <w:p>
      <w:pPr>
        <w:spacing w:line="420" w:lineRule="exact"/>
        <w:ind w:firstLine="420" w:firstLineChars="200"/>
        <w:rPr>
          <w:rFonts w:ascii="宋体" w:hAnsi="宋体" w:cs="宋体"/>
          <w:highlight w:val="none"/>
        </w:rPr>
      </w:pPr>
      <w:r>
        <w:rPr>
          <w:rFonts w:hint="eastAsia" w:ascii="宋体" w:hAnsi="宋体" w:cs="宋体"/>
          <w:highlight w:val="none"/>
        </w:rPr>
        <w:t>28.1质疑供应商对采购代理机构的答复不满意或者采购代理机构未在规定的时间内作出答复的，可以在答复期满后十五个工作日内向采购监督管理部门投诉。</w:t>
      </w:r>
    </w:p>
    <w:p>
      <w:pPr>
        <w:spacing w:line="420" w:lineRule="exact"/>
        <w:ind w:firstLine="420" w:firstLineChars="200"/>
        <w:rPr>
          <w:rFonts w:ascii="宋体" w:hAnsi="宋体" w:cs="宋体"/>
          <w:highlight w:val="none"/>
        </w:rPr>
      </w:pPr>
      <w:r>
        <w:rPr>
          <w:rFonts w:hint="eastAsia" w:ascii="宋体" w:hAnsi="宋体" w:cs="宋体"/>
          <w:szCs w:val="21"/>
          <w:highlight w:val="none"/>
        </w:rPr>
        <w:t>28.2供应商投诉应当有明确的请求和必要的证明材料。供应商投诉的事项不得超出已质疑事项的范围。</w:t>
      </w:r>
    </w:p>
    <w:p>
      <w:pPr>
        <w:spacing w:line="420" w:lineRule="exact"/>
        <w:ind w:firstLine="420" w:firstLineChars="200"/>
        <w:rPr>
          <w:rFonts w:ascii="宋体" w:hAnsi="宋体" w:cs="宋体"/>
          <w:highlight w:val="none"/>
        </w:rPr>
      </w:pPr>
      <w:r>
        <w:rPr>
          <w:rFonts w:hint="eastAsia" w:ascii="宋体" w:hAnsi="宋体" w:cs="宋体"/>
          <w:szCs w:val="21"/>
          <w:highlight w:val="none"/>
        </w:rPr>
        <w:t>28.3投诉人对采购监督管理部门的投诉处理决定不服或者政府采购监督管理部门逾期未作处理的，可以依法申请行政复议或者向人民法院提起行政诉讼。</w:t>
      </w:r>
    </w:p>
    <w:p>
      <w:pPr>
        <w:spacing w:line="420" w:lineRule="exact"/>
        <w:ind w:firstLine="420" w:firstLineChars="200"/>
        <w:rPr>
          <w:rFonts w:ascii="宋体" w:hAnsi="宋体" w:cs="宋体"/>
          <w:szCs w:val="21"/>
          <w:highlight w:val="none"/>
        </w:rPr>
      </w:pPr>
      <w:r>
        <w:rPr>
          <w:rFonts w:hint="eastAsia" w:ascii="宋体" w:hAnsi="宋体" w:cs="宋体"/>
          <w:highlight w:val="none"/>
        </w:rPr>
        <w:t>28.4 投诉人有下列行为之一的，属于严重失信行为，</w:t>
      </w:r>
      <w:r>
        <w:rPr>
          <w:rFonts w:hint="eastAsia" w:ascii="宋体" w:hAnsi="宋体" w:cs="宋体"/>
          <w:szCs w:val="21"/>
          <w:highlight w:val="none"/>
        </w:rPr>
        <w:t>由财政部门列入不良行为记录名单，禁止其一至三年内参加政府采购活动。</w:t>
      </w:r>
    </w:p>
    <w:p>
      <w:pPr>
        <w:spacing w:line="420" w:lineRule="exact"/>
        <w:ind w:firstLine="420" w:firstLineChars="200"/>
        <w:rPr>
          <w:rFonts w:ascii="宋体" w:hAnsi="宋体" w:cs="宋体"/>
          <w:highlight w:val="none"/>
        </w:rPr>
      </w:pPr>
      <w:r>
        <w:rPr>
          <w:rFonts w:hint="eastAsia" w:ascii="宋体" w:hAnsi="宋体" w:cs="宋体"/>
          <w:highlight w:val="none"/>
        </w:rPr>
        <w:t>（1）投诉人在全国范围12个月内三次以上投诉查无实据的；</w:t>
      </w:r>
    </w:p>
    <w:p>
      <w:pPr>
        <w:spacing w:line="420" w:lineRule="exact"/>
        <w:ind w:firstLine="420" w:firstLineChars="200"/>
        <w:rPr>
          <w:rFonts w:ascii="宋体" w:hAnsi="宋体" w:cs="宋体"/>
          <w:highlight w:val="none"/>
        </w:rPr>
      </w:pPr>
      <w:r>
        <w:rPr>
          <w:rFonts w:hint="eastAsia" w:ascii="宋体" w:hAnsi="宋体" w:cs="宋体"/>
          <w:highlight w:val="none"/>
        </w:rPr>
        <w:t>（2）采用捏造事实、提供虚假材料或者以非法手段取得证明材料等方式进行虚假、恶意投诉。</w:t>
      </w:r>
    </w:p>
    <w:p>
      <w:pPr>
        <w:spacing w:line="420" w:lineRule="exact"/>
        <w:ind w:firstLine="420" w:firstLineChars="200"/>
        <w:rPr>
          <w:rFonts w:ascii="宋体" w:hAnsi="宋体" w:cs="宋体"/>
          <w:kern w:val="0"/>
          <w:highlight w:val="none"/>
        </w:rPr>
      </w:pPr>
      <w:r>
        <w:rPr>
          <w:rFonts w:hint="eastAsia" w:ascii="宋体" w:hAnsi="宋体" w:cs="宋体"/>
          <w:highlight w:val="none"/>
        </w:rPr>
        <w:t>证据来源的合法性存在明显疑问，投诉人无法证明其取得方式合法的，视为以非法手段取得证明材料。</w:t>
      </w:r>
      <w:bookmarkStart w:id="30" w:name="_Toc24835"/>
      <w:r>
        <w:rPr>
          <w:rFonts w:hint="eastAsia" w:ascii="宋体" w:hAnsi="宋体" w:cs="宋体"/>
          <w:kern w:val="0"/>
          <w:highlight w:val="none"/>
        </w:rPr>
        <w:t> </w:t>
      </w:r>
      <w:bookmarkEnd w:id="30"/>
    </w:p>
    <w:p>
      <w:pPr>
        <w:rPr>
          <w:rFonts w:ascii="宋体" w:hAnsi="宋体" w:cs="宋体"/>
          <w:kern w:val="0"/>
          <w:highlight w:val="none"/>
        </w:rPr>
      </w:pPr>
    </w:p>
    <w:bookmarkEnd w:id="28"/>
    <w:p>
      <w:pPr>
        <w:rPr>
          <w:rFonts w:ascii="宋体" w:hAnsi="宋体" w:cs="宋体"/>
          <w:strike w:val="0"/>
          <w:kern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rPr>
          <w:rFonts w:ascii="宋体" w:hAnsi="宋体" w:cs="宋体"/>
          <w:strike w:val="0"/>
          <w:kern w:val="0"/>
          <w:highlight w:val="none"/>
        </w:rPr>
      </w:pPr>
      <w:bookmarkStart w:id="31" w:name="_Toc22818"/>
      <w:bookmarkStart w:id="32" w:name="_Toc8379"/>
      <w:bookmarkStart w:id="33" w:name="_Toc22098"/>
      <w:r>
        <w:rPr>
          <w:rFonts w:hint="eastAsia" w:ascii="宋体" w:hAnsi="宋体" w:cs="宋体"/>
          <w:strike w:val="0"/>
          <w:kern w:val="0"/>
          <w:highlight w:val="none"/>
        </w:rPr>
        <w:br w:type="page"/>
      </w:r>
    </w:p>
    <w:p>
      <w:pPr>
        <w:pStyle w:val="3"/>
        <w:numPr>
          <w:ilvl w:val="0"/>
          <w:numId w:val="0"/>
        </w:numPr>
        <w:spacing w:line="360" w:lineRule="auto"/>
        <w:ind w:right="176" w:rightChars="84"/>
        <w:rPr>
          <w:rFonts w:ascii="宋体" w:hAnsi="宋体" w:cs="宋体"/>
          <w:strike w:val="0"/>
          <w:kern w:val="0"/>
          <w:highlight w:val="none"/>
        </w:rPr>
      </w:pPr>
      <w:bookmarkStart w:id="34" w:name="_Toc14855"/>
      <w:bookmarkStart w:id="35" w:name="_Toc19024"/>
      <w:bookmarkStart w:id="36" w:name="_Toc17914"/>
      <w:bookmarkStart w:id="37" w:name="_Toc29752"/>
      <w:bookmarkStart w:id="38" w:name="_Toc8467"/>
      <w:r>
        <w:rPr>
          <w:rFonts w:hint="eastAsia" w:ascii="宋体" w:hAnsi="宋体" w:cs="宋体"/>
          <w:strike w:val="0"/>
          <w:kern w:val="0"/>
          <w:highlight w:val="none"/>
        </w:rPr>
        <w:t>第三章 评标标准</w:t>
      </w:r>
      <w:bookmarkEnd w:id="31"/>
      <w:bookmarkEnd w:id="32"/>
      <w:bookmarkEnd w:id="33"/>
      <w:bookmarkEnd w:id="34"/>
      <w:bookmarkEnd w:id="35"/>
      <w:bookmarkEnd w:id="36"/>
      <w:bookmarkEnd w:id="37"/>
      <w:bookmarkEnd w:id="38"/>
    </w:p>
    <w:bookmarkEnd w:id="29"/>
    <w:p>
      <w:pPr>
        <w:spacing w:line="360" w:lineRule="auto"/>
        <w:ind w:firstLine="420" w:firstLineChars="200"/>
        <w:rPr>
          <w:rFonts w:hint="eastAsia" w:ascii="宋体" w:hAnsi="宋体" w:cs="宋体"/>
          <w:strike w:val="0"/>
          <w:highlight w:val="none"/>
        </w:rPr>
      </w:pPr>
      <w:r>
        <w:rPr>
          <w:rFonts w:hint="eastAsia" w:ascii="宋体" w:hAnsi="宋体" w:cs="宋体"/>
          <w:strike w:val="0"/>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本招标文件23.2条款规定确定中标供应商。</w:t>
      </w:r>
    </w:p>
    <w:p>
      <w:pPr>
        <w:pageBreakBefore w:val="0"/>
        <w:widowControl w:val="0"/>
        <w:kinsoku/>
        <w:wordWrap/>
        <w:overflowPunct/>
        <w:topLinePunct w:val="0"/>
        <w:autoSpaceDE/>
        <w:autoSpaceDN/>
        <w:bidi w:val="0"/>
        <w:adjustRightInd w:val="0"/>
        <w:snapToGrid/>
        <w:spacing w:line="240" w:lineRule="auto"/>
        <w:ind w:firstLine="420" w:firstLineChars="200"/>
        <w:jc w:val="both"/>
        <w:rPr>
          <w:rFonts w:ascii="宋体" w:hAnsi="宋体"/>
          <w:bCs/>
          <w:kern w:val="2"/>
          <w:sz w:val="21"/>
          <w:szCs w:val="21"/>
          <w:highlight w:val="none"/>
        </w:rPr>
      </w:pPr>
    </w:p>
    <w:tbl>
      <w:tblPr>
        <w:tblStyle w:val="49"/>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2"/>
        <w:gridCol w:w="1276"/>
        <w:gridCol w:w="6350"/>
        <w:gridCol w:w="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blHeader/>
          <w:jc w:val="center"/>
        </w:trPr>
        <w:tc>
          <w:tcPr>
            <w:tcW w:w="582"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b/>
                <w:kern w:val="2"/>
                <w:sz w:val="21"/>
                <w:szCs w:val="21"/>
                <w:highlight w:val="none"/>
              </w:rPr>
            </w:pPr>
            <w:r>
              <w:rPr>
                <w:rFonts w:hint="eastAsia" w:ascii="宋体" w:hAnsi="宋体" w:cs="宋体"/>
                <w:b/>
                <w:kern w:val="2"/>
                <w:sz w:val="21"/>
                <w:szCs w:val="21"/>
                <w:highlight w:val="none"/>
              </w:rPr>
              <w:t>序号</w:t>
            </w:r>
          </w:p>
        </w:tc>
        <w:tc>
          <w:tcPr>
            <w:tcW w:w="1276"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b/>
                <w:kern w:val="2"/>
                <w:sz w:val="21"/>
                <w:szCs w:val="21"/>
                <w:highlight w:val="none"/>
              </w:rPr>
            </w:pPr>
            <w:r>
              <w:rPr>
                <w:rFonts w:hint="eastAsia" w:ascii="宋体" w:hAnsi="宋体" w:cs="宋体"/>
                <w:b/>
                <w:kern w:val="2"/>
                <w:sz w:val="21"/>
                <w:szCs w:val="21"/>
                <w:highlight w:val="none"/>
              </w:rPr>
              <w:t>评分因素</w:t>
            </w:r>
          </w:p>
        </w:tc>
        <w:tc>
          <w:tcPr>
            <w:tcW w:w="6350"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b/>
                <w:kern w:val="2"/>
                <w:sz w:val="21"/>
                <w:szCs w:val="21"/>
                <w:highlight w:val="none"/>
              </w:rPr>
            </w:pPr>
            <w:r>
              <w:rPr>
                <w:rFonts w:hint="eastAsia" w:ascii="宋体" w:hAnsi="宋体" w:cs="宋体"/>
                <w:b/>
                <w:kern w:val="2"/>
                <w:sz w:val="21"/>
                <w:szCs w:val="21"/>
                <w:highlight w:val="none"/>
              </w:rPr>
              <w:t>评审标准</w:t>
            </w:r>
          </w:p>
        </w:tc>
        <w:tc>
          <w:tcPr>
            <w:tcW w:w="693"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b/>
                <w:kern w:val="2"/>
                <w:sz w:val="21"/>
                <w:szCs w:val="21"/>
                <w:highlight w:val="none"/>
              </w:rPr>
            </w:pPr>
            <w:r>
              <w:rPr>
                <w:rFonts w:hint="eastAsia" w:ascii="宋体" w:hAnsi="宋体" w:cs="宋体"/>
                <w:b/>
                <w:kern w:val="2"/>
                <w:sz w:val="21"/>
                <w:szCs w:val="21"/>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blHeader/>
          <w:jc w:val="center"/>
        </w:trPr>
        <w:tc>
          <w:tcPr>
            <w:tcW w:w="582"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1</w:t>
            </w:r>
          </w:p>
        </w:tc>
        <w:tc>
          <w:tcPr>
            <w:tcW w:w="1276"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价格</w:t>
            </w:r>
          </w:p>
        </w:tc>
        <w:tc>
          <w:tcPr>
            <w:tcW w:w="6350" w:type="dxa"/>
            <w:noWrap w:val="0"/>
            <w:vAlign w:val="center"/>
          </w:tcPr>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kern w:val="2"/>
                <w:sz w:val="21"/>
                <w:szCs w:val="21"/>
                <w:highlight w:val="none"/>
              </w:rPr>
              <w:t>采用低价优先法计算，即满足采购文件要求且投标价格最低的投标报价为评标基准价，其价格分为满分。其他投标人的价格分按照下列公式计算（小数点保留两位）：投标报价得分=(评标基准价／投标报价)×20。</w:t>
            </w:r>
          </w:p>
        </w:tc>
        <w:tc>
          <w:tcPr>
            <w:tcW w:w="693"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582"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2</w:t>
            </w:r>
          </w:p>
        </w:tc>
        <w:tc>
          <w:tcPr>
            <w:tcW w:w="1276" w:type="dxa"/>
            <w:vMerge w:val="restart"/>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企业实力</w:t>
            </w:r>
          </w:p>
        </w:tc>
        <w:tc>
          <w:tcPr>
            <w:tcW w:w="6350" w:type="dxa"/>
            <w:noWrap w:val="0"/>
            <w:vAlign w:val="center"/>
          </w:tcPr>
          <w:p>
            <w:pPr>
              <w:pageBreakBefore w:val="0"/>
              <w:widowControl w:val="0"/>
              <w:kinsoku/>
              <w:wordWrap/>
              <w:overflowPunct/>
              <w:topLinePunct w:val="0"/>
              <w:autoSpaceDE/>
              <w:autoSpaceDN/>
              <w:bidi w:val="0"/>
              <w:snapToGrid/>
              <w:spacing w:line="24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提供（2023年3月1日至今）第三方检测机构出具的“医用纺织品检测报告”，检测项目包括PH值；细菌总数、大肠杆菌；空气、桌面、手表面。有《PH值检测报告》、《细菌总数、大肠杆菌检测报告》、《空气、桌面、手检测报告》，每项报告得</w:t>
            </w:r>
            <w:r>
              <w:rPr>
                <w:rFonts w:hint="eastAsia" w:ascii="宋体" w:hAnsi="宋体" w:cs="宋体"/>
                <w:kern w:val="0"/>
                <w:sz w:val="21"/>
                <w:szCs w:val="21"/>
                <w:highlight w:val="none"/>
                <w:lang w:val="en-US" w:eastAsia="zh-CN" w:bidi="ar-SA"/>
              </w:rPr>
              <w:t>2</w:t>
            </w:r>
            <w:r>
              <w:rPr>
                <w:rFonts w:hint="eastAsia" w:ascii="宋体" w:hAnsi="宋体" w:eastAsia="宋体" w:cs="宋体"/>
                <w:kern w:val="0"/>
                <w:sz w:val="21"/>
                <w:szCs w:val="21"/>
                <w:highlight w:val="none"/>
                <w:lang w:val="en-US" w:eastAsia="zh-CN" w:bidi="ar-SA"/>
              </w:rPr>
              <w:t>分，共</w:t>
            </w:r>
            <w:r>
              <w:rPr>
                <w:rFonts w:hint="eastAsia" w:ascii="宋体" w:hAnsi="宋体" w:cs="宋体"/>
                <w:kern w:val="0"/>
                <w:sz w:val="21"/>
                <w:szCs w:val="21"/>
                <w:highlight w:val="none"/>
                <w:lang w:val="en-US" w:eastAsia="zh-CN" w:bidi="ar-SA"/>
              </w:rPr>
              <w:t>6</w:t>
            </w:r>
            <w:r>
              <w:rPr>
                <w:rFonts w:hint="eastAsia" w:ascii="宋体" w:hAnsi="宋体" w:eastAsia="宋体" w:cs="宋体"/>
                <w:kern w:val="0"/>
                <w:sz w:val="21"/>
                <w:szCs w:val="21"/>
                <w:highlight w:val="none"/>
                <w:lang w:val="en-US" w:eastAsia="zh-CN" w:bidi="ar-SA"/>
              </w:rPr>
              <w:t>分。检测标准为GB15982-2012《医院消毒卫生标准》（</w:t>
            </w:r>
            <w:r>
              <w:rPr>
                <w:rFonts w:hint="eastAsia" w:ascii="宋体" w:hAnsi="宋体" w:eastAsia="宋体" w:cs="宋体"/>
                <w:b/>
                <w:bCs/>
                <w:kern w:val="0"/>
                <w:sz w:val="21"/>
                <w:szCs w:val="21"/>
                <w:highlight w:val="none"/>
                <w:lang w:val="en-US" w:eastAsia="zh-CN" w:bidi="ar-SA"/>
              </w:rPr>
              <w:t>提供检测报告复印件并加盖</w:t>
            </w:r>
            <w:r>
              <w:rPr>
                <w:rFonts w:hint="eastAsia" w:ascii="宋体" w:hAnsi="宋体" w:cs="宋体"/>
                <w:b/>
                <w:bCs/>
                <w:kern w:val="0"/>
                <w:sz w:val="21"/>
                <w:szCs w:val="21"/>
                <w:highlight w:val="none"/>
                <w:lang w:val="en-US" w:eastAsia="zh-CN" w:bidi="ar-SA"/>
              </w:rPr>
              <w:t>供应商</w:t>
            </w:r>
            <w:r>
              <w:rPr>
                <w:rFonts w:hint="eastAsia" w:ascii="宋体" w:hAnsi="宋体" w:eastAsia="宋体" w:cs="宋体"/>
                <w:b/>
                <w:bCs/>
                <w:kern w:val="0"/>
                <w:sz w:val="21"/>
                <w:szCs w:val="21"/>
                <w:highlight w:val="none"/>
                <w:lang w:val="en-US" w:eastAsia="zh-CN" w:bidi="ar-SA"/>
              </w:rPr>
              <w:t>公章，否则不得分，原件备查）</w:t>
            </w:r>
          </w:p>
        </w:tc>
        <w:tc>
          <w:tcPr>
            <w:tcW w:w="693"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blHeader/>
          <w:jc w:val="center"/>
        </w:trPr>
        <w:tc>
          <w:tcPr>
            <w:tcW w:w="582"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3.1</w:t>
            </w:r>
          </w:p>
        </w:tc>
        <w:tc>
          <w:tcPr>
            <w:tcW w:w="1276" w:type="dxa"/>
            <w:vMerge w:val="restart"/>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服务场地及设备设施</w:t>
            </w:r>
          </w:p>
        </w:tc>
        <w:tc>
          <w:tcPr>
            <w:tcW w:w="6350" w:type="dxa"/>
            <w:noWrap w:val="0"/>
            <w:vAlign w:val="center"/>
          </w:tcPr>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kern w:val="2"/>
                <w:sz w:val="21"/>
                <w:szCs w:val="21"/>
                <w:highlight w:val="none"/>
                <w:lang w:eastAsia="zh-CN"/>
              </w:rPr>
              <w:t>供应商</w:t>
            </w:r>
            <w:r>
              <w:rPr>
                <w:rFonts w:hint="eastAsia" w:ascii="宋体" w:hAnsi="宋体" w:cs="宋体"/>
                <w:kern w:val="2"/>
                <w:sz w:val="21"/>
                <w:szCs w:val="21"/>
                <w:highlight w:val="none"/>
              </w:rPr>
              <w:t>具有固定的洗涤场所得4分；</w:t>
            </w:r>
            <w:r>
              <w:rPr>
                <w:rFonts w:hint="eastAsia" w:ascii="宋体" w:hAnsi="宋体" w:cs="宋体"/>
                <w:b/>
                <w:kern w:val="2"/>
                <w:sz w:val="21"/>
                <w:szCs w:val="21"/>
                <w:highlight w:val="none"/>
              </w:rPr>
              <w:t>（提供房产证明或租赁合同复印件加盖投标人公章）</w:t>
            </w:r>
          </w:p>
        </w:tc>
        <w:tc>
          <w:tcPr>
            <w:tcW w:w="693"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atLeast"/>
          <w:tblHeader/>
          <w:jc w:val="center"/>
        </w:trPr>
        <w:tc>
          <w:tcPr>
            <w:tcW w:w="582"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3.2</w:t>
            </w:r>
          </w:p>
        </w:tc>
        <w:tc>
          <w:tcPr>
            <w:tcW w:w="1276" w:type="dxa"/>
            <w:vMerge w:val="continue"/>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p>
        </w:tc>
        <w:tc>
          <w:tcPr>
            <w:tcW w:w="6350" w:type="dxa"/>
            <w:noWrap w:val="0"/>
            <w:vAlign w:val="center"/>
          </w:tcPr>
          <w:p>
            <w:pPr>
              <w:pStyle w:val="18"/>
              <w:rPr>
                <w:rFonts w:hint="eastAsia" w:ascii="宋体" w:hAnsi="宋体" w:cs="宋体"/>
                <w:b/>
                <w:sz w:val="21"/>
                <w:szCs w:val="21"/>
                <w:highlight w:val="none"/>
              </w:rPr>
            </w:pPr>
            <w:r>
              <w:rPr>
                <w:rFonts w:hint="eastAsia" w:ascii="宋体" w:hAnsi="宋体" w:cs="宋体"/>
                <w:kern w:val="2"/>
                <w:sz w:val="21"/>
                <w:szCs w:val="21"/>
                <w:highlight w:val="none"/>
              </w:rPr>
              <w:t>根据</w:t>
            </w:r>
            <w:r>
              <w:rPr>
                <w:rFonts w:hint="eastAsia" w:ascii="宋体" w:hAnsi="宋体" w:cs="宋体"/>
                <w:kern w:val="2"/>
                <w:sz w:val="21"/>
                <w:szCs w:val="21"/>
                <w:highlight w:val="none"/>
                <w:lang w:eastAsia="zh-CN"/>
              </w:rPr>
              <w:t>供应商</w:t>
            </w:r>
            <w:r>
              <w:rPr>
                <w:rFonts w:hint="eastAsia" w:ascii="宋体" w:hAnsi="宋体" w:cs="宋体"/>
                <w:kern w:val="2"/>
                <w:sz w:val="21"/>
                <w:szCs w:val="21"/>
                <w:highlight w:val="none"/>
              </w:rPr>
              <w:t>提供的运输车辆及洗衣厂房设备设施配备完善情况（洗涤、烘干、熨烫、折叠等设备）及生产流水线和洗涤设备的新旧及专业程度化进行评比</w:t>
            </w:r>
            <w:r>
              <w:rPr>
                <w:rFonts w:hint="eastAsia" w:ascii="宋体" w:hAnsi="宋体" w:cs="宋体"/>
                <w:b/>
                <w:kern w:val="2"/>
                <w:sz w:val="21"/>
                <w:szCs w:val="21"/>
                <w:highlight w:val="none"/>
              </w:rPr>
              <w:t>（需提供</w:t>
            </w:r>
            <w:r>
              <w:rPr>
                <w:rFonts w:hint="eastAsia" w:ascii="宋体" w:hAnsi="宋体" w:cs="宋体"/>
                <w:b/>
                <w:kern w:val="2"/>
                <w:sz w:val="21"/>
                <w:szCs w:val="21"/>
                <w:highlight w:val="none"/>
                <w:lang w:val="en-US" w:eastAsia="zh-CN"/>
              </w:rPr>
              <w:t>1、</w:t>
            </w:r>
            <w:r>
              <w:rPr>
                <w:rFonts w:hint="eastAsia" w:ascii="宋体" w:hAnsi="宋体" w:cs="宋体"/>
                <w:b/>
                <w:sz w:val="21"/>
                <w:szCs w:val="21"/>
                <w:highlight w:val="none"/>
              </w:rPr>
              <w:t>以供应商名义购买车辆的需提供车辆的发票或有效的《机动车行驶证》，复印件加盖供应商公章；</w:t>
            </w:r>
            <w:r>
              <w:rPr>
                <w:rFonts w:hint="eastAsia" w:ascii="宋体" w:hAnsi="宋体" w:eastAsia="宋体" w:cs="宋体"/>
                <w:b/>
                <w:sz w:val="21"/>
                <w:szCs w:val="21"/>
                <w:highlight w:val="none"/>
                <w:lang w:val="en-US" w:eastAsia="zh-CN"/>
              </w:rPr>
              <w:t>或</w:t>
            </w:r>
            <w:r>
              <w:rPr>
                <w:rFonts w:hint="eastAsia" w:ascii="宋体" w:hAnsi="宋体" w:cs="宋体"/>
                <w:b/>
                <w:sz w:val="21"/>
                <w:szCs w:val="21"/>
                <w:highlight w:val="none"/>
              </w:rPr>
              <w:t>以供应商名义委托运输车辆的需提供车辆委托运输协议和有效的《道路运输证》、运输人员从业资格证，复印件加盖供应商公章。</w:t>
            </w:r>
          </w:p>
          <w:p>
            <w:pPr>
              <w:pStyle w:val="18"/>
              <w:pageBreakBefore w:val="0"/>
              <w:widowControl w:val="0"/>
              <w:numPr>
                <w:ilvl w:val="0"/>
                <w:numId w:val="3"/>
              </w:numPr>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b/>
                <w:kern w:val="2"/>
                <w:sz w:val="21"/>
                <w:szCs w:val="21"/>
                <w:highlight w:val="none"/>
              </w:rPr>
              <w:t>设备的名称、购买合同或购置发票、品牌型号和照片</w:t>
            </w:r>
            <w:r>
              <w:rPr>
                <w:rFonts w:hint="eastAsia" w:ascii="宋体" w:hAnsi="宋体" w:cs="宋体"/>
                <w:b/>
                <w:kern w:val="2"/>
                <w:sz w:val="21"/>
                <w:szCs w:val="21"/>
                <w:highlight w:val="none"/>
                <w:lang w:val="en-US" w:eastAsia="zh-CN"/>
              </w:rPr>
              <w:t>。3、</w:t>
            </w:r>
            <w:r>
              <w:rPr>
                <w:rFonts w:hint="eastAsia" w:ascii="宋体" w:hAnsi="宋体" w:cs="宋体"/>
                <w:b/>
                <w:kern w:val="2"/>
                <w:sz w:val="21"/>
                <w:szCs w:val="21"/>
                <w:highlight w:val="none"/>
              </w:rPr>
              <w:t>生产流水线的照片等）</w:t>
            </w:r>
          </w:p>
          <w:p>
            <w:pPr>
              <w:pStyle w:val="24"/>
              <w:ind w:left="0" w:leftChars="0"/>
              <w:rPr>
                <w:rFonts w:hint="eastAsia" w:ascii="宋体" w:hAnsi="宋体" w:cs="宋体"/>
                <w:kern w:val="2"/>
                <w:sz w:val="21"/>
                <w:szCs w:val="21"/>
                <w:highlight w:val="none"/>
                <w:lang w:val="en-US" w:eastAsia="zh-CN"/>
              </w:rPr>
            </w:pPr>
            <w:r>
              <w:rPr>
                <w:rFonts w:hint="eastAsia" w:ascii="宋体" w:hAnsi="宋体" w:cs="宋体"/>
                <w:kern w:val="2"/>
                <w:sz w:val="21"/>
                <w:szCs w:val="21"/>
                <w:highlight w:val="none"/>
              </w:rPr>
              <w:t>运输车辆及洗衣厂房设备设施配备</w:t>
            </w:r>
            <w:r>
              <w:rPr>
                <w:rFonts w:hint="eastAsia" w:ascii="宋体" w:hAnsi="宋体" w:cs="宋体"/>
                <w:kern w:val="2"/>
                <w:sz w:val="21"/>
                <w:szCs w:val="21"/>
                <w:highlight w:val="none"/>
                <w:lang w:val="en-US" w:eastAsia="zh-CN"/>
              </w:rPr>
              <w:t>完善，</w:t>
            </w:r>
            <w:r>
              <w:rPr>
                <w:rFonts w:hint="eastAsia" w:ascii="宋体" w:hAnsi="宋体" w:cs="宋体"/>
                <w:kern w:val="2"/>
                <w:sz w:val="21"/>
                <w:szCs w:val="21"/>
                <w:highlight w:val="none"/>
              </w:rPr>
              <w:t>洗涤设备新</w:t>
            </w:r>
            <w:r>
              <w:rPr>
                <w:rFonts w:hint="eastAsia" w:ascii="宋体" w:hAnsi="宋体" w:cs="宋体"/>
                <w:kern w:val="2"/>
                <w:sz w:val="21"/>
                <w:szCs w:val="21"/>
                <w:highlight w:val="none"/>
                <w:lang w:eastAsia="zh-CN"/>
              </w:rPr>
              <w:t>，</w:t>
            </w:r>
            <w:r>
              <w:rPr>
                <w:rFonts w:hint="eastAsia" w:ascii="宋体" w:hAnsi="宋体" w:cs="宋体"/>
                <w:kern w:val="2"/>
                <w:sz w:val="21"/>
                <w:szCs w:val="21"/>
                <w:highlight w:val="none"/>
              </w:rPr>
              <w:t>专业程度化</w:t>
            </w:r>
            <w:r>
              <w:rPr>
                <w:rFonts w:hint="eastAsia" w:ascii="宋体" w:hAnsi="宋体" w:cs="宋体"/>
                <w:kern w:val="2"/>
                <w:sz w:val="21"/>
                <w:szCs w:val="21"/>
                <w:highlight w:val="none"/>
                <w:lang w:val="en-US" w:eastAsia="zh-CN"/>
              </w:rPr>
              <w:t>高的得10分；</w:t>
            </w:r>
          </w:p>
          <w:p>
            <w:pPr>
              <w:pStyle w:val="24"/>
              <w:ind w:left="0" w:leftChars="0"/>
              <w:rPr>
                <w:rFonts w:hint="eastAsia" w:ascii="宋体" w:hAnsi="宋体" w:cs="宋体"/>
                <w:kern w:val="2"/>
                <w:sz w:val="21"/>
                <w:szCs w:val="21"/>
                <w:highlight w:val="none"/>
                <w:lang w:val="en-US" w:eastAsia="zh-CN"/>
              </w:rPr>
            </w:pPr>
            <w:r>
              <w:rPr>
                <w:rFonts w:hint="eastAsia" w:ascii="宋体" w:hAnsi="宋体" w:cs="宋体"/>
                <w:kern w:val="2"/>
                <w:sz w:val="21"/>
                <w:szCs w:val="21"/>
                <w:highlight w:val="none"/>
              </w:rPr>
              <w:t>运输车辆及洗衣厂房设备设施配备</w:t>
            </w:r>
            <w:r>
              <w:rPr>
                <w:rFonts w:hint="eastAsia" w:ascii="宋体" w:hAnsi="宋体" w:cs="宋体"/>
                <w:kern w:val="2"/>
                <w:sz w:val="21"/>
                <w:szCs w:val="21"/>
                <w:highlight w:val="none"/>
                <w:lang w:val="en-US" w:eastAsia="zh-CN"/>
              </w:rPr>
              <w:t>较完善，</w:t>
            </w:r>
            <w:r>
              <w:rPr>
                <w:rFonts w:hint="eastAsia" w:ascii="宋体" w:hAnsi="宋体" w:cs="宋体"/>
                <w:kern w:val="2"/>
                <w:sz w:val="21"/>
                <w:szCs w:val="21"/>
                <w:highlight w:val="none"/>
              </w:rPr>
              <w:t>洗涤设备</w:t>
            </w:r>
            <w:r>
              <w:rPr>
                <w:rFonts w:hint="eastAsia" w:ascii="宋体" w:hAnsi="宋体" w:cs="宋体"/>
                <w:kern w:val="2"/>
                <w:sz w:val="21"/>
                <w:szCs w:val="21"/>
                <w:highlight w:val="none"/>
                <w:lang w:val="en-US" w:eastAsia="zh-CN"/>
              </w:rPr>
              <w:t>较</w:t>
            </w:r>
            <w:r>
              <w:rPr>
                <w:rFonts w:hint="eastAsia" w:ascii="宋体" w:hAnsi="宋体" w:cs="宋体"/>
                <w:kern w:val="2"/>
                <w:sz w:val="21"/>
                <w:szCs w:val="21"/>
                <w:highlight w:val="none"/>
              </w:rPr>
              <w:t>新</w:t>
            </w:r>
            <w:r>
              <w:rPr>
                <w:rFonts w:hint="eastAsia" w:ascii="宋体" w:hAnsi="宋体" w:cs="宋体"/>
                <w:kern w:val="2"/>
                <w:sz w:val="21"/>
                <w:szCs w:val="21"/>
                <w:highlight w:val="none"/>
                <w:lang w:eastAsia="zh-CN"/>
              </w:rPr>
              <w:t>，</w:t>
            </w:r>
            <w:r>
              <w:rPr>
                <w:rFonts w:hint="eastAsia" w:ascii="宋体" w:hAnsi="宋体" w:cs="宋体"/>
                <w:kern w:val="2"/>
                <w:sz w:val="21"/>
                <w:szCs w:val="21"/>
                <w:highlight w:val="none"/>
              </w:rPr>
              <w:t>专业程度化</w:t>
            </w:r>
            <w:r>
              <w:rPr>
                <w:rFonts w:hint="eastAsia" w:ascii="宋体" w:hAnsi="宋体" w:cs="宋体"/>
                <w:kern w:val="2"/>
                <w:sz w:val="21"/>
                <w:szCs w:val="21"/>
                <w:highlight w:val="none"/>
                <w:lang w:val="en-US" w:eastAsia="zh-CN"/>
              </w:rPr>
              <w:t>较高的得7分；</w:t>
            </w:r>
          </w:p>
          <w:p>
            <w:pPr>
              <w:pStyle w:val="24"/>
              <w:ind w:left="0" w:leftChars="0"/>
              <w:rPr>
                <w:rFonts w:hint="eastAsia" w:ascii="宋体" w:hAnsi="宋体" w:cs="宋体"/>
                <w:kern w:val="2"/>
                <w:sz w:val="21"/>
                <w:szCs w:val="21"/>
                <w:highlight w:val="none"/>
                <w:lang w:val="en-US" w:eastAsia="zh-CN"/>
              </w:rPr>
            </w:pPr>
            <w:r>
              <w:rPr>
                <w:rFonts w:hint="eastAsia" w:ascii="宋体" w:hAnsi="宋体" w:cs="宋体"/>
                <w:kern w:val="2"/>
                <w:sz w:val="21"/>
                <w:szCs w:val="21"/>
                <w:highlight w:val="none"/>
              </w:rPr>
              <w:t>运输车辆及洗衣厂房设备设施配备</w:t>
            </w:r>
            <w:r>
              <w:rPr>
                <w:rFonts w:hint="eastAsia" w:ascii="宋体" w:hAnsi="宋体" w:cs="宋体"/>
                <w:kern w:val="2"/>
                <w:sz w:val="21"/>
                <w:szCs w:val="21"/>
                <w:highlight w:val="none"/>
                <w:lang w:val="en-US" w:eastAsia="zh-CN"/>
              </w:rPr>
              <w:t>基本完善，</w:t>
            </w:r>
            <w:r>
              <w:rPr>
                <w:rFonts w:hint="eastAsia" w:ascii="宋体" w:hAnsi="宋体" w:cs="宋体"/>
                <w:kern w:val="2"/>
                <w:sz w:val="21"/>
                <w:szCs w:val="21"/>
                <w:highlight w:val="none"/>
              </w:rPr>
              <w:t>洗涤设备</w:t>
            </w:r>
            <w:r>
              <w:rPr>
                <w:rFonts w:hint="eastAsia" w:ascii="宋体" w:hAnsi="宋体" w:cs="宋体"/>
                <w:kern w:val="2"/>
                <w:sz w:val="21"/>
                <w:szCs w:val="21"/>
                <w:highlight w:val="none"/>
                <w:lang w:val="en-US" w:eastAsia="zh-CN"/>
              </w:rPr>
              <w:t>一般</w:t>
            </w:r>
            <w:r>
              <w:rPr>
                <w:rFonts w:hint="eastAsia" w:ascii="宋体" w:hAnsi="宋体" w:cs="宋体"/>
                <w:kern w:val="2"/>
                <w:sz w:val="21"/>
                <w:szCs w:val="21"/>
                <w:highlight w:val="none"/>
                <w:lang w:eastAsia="zh-CN"/>
              </w:rPr>
              <w:t>，</w:t>
            </w:r>
            <w:r>
              <w:rPr>
                <w:rFonts w:hint="eastAsia" w:ascii="宋体" w:hAnsi="宋体" w:cs="宋体"/>
                <w:kern w:val="2"/>
                <w:sz w:val="21"/>
                <w:szCs w:val="21"/>
                <w:highlight w:val="none"/>
              </w:rPr>
              <w:t>专业程度化</w:t>
            </w:r>
            <w:r>
              <w:rPr>
                <w:rFonts w:hint="eastAsia" w:ascii="宋体" w:hAnsi="宋体" w:cs="宋体"/>
                <w:kern w:val="2"/>
                <w:sz w:val="21"/>
                <w:szCs w:val="21"/>
                <w:highlight w:val="none"/>
                <w:lang w:val="en-US" w:eastAsia="zh-CN"/>
              </w:rPr>
              <w:t>一般的得4分；</w:t>
            </w:r>
          </w:p>
          <w:p>
            <w:pPr>
              <w:pageBreakBefore w:val="0"/>
              <w:widowControl w:val="0"/>
              <w:kinsoku/>
              <w:wordWrap/>
              <w:overflowPunct/>
              <w:topLinePunct w:val="0"/>
              <w:autoSpaceDE/>
              <w:autoSpaceDN/>
              <w:bidi w:val="0"/>
              <w:snapToGrid/>
              <w:spacing w:line="240" w:lineRule="auto"/>
              <w:jc w:val="both"/>
              <w:rPr>
                <w:rFonts w:hint="eastAsia" w:ascii="宋体" w:hAnsi="宋体" w:cs="宋体"/>
                <w:strike/>
                <w:kern w:val="2"/>
                <w:sz w:val="21"/>
                <w:szCs w:val="21"/>
                <w:highlight w:val="none"/>
              </w:rPr>
            </w:pPr>
            <w:r>
              <w:rPr>
                <w:rFonts w:hint="eastAsia" w:ascii="宋体" w:hAnsi="宋体" w:cs="宋体"/>
                <w:bCs/>
                <w:kern w:val="2"/>
                <w:sz w:val="21"/>
                <w:szCs w:val="21"/>
                <w:highlight w:val="none"/>
              </w:rPr>
              <w:t>未提供的不得分。</w:t>
            </w:r>
          </w:p>
        </w:tc>
        <w:tc>
          <w:tcPr>
            <w:tcW w:w="693"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atLeast"/>
          <w:tblHeader/>
          <w:jc w:val="center"/>
        </w:trPr>
        <w:tc>
          <w:tcPr>
            <w:tcW w:w="582"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4.1</w:t>
            </w:r>
          </w:p>
        </w:tc>
        <w:tc>
          <w:tcPr>
            <w:tcW w:w="1276" w:type="dxa"/>
            <w:vMerge w:val="restart"/>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人员配备情况</w:t>
            </w:r>
          </w:p>
        </w:tc>
        <w:tc>
          <w:tcPr>
            <w:tcW w:w="6350" w:type="dxa"/>
            <w:noWrap w:val="0"/>
            <w:vAlign w:val="center"/>
          </w:tcPr>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kern w:val="2"/>
                <w:sz w:val="21"/>
                <w:szCs w:val="21"/>
                <w:highlight w:val="none"/>
              </w:rPr>
              <w:t>根据</w:t>
            </w:r>
            <w:r>
              <w:rPr>
                <w:rFonts w:hint="eastAsia" w:ascii="宋体" w:hAnsi="宋体" w:cs="宋体"/>
                <w:kern w:val="2"/>
                <w:sz w:val="21"/>
                <w:szCs w:val="21"/>
                <w:highlight w:val="none"/>
                <w:lang w:eastAsia="zh-CN"/>
              </w:rPr>
              <w:t>供应商</w:t>
            </w:r>
            <w:r>
              <w:rPr>
                <w:rFonts w:hint="eastAsia" w:ascii="宋体" w:hAnsi="宋体" w:cs="宋体"/>
                <w:kern w:val="2"/>
                <w:sz w:val="21"/>
                <w:szCs w:val="21"/>
                <w:highlight w:val="none"/>
              </w:rPr>
              <w:t>针对</w:t>
            </w:r>
            <w:r>
              <w:rPr>
                <w:rFonts w:hint="eastAsia" w:ascii="宋体" w:hAnsi="宋体" w:cs="宋体"/>
                <w:kern w:val="2"/>
                <w:sz w:val="21"/>
                <w:szCs w:val="21"/>
                <w:highlight w:val="none"/>
                <w:lang w:val="en-US" w:eastAsia="zh-CN"/>
              </w:rPr>
              <w:t>本项目</w:t>
            </w:r>
            <w:r>
              <w:rPr>
                <w:rFonts w:hint="eastAsia" w:ascii="宋体" w:hAnsi="宋体" w:cs="宋体"/>
                <w:kern w:val="2"/>
                <w:sz w:val="21"/>
                <w:szCs w:val="21"/>
                <w:highlight w:val="none"/>
              </w:rPr>
              <w:t>配备的现场服务人员的数量、专业</w:t>
            </w:r>
            <w:r>
              <w:rPr>
                <w:rFonts w:hint="eastAsia" w:ascii="宋体" w:hAnsi="宋体" w:cs="宋体"/>
                <w:kern w:val="2"/>
                <w:sz w:val="21"/>
                <w:szCs w:val="21"/>
                <w:highlight w:val="none"/>
                <w:lang w:val="en-US" w:eastAsia="zh-CN"/>
              </w:rPr>
              <w:t>能力</w:t>
            </w:r>
            <w:r>
              <w:rPr>
                <w:rFonts w:hint="eastAsia" w:ascii="宋体" w:hAnsi="宋体" w:cs="宋体"/>
                <w:kern w:val="2"/>
                <w:sz w:val="21"/>
                <w:szCs w:val="21"/>
                <w:highlight w:val="none"/>
              </w:rPr>
              <w:t>、工作经验等进行评比</w:t>
            </w:r>
            <w:r>
              <w:rPr>
                <w:rFonts w:hint="eastAsia" w:ascii="宋体" w:hAnsi="宋体" w:cs="宋体"/>
                <w:kern w:val="2"/>
                <w:sz w:val="21"/>
                <w:szCs w:val="21"/>
                <w:highlight w:val="none"/>
                <w:lang w:eastAsia="zh-CN"/>
              </w:rPr>
              <w:t>，</w:t>
            </w:r>
            <w:r>
              <w:rPr>
                <w:rFonts w:hint="eastAsia" w:ascii="宋体" w:hAnsi="宋体" w:eastAsia="宋体" w:cs="宋体"/>
                <w:bCs w:val="0"/>
                <w:color w:val="auto"/>
                <w:sz w:val="21"/>
                <w:szCs w:val="21"/>
                <w:highlight w:val="none"/>
              </w:rPr>
              <w:t>（提供人员职称、证书等证明材料）</w:t>
            </w:r>
            <w:r>
              <w:rPr>
                <w:rFonts w:hint="eastAsia" w:ascii="宋体" w:hAnsi="宋体" w:cs="宋体"/>
                <w:kern w:val="2"/>
                <w:sz w:val="21"/>
                <w:szCs w:val="21"/>
                <w:highlight w:val="none"/>
                <w:lang w:eastAsia="zh-CN"/>
              </w:rPr>
              <w:t>。</w:t>
            </w:r>
            <w:r>
              <w:rPr>
                <w:rFonts w:hint="eastAsia" w:ascii="宋体" w:hAnsi="宋体" w:cs="宋体"/>
                <w:kern w:val="2"/>
                <w:sz w:val="21"/>
                <w:szCs w:val="21"/>
                <w:highlight w:val="none"/>
                <w:lang w:val="en-US" w:eastAsia="zh-CN"/>
              </w:rPr>
              <w:t xml:space="preserve"> </w:t>
            </w:r>
          </w:p>
          <w:p>
            <w:pPr>
              <w:pStyle w:val="24"/>
              <w:ind w:left="0" w:leftChars="0"/>
              <w:rPr>
                <w:rFonts w:hint="eastAsia" w:ascii="宋体" w:hAnsi="宋体" w:cs="宋体"/>
                <w:kern w:val="2"/>
                <w:sz w:val="21"/>
                <w:szCs w:val="21"/>
                <w:highlight w:val="none"/>
                <w:lang w:val="en-US" w:eastAsia="zh-CN"/>
              </w:rPr>
            </w:pPr>
            <w:r>
              <w:rPr>
                <w:rFonts w:hint="eastAsia" w:ascii="宋体" w:hAnsi="宋体" w:cs="宋体"/>
                <w:kern w:val="2"/>
                <w:sz w:val="21"/>
                <w:szCs w:val="21"/>
                <w:highlight w:val="none"/>
              </w:rPr>
              <w:t>现场服务人员的数量</w:t>
            </w:r>
            <w:r>
              <w:rPr>
                <w:rFonts w:hint="eastAsia" w:ascii="宋体" w:hAnsi="宋体" w:cs="宋体"/>
                <w:kern w:val="2"/>
                <w:sz w:val="21"/>
                <w:szCs w:val="21"/>
                <w:highlight w:val="none"/>
                <w:lang w:val="en-US" w:eastAsia="zh-CN"/>
              </w:rPr>
              <w:t>充足</w:t>
            </w:r>
            <w:r>
              <w:rPr>
                <w:rFonts w:hint="eastAsia" w:ascii="宋体" w:hAnsi="宋体" w:cs="宋体"/>
                <w:kern w:val="2"/>
                <w:sz w:val="21"/>
                <w:szCs w:val="21"/>
                <w:highlight w:val="none"/>
              </w:rPr>
              <w:t>、专业</w:t>
            </w:r>
            <w:r>
              <w:rPr>
                <w:rFonts w:hint="eastAsia" w:ascii="宋体" w:hAnsi="宋体" w:cs="宋体"/>
                <w:kern w:val="2"/>
                <w:sz w:val="21"/>
                <w:szCs w:val="21"/>
                <w:highlight w:val="none"/>
                <w:lang w:val="en-US" w:eastAsia="zh-CN"/>
              </w:rPr>
              <w:t>能力高</w:t>
            </w:r>
            <w:r>
              <w:rPr>
                <w:rFonts w:hint="eastAsia" w:ascii="宋体" w:hAnsi="宋体" w:cs="宋体"/>
                <w:kern w:val="2"/>
                <w:sz w:val="21"/>
                <w:szCs w:val="21"/>
                <w:highlight w:val="none"/>
              </w:rPr>
              <w:t>、工作经验</w:t>
            </w:r>
            <w:r>
              <w:rPr>
                <w:rFonts w:hint="eastAsia" w:ascii="宋体" w:hAnsi="宋体" w:cs="宋体"/>
                <w:kern w:val="2"/>
                <w:sz w:val="21"/>
                <w:szCs w:val="21"/>
                <w:highlight w:val="none"/>
                <w:lang w:val="en-US" w:eastAsia="zh-CN"/>
              </w:rPr>
              <w:t>丰富的得8分；</w:t>
            </w:r>
          </w:p>
          <w:p>
            <w:pPr>
              <w:pStyle w:val="24"/>
              <w:ind w:left="0" w:leftChars="0"/>
              <w:rPr>
                <w:rFonts w:hint="eastAsia" w:ascii="宋体" w:hAnsi="宋体" w:cs="宋体"/>
                <w:kern w:val="2"/>
                <w:sz w:val="21"/>
                <w:szCs w:val="21"/>
                <w:highlight w:val="none"/>
                <w:lang w:val="en-US" w:eastAsia="zh-CN"/>
              </w:rPr>
            </w:pPr>
            <w:r>
              <w:rPr>
                <w:rFonts w:hint="eastAsia" w:ascii="宋体" w:hAnsi="宋体" w:cs="宋体"/>
                <w:kern w:val="2"/>
                <w:sz w:val="21"/>
                <w:szCs w:val="21"/>
                <w:highlight w:val="none"/>
              </w:rPr>
              <w:t>现场服务人员的数量</w:t>
            </w:r>
            <w:r>
              <w:rPr>
                <w:rFonts w:hint="eastAsia" w:ascii="宋体" w:hAnsi="宋体" w:cs="宋体"/>
                <w:kern w:val="2"/>
                <w:sz w:val="21"/>
                <w:szCs w:val="21"/>
                <w:highlight w:val="none"/>
                <w:lang w:val="en-US" w:eastAsia="zh-CN"/>
              </w:rPr>
              <w:t>较充足</w:t>
            </w:r>
            <w:r>
              <w:rPr>
                <w:rFonts w:hint="eastAsia" w:ascii="宋体" w:hAnsi="宋体" w:cs="宋体"/>
                <w:kern w:val="2"/>
                <w:sz w:val="21"/>
                <w:szCs w:val="21"/>
                <w:highlight w:val="none"/>
              </w:rPr>
              <w:t>、专业</w:t>
            </w:r>
            <w:r>
              <w:rPr>
                <w:rFonts w:hint="eastAsia" w:ascii="宋体" w:hAnsi="宋体" w:cs="宋体"/>
                <w:kern w:val="2"/>
                <w:sz w:val="21"/>
                <w:szCs w:val="21"/>
                <w:highlight w:val="none"/>
                <w:lang w:val="en-US" w:eastAsia="zh-CN"/>
              </w:rPr>
              <w:t>能力较高</w:t>
            </w:r>
            <w:r>
              <w:rPr>
                <w:rFonts w:hint="eastAsia" w:ascii="宋体" w:hAnsi="宋体" w:cs="宋体"/>
                <w:kern w:val="2"/>
                <w:sz w:val="21"/>
                <w:szCs w:val="21"/>
                <w:highlight w:val="none"/>
              </w:rPr>
              <w:t>、工作经验</w:t>
            </w:r>
            <w:r>
              <w:rPr>
                <w:rFonts w:hint="eastAsia" w:ascii="宋体" w:hAnsi="宋体" w:cs="宋体"/>
                <w:kern w:val="2"/>
                <w:sz w:val="21"/>
                <w:szCs w:val="21"/>
                <w:highlight w:val="none"/>
                <w:lang w:val="en-US" w:eastAsia="zh-CN"/>
              </w:rPr>
              <w:t>较丰富的得5分；</w:t>
            </w:r>
          </w:p>
          <w:p>
            <w:pPr>
              <w:pStyle w:val="24"/>
              <w:ind w:left="0" w:leftChars="0"/>
              <w:rPr>
                <w:rFonts w:hint="default"/>
                <w:highlight w:val="none"/>
                <w:lang w:val="en-US" w:eastAsia="zh-CN"/>
              </w:rPr>
            </w:pPr>
            <w:r>
              <w:rPr>
                <w:rFonts w:hint="eastAsia" w:ascii="宋体" w:hAnsi="宋体" w:cs="宋体"/>
                <w:kern w:val="2"/>
                <w:sz w:val="21"/>
                <w:szCs w:val="21"/>
                <w:highlight w:val="none"/>
              </w:rPr>
              <w:t>现场服务人员的数量</w:t>
            </w:r>
            <w:r>
              <w:rPr>
                <w:rFonts w:hint="eastAsia" w:ascii="宋体" w:hAnsi="宋体" w:cs="宋体"/>
                <w:kern w:val="2"/>
                <w:sz w:val="21"/>
                <w:szCs w:val="21"/>
                <w:highlight w:val="none"/>
                <w:lang w:val="en-US" w:eastAsia="zh-CN"/>
              </w:rPr>
              <w:t>基本满足要求</w:t>
            </w:r>
            <w:r>
              <w:rPr>
                <w:rFonts w:hint="eastAsia" w:ascii="宋体" w:hAnsi="宋体" w:cs="宋体"/>
                <w:kern w:val="2"/>
                <w:sz w:val="21"/>
                <w:szCs w:val="21"/>
                <w:highlight w:val="none"/>
              </w:rPr>
              <w:t>、专业</w:t>
            </w:r>
            <w:r>
              <w:rPr>
                <w:rFonts w:hint="eastAsia" w:ascii="宋体" w:hAnsi="宋体" w:cs="宋体"/>
                <w:kern w:val="2"/>
                <w:sz w:val="21"/>
                <w:szCs w:val="21"/>
                <w:highlight w:val="none"/>
                <w:lang w:val="en-US" w:eastAsia="zh-CN"/>
              </w:rPr>
              <w:t>能力一般</w:t>
            </w:r>
            <w:r>
              <w:rPr>
                <w:rFonts w:hint="eastAsia" w:ascii="宋体" w:hAnsi="宋体" w:cs="宋体"/>
                <w:kern w:val="2"/>
                <w:sz w:val="21"/>
                <w:szCs w:val="21"/>
                <w:highlight w:val="none"/>
              </w:rPr>
              <w:t>、工作经验</w:t>
            </w:r>
            <w:r>
              <w:rPr>
                <w:rFonts w:hint="eastAsia" w:ascii="宋体" w:hAnsi="宋体" w:cs="宋体"/>
                <w:kern w:val="2"/>
                <w:sz w:val="21"/>
                <w:szCs w:val="21"/>
                <w:highlight w:val="none"/>
                <w:lang w:val="en-US" w:eastAsia="zh-CN"/>
              </w:rPr>
              <w:t>一般的得2分；</w:t>
            </w:r>
          </w:p>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bCs/>
                <w:kern w:val="2"/>
                <w:sz w:val="21"/>
                <w:szCs w:val="21"/>
                <w:highlight w:val="none"/>
                <w:lang w:val="en-US" w:eastAsia="zh-CN"/>
              </w:rPr>
              <w:t>不满足项目要求或</w:t>
            </w:r>
            <w:r>
              <w:rPr>
                <w:rFonts w:hint="eastAsia" w:ascii="宋体" w:hAnsi="宋体" w:cs="宋体"/>
                <w:bCs/>
                <w:kern w:val="2"/>
                <w:sz w:val="21"/>
                <w:szCs w:val="21"/>
                <w:highlight w:val="none"/>
              </w:rPr>
              <w:t>未提供的不得分。</w:t>
            </w:r>
          </w:p>
        </w:tc>
        <w:tc>
          <w:tcPr>
            <w:tcW w:w="693"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blHeader/>
          <w:jc w:val="center"/>
        </w:trPr>
        <w:tc>
          <w:tcPr>
            <w:tcW w:w="582"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4.2</w:t>
            </w:r>
          </w:p>
        </w:tc>
        <w:tc>
          <w:tcPr>
            <w:tcW w:w="1276" w:type="dxa"/>
            <w:vMerge w:val="continue"/>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p>
        </w:tc>
        <w:tc>
          <w:tcPr>
            <w:tcW w:w="6350" w:type="dxa"/>
            <w:noWrap w:val="0"/>
            <w:vAlign w:val="center"/>
          </w:tcPr>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kern w:val="2"/>
                <w:sz w:val="21"/>
                <w:szCs w:val="21"/>
                <w:highlight w:val="none"/>
                <w:lang w:eastAsia="zh-CN"/>
              </w:rPr>
              <w:t>供应商</w:t>
            </w:r>
            <w:r>
              <w:rPr>
                <w:rFonts w:hint="eastAsia" w:ascii="宋体" w:hAnsi="宋体" w:cs="宋体"/>
                <w:kern w:val="2"/>
                <w:sz w:val="21"/>
                <w:szCs w:val="21"/>
                <w:highlight w:val="none"/>
              </w:rPr>
              <w:t>为本项目配备的人员中具有洗衣师证书的，每提供一个证书得1分，最高得3分；</w:t>
            </w:r>
            <w:r>
              <w:rPr>
                <w:rFonts w:hint="eastAsia" w:ascii="宋体" w:hAnsi="宋体" w:cs="宋体"/>
                <w:b/>
                <w:kern w:val="2"/>
                <w:sz w:val="21"/>
                <w:szCs w:val="21"/>
                <w:highlight w:val="none"/>
              </w:rPr>
              <w:t>（提供证书复印件并加盖投标人公章；以及</w:t>
            </w:r>
            <w:r>
              <w:rPr>
                <w:rFonts w:hint="eastAsia" w:ascii="宋体" w:hAnsi="宋体" w:cs="宋体"/>
                <w:b/>
                <w:kern w:val="2"/>
                <w:sz w:val="21"/>
                <w:szCs w:val="21"/>
                <w:highlight w:val="none"/>
                <w:lang w:val="en-US" w:eastAsia="zh-CN"/>
              </w:rPr>
              <w:t>供应商</w:t>
            </w:r>
            <w:r>
              <w:rPr>
                <w:rFonts w:hint="eastAsia" w:ascii="宋体" w:hAnsi="宋体" w:cs="宋体"/>
                <w:b/>
                <w:kern w:val="2"/>
                <w:sz w:val="21"/>
                <w:szCs w:val="21"/>
                <w:highlight w:val="none"/>
              </w:rPr>
              <w:t>为以上人员缴纳的202</w:t>
            </w:r>
            <w:r>
              <w:rPr>
                <w:rFonts w:hint="eastAsia" w:ascii="宋体" w:hAnsi="宋体" w:cs="宋体"/>
                <w:b/>
                <w:kern w:val="2"/>
                <w:sz w:val="21"/>
                <w:szCs w:val="21"/>
                <w:highlight w:val="none"/>
                <w:lang w:val="en-US" w:eastAsia="zh-CN"/>
              </w:rPr>
              <w:t>5</w:t>
            </w:r>
            <w:r>
              <w:rPr>
                <w:rFonts w:hint="eastAsia" w:ascii="宋体" w:hAnsi="宋体" w:cs="宋体"/>
                <w:b/>
                <w:kern w:val="2"/>
                <w:sz w:val="21"/>
                <w:szCs w:val="21"/>
                <w:highlight w:val="none"/>
              </w:rPr>
              <w:t>年</w:t>
            </w:r>
            <w:r>
              <w:rPr>
                <w:rFonts w:hint="eastAsia" w:ascii="宋体" w:hAnsi="宋体" w:cs="宋体"/>
                <w:b/>
                <w:kern w:val="2"/>
                <w:sz w:val="21"/>
                <w:szCs w:val="21"/>
                <w:highlight w:val="none"/>
                <w:lang w:val="en-US" w:eastAsia="zh-CN"/>
              </w:rPr>
              <w:t>1</w:t>
            </w:r>
            <w:r>
              <w:rPr>
                <w:rFonts w:hint="eastAsia" w:ascii="宋体" w:hAnsi="宋体" w:cs="宋体"/>
                <w:b/>
                <w:kern w:val="2"/>
                <w:sz w:val="21"/>
                <w:szCs w:val="21"/>
                <w:highlight w:val="none"/>
              </w:rPr>
              <w:t>月至202</w:t>
            </w:r>
            <w:r>
              <w:rPr>
                <w:rFonts w:hint="eastAsia" w:ascii="宋体" w:hAnsi="宋体" w:cs="宋体"/>
                <w:b/>
                <w:kern w:val="2"/>
                <w:sz w:val="21"/>
                <w:szCs w:val="21"/>
                <w:highlight w:val="none"/>
                <w:lang w:val="en-US" w:eastAsia="zh-CN"/>
              </w:rPr>
              <w:t>5</w:t>
            </w:r>
            <w:r>
              <w:rPr>
                <w:rFonts w:hint="eastAsia" w:ascii="宋体" w:hAnsi="宋体" w:cs="宋体"/>
                <w:b/>
                <w:kern w:val="2"/>
                <w:sz w:val="21"/>
                <w:szCs w:val="21"/>
                <w:highlight w:val="none"/>
              </w:rPr>
              <w:t>年</w:t>
            </w:r>
            <w:r>
              <w:rPr>
                <w:rFonts w:hint="eastAsia" w:ascii="宋体" w:hAnsi="宋体" w:cs="宋体"/>
                <w:b/>
                <w:kern w:val="2"/>
                <w:sz w:val="21"/>
                <w:szCs w:val="21"/>
                <w:highlight w:val="none"/>
                <w:lang w:val="en-US" w:eastAsia="zh-CN"/>
              </w:rPr>
              <w:t>3</w:t>
            </w:r>
            <w:r>
              <w:rPr>
                <w:rFonts w:hint="eastAsia" w:ascii="宋体" w:hAnsi="宋体" w:cs="宋体"/>
                <w:b/>
                <w:kern w:val="2"/>
                <w:sz w:val="21"/>
                <w:szCs w:val="21"/>
                <w:highlight w:val="none"/>
              </w:rPr>
              <w:t>月</w:t>
            </w:r>
            <w:r>
              <w:rPr>
                <w:rFonts w:hint="eastAsia" w:ascii="宋体" w:hAnsi="宋体" w:cs="宋体"/>
                <w:b/>
                <w:kern w:val="2"/>
                <w:sz w:val="21"/>
                <w:szCs w:val="21"/>
                <w:highlight w:val="none"/>
                <w:lang w:val="en-US" w:eastAsia="zh-CN"/>
              </w:rPr>
              <w:t>中任意1个月</w:t>
            </w:r>
            <w:r>
              <w:rPr>
                <w:rFonts w:hint="eastAsia" w:ascii="宋体" w:hAnsi="宋体" w:cs="宋体"/>
                <w:b/>
                <w:kern w:val="2"/>
                <w:sz w:val="21"/>
                <w:szCs w:val="21"/>
                <w:highlight w:val="none"/>
              </w:rPr>
              <w:t>的社保证明材料）</w:t>
            </w:r>
          </w:p>
        </w:tc>
        <w:tc>
          <w:tcPr>
            <w:tcW w:w="693"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582"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5.1</w:t>
            </w:r>
          </w:p>
        </w:tc>
        <w:tc>
          <w:tcPr>
            <w:tcW w:w="1276" w:type="dxa"/>
            <w:vMerge w:val="restart"/>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业绩及满意度</w:t>
            </w:r>
          </w:p>
        </w:tc>
        <w:tc>
          <w:tcPr>
            <w:tcW w:w="6350" w:type="dxa"/>
            <w:noWrap w:val="0"/>
            <w:vAlign w:val="center"/>
          </w:tcPr>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kern w:val="2"/>
                <w:sz w:val="21"/>
                <w:szCs w:val="21"/>
                <w:highlight w:val="none"/>
              </w:rPr>
              <w:t>自202</w:t>
            </w:r>
            <w:r>
              <w:rPr>
                <w:rFonts w:hint="eastAsia" w:ascii="宋体" w:hAnsi="宋体" w:cs="宋体"/>
                <w:kern w:val="2"/>
                <w:sz w:val="21"/>
                <w:szCs w:val="21"/>
                <w:highlight w:val="none"/>
                <w:lang w:val="en-US" w:eastAsia="zh-CN"/>
              </w:rPr>
              <w:t>2</w:t>
            </w:r>
            <w:r>
              <w:rPr>
                <w:rFonts w:hint="eastAsia" w:ascii="宋体" w:hAnsi="宋体" w:cs="宋体"/>
                <w:kern w:val="2"/>
                <w:sz w:val="21"/>
                <w:szCs w:val="21"/>
                <w:highlight w:val="none"/>
              </w:rPr>
              <w:t>年1月1日（以合同签订日为准）至今，承接过类似项目的成功案例，每提供一个得2分，最高得10分。</w:t>
            </w:r>
            <w:r>
              <w:rPr>
                <w:rFonts w:hint="eastAsia" w:ascii="宋体" w:hAnsi="宋体" w:cs="宋体"/>
                <w:b/>
                <w:kern w:val="2"/>
                <w:sz w:val="21"/>
                <w:szCs w:val="21"/>
                <w:highlight w:val="none"/>
              </w:rPr>
              <w:t>（需提供相关合同复印件、原件备查。）</w:t>
            </w:r>
          </w:p>
        </w:tc>
        <w:tc>
          <w:tcPr>
            <w:tcW w:w="693"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582"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5.2</w:t>
            </w:r>
          </w:p>
        </w:tc>
        <w:tc>
          <w:tcPr>
            <w:tcW w:w="1276" w:type="dxa"/>
            <w:vMerge w:val="continue"/>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p>
        </w:tc>
        <w:tc>
          <w:tcPr>
            <w:tcW w:w="6350" w:type="dxa"/>
            <w:noWrap w:val="0"/>
            <w:vAlign w:val="center"/>
          </w:tcPr>
          <w:p>
            <w:pPr>
              <w:pageBreakBefore w:val="0"/>
              <w:widowControl w:val="0"/>
              <w:kinsoku/>
              <w:wordWrap/>
              <w:overflowPunct/>
              <w:topLinePunct w:val="0"/>
              <w:autoSpaceDE/>
              <w:autoSpaceDN/>
              <w:bidi w:val="0"/>
              <w:snapToGrid/>
              <w:spacing w:line="240" w:lineRule="auto"/>
              <w:jc w:val="both"/>
              <w:rPr>
                <w:rFonts w:hint="default" w:ascii="宋体" w:hAnsi="宋体" w:eastAsia="宋体" w:cs="宋体"/>
                <w:kern w:val="2"/>
                <w:sz w:val="21"/>
                <w:szCs w:val="21"/>
                <w:highlight w:val="none"/>
                <w:lang w:val="en-US" w:eastAsia="zh-CN"/>
              </w:rPr>
            </w:pPr>
            <w:r>
              <w:rPr>
                <w:rFonts w:hint="eastAsia" w:ascii="宋体" w:hAnsi="宋体" w:cs="宋体"/>
                <w:kern w:val="2"/>
                <w:sz w:val="21"/>
                <w:szCs w:val="21"/>
                <w:highlight w:val="none"/>
                <w:lang w:eastAsia="zh-CN"/>
              </w:rPr>
              <w:t>供应商</w:t>
            </w:r>
            <w:r>
              <w:rPr>
                <w:rFonts w:hint="eastAsia" w:ascii="宋体" w:hAnsi="宋体" w:cs="宋体"/>
                <w:kern w:val="2"/>
                <w:sz w:val="21"/>
                <w:szCs w:val="21"/>
                <w:highlight w:val="none"/>
              </w:rPr>
              <w:t>有近3年(202</w:t>
            </w:r>
            <w:r>
              <w:rPr>
                <w:rFonts w:hint="eastAsia" w:ascii="宋体" w:hAnsi="宋体" w:cs="宋体"/>
                <w:kern w:val="2"/>
                <w:sz w:val="21"/>
                <w:szCs w:val="21"/>
                <w:highlight w:val="none"/>
                <w:lang w:val="en-US" w:eastAsia="zh-CN"/>
              </w:rPr>
              <w:t>2</w:t>
            </w:r>
            <w:r>
              <w:rPr>
                <w:rFonts w:hint="eastAsia" w:ascii="宋体" w:hAnsi="宋体" w:cs="宋体"/>
                <w:kern w:val="2"/>
                <w:sz w:val="21"/>
                <w:szCs w:val="21"/>
                <w:highlight w:val="none"/>
              </w:rPr>
              <w:t>年1月1日至今)内业主单位对其服务满意证明材料的，有一个得</w:t>
            </w:r>
            <w:r>
              <w:rPr>
                <w:rFonts w:hint="eastAsia" w:ascii="宋体" w:hAnsi="宋体" w:cs="宋体"/>
                <w:kern w:val="2"/>
                <w:sz w:val="21"/>
                <w:szCs w:val="21"/>
                <w:highlight w:val="none"/>
                <w:lang w:val="en-US" w:eastAsia="zh-CN"/>
              </w:rPr>
              <w:t>1</w:t>
            </w:r>
            <w:r>
              <w:rPr>
                <w:rFonts w:hint="eastAsia" w:ascii="宋体" w:hAnsi="宋体" w:cs="宋体"/>
                <w:kern w:val="2"/>
                <w:sz w:val="21"/>
                <w:szCs w:val="21"/>
                <w:highlight w:val="none"/>
              </w:rPr>
              <w:t>分，最高不超过5分。</w:t>
            </w:r>
            <w:r>
              <w:rPr>
                <w:rFonts w:hint="eastAsia" w:ascii="宋体" w:hAnsi="宋体" w:cs="宋体"/>
                <w:kern w:val="2"/>
                <w:sz w:val="21"/>
                <w:szCs w:val="21"/>
                <w:highlight w:val="none"/>
                <w:lang w:eastAsia="zh-CN"/>
              </w:rPr>
              <w:t>（</w:t>
            </w:r>
            <w:r>
              <w:rPr>
                <w:rFonts w:hint="eastAsia" w:ascii="宋体" w:hAnsi="宋体" w:cs="宋体"/>
                <w:b/>
                <w:kern w:val="2"/>
                <w:sz w:val="21"/>
                <w:szCs w:val="21"/>
                <w:highlight w:val="none"/>
              </w:rPr>
              <w:t>需提供业主单位的满意度证明材料（有业主单位盖章，并注明业主联系方式以便核实）复印件并加盖投标人公章</w:t>
            </w:r>
            <w:r>
              <w:rPr>
                <w:rFonts w:hint="eastAsia" w:ascii="宋体" w:hAnsi="宋体" w:cs="宋体"/>
                <w:b/>
                <w:kern w:val="2"/>
                <w:sz w:val="21"/>
                <w:szCs w:val="21"/>
                <w:highlight w:val="none"/>
                <w:lang w:eastAsia="zh-CN"/>
              </w:rPr>
              <w:t>，</w:t>
            </w:r>
            <w:r>
              <w:rPr>
                <w:rFonts w:hint="eastAsia" w:ascii="宋体" w:hAnsi="宋体" w:cs="宋体"/>
                <w:b/>
                <w:kern w:val="2"/>
                <w:sz w:val="21"/>
                <w:szCs w:val="21"/>
                <w:highlight w:val="none"/>
                <w:lang w:val="en-US" w:eastAsia="zh-CN"/>
              </w:rPr>
              <w:t>同一业主单位不重复得分。）</w:t>
            </w:r>
          </w:p>
        </w:tc>
        <w:tc>
          <w:tcPr>
            <w:tcW w:w="693"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blHeader/>
          <w:jc w:val="center"/>
        </w:trPr>
        <w:tc>
          <w:tcPr>
            <w:tcW w:w="582"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6.1</w:t>
            </w:r>
          </w:p>
        </w:tc>
        <w:tc>
          <w:tcPr>
            <w:tcW w:w="1276" w:type="dxa"/>
            <w:vMerge w:val="restart"/>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项目服务方案</w:t>
            </w:r>
          </w:p>
        </w:tc>
        <w:tc>
          <w:tcPr>
            <w:tcW w:w="6350" w:type="dxa"/>
            <w:noWrap w:val="0"/>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eastAsia="宋体"/>
                <w:highlight w:val="none"/>
                <w:lang w:eastAsia="zh-CN"/>
              </w:rPr>
            </w:pPr>
            <w:r>
              <w:rPr>
                <w:rFonts w:ascii="宋体" w:hAnsi="宋体" w:eastAsia="宋体" w:cs="宋体"/>
                <w:color w:val="000000"/>
                <w:sz w:val="21"/>
                <w:highlight w:val="none"/>
              </w:rPr>
              <w:t>根据供应商提供的服务</w:t>
            </w:r>
            <w:r>
              <w:rPr>
                <w:rFonts w:hint="eastAsia" w:ascii="宋体" w:hAnsi="宋体" w:eastAsia="宋体" w:cs="宋体"/>
                <w:color w:val="000000"/>
                <w:sz w:val="21"/>
                <w:highlight w:val="none"/>
                <w:lang w:val="en-US" w:eastAsia="zh-CN"/>
              </w:rPr>
              <w:t>总体</w:t>
            </w:r>
            <w:r>
              <w:rPr>
                <w:rFonts w:ascii="宋体" w:hAnsi="宋体" w:eastAsia="宋体" w:cs="宋体"/>
                <w:color w:val="000000"/>
                <w:sz w:val="21"/>
                <w:highlight w:val="none"/>
              </w:rPr>
              <w:t>方案（包括服务管理工作目标定位、实施方案、工作流程</w:t>
            </w:r>
            <w:r>
              <w:rPr>
                <w:rFonts w:hint="eastAsia" w:ascii="宋体" w:hAnsi="宋体" w:cs="宋体"/>
                <w:color w:val="000000"/>
                <w:sz w:val="21"/>
                <w:highlight w:val="none"/>
                <w:lang w:eastAsia="zh-CN"/>
              </w:rPr>
              <w:t>、</w:t>
            </w:r>
            <w:r>
              <w:rPr>
                <w:rFonts w:hint="eastAsia" w:ascii="宋体" w:hAnsi="宋体"/>
                <w:szCs w:val="21"/>
                <w:highlight w:val="none"/>
              </w:rPr>
              <w:t>项目组工作制度</w:t>
            </w:r>
            <w:r>
              <w:rPr>
                <w:rFonts w:ascii="宋体" w:hAnsi="宋体" w:eastAsia="宋体" w:cs="宋体"/>
                <w:color w:val="000000"/>
                <w:sz w:val="21"/>
                <w:highlight w:val="none"/>
              </w:rPr>
              <w:t>等）进行评分</w:t>
            </w:r>
            <w:r>
              <w:rPr>
                <w:rFonts w:hint="eastAsia" w:ascii="宋体" w:hAnsi="宋体" w:eastAsia="宋体" w:cs="宋体"/>
                <w:color w:val="000000"/>
                <w:sz w:val="21"/>
                <w:highlight w:val="none"/>
                <w:lang w:eastAsia="zh-CN"/>
              </w:rPr>
              <w:t>：</w:t>
            </w:r>
          </w:p>
          <w:p>
            <w:pPr>
              <w:pageBreakBefore w:val="0"/>
              <w:widowControl w:val="0"/>
              <w:kinsoku/>
              <w:wordWrap/>
              <w:overflowPunct/>
              <w:topLinePunct w:val="0"/>
              <w:autoSpaceDE/>
              <w:autoSpaceDN/>
              <w:bidi w:val="0"/>
              <w:snapToGrid/>
              <w:spacing w:line="240" w:lineRule="auto"/>
              <w:jc w:val="both"/>
              <w:rPr>
                <w:rFonts w:ascii="宋体" w:hAnsi="宋体" w:eastAsia="宋体" w:cs="宋体"/>
                <w:color w:val="000000"/>
                <w:sz w:val="21"/>
                <w:highlight w:val="none"/>
              </w:rPr>
            </w:pPr>
            <w:r>
              <w:rPr>
                <w:rFonts w:ascii="宋体" w:hAnsi="宋体" w:eastAsia="宋体" w:cs="宋体"/>
                <w:color w:val="000000"/>
                <w:sz w:val="21"/>
                <w:highlight w:val="none"/>
              </w:rPr>
              <w:t>方案完善、科学可行、针对性强，重点、难点分析准确，应对措施有力得</w:t>
            </w:r>
            <w:r>
              <w:rPr>
                <w:rFonts w:hint="eastAsia" w:ascii="宋体" w:hAnsi="宋体" w:cs="宋体"/>
                <w:color w:val="000000"/>
                <w:sz w:val="21"/>
                <w:highlight w:val="none"/>
                <w:lang w:val="en-US" w:eastAsia="zh-CN"/>
              </w:rPr>
              <w:t>6</w:t>
            </w:r>
            <w:r>
              <w:rPr>
                <w:rFonts w:ascii="宋体" w:hAnsi="宋体" w:eastAsia="宋体" w:cs="宋体"/>
                <w:color w:val="000000"/>
                <w:sz w:val="21"/>
                <w:highlight w:val="none"/>
              </w:rPr>
              <w:t>分；</w:t>
            </w:r>
          </w:p>
          <w:p>
            <w:pPr>
              <w:pageBreakBefore w:val="0"/>
              <w:widowControl w:val="0"/>
              <w:kinsoku/>
              <w:wordWrap/>
              <w:overflowPunct/>
              <w:topLinePunct w:val="0"/>
              <w:autoSpaceDE/>
              <w:autoSpaceDN/>
              <w:bidi w:val="0"/>
              <w:snapToGrid/>
              <w:spacing w:line="240" w:lineRule="auto"/>
              <w:jc w:val="both"/>
              <w:rPr>
                <w:rFonts w:ascii="宋体" w:hAnsi="宋体" w:eastAsia="宋体" w:cs="宋体"/>
                <w:color w:val="000000"/>
                <w:sz w:val="21"/>
                <w:highlight w:val="none"/>
              </w:rPr>
            </w:pPr>
            <w:r>
              <w:rPr>
                <w:rFonts w:ascii="宋体" w:hAnsi="宋体" w:eastAsia="宋体" w:cs="宋体"/>
                <w:color w:val="000000"/>
                <w:sz w:val="21"/>
                <w:highlight w:val="none"/>
              </w:rPr>
              <w:t>方案具有一定的可行性，但相对完善性较差、针对性较弱的得</w:t>
            </w:r>
            <w:r>
              <w:rPr>
                <w:rFonts w:hint="eastAsia" w:ascii="宋体" w:hAnsi="宋体" w:cs="宋体"/>
                <w:color w:val="000000"/>
                <w:sz w:val="21"/>
                <w:highlight w:val="none"/>
                <w:lang w:val="en-US" w:eastAsia="zh-CN"/>
              </w:rPr>
              <w:t>4</w:t>
            </w:r>
            <w:r>
              <w:rPr>
                <w:rFonts w:ascii="宋体" w:hAnsi="宋体" w:eastAsia="宋体" w:cs="宋体"/>
                <w:color w:val="000000"/>
                <w:sz w:val="21"/>
                <w:highlight w:val="none"/>
              </w:rPr>
              <w:t>分；方案欠缺、重点、难点把控不准的得</w:t>
            </w:r>
            <w:r>
              <w:rPr>
                <w:rFonts w:hint="eastAsia" w:ascii="宋体" w:hAnsi="宋体" w:cs="宋体"/>
                <w:color w:val="000000"/>
                <w:sz w:val="21"/>
                <w:highlight w:val="none"/>
                <w:lang w:val="en-US" w:eastAsia="zh-CN"/>
              </w:rPr>
              <w:t>2</w:t>
            </w:r>
            <w:r>
              <w:rPr>
                <w:rFonts w:ascii="宋体" w:hAnsi="宋体" w:eastAsia="宋体" w:cs="宋体"/>
                <w:color w:val="000000"/>
                <w:sz w:val="21"/>
                <w:highlight w:val="none"/>
              </w:rPr>
              <w:t>分；</w:t>
            </w:r>
          </w:p>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ascii="宋体" w:hAnsi="宋体" w:eastAsia="宋体" w:cs="宋体"/>
                <w:color w:val="000000"/>
                <w:sz w:val="21"/>
                <w:highlight w:val="none"/>
              </w:rPr>
              <w:t>未提供不得分。</w:t>
            </w:r>
          </w:p>
        </w:tc>
        <w:tc>
          <w:tcPr>
            <w:tcW w:w="693"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blHeader/>
          <w:jc w:val="center"/>
        </w:trPr>
        <w:tc>
          <w:tcPr>
            <w:tcW w:w="582"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p>
        </w:tc>
        <w:tc>
          <w:tcPr>
            <w:tcW w:w="1276" w:type="dxa"/>
            <w:vMerge w:val="continue"/>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p>
        </w:tc>
        <w:tc>
          <w:tcPr>
            <w:tcW w:w="6350" w:type="dxa"/>
            <w:noWrap w:val="0"/>
            <w:vAlign w:val="center"/>
          </w:tcPr>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kern w:val="2"/>
                <w:sz w:val="21"/>
                <w:szCs w:val="21"/>
                <w:highlight w:val="none"/>
                <w:lang w:val="en-US" w:eastAsia="zh-CN"/>
              </w:rPr>
              <w:t>根据供应商提供售后</w:t>
            </w:r>
            <w:r>
              <w:rPr>
                <w:rFonts w:hint="eastAsia" w:ascii="宋体" w:hAnsi="宋体" w:cs="宋体"/>
                <w:kern w:val="2"/>
                <w:sz w:val="21"/>
                <w:szCs w:val="21"/>
                <w:highlight w:val="none"/>
              </w:rPr>
              <w:t>服务方案（包含服务流程、服务方案、及项目管理细则</w:t>
            </w:r>
            <w:r>
              <w:rPr>
                <w:rFonts w:hint="eastAsia" w:ascii="宋体" w:hAnsi="宋体" w:cs="宋体"/>
                <w:kern w:val="2"/>
                <w:sz w:val="21"/>
                <w:szCs w:val="21"/>
                <w:highlight w:val="none"/>
                <w:lang w:eastAsia="zh-CN"/>
              </w:rPr>
              <w:t>、</w:t>
            </w:r>
            <w:r>
              <w:rPr>
                <w:rFonts w:hint="eastAsia" w:ascii="宋体" w:hAnsi="宋体" w:cs="宋体"/>
                <w:kern w:val="2"/>
                <w:sz w:val="21"/>
                <w:szCs w:val="21"/>
                <w:highlight w:val="none"/>
                <w:lang w:val="en-US" w:eastAsia="zh-CN"/>
              </w:rPr>
              <w:t>响应时间等</w:t>
            </w:r>
            <w:r>
              <w:rPr>
                <w:rFonts w:hint="eastAsia" w:ascii="宋体" w:hAnsi="宋体" w:cs="宋体"/>
                <w:kern w:val="2"/>
                <w:sz w:val="21"/>
                <w:szCs w:val="21"/>
                <w:highlight w:val="none"/>
              </w:rPr>
              <w:t>）</w:t>
            </w:r>
            <w:r>
              <w:rPr>
                <w:rFonts w:hint="eastAsia" w:ascii="宋体" w:hAnsi="宋体" w:cs="宋体"/>
                <w:kern w:val="2"/>
                <w:sz w:val="21"/>
                <w:szCs w:val="21"/>
                <w:highlight w:val="none"/>
                <w:lang w:val="en-US" w:eastAsia="zh-CN"/>
              </w:rPr>
              <w:t>进行评分</w:t>
            </w:r>
            <w:r>
              <w:rPr>
                <w:rFonts w:hint="eastAsia" w:ascii="宋体" w:hAnsi="宋体" w:cs="宋体"/>
                <w:kern w:val="2"/>
                <w:sz w:val="21"/>
                <w:szCs w:val="21"/>
                <w:highlight w:val="none"/>
              </w:rPr>
              <w:t>：</w:t>
            </w:r>
          </w:p>
          <w:p>
            <w:pPr>
              <w:pStyle w:val="24"/>
              <w:ind w:left="0" w:leftChars="0"/>
              <w:rPr>
                <w:rFonts w:hint="eastAsia" w:ascii="宋体" w:hAnsi="宋体" w:cs="宋体"/>
                <w:kern w:val="2"/>
                <w:sz w:val="21"/>
                <w:szCs w:val="21"/>
                <w:highlight w:val="none"/>
                <w:lang w:val="en-US" w:eastAsia="zh-CN"/>
              </w:rPr>
            </w:pPr>
            <w:r>
              <w:rPr>
                <w:rFonts w:hint="eastAsia" w:ascii="宋体" w:hAnsi="宋体" w:cs="宋体"/>
                <w:kern w:val="2"/>
                <w:sz w:val="21"/>
                <w:szCs w:val="21"/>
                <w:highlight w:val="none"/>
              </w:rPr>
              <w:t>售后服务方案</w:t>
            </w:r>
            <w:r>
              <w:rPr>
                <w:rFonts w:hint="eastAsia" w:ascii="宋体" w:hAnsi="宋体" w:cs="宋体"/>
                <w:kern w:val="2"/>
                <w:sz w:val="21"/>
                <w:szCs w:val="21"/>
                <w:highlight w:val="none"/>
                <w:lang w:val="en-US" w:eastAsia="zh-CN"/>
              </w:rPr>
              <w:t>完善、科学合理得6分；</w:t>
            </w:r>
          </w:p>
          <w:p>
            <w:pPr>
              <w:pStyle w:val="24"/>
              <w:ind w:left="0" w:leftChars="0"/>
              <w:rPr>
                <w:rFonts w:hint="eastAsia" w:ascii="宋体" w:hAnsi="宋体" w:cs="宋体"/>
                <w:kern w:val="2"/>
                <w:sz w:val="21"/>
                <w:szCs w:val="21"/>
                <w:highlight w:val="none"/>
                <w:lang w:val="en-US" w:eastAsia="zh-CN"/>
              </w:rPr>
            </w:pPr>
            <w:r>
              <w:rPr>
                <w:rFonts w:hint="eastAsia" w:ascii="宋体" w:hAnsi="宋体" w:cs="宋体"/>
                <w:kern w:val="2"/>
                <w:sz w:val="21"/>
                <w:szCs w:val="21"/>
                <w:highlight w:val="none"/>
              </w:rPr>
              <w:t>售后服务方案</w:t>
            </w:r>
            <w:r>
              <w:rPr>
                <w:rFonts w:hint="eastAsia" w:ascii="宋体" w:hAnsi="宋体" w:cs="宋体"/>
                <w:kern w:val="2"/>
                <w:sz w:val="21"/>
                <w:szCs w:val="21"/>
                <w:highlight w:val="none"/>
                <w:lang w:val="en-US" w:eastAsia="zh-CN"/>
              </w:rPr>
              <w:t>较完善、较科学合理得4分；</w:t>
            </w:r>
          </w:p>
          <w:p>
            <w:pPr>
              <w:pStyle w:val="24"/>
              <w:ind w:left="0" w:leftChars="0"/>
              <w:rPr>
                <w:rFonts w:hint="eastAsia" w:ascii="宋体" w:hAnsi="宋体" w:cs="宋体"/>
                <w:kern w:val="2"/>
                <w:sz w:val="21"/>
                <w:szCs w:val="21"/>
                <w:highlight w:val="none"/>
                <w:lang w:val="en-US" w:eastAsia="zh-CN"/>
              </w:rPr>
            </w:pPr>
            <w:r>
              <w:rPr>
                <w:rFonts w:hint="eastAsia" w:ascii="宋体" w:hAnsi="宋体" w:cs="宋体"/>
                <w:kern w:val="2"/>
                <w:sz w:val="21"/>
                <w:szCs w:val="21"/>
                <w:highlight w:val="none"/>
              </w:rPr>
              <w:t>售后服务方案</w:t>
            </w:r>
            <w:r>
              <w:rPr>
                <w:rFonts w:hint="eastAsia" w:ascii="宋体" w:hAnsi="宋体" w:cs="宋体"/>
                <w:kern w:val="2"/>
                <w:sz w:val="21"/>
                <w:szCs w:val="21"/>
                <w:highlight w:val="none"/>
                <w:lang w:val="en-US" w:eastAsia="zh-CN"/>
              </w:rPr>
              <w:t>一般、基本合理得2分；</w:t>
            </w:r>
          </w:p>
          <w:p>
            <w:pPr>
              <w:pageBreakBefore w:val="0"/>
              <w:widowControl w:val="0"/>
              <w:kinsoku/>
              <w:wordWrap/>
              <w:overflowPunct/>
              <w:topLinePunct w:val="0"/>
              <w:autoSpaceDE/>
              <w:autoSpaceDN/>
              <w:bidi w:val="0"/>
              <w:snapToGrid/>
              <w:spacing w:line="240" w:lineRule="auto"/>
              <w:jc w:val="both"/>
              <w:rPr>
                <w:rFonts w:hint="eastAsia" w:ascii="宋体" w:hAnsi="宋体" w:eastAsia="宋体" w:cs="宋体"/>
                <w:kern w:val="2"/>
                <w:sz w:val="21"/>
                <w:szCs w:val="21"/>
                <w:highlight w:val="none"/>
                <w:lang w:val="en-US" w:eastAsia="zh-CN" w:bidi="ar-SA"/>
              </w:rPr>
            </w:pPr>
            <w:r>
              <w:rPr>
                <w:rFonts w:hint="eastAsia" w:ascii="宋体" w:hAnsi="宋体" w:cs="宋体"/>
                <w:bCs/>
                <w:kern w:val="2"/>
                <w:sz w:val="21"/>
                <w:szCs w:val="21"/>
                <w:highlight w:val="none"/>
                <w:lang w:val="en-US" w:eastAsia="zh-CN"/>
              </w:rPr>
              <w:t>未提供不得分</w:t>
            </w:r>
            <w:r>
              <w:rPr>
                <w:rFonts w:hint="eastAsia" w:ascii="宋体" w:hAnsi="宋体" w:cs="宋体"/>
                <w:bCs/>
                <w:kern w:val="2"/>
                <w:sz w:val="21"/>
                <w:szCs w:val="21"/>
                <w:highlight w:val="none"/>
              </w:rPr>
              <w:t>。</w:t>
            </w:r>
          </w:p>
        </w:tc>
        <w:tc>
          <w:tcPr>
            <w:tcW w:w="693"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blHeader/>
          <w:jc w:val="center"/>
        </w:trPr>
        <w:tc>
          <w:tcPr>
            <w:tcW w:w="582"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6.2</w:t>
            </w:r>
          </w:p>
        </w:tc>
        <w:tc>
          <w:tcPr>
            <w:tcW w:w="1276" w:type="dxa"/>
            <w:vMerge w:val="continue"/>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p>
        </w:tc>
        <w:tc>
          <w:tcPr>
            <w:tcW w:w="6350" w:type="dxa"/>
            <w:noWrap w:val="0"/>
            <w:vAlign w:val="center"/>
          </w:tcPr>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kern w:val="2"/>
                <w:sz w:val="21"/>
                <w:szCs w:val="21"/>
                <w:highlight w:val="none"/>
                <w:lang w:val="en-US" w:eastAsia="zh-CN"/>
              </w:rPr>
              <w:t>根据供应商提供的</w:t>
            </w:r>
            <w:r>
              <w:rPr>
                <w:rFonts w:hint="eastAsia" w:ascii="宋体" w:hAnsi="宋体" w:cs="宋体"/>
                <w:kern w:val="2"/>
                <w:sz w:val="21"/>
                <w:szCs w:val="21"/>
                <w:highlight w:val="none"/>
              </w:rPr>
              <w:t>应急措施及处理方案（包含</w:t>
            </w:r>
            <w:r>
              <w:rPr>
                <w:rFonts w:hint="eastAsia" w:ascii="宋体" w:hAnsi="宋体" w:cs="宋体"/>
                <w:highlight w:val="none"/>
              </w:rPr>
              <w:t>应急洗涤、应急配送</w:t>
            </w:r>
            <w:r>
              <w:rPr>
                <w:rFonts w:hint="eastAsia" w:ascii="宋体" w:hAnsi="宋体"/>
                <w:szCs w:val="21"/>
                <w:highlight w:val="none"/>
              </w:rPr>
              <w:t>（如交通受阻、停水、停电、设备故障等）和突发公共卫生事件防控工作方案</w:t>
            </w:r>
            <w:r>
              <w:rPr>
                <w:rFonts w:hint="eastAsia" w:ascii="宋体" w:hAnsi="宋体" w:cs="宋体"/>
                <w:kern w:val="2"/>
                <w:sz w:val="21"/>
                <w:szCs w:val="21"/>
                <w:highlight w:val="none"/>
              </w:rPr>
              <w:t>）</w:t>
            </w:r>
            <w:r>
              <w:rPr>
                <w:rFonts w:hint="eastAsia" w:ascii="宋体" w:hAnsi="宋体" w:cs="宋体"/>
                <w:kern w:val="2"/>
                <w:sz w:val="21"/>
                <w:szCs w:val="21"/>
                <w:highlight w:val="none"/>
                <w:lang w:val="en-US" w:eastAsia="zh-CN"/>
              </w:rPr>
              <w:t>进行评分</w:t>
            </w:r>
            <w:r>
              <w:rPr>
                <w:rFonts w:hint="eastAsia" w:ascii="宋体" w:hAnsi="宋体" w:cs="宋体"/>
                <w:kern w:val="2"/>
                <w:sz w:val="21"/>
                <w:szCs w:val="21"/>
                <w:highlight w:val="none"/>
              </w:rPr>
              <w:t>：</w:t>
            </w:r>
          </w:p>
          <w:p>
            <w:pPr>
              <w:pStyle w:val="24"/>
              <w:ind w:left="0" w:leftChars="0"/>
              <w:rPr>
                <w:rFonts w:hint="eastAsia" w:ascii="宋体" w:hAnsi="宋体" w:cs="宋体"/>
                <w:kern w:val="2"/>
                <w:sz w:val="21"/>
                <w:szCs w:val="21"/>
                <w:highlight w:val="none"/>
                <w:lang w:val="en-US" w:eastAsia="zh-CN"/>
              </w:rPr>
            </w:pPr>
            <w:r>
              <w:rPr>
                <w:rFonts w:hint="eastAsia" w:ascii="宋体" w:hAnsi="宋体" w:cs="宋体"/>
                <w:kern w:val="2"/>
                <w:sz w:val="21"/>
                <w:szCs w:val="21"/>
                <w:highlight w:val="none"/>
              </w:rPr>
              <w:t>方案</w:t>
            </w:r>
            <w:r>
              <w:rPr>
                <w:rFonts w:hint="eastAsia" w:ascii="宋体" w:hAnsi="宋体" w:cs="宋体"/>
                <w:kern w:val="2"/>
                <w:sz w:val="21"/>
                <w:szCs w:val="21"/>
                <w:highlight w:val="none"/>
                <w:lang w:val="en-US" w:eastAsia="zh-CN"/>
              </w:rPr>
              <w:t>完善、可行性高，有针对性得6分；</w:t>
            </w:r>
          </w:p>
          <w:p>
            <w:pPr>
              <w:pStyle w:val="24"/>
              <w:ind w:left="0" w:leftChars="0"/>
              <w:rPr>
                <w:rFonts w:hint="eastAsia" w:ascii="宋体" w:hAnsi="宋体" w:cs="宋体"/>
                <w:kern w:val="2"/>
                <w:sz w:val="21"/>
                <w:szCs w:val="21"/>
                <w:highlight w:val="none"/>
                <w:lang w:val="en-US" w:eastAsia="zh-CN"/>
              </w:rPr>
            </w:pPr>
            <w:r>
              <w:rPr>
                <w:rFonts w:hint="eastAsia" w:ascii="宋体" w:hAnsi="宋体" w:cs="宋体"/>
                <w:kern w:val="2"/>
                <w:sz w:val="21"/>
                <w:szCs w:val="21"/>
                <w:highlight w:val="none"/>
              </w:rPr>
              <w:t>方案</w:t>
            </w:r>
            <w:r>
              <w:rPr>
                <w:rFonts w:hint="eastAsia" w:ascii="宋体" w:hAnsi="宋体" w:cs="宋体"/>
                <w:kern w:val="2"/>
                <w:sz w:val="21"/>
                <w:szCs w:val="21"/>
                <w:highlight w:val="none"/>
                <w:lang w:val="en-US" w:eastAsia="zh-CN"/>
              </w:rPr>
              <w:t>较完善、可行性较高，有一定针对性得4分；</w:t>
            </w:r>
          </w:p>
          <w:p>
            <w:pPr>
              <w:pStyle w:val="24"/>
              <w:ind w:left="0" w:leftChars="0"/>
              <w:rPr>
                <w:rFonts w:hint="eastAsia" w:ascii="宋体" w:hAnsi="宋体" w:cs="宋体"/>
                <w:kern w:val="2"/>
                <w:sz w:val="21"/>
                <w:szCs w:val="21"/>
                <w:highlight w:val="none"/>
                <w:lang w:val="en-US" w:eastAsia="zh-CN"/>
              </w:rPr>
            </w:pPr>
            <w:r>
              <w:rPr>
                <w:rFonts w:hint="eastAsia" w:ascii="宋体" w:hAnsi="宋体" w:cs="宋体"/>
                <w:kern w:val="2"/>
                <w:sz w:val="21"/>
                <w:szCs w:val="21"/>
                <w:highlight w:val="none"/>
              </w:rPr>
              <w:t>方案</w:t>
            </w:r>
            <w:r>
              <w:rPr>
                <w:rFonts w:hint="eastAsia" w:ascii="宋体" w:hAnsi="宋体" w:cs="宋体"/>
                <w:kern w:val="2"/>
                <w:sz w:val="21"/>
                <w:szCs w:val="21"/>
                <w:highlight w:val="none"/>
                <w:lang w:val="en-US" w:eastAsia="zh-CN"/>
              </w:rPr>
              <w:t>一般、可行性一般得2分；</w:t>
            </w:r>
          </w:p>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bCs/>
                <w:kern w:val="2"/>
                <w:sz w:val="21"/>
                <w:szCs w:val="21"/>
                <w:highlight w:val="none"/>
              </w:rPr>
              <w:t>未提供的不得分。</w:t>
            </w:r>
          </w:p>
        </w:tc>
        <w:tc>
          <w:tcPr>
            <w:tcW w:w="693"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eastAsia="宋体" w:cs="宋体"/>
                <w:kern w:val="2"/>
                <w:sz w:val="21"/>
                <w:szCs w:val="21"/>
                <w:highlight w:val="none"/>
                <w:lang w:eastAsia="zh-CN"/>
              </w:rPr>
            </w:pPr>
            <w:r>
              <w:rPr>
                <w:rFonts w:hint="eastAsia" w:ascii="宋体" w:hAnsi="宋体" w:cs="宋体"/>
                <w:kern w:val="2"/>
                <w:sz w:val="21"/>
                <w:szCs w:val="21"/>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blHeader/>
          <w:jc w:val="center"/>
        </w:trPr>
        <w:tc>
          <w:tcPr>
            <w:tcW w:w="582"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6.3</w:t>
            </w:r>
          </w:p>
        </w:tc>
        <w:tc>
          <w:tcPr>
            <w:tcW w:w="1276" w:type="dxa"/>
            <w:vMerge w:val="continue"/>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p>
        </w:tc>
        <w:tc>
          <w:tcPr>
            <w:tcW w:w="6350" w:type="dxa"/>
            <w:noWrap w:val="0"/>
            <w:vAlign w:val="center"/>
          </w:tcPr>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kern w:val="2"/>
                <w:sz w:val="21"/>
                <w:szCs w:val="21"/>
                <w:highlight w:val="none"/>
                <w:lang w:val="en-US" w:eastAsia="zh-CN"/>
              </w:rPr>
              <w:t>根据供应商提供的</w:t>
            </w:r>
            <w:r>
              <w:rPr>
                <w:rFonts w:hint="eastAsia" w:ascii="宋体" w:hAnsi="宋体" w:cs="宋体"/>
                <w:kern w:val="2"/>
                <w:sz w:val="21"/>
                <w:szCs w:val="21"/>
                <w:highlight w:val="none"/>
              </w:rPr>
              <w:t>洗涤流程及消毒制度</w:t>
            </w:r>
            <w:r>
              <w:rPr>
                <w:rFonts w:hint="eastAsia" w:ascii="宋体" w:hAnsi="宋体"/>
                <w:szCs w:val="21"/>
                <w:highlight w:val="none"/>
              </w:rPr>
              <w:t>（涉及传染性洗涤物应有专门的流程和制度）</w:t>
            </w:r>
            <w:r>
              <w:rPr>
                <w:rFonts w:hint="eastAsia" w:ascii="宋体" w:hAnsi="宋体" w:cs="宋体"/>
                <w:kern w:val="2"/>
                <w:sz w:val="21"/>
                <w:szCs w:val="21"/>
                <w:highlight w:val="none"/>
                <w:lang w:val="en-US" w:eastAsia="zh-CN"/>
              </w:rPr>
              <w:t>进行评分</w:t>
            </w:r>
            <w:r>
              <w:rPr>
                <w:rFonts w:hint="eastAsia" w:ascii="宋体" w:hAnsi="宋体" w:cs="宋体"/>
                <w:kern w:val="2"/>
                <w:sz w:val="21"/>
                <w:szCs w:val="21"/>
                <w:highlight w:val="none"/>
              </w:rPr>
              <w:t>：</w:t>
            </w:r>
          </w:p>
          <w:p>
            <w:pPr>
              <w:pStyle w:val="24"/>
              <w:ind w:left="0" w:leftChars="0"/>
              <w:rPr>
                <w:rFonts w:hint="eastAsia" w:ascii="宋体" w:hAnsi="宋体" w:cs="宋体"/>
                <w:kern w:val="2"/>
                <w:sz w:val="21"/>
                <w:szCs w:val="21"/>
                <w:highlight w:val="none"/>
                <w:lang w:val="en-US" w:eastAsia="zh-CN"/>
              </w:rPr>
            </w:pPr>
            <w:r>
              <w:rPr>
                <w:rFonts w:hint="eastAsia" w:ascii="宋体" w:hAnsi="宋体" w:cs="宋体"/>
                <w:kern w:val="2"/>
                <w:sz w:val="21"/>
                <w:szCs w:val="21"/>
                <w:highlight w:val="none"/>
              </w:rPr>
              <w:t>方案</w:t>
            </w:r>
            <w:r>
              <w:rPr>
                <w:rFonts w:hint="eastAsia" w:ascii="宋体" w:hAnsi="宋体" w:cs="宋体"/>
                <w:kern w:val="2"/>
                <w:sz w:val="21"/>
                <w:szCs w:val="21"/>
                <w:highlight w:val="none"/>
                <w:lang w:val="en-US" w:eastAsia="zh-CN"/>
              </w:rPr>
              <w:t>完善、可行性高，有针对性得6分；</w:t>
            </w:r>
          </w:p>
          <w:p>
            <w:pPr>
              <w:pStyle w:val="24"/>
              <w:ind w:left="0" w:leftChars="0"/>
              <w:rPr>
                <w:rFonts w:hint="eastAsia" w:ascii="宋体" w:hAnsi="宋体" w:cs="宋体"/>
                <w:kern w:val="2"/>
                <w:sz w:val="21"/>
                <w:szCs w:val="21"/>
                <w:highlight w:val="none"/>
                <w:lang w:val="en-US" w:eastAsia="zh-CN"/>
              </w:rPr>
            </w:pPr>
            <w:r>
              <w:rPr>
                <w:rFonts w:hint="eastAsia" w:ascii="宋体" w:hAnsi="宋体" w:cs="宋体"/>
                <w:kern w:val="2"/>
                <w:sz w:val="21"/>
                <w:szCs w:val="21"/>
                <w:highlight w:val="none"/>
              </w:rPr>
              <w:t>方案</w:t>
            </w:r>
            <w:r>
              <w:rPr>
                <w:rFonts w:hint="eastAsia" w:ascii="宋体" w:hAnsi="宋体" w:cs="宋体"/>
                <w:kern w:val="2"/>
                <w:sz w:val="21"/>
                <w:szCs w:val="21"/>
                <w:highlight w:val="none"/>
                <w:lang w:val="en-US" w:eastAsia="zh-CN"/>
              </w:rPr>
              <w:t>较完善、可行性较高，有一定针对性得4分；</w:t>
            </w:r>
          </w:p>
          <w:p>
            <w:pPr>
              <w:pStyle w:val="24"/>
              <w:ind w:left="0" w:leftChars="0"/>
              <w:rPr>
                <w:rFonts w:hint="eastAsia" w:ascii="宋体" w:hAnsi="宋体" w:cs="宋体"/>
                <w:kern w:val="2"/>
                <w:sz w:val="21"/>
                <w:szCs w:val="21"/>
                <w:highlight w:val="none"/>
                <w:lang w:val="en-US" w:eastAsia="zh-CN"/>
              </w:rPr>
            </w:pPr>
            <w:r>
              <w:rPr>
                <w:rFonts w:hint="eastAsia" w:ascii="宋体" w:hAnsi="宋体" w:cs="宋体"/>
                <w:kern w:val="2"/>
                <w:sz w:val="21"/>
                <w:szCs w:val="21"/>
                <w:highlight w:val="none"/>
              </w:rPr>
              <w:t>方案</w:t>
            </w:r>
            <w:r>
              <w:rPr>
                <w:rFonts w:hint="eastAsia" w:ascii="宋体" w:hAnsi="宋体" w:cs="宋体"/>
                <w:kern w:val="2"/>
                <w:sz w:val="21"/>
                <w:szCs w:val="21"/>
                <w:highlight w:val="none"/>
                <w:lang w:val="en-US" w:eastAsia="zh-CN"/>
              </w:rPr>
              <w:t>一般、可行性一般得2分；</w:t>
            </w:r>
          </w:p>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bCs/>
                <w:kern w:val="2"/>
                <w:sz w:val="21"/>
                <w:szCs w:val="21"/>
                <w:highlight w:val="none"/>
              </w:rPr>
              <w:t>未提供的不得分。</w:t>
            </w:r>
          </w:p>
        </w:tc>
        <w:tc>
          <w:tcPr>
            <w:tcW w:w="693"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eastAsia="宋体" w:cs="宋体"/>
                <w:kern w:val="2"/>
                <w:sz w:val="21"/>
                <w:szCs w:val="21"/>
                <w:highlight w:val="none"/>
                <w:lang w:eastAsia="zh-CN"/>
              </w:rPr>
            </w:pPr>
            <w:r>
              <w:rPr>
                <w:rFonts w:hint="eastAsia" w:ascii="宋体" w:hAnsi="宋体" w:cs="宋体"/>
                <w:kern w:val="2"/>
                <w:sz w:val="21"/>
                <w:szCs w:val="21"/>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blHeader/>
          <w:jc w:val="center"/>
        </w:trPr>
        <w:tc>
          <w:tcPr>
            <w:tcW w:w="582"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7</w:t>
            </w:r>
          </w:p>
        </w:tc>
        <w:tc>
          <w:tcPr>
            <w:tcW w:w="1276"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现场书面答辩</w:t>
            </w:r>
          </w:p>
        </w:tc>
        <w:tc>
          <w:tcPr>
            <w:tcW w:w="6350" w:type="dxa"/>
            <w:noWrap w:val="0"/>
            <w:vAlign w:val="center"/>
          </w:tcPr>
          <w:p>
            <w:pPr>
              <w:pageBreakBefore w:val="0"/>
              <w:widowControl/>
              <w:kinsoku/>
              <w:wordWrap/>
              <w:overflowPunct/>
              <w:topLinePunct w:val="0"/>
              <w:autoSpaceDE/>
              <w:autoSpaceDN/>
              <w:bidi w:val="0"/>
              <w:adjustRightInd w:val="0"/>
              <w:snapToGrid/>
              <w:spacing w:line="240" w:lineRule="auto"/>
              <w:jc w:val="both"/>
              <w:rPr>
                <w:rFonts w:hint="eastAsia" w:ascii="宋体" w:hAnsi="宋体" w:cs="宋体"/>
                <w:kern w:val="2"/>
                <w:sz w:val="21"/>
                <w:szCs w:val="21"/>
                <w:highlight w:val="none"/>
              </w:rPr>
            </w:pPr>
            <w:r>
              <w:rPr>
                <w:rFonts w:hint="eastAsia" w:ascii="宋体" w:hAnsi="宋体" w:cs="宋体"/>
                <w:kern w:val="2"/>
                <w:sz w:val="21"/>
                <w:szCs w:val="21"/>
                <w:highlight w:val="none"/>
              </w:rPr>
              <w:t>投标人需按照评标委员会现场提出的问题进行书面答辩，时间不超过</w:t>
            </w:r>
            <w:r>
              <w:rPr>
                <w:rFonts w:ascii="宋体" w:hAnsi="宋体" w:cs="宋体"/>
                <w:kern w:val="2"/>
                <w:sz w:val="21"/>
                <w:szCs w:val="21"/>
                <w:highlight w:val="none"/>
              </w:rPr>
              <w:t>5</w:t>
            </w:r>
            <w:r>
              <w:rPr>
                <w:rFonts w:hint="eastAsia" w:ascii="宋体" w:hAnsi="宋体" w:cs="宋体"/>
                <w:kern w:val="2"/>
                <w:sz w:val="21"/>
                <w:szCs w:val="21"/>
                <w:highlight w:val="none"/>
              </w:rPr>
              <w:t>分钟。（投标人需在“法人授权书”中注明授权进行现场书面答辩人员姓名及身份证号，相应人员应出示有效身份证件，不接受非授权人员进入评审现场。）</w:t>
            </w:r>
          </w:p>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kern w:val="2"/>
                <w:sz w:val="21"/>
                <w:szCs w:val="21"/>
                <w:highlight w:val="none"/>
              </w:rPr>
              <w:t>答辩内容条理清晰、可行性强的得</w:t>
            </w:r>
            <w:r>
              <w:rPr>
                <w:rFonts w:ascii="宋体" w:hAnsi="宋体" w:cs="宋体"/>
                <w:kern w:val="2"/>
                <w:sz w:val="21"/>
                <w:szCs w:val="21"/>
                <w:highlight w:val="none"/>
              </w:rPr>
              <w:t>6</w:t>
            </w:r>
            <w:r>
              <w:rPr>
                <w:rFonts w:hint="eastAsia" w:ascii="宋体" w:hAnsi="宋体" w:cs="宋体"/>
                <w:kern w:val="2"/>
                <w:sz w:val="21"/>
                <w:szCs w:val="21"/>
                <w:highlight w:val="none"/>
              </w:rPr>
              <w:t>分；</w:t>
            </w:r>
          </w:p>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kern w:val="2"/>
                <w:sz w:val="21"/>
                <w:szCs w:val="21"/>
                <w:highlight w:val="none"/>
              </w:rPr>
              <w:t>答辩内容较清晰、可行性尚可的得</w:t>
            </w:r>
            <w:r>
              <w:rPr>
                <w:rFonts w:ascii="宋体" w:hAnsi="宋体" w:cs="宋体"/>
                <w:kern w:val="2"/>
                <w:sz w:val="21"/>
                <w:szCs w:val="21"/>
                <w:highlight w:val="none"/>
              </w:rPr>
              <w:t>3</w:t>
            </w:r>
            <w:r>
              <w:rPr>
                <w:rFonts w:hint="eastAsia" w:ascii="宋体" w:hAnsi="宋体" w:cs="宋体"/>
                <w:kern w:val="2"/>
                <w:sz w:val="21"/>
                <w:szCs w:val="21"/>
                <w:highlight w:val="none"/>
              </w:rPr>
              <w:t>分；</w:t>
            </w:r>
          </w:p>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kern w:val="2"/>
                <w:sz w:val="21"/>
                <w:szCs w:val="21"/>
                <w:highlight w:val="none"/>
              </w:rPr>
              <w:t>答辩内容基本清晰、基本可行的得</w:t>
            </w:r>
            <w:r>
              <w:rPr>
                <w:rFonts w:ascii="宋体" w:hAnsi="宋体" w:cs="宋体"/>
                <w:kern w:val="2"/>
                <w:sz w:val="21"/>
                <w:szCs w:val="21"/>
                <w:highlight w:val="none"/>
              </w:rPr>
              <w:t>1</w:t>
            </w:r>
            <w:r>
              <w:rPr>
                <w:rFonts w:hint="eastAsia" w:ascii="宋体" w:hAnsi="宋体" w:cs="宋体"/>
                <w:kern w:val="2"/>
                <w:sz w:val="21"/>
                <w:szCs w:val="21"/>
                <w:highlight w:val="none"/>
              </w:rPr>
              <w:t>分；</w:t>
            </w:r>
          </w:p>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kern w:val="2"/>
                <w:sz w:val="21"/>
                <w:szCs w:val="21"/>
                <w:highlight w:val="none"/>
              </w:rPr>
              <w:t>其他不得分。</w:t>
            </w:r>
          </w:p>
        </w:tc>
        <w:tc>
          <w:tcPr>
            <w:tcW w:w="693"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ascii="宋体" w:hAnsi="宋体" w:cs="宋体"/>
                <w:kern w:val="2"/>
                <w:sz w:val="21"/>
                <w:szCs w:val="21"/>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blHeader/>
          <w:jc w:val="center"/>
        </w:trPr>
        <w:tc>
          <w:tcPr>
            <w:tcW w:w="582"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8</w:t>
            </w:r>
          </w:p>
        </w:tc>
        <w:tc>
          <w:tcPr>
            <w:tcW w:w="1276"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增值服务</w:t>
            </w:r>
          </w:p>
        </w:tc>
        <w:tc>
          <w:tcPr>
            <w:tcW w:w="6350" w:type="dxa"/>
            <w:noWrap w:val="0"/>
            <w:vAlign w:val="center"/>
          </w:tcPr>
          <w:p>
            <w:pPr>
              <w:pageBreakBefore w:val="0"/>
              <w:widowControl w:val="0"/>
              <w:kinsoku/>
              <w:wordWrap/>
              <w:overflowPunct/>
              <w:topLinePunct w:val="0"/>
              <w:autoSpaceDE/>
              <w:autoSpaceDN/>
              <w:bidi w:val="0"/>
              <w:snapToGrid/>
              <w:spacing w:line="240" w:lineRule="auto"/>
              <w:jc w:val="both"/>
              <w:rPr>
                <w:rFonts w:hint="eastAsia" w:ascii="宋体" w:hAnsi="宋体" w:cs="宋体"/>
                <w:kern w:val="2"/>
                <w:sz w:val="21"/>
                <w:szCs w:val="21"/>
                <w:highlight w:val="none"/>
              </w:rPr>
            </w:pPr>
            <w:r>
              <w:rPr>
                <w:rFonts w:hint="eastAsia" w:ascii="宋体" w:hAnsi="宋体" w:cs="宋体"/>
                <w:kern w:val="2"/>
                <w:sz w:val="21"/>
                <w:szCs w:val="21"/>
                <w:highlight w:val="none"/>
              </w:rPr>
              <w:t>评委根据</w:t>
            </w:r>
            <w:r>
              <w:rPr>
                <w:rFonts w:hint="eastAsia" w:ascii="宋体" w:hAnsi="宋体" w:cs="宋体"/>
                <w:kern w:val="2"/>
                <w:sz w:val="21"/>
                <w:szCs w:val="21"/>
                <w:highlight w:val="none"/>
                <w:lang w:eastAsia="zh-CN"/>
              </w:rPr>
              <w:t>供应商</w:t>
            </w:r>
            <w:r>
              <w:rPr>
                <w:rFonts w:hint="eastAsia" w:ascii="宋体" w:hAnsi="宋体" w:cs="宋体"/>
                <w:kern w:val="2"/>
                <w:sz w:val="21"/>
                <w:szCs w:val="21"/>
                <w:highlight w:val="none"/>
              </w:rPr>
              <w:t>针对本项目提供的增值服务进行打分，每提供一条增值服务经评委会认可与本项目相关的得2分，最多得4分。</w:t>
            </w:r>
            <w:r>
              <w:rPr>
                <w:rFonts w:hint="eastAsia" w:ascii="宋体" w:hAnsi="宋体" w:cs="宋体"/>
                <w:b/>
                <w:kern w:val="2"/>
                <w:sz w:val="21"/>
                <w:szCs w:val="21"/>
                <w:highlight w:val="none"/>
              </w:rPr>
              <w:t>(提供承诺函原件并加盖</w:t>
            </w:r>
            <w:r>
              <w:rPr>
                <w:rFonts w:hint="eastAsia" w:ascii="宋体" w:hAnsi="宋体" w:cs="宋体"/>
                <w:b/>
                <w:kern w:val="2"/>
                <w:sz w:val="21"/>
                <w:szCs w:val="21"/>
                <w:highlight w:val="none"/>
                <w:lang w:val="en-US" w:eastAsia="zh-CN"/>
              </w:rPr>
              <w:t>供应商</w:t>
            </w:r>
            <w:r>
              <w:rPr>
                <w:rFonts w:hint="eastAsia" w:ascii="宋体" w:hAnsi="宋体" w:cs="宋体"/>
                <w:b/>
                <w:kern w:val="2"/>
                <w:sz w:val="21"/>
                <w:szCs w:val="21"/>
                <w:highlight w:val="none"/>
              </w:rPr>
              <w:t>公章）</w:t>
            </w:r>
          </w:p>
        </w:tc>
        <w:tc>
          <w:tcPr>
            <w:tcW w:w="693" w:type="dxa"/>
            <w:noWrap w:val="0"/>
            <w:vAlign w:val="center"/>
          </w:tcPr>
          <w:p>
            <w:pPr>
              <w:pageBreakBefore w:val="0"/>
              <w:widowControl w:val="0"/>
              <w:kinsoku/>
              <w:wordWrap/>
              <w:overflowPunct/>
              <w:topLinePunct w:val="0"/>
              <w:autoSpaceDE/>
              <w:autoSpaceDN/>
              <w:bidi w:val="0"/>
              <w:snapToGrid/>
              <w:spacing w:line="240" w:lineRule="auto"/>
              <w:jc w:val="center"/>
              <w:rPr>
                <w:rFonts w:hint="eastAsia" w:ascii="宋体" w:hAnsi="宋体" w:cs="宋体"/>
                <w:kern w:val="2"/>
                <w:sz w:val="21"/>
                <w:szCs w:val="21"/>
                <w:highlight w:val="none"/>
              </w:rPr>
            </w:pPr>
            <w:r>
              <w:rPr>
                <w:rFonts w:hint="eastAsia" w:ascii="宋体" w:hAnsi="宋体" w:cs="宋体"/>
                <w:kern w:val="2"/>
                <w:sz w:val="21"/>
                <w:szCs w:val="21"/>
                <w:highlight w:val="none"/>
              </w:rPr>
              <w:t>4</w:t>
            </w:r>
          </w:p>
        </w:tc>
      </w:tr>
    </w:tbl>
    <w:p>
      <w:pPr>
        <w:pStyle w:val="24"/>
        <w:ind w:left="0" w:leftChars="0"/>
        <w:rPr>
          <w:rFonts w:ascii="宋体" w:hAnsi="宋体" w:cs="宋体"/>
          <w:strike w:val="0"/>
          <w:highlight w:val="none"/>
        </w:rPr>
      </w:pPr>
    </w:p>
    <w:p>
      <w:pPr>
        <w:spacing w:line="360" w:lineRule="auto"/>
        <w:ind w:firstLine="442" w:firstLineChars="200"/>
        <w:rPr>
          <w:rFonts w:ascii="宋体" w:hAnsi="宋体" w:cs="宋体"/>
          <w:b/>
          <w:strike w:val="0"/>
          <w:sz w:val="22"/>
          <w:szCs w:val="28"/>
          <w:highlight w:val="none"/>
        </w:rPr>
      </w:pPr>
      <w:r>
        <w:rPr>
          <w:rFonts w:hint="eastAsia" w:ascii="宋体" w:hAnsi="宋体" w:cs="宋体"/>
          <w:b/>
          <w:strike w:val="0"/>
          <w:sz w:val="22"/>
          <w:szCs w:val="28"/>
          <w:highlight w:val="none"/>
        </w:rPr>
        <w:t>说明：</w:t>
      </w:r>
    </w:p>
    <w:p>
      <w:pPr>
        <w:spacing w:line="360" w:lineRule="auto"/>
        <w:ind w:left="420"/>
        <w:rPr>
          <w:rFonts w:ascii="宋体" w:hAnsi="宋体" w:cs="宋体"/>
          <w:strike w:val="0"/>
          <w:szCs w:val="21"/>
          <w:highlight w:val="none"/>
        </w:rPr>
      </w:pPr>
      <w:r>
        <w:rPr>
          <w:rFonts w:hint="eastAsia" w:ascii="宋体" w:hAnsi="宋体" w:cs="宋体"/>
          <w:strike w:val="0"/>
          <w:szCs w:val="21"/>
          <w:highlight w:val="none"/>
        </w:rPr>
        <w:t>1、所有证明和业绩均以有效清晰的证明文件的复印件为依据，原件备查。</w:t>
      </w:r>
    </w:p>
    <w:p>
      <w:pPr>
        <w:spacing w:line="360" w:lineRule="auto"/>
        <w:ind w:left="420"/>
        <w:rPr>
          <w:rFonts w:ascii="宋体" w:hAnsi="宋体" w:cs="宋体"/>
          <w:strike w:val="0"/>
          <w:szCs w:val="21"/>
          <w:highlight w:val="none"/>
        </w:rPr>
      </w:pPr>
      <w:r>
        <w:rPr>
          <w:rFonts w:hint="eastAsia" w:ascii="宋体" w:hAnsi="宋体" w:cs="宋体"/>
          <w:strike w:val="0"/>
          <w:szCs w:val="21"/>
          <w:highlight w:val="none"/>
        </w:rPr>
        <w:t>2、政府采购政策功能：</w:t>
      </w:r>
    </w:p>
    <w:p>
      <w:pPr>
        <w:spacing w:line="360" w:lineRule="auto"/>
        <w:ind w:left="420"/>
        <w:rPr>
          <w:rFonts w:ascii="宋体" w:hAnsi="宋体" w:cs="宋体"/>
          <w:strike w:val="0"/>
          <w:szCs w:val="21"/>
          <w:highlight w:val="none"/>
        </w:rPr>
      </w:pPr>
      <w:r>
        <w:rPr>
          <w:rFonts w:hint="eastAsia" w:ascii="宋体" w:hAnsi="宋体" w:cs="宋体"/>
          <w:strike w:val="0"/>
          <w:szCs w:val="21"/>
          <w:highlight w:val="none"/>
        </w:rPr>
        <w:t>2.1供应商提供的货物、工程或者服务符合《政府采购促进中小企业发展管理办法》（财库</w:t>
      </w:r>
    </w:p>
    <w:p>
      <w:pPr>
        <w:spacing w:line="360" w:lineRule="auto"/>
        <w:rPr>
          <w:rFonts w:ascii="宋体" w:hAnsi="宋体" w:cs="宋体"/>
          <w:strike w:val="0"/>
          <w:highlight w:val="none"/>
        </w:rPr>
      </w:pPr>
      <w:r>
        <w:rPr>
          <w:rFonts w:hint="eastAsia" w:ascii="宋体" w:hAnsi="宋体" w:cs="宋体"/>
          <w:strike w:val="0"/>
          <w:szCs w:val="21"/>
          <w:highlight w:val="none"/>
        </w:rPr>
        <w:t>〔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strike w:val="0"/>
          <w:highlight w:val="none"/>
        </w:rPr>
        <w:t>对于非专门面向中小企业的项目，对小型和微型企业的价格给予10%的扣除，用扣除后的价格参与评审。</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strike w:val="0"/>
          <w:kern w:val="0"/>
          <w:szCs w:val="21"/>
          <w:highlight w:val="none"/>
        </w:rPr>
      </w:pPr>
      <w:r>
        <w:rPr>
          <w:rFonts w:hint="eastAsia" w:ascii="宋体" w:hAnsi="宋体" w:cs="宋体"/>
          <w:strike w:val="0"/>
          <w:kern w:val="0"/>
          <w:szCs w:val="21"/>
          <w:highlight w:val="none"/>
        </w:rPr>
        <w:t>2.2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本项目对监狱和戒毒企业，给予10%的价格扣除，用扣除后的价格参与评审。</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strike w:val="0"/>
          <w:kern w:val="0"/>
          <w:szCs w:val="21"/>
          <w:highlight w:val="none"/>
        </w:rPr>
      </w:pPr>
      <w:r>
        <w:rPr>
          <w:rFonts w:hint="eastAsia" w:ascii="宋体" w:hAnsi="宋体" w:cs="宋体"/>
          <w:strike w:val="0"/>
          <w:kern w:val="0"/>
          <w:szCs w:val="21"/>
          <w:highlight w:val="none"/>
        </w:rPr>
        <w:t>2.3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本项目对残疾人福利性单位，给予10%的价格扣除，用扣除后的价格参与评审。</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strike w:val="0"/>
          <w:kern w:val="0"/>
          <w:szCs w:val="21"/>
          <w:highlight w:val="none"/>
        </w:rPr>
      </w:pPr>
      <w:r>
        <w:rPr>
          <w:rFonts w:hint="eastAsia" w:ascii="宋体" w:hAnsi="宋体" w:cs="宋体"/>
          <w:strike w:val="0"/>
          <w:kern w:val="0"/>
          <w:szCs w:val="21"/>
          <w:highlight w:val="none"/>
        </w:rPr>
        <w:t>2.4本项目对监狱、戒毒企业、残疾人福利单位的报价评审参照本说明2.1条执行。</w:t>
      </w:r>
    </w:p>
    <w:p>
      <w:pPr>
        <w:pStyle w:val="42"/>
        <w:spacing w:line="360" w:lineRule="auto"/>
        <w:ind w:firstLine="420" w:firstLineChars="200"/>
        <w:rPr>
          <w:rFonts w:ascii="宋体" w:hAnsi="宋体" w:cs="宋体"/>
          <w:strike w:val="0"/>
          <w:highlight w:val="none"/>
        </w:rPr>
      </w:pPr>
      <w:r>
        <w:rPr>
          <w:rFonts w:hint="eastAsia" w:ascii="宋体" w:hAnsi="宋体" w:cs="宋体"/>
          <w:strike w:val="0"/>
          <w:kern w:val="2"/>
          <w:sz w:val="21"/>
          <w:szCs w:val="21"/>
          <w:highlight w:val="none"/>
        </w:rPr>
        <w:t>2.5监狱企业、残疾人福利性单位属于小型、微型企业的，不重复享受政策。</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bCs/>
          <w:strike w:val="0"/>
          <w:kern w:val="0"/>
          <w:szCs w:val="21"/>
          <w:highlight w:val="none"/>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bCs/>
          <w:strike w:val="0"/>
          <w:kern w:val="0"/>
          <w:szCs w:val="21"/>
          <w:highlight w:val="none"/>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bCs/>
          <w:strike w:val="0"/>
          <w:kern w:val="0"/>
          <w:szCs w:val="21"/>
          <w:highlight w:val="none"/>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bCs/>
          <w:strike w:val="0"/>
          <w:kern w:val="0"/>
          <w:szCs w:val="21"/>
          <w:highlight w:val="none"/>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bCs/>
          <w:strike w:val="0"/>
          <w:kern w:val="0"/>
          <w:szCs w:val="21"/>
          <w:highlight w:val="none"/>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bCs/>
          <w:strike w:val="0"/>
          <w:kern w:val="0"/>
          <w:szCs w:val="21"/>
          <w:highlight w:val="none"/>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bCs/>
          <w:strike w:val="0"/>
          <w:kern w:val="0"/>
          <w:szCs w:val="21"/>
          <w:highlight w:val="none"/>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bCs/>
          <w:strike w:val="0"/>
          <w:kern w:val="0"/>
          <w:szCs w:val="21"/>
          <w:highlight w:val="none"/>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bCs/>
          <w:strike w:val="0"/>
          <w:kern w:val="0"/>
          <w:szCs w:val="21"/>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rPr>
          <w:rFonts w:ascii="宋体" w:hAnsi="宋体" w:cs="宋体"/>
          <w:strike w:val="0"/>
          <w:kern w:val="0"/>
          <w:highlight w:val="none"/>
        </w:rPr>
      </w:pPr>
      <w:bookmarkStart w:id="39" w:name="_Toc2739"/>
      <w:bookmarkStart w:id="40" w:name="_Toc15837"/>
      <w:bookmarkStart w:id="41" w:name="_Toc11975"/>
      <w:r>
        <w:rPr>
          <w:rFonts w:hint="eastAsia" w:ascii="宋体" w:hAnsi="宋体" w:cs="宋体"/>
          <w:strike w:val="0"/>
          <w:kern w:val="0"/>
          <w:highlight w:val="none"/>
        </w:rPr>
        <w:br w:type="page"/>
      </w:r>
    </w:p>
    <w:p>
      <w:pPr>
        <w:pStyle w:val="3"/>
        <w:numPr>
          <w:ilvl w:val="0"/>
          <w:numId w:val="4"/>
        </w:numPr>
        <w:spacing w:line="360" w:lineRule="auto"/>
        <w:rPr>
          <w:rFonts w:ascii="宋体" w:hAnsi="宋体" w:cs="宋体"/>
          <w:strike w:val="0"/>
          <w:kern w:val="0"/>
          <w:highlight w:val="none"/>
        </w:rPr>
      </w:pPr>
      <w:r>
        <w:rPr>
          <w:rFonts w:hint="eastAsia" w:ascii="宋体" w:hAnsi="宋体" w:cs="宋体"/>
          <w:strike w:val="0"/>
          <w:kern w:val="0"/>
          <w:highlight w:val="none"/>
        </w:rPr>
        <w:t xml:space="preserve"> </w:t>
      </w:r>
      <w:bookmarkStart w:id="42" w:name="_Toc26012"/>
      <w:bookmarkStart w:id="43" w:name="_Toc1916"/>
      <w:bookmarkStart w:id="44" w:name="_Toc32072"/>
      <w:bookmarkStart w:id="45" w:name="_Toc27161"/>
      <w:bookmarkStart w:id="46" w:name="_Toc17374"/>
      <w:r>
        <w:rPr>
          <w:rFonts w:hint="eastAsia" w:ascii="宋体" w:hAnsi="宋体" w:cs="宋体"/>
          <w:strike w:val="0"/>
          <w:kern w:val="0"/>
          <w:highlight w:val="none"/>
        </w:rPr>
        <w:t>采购需求</w:t>
      </w:r>
      <w:bookmarkEnd w:id="39"/>
      <w:bookmarkEnd w:id="40"/>
      <w:bookmarkEnd w:id="41"/>
      <w:bookmarkEnd w:id="42"/>
      <w:bookmarkEnd w:id="43"/>
      <w:bookmarkEnd w:id="44"/>
      <w:bookmarkEnd w:id="45"/>
      <w:bookmarkEnd w:id="46"/>
      <w:bookmarkStart w:id="47" w:name="_Toc481057147"/>
    </w:p>
    <w:p>
      <w:pPr>
        <w:spacing w:line="480" w:lineRule="exact"/>
        <w:ind w:firstLine="422" w:firstLineChars="200"/>
        <w:jc w:val="left"/>
        <w:outlineLvl w:val="0"/>
        <w:rPr>
          <w:rFonts w:ascii="宋体" w:hAnsi="宋体"/>
          <w:b/>
          <w:szCs w:val="21"/>
          <w:highlight w:val="none"/>
        </w:rPr>
      </w:pPr>
      <w:bookmarkStart w:id="48" w:name="_Toc32058"/>
      <w:bookmarkStart w:id="49" w:name="_Toc12884"/>
      <w:bookmarkStart w:id="50" w:name="_Toc26183"/>
      <w:bookmarkStart w:id="51" w:name="_Toc10067"/>
      <w:bookmarkStart w:id="52" w:name="_Toc2197"/>
      <w:r>
        <w:rPr>
          <w:rFonts w:hint="eastAsia" w:ascii="宋体" w:hAnsi="宋体"/>
          <w:b/>
          <w:szCs w:val="21"/>
          <w:highlight w:val="none"/>
        </w:rPr>
        <w:t>一、项目概况及总体要求</w:t>
      </w:r>
      <w:bookmarkEnd w:id="48"/>
      <w:bookmarkEnd w:id="49"/>
    </w:p>
    <w:p>
      <w:pPr>
        <w:spacing w:line="360" w:lineRule="auto"/>
        <w:ind w:left="414" w:leftChars="197" w:firstLine="420" w:firstLineChars="200"/>
        <w:outlineLvl w:val="0"/>
        <w:rPr>
          <w:rFonts w:hint="eastAsia" w:ascii="宋体" w:hAnsi="宋体"/>
          <w:szCs w:val="21"/>
          <w:highlight w:val="none"/>
          <w:lang w:eastAsia="zh"/>
        </w:rPr>
      </w:pPr>
      <w:bookmarkStart w:id="53" w:name="_Toc10738"/>
      <w:bookmarkStart w:id="54" w:name="_Toc23118"/>
      <w:r>
        <w:rPr>
          <w:rFonts w:hint="eastAsia" w:ascii="宋体" w:hAnsi="宋体"/>
          <w:color w:val="000000"/>
          <w:szCs w:val="21"/>
          <w:highlight w:val="none"/>
        </w:rPr>
        <w:t>江</w:t>
      </w:r>
      <w:r>
        <w:rPr>
          <w:rFonts w:hint="eastAsia" w:ascii="宋体" w:hAnsi="宋体"/>
          <w:szCs w:val="21"/>
          <w:highlight w:val="none"/>
        </w:rPr>
        <w:t>苏大学附属医院为原卫生部首批命名的“三甲”医院，全院核定床位1500张，目前开放床位1700张左右。我院洗涤外包服务协议期即将届满，根据相关规定招标预算金额定为260万元/年，共计三年</w:t>
      </w:r>
      <w:r>
        <w:rPr>
          <w:rFonts w:hint="eastAsia" w:ascii="宋体" w:hAnsi="宋体"/>
          <w:szCs w:val="21"/>
          <w:highlight w:val="none"/>
          <w:lang w:eastAsia="zh"/>
        </w:rPr>
        <w:t>。</w:t>
      </w:r>
      <w:bookmarkEnd w:id="53"/>
      <w:bookmarkEnd w:id="54"/>
    </w:p>
    <w:p>
      <w:pPr>
        <w:spacing w:before="156" w:beforeLines="50"/>
        <w:ind w:firstLine="413" w:firstLineChars="196"/>
        <w:outlineLvl w:val="0"/>
        <w:rPr>
          <w:rFonts w:ascii="宋体" w:hAnsi="宋体"/>
          <w:color w:val="FF0000"/>
          <w:szCs w:val="21"/>
          <w:highlight w:val="none"/>
        </w:rPr>
      </w:pPr>
      <w:bookmarkStart w:id="55" w:name="_Toc14864"/>
      <w:bookmarkStart w:id="56" w:name="_Toc16662"/>
      <w:r>
        <w:rPr>
          <w:rFonts w:hint="eastAsia" w:ascii="宋体" w:hAnsi="宋体"/>
          <w:b/>
          <w:szCs w:val="21"/>
          <w:highlight w:val="none"/>
          <w:lang w:val="en-US" w:eastAsia="zh-CN"/>
        </w:rPr>
        <w:t>二</w:t>
      </w:r>
      <w:r>
        <w:rPr>
          <w:rFonts w:hint="eastAsia" w:ascii="宋体" w:hAnsi="宋体"/>
          <w:b/>
          <w:szCs w:val="21"/>
          <w:highlight w:val="none"/>
        </w:rPr>
        <w:t>、采购需求一览表</w:t>
      </w:r>
      <w:bookmarkEnd w:id="55"/>
      <w:bookmarkEnd w:id="56"/>
    </w:p>
    <w:tbl>
      <w:tblPr>
        <w:tblStyle w:val="49"/>
        <w:tblW w:w="9540" w:type="dxa"/>
        <w:tblInd w:w="735" w:type="dxa"/>
        <w:tblLayout w:type="fixed"/>
        <w:tblCellMar>
          <w:top w:w="0" w:type="dxa"/>
          <w:left w:w="108" w:type="dxa"/>
          <w:bottom w:w="0" w:type="dxa"/>
          <w:right w:w="108" w:type="dxa"/>
        </w:tblCellMar>
      </w:tblPr>
      <w:tblGrid>
        <w:gridCol w:w="1225"/>
        <w:gridCol w:w="2985"/>
        <w:gridCol w:w="2985"/>
        <w:gridCol w:w="2345"/>
      </w:tblGrid>
      <w:tr>
        <w:tblPrEx>
          <w:tblCellMar>
            <w:top w:w="0" w:type="dxa"/>
            <w:left w:w="108" w:type="dxa"/>
            <w:bottom w:w="0" w:type="dxa"/>
            <w:right w:w="108" w:type="dxa"/>
          </w:tblCellMar>
        </w:tblPrEx>
        <w:trPr>
          <w:trHeight w:val="640" w:hRule="atLeast"/>
        </w:trPr>
        <w:tc>
          <w:tcPr>
            <w:tcW w:w="1225"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cs="Tahoma"/>
                <w:color w:val="000000"/>
                <w:kern w:val="0"/>
                <w:szCs w:val="21"/>
                <w:highlight w:val="none"/>
              </w:rPr>
            </w:pPr>
            <w:r>
              <w:rPr>
                <w:rFonts w:hint="eastAsia" w:ascii="宋体" w:hAnsi="宋体" w:cs="Tahoma"/>
                <w:color w:val="000000"/>
                <w:kern w:val="0"/>
                <w:szCs w:val="21"/>
                <w:highlight w:val="none"/>
              </w:rPr>
              <w:t>序号</w:t>
            </w:r>
          </w:p>
        </w:tc>
        <w:tc>
          <w:tcPr>
            <w:tcW w:w="2985" w:type="dxa"/>
            <w:tcBorders>
              <w:top w:val="single" w:color="auto" w:sz="4" w:space="0"/>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r>
              <w:rPr>
                <w:rFonts w:hint="eastAsia" w:ascii="宋体" w:hAnsi="宋体" w:cs="Tahoma"/>
                <w:color w:val="000000"/>
                <w:kern w:val="0"/>
                <w:szCs w:val="21"/>
                <w:highlight w:val="none"/>
              </w:rPr>
              <w:t>品种</w:t>
            </w:r>
          </w:p>
        </w:tc>
        <w:tc>
          <w:tcPr>
            <w:tcW w:w="2985" w:type="dxa"/>
            <w:tcBorders>
              <w:top w:val="single" w:color="auto" w:sz="4" w:space="0"/>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r>
              <w:rPr>
                <w:rFonts w:hint="eastAsia" w:ascii="宋体" w:hAnsi="宋体" w:cs="Tahoma"/>
                <w:color w:val="000000"/>
                <w:kern w:val="0"/>
                <w:szCs w:val="21"/>
                <w:highlight w:val="none"/>
              </w:rPr>
              <w:t>送洗件数</w:t>
            </w:r>
          </w:p>
        </w:tc>
        <w:tc>
          <w:tcPr>
            <w:tcW w:w="2345" w:type="dxa"/>
            <w:tcBorders>
              <w:top w:val="single" w:color="auto" w:sz="4" w:space="0"/>
              <w:left w:val="nil"/>
              <w:bottom w:val="single" w:color="auto" w:sz="4" w:space="0"/>
              <w:right w:val="single" w:color="auto" w:sz="4" w:space="0"/>
            </w:tcBorders>
            <w:noWrap/>
            <w:vAlign w:val="center"/>
          </w:tcPr>
          <w:p>
            <w:pPr>
              <w:widowControl/>
              <w:jc w:val="center"/>
              <w:rPr>
                <w:rFonts w:hint="default" w:ascii="宋体" w:hAnsi="宋体" w:eastAsia="宋体" w:cs="Tahoma"/>
                <w:color w:val="000000"/>
                <w:kern w:val="0"/>
                <w:szCs w:val="21"/>
                <w:highlight w:val="none"/>
                <w:lang w:val="en-US" w:eastAsia="zh-CN"/>
              </w:rPr>
            </w:pPr>
            <w:r>
              <w:rPr>
                <w:rFonts w:hint="eastAsia" w:ascii="宋体" w:hAnsi="宋体" w:cs="Tahoma"/>
                <w:color w:val="000000"/>
                <w:kern w:val="0"/>
                <w:szCs w:val="21"/>
                <w:highlight w:val="none"/>
                <w:lang w:val="en-US" w:eastAsia="zh-CN"/>
              </w:rPr>
              <w:t>最高限价（元/件）</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eastAsia="宋体" w:cs="Tahoma"/>
                <w:color w:val="000000"/>
                <w:kern w:val="0"/>
                <w:szCs w:val="21"/>
                <w:highlight w:val="none"/>
                <w:lang w:val="en-US" w:eastAsia="zh-CN"/>
              </w:rPr>
            </w:pPr>
            <w:r>
              <w:rPr>
                <w:rFonts w:hint="eastAsia" w:ascii="宋体" w:hAnsi="宋体" w:cs="宋体"/>
                <w:color w:val="000000"/>
                <w:kern w:val="0"/>
                <w:sz w:val="20"/>
                <w:szCs w:val="20"/>
                <w:highlight w:val="none"/>
              </w:rPr>
              <w:t>大单</w:t>
            </w:r>
            <w:r>
              <w:rPr>
                <w:rFonts w:hint="eastAsia" w:ascii="宋体" w:hAnsi="宋体" w:cs="宋体"/>
                <w:color w:val="000000"/>
                <w:kern w:val="0"/>
                <w:sz w:val="20"/>
                <w:szCs w:val="20"/>
                <w:highlight w:val="none"/>
                <w:lang w:val="en-US" w:eastAsia="zh-CN"/>
              </w:rPr>
              <w:t>/罩布（子）/蓝光罩</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eastAsia="宋体" w:cs="Tahoma"/>
                <w:color w:val="000000"/>
                <w:kern w:val="0"/>
                <w:szCs w:val="21"/>
                <w:highlight w:val="none"/>
                <w:lang w:val="en-US" w:eastAsia="zh-CN"/>
              </w:rPr>
            </w:pPr>
            <w:r>
              <w:rPr>
                <w:rFonts w:ascii="宋体" w:hAnsi="宋体" w:cs="宋体"/>
                <w:color w:val="000000"/>
                <w:kern w:val="0"/>
                <w:sz w:val="20"/>
                <w:szCs w:val="20"/>
                <w:highlight w:val="none"/>
              </w:rPr>
              <w:t>16</w:t>
            </w:r>
            <w:r>
              <w:rPr>
                <w:rFonts w:hint="eastAsia" w:ascii="宋体" w:hAnsi="宋体" w:cs="宋体"/>
                <w:color w:val="000000"/>
                <w:kern w:val="0"/>
                <w:sz w:val="20"/>
                <w:szCs w:val="20"/>
                <w:highlight w:val="none"/>
              </w:rPr>
              <w:t>7838</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1.2</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被套</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161613</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2.2</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枕套</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134748</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0.5</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4</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中单</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109858</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1.2</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5</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被胎</w:t>
            </w:r>
            <w:r>
              <w:rPr>
                <w:rFonts w:ascii="宋体" w:hAnsi="宋体" w:cs="宋体"/>
                <w:color w:val="000000"/>
                <w:kern w:val="0"/>
                <w:sz w:val="20"/>
                <w:szCs w:val="20"/>
                <w:highlight w:val="none"/>
              </w:rPr>
              <w:t>(</w:t>
            </w:r>
            <w:r>
              <w:rPr>
                <w:rFonts w:hint="eastAsia" w:ascii="宋体" w:hAnsi="宋体" w:cs="宋体"/>
                <w:color w:val="000000"/>
                <w:kern w:val="0"/>
                <w:sz w:val="20"/>
                <w:szCs w:val="20"/>
                <w:highlight w:val="none"/>
              </w:rPr>
              <w:t>大棉垫</w:t>
            </w:r>
            <w:r>
              <w:rPr>
                <w:rFonts w:ascii="宋体" w:hAnsi="宋体" w:cs="宋体"/>
                <w:color w:val="000000"/>
                <w:kern w:val="0"/>
                <w:sz w:val="20"/>
                <w:szCs w:val="20"/>
                <w:highlight w:val="none"/>
              </w:rPr>
              <w:t>)</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1205</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4</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6</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垫胎（小棉垫）</w:t>
            </w:r>
          </w:p>
        </w:tc>
        <w:tc>
          <w:tcPr>
            <w:tcW w:w="2985" w:type="dxa"/>
            <w:tcBorders>
              <w:top w:val="nil"/>
              <w:left w:val="nil"/>
              <w:bottom w:val="single" w:color="auto" w:sz="4" w:space="0"/>
              <w:right w:val="single" w:color="auto" w:sz="4" w:space="0"/>
            </w:tcBorders>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3681</w:t>
            </w:r>
          </w:p>
        </w:tc>
        <w:tc>
          <w:tcPr>
            <w:tcW w:w="2345" w:type="dxa"/>
            <w:tcBorders>
              <w:top w:val="nil"/>
              <w:left w:val="nil"/>
              <w:bottom w:val="single" w:color="auto" w:sz="4" w:space="0"/>
              <w:right w:val="single" w:color="auto" w:sz="4" w:space="0"/>
            </w:tcBorders>
            <w:noWrap/>
            <w:vAlign w:val="center"/>
          </w:tcPr>
          <w:p>
            <w:pPr>
              <w:widowControl/>
              <w:jc w:val="center"/>
              <w:textAlignment w:val="center"/>
              <w:rPr>
                <w:rFonts w:hint="eastAsia"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4</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7</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窗帘</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370</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4</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8</w:t>
            </w:r>
          </w:p>
        </w:tc>
        <w:tc>
          <w:tcPr>
            <w:tcW w:w="2985"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大隔帘</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661</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4</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9</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lang w:eastAsia="zh-CN"/>
              </w:rPr>
              <w:t>大夹单</w:t>
            </w:r>
            <w:r>
              <w:rPr>
                <w:rFonts w:hint="eastAsia" w:ascii="宋体" w:hAnsi="宋体" w:cs="宋体"/>
                <w:color w:val="000000"/>
                <w:kern w:val="0"/>
                <w:sz w:val="20"/>
                <w:szCs w:val="20"/>
                <w:highlight w:val="none"/>
                <w:lang w:val="en-US" w:eastAsia="zh-CN"/>
              </w:rPr>
              <w:t>/</w:t>
            </w:r>
            <w:r>
              <w:rPr>
                <w:rFonts w:hint="eastAsia" w:ascii="宋体" w:hAnsi="宋体" w:cs="宋体"/>
                <w:color w:val="000000"/>
                <w:kern w:val="0"/>
                <w:sz w:val="20"/>
                <w:szCs w:val="20"/>
                <w:highlight w:val="none"/>
              </w:rPr>
              <w:t>包布</w:t>
            </w:r>
            <w:r>
              <w:rPr>
                <w:rFonts w:ascii="宋体" w:hAnsi="宋体" w:cs="宋体"/>
                <w:color w:val="000000"/>
                <w:kern w:val="0"/>
                <w:sz w:val="20"/>
                <w:szCs w:val="20"/>
                <w:highlight w:val="none"/>
              </w:rPr>
              <w:t>0.35-1.6</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301236</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1</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10</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洞巾</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16797</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1</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11</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手术衣（隔离衣）</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114533</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2.5</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12</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洗手裤</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123107</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1.3</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13</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短袖洗手衣</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102245</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1.3</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14</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长袖洗手衣</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48416</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1.3</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15</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剖腹单</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20286</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2.8</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16</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台布（盖桌布）</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1449</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1.2</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17</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eastAsia="宋体" w:cs="Tahoma"/>
                <w:color w:val="000000"/>
                <w:kern w:val="0"/>
                <w:szCs w:val="21"/>
                <w:highlight w:val="none"/>
                <w:lang w:val="en-US" w:eastAsia="zh-CN"/>
              </w:rPr>
            </w:pPr>
            <w:r>
              <w:rPr>
                <w:rFonts w:hint="eastAsia" w:ascii="宋体" w:hAnsi="宋体" w:cs="宋体"/>
                <w:color w:val="000000"/>
                <w:kern w:val="0"/>
                <w:sz w:val="20"/>
                <w:szCs w:val="20"/>
                <w:highlight w:val="none"/>
              </w:rPr>
              <w:t>双层治疗巾</w:t>
            </w:r>
            <w:r>
              <w:rPr>
                <w:rFonts w:hint="eastAsia" w:ascii="宋体" w:hAnsi="宋体" w:cs="宋体"/>
                <w:color w:val="000000"/>
                <w:kern w:val="0"/>
                <w:sz w:val="20"/>
                <w:szCs w:val="20"/>
                <w:highlight w:val="none"/>
                <w:lang w:val="en-US" w:eastAsia="zh-CN"/>
              </w:rPr>
              <w:t>/打包布</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70426</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0.7</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18</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单层治疗巾</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102491</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0.7</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19</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长袖工作服</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69296</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2.7</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20</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工作裤</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48337</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1.3</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21</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短袖工作服</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6503</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2.7</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22</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病员衣</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148868</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1.3</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23</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病员裤</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126722</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1.3</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24</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棉衣（羽绒服）</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146</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4</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25</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毛衣</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114</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4</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26</w:t>
            </w:r>
          </w:p>
        </w:tc>
        <w:tc>
          <w:tcPr>
            <w:tcW w:w="2985"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小被套（婴儿被套）</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5745</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1</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27</w:t>
            </w:r>
          </w:p>
        </w:tc>
        <w:tc>
          <w:tcPr>
            <w:tcW w:w="2985"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婴儿大单</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7691</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1</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28</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婴儿毛衫</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458</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1</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29</w:t>
            </w:r>
          </w:p>
        </w:tc>
        <w:tc>
          <w:tcPr>
            <w:tcW w:w="2985"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hint="eastAsia" w:ascii="宋体" w:eastAsia="宋体" w:cs="Tahoma"/>
                <w:color w:val="000000"/>
                <w:kern w:val="0"/>
                <w:szCs w:val="21"/>
                <w:highlight w:val="none"/>
                <w:lang w:val="en-US" w:eastAsia="zh-CN"/>
              </w:rPr>
            </w:pPr>
            <w:r>
              <w:rPr>
                <w:rFonts w:hint="eastAsia" w:ascii="宋体" w:hAnsi="宋体" w:cs="宋体"/>
                <w:color w:val="000000"/>
                <w:kern w:val="0"/>
                <w:sz w:val="20"/>
                <w:szCs w:val="20"/>
                <w:highlight w:val="none"/>
              </w:rPr>
              <w:t>脚套</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2776</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0.5</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30</w:t>
            </w:r>
          </w:p>
        </w:tc>
        <w:tc>
          <w:tcPr>
            <w:tcW w:w="2985"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大毛巾</w:t>
            </w:r>
            <w:r>
              <w:rPr>
                <w:rFonts w:hint="eastAsia" w:ascii="宋体" w:hAnsi="宋体" w:cs="宋体"/>
                <w:color w:val="000000"/>
                <w:kern w:val="0"/>
                <w:sz w:val="20"/>
                <w:szCs w:val="20"/>
                <w:highlight w:val="none"/>
                <w:lang w:val="en-US" w:eastAsia="zh-CN"/>
              </w:rPr>
              <w:t>/浴巾</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2029</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0.5</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31</w:t>
            </w:r>
          </w:p>
        </w:tc>
        <w:tc>
          <w:tcPr>
            <w:tcW w:w="2985"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hint="eastAsia" w:ascii="宋体" w:eastAsia="宋体" w:cs="Tahoma"/>
                <w:color w:val="000000"/>
                <w:kern w:val="0"/>
                <w:szCs w:val="21"/>
                <w:highlight w:val="none"/>
                <w:lang w:val="en-US" w:eastAsia="zh-CN"/>
              </w:rPr>
            </w:pPr>
            <w:r>
              <w:rPr>
                <w:rFonts w:hint="eastAsia" w:ascii="宋体" w:hAnsi="宋体" w:cs="宋体"/>
                <w:color w:val="000000"/>
                <w:kern w:val="0"/>
                <w:sz w:val="20"/>
                <w:szCs w:val="20"/>
                <w:highlight w:val="none"/>
              </w:rPr>
              <w:t>小毛巾</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46</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0.3</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32</w:t>
            </w:r>
          </w:p>
        </w:tc>
        <w:tc>
          <w:tcPr>
            <w:tcW w:w="2985"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枕芯</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653</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2</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33</w:t>
            </w:r>
          </w:p>
        </w:tc>
        <w:tc>
          <w:tcPr>
            <w:tcW w:w="2985"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人工肾加长床单</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8487</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2</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34</w:t>
            </w:r>
          </w:p>
        </w:tc>
        <w:tc>
          <w:tcPr>
            <w:tcW w:w="2985"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回收布袋（口袋）</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9092</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0.01</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35</w:t>
            </w:r>
          </w:p>
        </w:tc>
        <w:tc>
          <w:tcPr>
            <w:tcW w:w="2985"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污物袋</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16620</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0.01</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36</w:t>
            </w:r>
          </w:p>
        </w:tc>
        <w:tc>
          <w:tcPr>
            <w:tcW w:w="2985"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有脚洗手裤</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866</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1.5</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37</w:t>
            </w:r>
          </w:p>
        </w:tc>
        <w:tc>
          <w:tcPr>
            <w:tcW w:w="2985"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垫套</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243</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1</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38</w:t>
            </w:r>
          </w:p>
        </w:tc>
        <w:tc>
          <w:tcPr>
            <w:tcW w:w="2985"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沙发套</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55</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0.3</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39</w:t>
            </w:r>
          </w:p>
        </w:tc>
        <w:tc>
          <w:tcPr>
            <w:tcW w:w="2985"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长带</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630</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hAnsi="宋体" w:eastAsia="宋体" w:cs="宋体"/>
                <w:color w:val="000000"/>
                <w:kern w:val="0"/>
                <w:sz w:val="20"/>
                <w:szCs w:val="20"/>
                <w:highlight w:val="none"/>
                <w:lang w:val="en-US" w:eastAsia="zh-CN"/>
              </w:rPr>
            </w:pPr>
            <w:r>
              <w:rPr>
                <w:rFonts w:hint="eastAsia" w:ascii="宋体" w:hAnsi="宋体" w:cs="宋体"/>
                <w:color w:val="000000"/>
                <w:kern w:val="0"/>
                <w:sz w:val="20"/>
                <w:szCs w:val="20"/>
                <w:highlight w:val="none"/>
                <w:lang w:val="en-US" w:eastAsia="zh-CN"/>
              </w:rPr>
              <w:t>0.2</w:t>
            </w:r>
          </w:p>
        </w:tc>
      </w:tr>
      <w:tr>
        <w:tblPrEx>
          <w:tblCellMar>
            <w:top w:w="0" w:type="dxa"/>
            <w:left w:w="108" w:type="dxa"/>
            <w:bottom w:w="0" w:type="dxa"/>
            <w:right w:w="108" w:type="dxa"/>
          </w:tblCellMar>
        </w:tblPrEx>
        <w:trPr>
          <w:trHeight w:val="285" w:hRule="atLeast"/>
        </w:trPr>
        <w:tc>
          <w:tcPr>
            <w:tcW w:w="1225"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40</w:t>
            </w:r>
          </w:p>
        </w:tc>
        <w:tc>
          <w:tcPr>
            <w:tcW w:w="2985" w:type="dxa"/>
            <w:tcBorders>
              <w:top w:val="nil"/>
              <w:left w:val="nil"/>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hint="eastAsia" w:ascii="宋体" w:hAnsi="宋体" w:cs="Tahoma"/>
                <w:color w:val="000000"/>
                <w:kern w:val="0"/>
                <w:sz w:val="20"/>
                <w:szCs w:val="20"/>
                <w:highlight w:val="none"/>
              </w:rPr>
              <w:t>拆装窗帘，隔帘</w:t>
            </w:r>
          </w:p>
        </w:tc>
        <w:tc>
          <w:tcPr>
            <w:tcW w:w="2985"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cs="Tahoma"/>
                <w:color w:val="000000"/>
                <w:kern w:val="0"/>
                <w:szCs w:val="21"/>
                <w:highlight w:val="none"/>
              </w:rPr>
            </w:pPr>
            <w:r>
              <w:rPr>
                <w:rFonts w:hint="eastAsia" w:ascii="宋体" w:hAnsi="宋体" w:cs="Tahoma"/>
                <w:color w:val="000000"/>
                <w:kern w:val="0"/>
                <w:sz w:val="20"/>
                <w:szCs w:val="20"/>
                <w:highlight w:val="none"/>
              </w:rPr>
              <w:t>1031</w:t>
            </w:r>
          </w:p>
        </w:tc>
        <w:tc>
          <w:tcPr>
            <w:tcW w:w="2345" w:type="dxa"/>
            <w:tcBorders>
              <w:top w:val="nil"/>
              <w:left w:val="nil"/>
              <w:bottom w:val="single" w:color="auto" w:sz="4" w:space="0"/>
              <w:right w:val="single" w:color="auto" w:sz="4" w:space="0"/>
            </w:tcBorders>
            <w:shd w:val="clear" w:color="000000" w:fill="FFFFFF"/>
            <w:noWrap/>
            <w:vAlign w:val="center"/>
          </w:tcPr>
          <w:p>
            <w:pPr>
              <w:widowControl/>
              <w:jc w:val="center"/>
              <w:rPr>
                <w:rFonts w:hint="default" w:ascii="宋体" w:hAnsi="宋体" w:eastAsia="宋体" w:cs="Tahoma"/>
                <w:color w:val="000000"/>
                <w:kern w:val="0"/>
                <w:sz w:val="20"/>
                <w:szCs w:val="20"/>
                <w:highlight w:val="none"/>
                <w:lang w:val="en-US" w:eastAsia="zh-CN"/>
              </w:rPr>
            </w:pPr>
            <w:r>
              <w:rPr>
                <w:rFonts w:hint="eastAsia" w:ascii="宋体" w:hAnsi="宋体" w:cs="Tahoma"/>
                <w:color w:val="000000"/>
                <w:kern w:val="0"/>
                <w:sz w:val="20"/>
                <w:szCs w:val="20"/>
                <w:highlight w:val="none"/>
                <w:lang w:val="en-US" w:eastAsia="zh-CN"/>
              </w:rPr>
              <w:t>25</w:t>
            </w:r>
          </w:p>
        </w:tc>
      </w:tr>
    </w:tbl>
    <w:p>
      <w:pPr>
        <w:spacing w:line="360" w:lineRule="auto"/>
        <w:ind w:firstLine="422" w:firstLineChars="200"/>
        <w:rPr>
          <w:rFonts w:hint="eastAsia" w:ascii="宋体" w:hAnsi="宋体"/>
          <w:b/>
          <w:bCs/>
          <w:szCs w:val="21"/>
          <w:highlight w:val="none"/>
        </w:rPr>
      </w:pPr>
      <w:r>
        <w:rPr>
          <w:rFonts w:hint="eastAsia" w:ascii="宋体" w:hAnsi="宋体"/>
          <w:b/>
          <w:bCs/>
          <w:szCs w:val="21"/>
          <w:highlight w:val="none"/>
          <w:lang w:val="en-US" w:eastAsia="zh-CN"/>
        </w:rPr>
        <w:t>注：1、</w:t>
      </w:r>
      <w:r>
        <w:rPr>
          <w:rFonts w:hint="eastAsia" w:ascii="宋体" w:hAnsi="宋体" w:eastAsia="宋体" w:cs="宋体"/>
          <w:b/>
          <w:bCs/>
          <w:kern w:val="0"/>
          <w:sz w:val="22"/>
          <w:szCs w:val="22"/>
          <w:highlight w:val="none"/>
          <w:lang w:val="en-US" w:eastAsia="zh-CN" w:bidi="ar"/>
        </w:rPr>
        <w:t>此表为</w:t>
      </w:r>
      <w:r>
        <w:rPr>
          <w:rFonts w:hint="eastAsia" w:ascii="宋体" w:hAnsi="宋体" w:eastAsia="宋体" w:cs="宋体"/>
          <w:b/>
          <w:bCs/>
          <w:kern w:val="0"/>
          <w:sz w:val="22"/>
          <w:szCs w:val="22"/>
          <w:highlight w:val="none"/>
          <w:lang w:bidi="ar"/>
        </w:rPr>
        <w:t>2024年医院洗涤物品实际件数，各供应商可结合医院事业发展需求填报洗涤费单件报价</w:t>
      </w:r>
      <w:r>
        <w:rPr>
          <w:rFonts w:hint="eastAsia" w:ascii="宋体" w:hAnsi="宋体" w:eastAsia="宋体" w:cs="宋体"/>
          <w:b/>
          <w:bCs/>
          <w:kern w:val="0"/>
          <w:sz w:val="22"/>
          <w:szCs w:val="22"/>
          <w:highlight w:val="none"/>
          <w:lang w:eastAsia="zh-CN" w:bidi="ar"/>
        </w:rPr>
        <w:t>，</w:t>
      </w:r>
      <w:r>
        <w:rPr>
          <w:rFonts w:hint="eastAsia" w:ascii="宋体" w:hAnsi="宋体" w:eastAsia="宋体" w:cs="宋体"/>
          <w:b/>
          <w:bCs/>
          <w:kern w:val="0"/>
          <w:sz w:val="22"/>
          <w:szCs w:val="22"/>
          <w:highlight w:val="none"/>
          <w:lang w:bidi="ar"/>
        </w:rPr>
        <w:t>并折算出全年预算。</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883" w:firstLineChars="400"/>
        <w:textAlignment w:val="auto"/>
        <w:rPr>
          <w:rFonts w:hint="eastAsia" w:ascii="宋体" w:hAnsi="宋体" w:cs="宋体"/>
          <w:b/>
          <w:bCs/>
          <w:kern w:val="0"/>
          <w:sz w:val="22"/>
          <w:szCs w:val="22"/>
          <w:highlight w:val="none"/>
          <w:lang w:bidi="ar"/>
        </w:rPr>
      </w:pPr>
      <w:r>
        <w:rPr>
          <w:rFonts w:hint="eastAsia" w:ascii="宋体" w:hAnsi="宋体" w:cs="宋体"/>
          <w:b/>
          <w:bCs/>
          <w:kern w:val="0"/>
          <w:sz w:val="22"/>
          <w:szCs w:val="22"/>
          <w:highlight w:val="none"/>
          <w:lang w:eastAsia="zh-CN" w:bidi="ar"/>
        </w:rPr>
        <w:t>2</w:t>
      </w:r>
      <w:r>
        <w:rPr>
          <w:rFonts w:hint="eastAsia" w:ascii="宋体" w:hAnsi="宋体" w:eastAsia="宋体" w:cs="宋体"/>
          <w:b/>
          <w:bCs/>
          <w:color w:val="auto"/>
          <w:kern w:val="0"/>
          <w:sz w:val="22"/>
          <w:szCs w:val="22"/>
          <w:highlight w:val="none"/>
          <w:lang w:val="en-US" w:eastAsia="zh-CN" w:bidi="ar"/>
        </w:rPr>
        <w:t>、</w:t>
      </w:r>
      <w:r>
        <w:rPr>
          <w:rFonts w:hint="eastAsia" w:ascii="宋体" w:hAnsi="宋体" w:cs="宋体"/>
          <w:b/>
          <w:bCs/>
          <w:kern w:val="0"/>
          <w:sz w:val="22"/>
          <w:szCs w:val="22"/>
          <w:highlight w:val="none"/>
          <w:lang w:bidi="ar"/>
        </w:rPr>
        <w:t>报价为固定单价，</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883" w:firstLineChars="400"/>
        <w:textAlignment w:val="auto"/>
        <w:rPr>
          <w:rFonts w:hint="eastAsia" w:ascii="宋体" w:hAnsi="宋体" w:eastAsia="宋体" w:cs="宋体"/>
          <w:b/>
          <w:bCs/>
          <w:color w:val="auto"/>
          <w:kern w:val="0"/>
          <w:sz w:val="22"/>
          <w:szCs w:val="22"/>
          <w:highlight w:val="none"/>
          <w:lang w:eastAsia="zh-CN" w:bidi="ar"/>
        </w:rPr>
      </w:pPr>
      <w:r>
        <w:rPr>
          <w:rFonts w:hint="eastAsia" w:ascii="宋体" w:hAnsi="宋体" w:cs="宋体"/>
          <w:b/>
          <w:bCs/>
          <w:kern w:val="0"/>
          <w:sz w:val="22"/>
          <w:szCs w:val="22"/>
          <w:highlight w:val="none"/>
          <w:lang w:val="en-US" w:eastAsia="zh-CN" w:bidi="ar"/>
        </w:rPr>
        <w:t>3、</w:t>
      </w:r>
      <w:r>
        <w:rPr>
          <w:rFonts w:hint="eastAsia" w:ascii="宋体" w:hAnsi="宋体" w:eastAsia="宋体" w:cs="宋体"/>
          <w:b/>
          <w:bCs/>
          <w:color w:val="auto"/>
          <w:kern w:val="0"/>
          <w:sz w:val="22"/>
          <w:szCs w:val="22"/>
          <w:highlight w:val="none"/>
          <w:lang w:bidi="ar"/>
        </w:rPr>
        <w:t>清单外的零星物品由双方协商确定</w:t>
      </w:r>
      <w:r>
        <w:rPr>
          <w:rFonts w:hint="eastAsia" w:ascii="宋体" w:hAnsi="宋体" w:eastAsia="宋体" w:cs="宋体"/>
          <w:b/>
          <w:bCs/>
          <w:color w:val="auto"/>
          <w:kern w:val="0"/>
          <w:sz w:val="22"/>
          <w:szCs w:val="22"/>
          <w:highlight w:val="none"/>
          <w:lang w:eastAsia="zh-CN" w:bidi="ar"/>
        </w:rPr>
        <w:t>；</w:t>
      </w:r>
    </w:p>
    <w:p>
      <w:pPr>
        <w:spacing w:line="360" w:lineRule="auto"/>
        <w:ind w:firstLine="883" w:firstLineChars="400"/>
        <w:rPr>
          <w:rFonts w:hint="eastAsia" w:ascii="宋体" w:hAnsi="宋体" w:eastAsia="宋体" w:cs="宋体"/>
          <w:b/>
          <w:bCs/>
          <w:color w:val="auto"/>
          <w:spacing w:val="0"/>
          <w:kern w:val="0"/>
          <w:sz w:val="22"/>
          <w:szCs w:val="22"/>
          <w:highlight w:val="none"/>
          <w:lang w:val="en-US" w:eastAsia="zh-CN" w:bidi="ar"/>
        </w:rPr>
      </w:pPr>
      <w:r>
        <w:rPr>
          <w:rFonts w:hint="eastAsia" w:ascii="宋体" w:hAnsi="宋体" w:cs="宋体"/>
          <w:b/>
          <w:bCs/>
          <w:kern w:val="0"/>
          <w:sz w:val="22"/>
          <w:szCs w:val="22"/>
          <w:highlight w:val="none"/>
          <w:lang w:val="en-US" w:eastAsia="zh-CN" w:bidi="ar"/>
        </w:rPr>
        <w:t>4</w:t>
      </w:r>
      <w:r>
        <w:rPr>
          <w:rFonts w:hint="eastAsia" w:ascii="宋体" w:hAnsi="宋体" w:eastAsia="宋体" w:cs="宋体"/>
          <w:b/>
          <w:bCs/>
          <w:color w:val="auto"/>
          <w:kern w:val="0"/>
          <w:sz w:val="22"/>
          <w:szCs w:val="22"/>
          <w:highlight w:val="none"/>
          <w:lang w:val="en-US" w:eastAsia="zh-CN" w:bidi="ar"/>
        </w:rPr>
        <w:t>、</w:t>
      </w:r>
      <w:r>
        <w:rPr>
          <w:rFonts w:hint="eastAsia" w:ascii="宋体" w:hAnsi="宋体" w:eastAsia="宋体" w:cs="宋体"/>
          <w:b/>
          <w:bCs/>
          <w:color w:val="auto"/>
          <w:spacing w:val="0"/>
          <w:kern w:val="0"/>
          <w:sz w:val="22"/>
          <w:szCs w:val="22"/>
          <w:highlight w:val="none"/>
          <w:lang w:val="en-US" w:eastAsia="zh-CN" w:bidi="ar"/>
        </w:rPr>
        <w:t>各</w:t>
      </w:r>
      <w:r>
        <w:rPr>
          <w:rFonts w:hint="eastAsia" w:ascii="宋体" w:hAnsi="宋体" w:cs="宋体"/>
          <w:b/>
          <w:bCs/>
          <w:color w:val="auto"/>
          <w:spacing w:val="0"/>
          <w:kern w:val="0"/>
          <w:sz w:val="22"/>
          <w:szCs w:val="22"/>
          <w:highlight w:val="none"/>
          <w:lang w:val="en-US" w:eastAsia="zh-CN" w:bidi="ar"/>
        </w:rPr>
        <w:t>供应商</w:t>
      </w:r>
      <w:r>
        <w:rPr>
          <w:rFonts w:hint="eastAsia" w:ascii="宋体" w:hAnsi="宋体" w:eastAsia="宋体" w:cs="宋体"/>
          <w:b/>
          <w:bCs/>
          <w:color w:val="auto"/>
          <w:spacing w:val="0"/>
          <w:kern w:val="0"/>
          <w:sz w:val="22"/>
          <w:szCs w:val="22"/>
          <w:highlight w:val="none"/>
          <w:lang w:val="en-US" w:eastAsia="zh-CN" w:bidi="ar"/>
        </w:rPr>
        <w:t>的投标单价及合价均不得高于上述最高限价，否则做无效响应文件处理。</w:t>
      </w:r>
    </w:p>
    <w:p>
      <w:pPr>
        <w:numPr>
          <w:ilvl w:val="-1"/>
          <w:numId w:val="0"/>
        </w:numPr>
        <w:spacing w:line="360" w:lineRule="auto"/>
        <w:ind w:firstLine="883" w:firstLineChars="400"/>
        <w:rPr>
          <w:rFonts w:hint="eastAsia" w:ascii="宋体" w:hAnsi="宋体" w:eastAsia="宋体" w:cs="宋体"/>
          <w:b/>
          <w:bCs/>
          <w:kern w:val="0"/>
          <w:sz w:val="22"/>
          <w:szCs w:val="22"/>
          <w:highlight w:val="none"/>
          <w:lang w:val="en-US" w:eastAsia="zh-CN" w:bidi="ar"/>
        </w:rPr>
      </w:pPr>
      <w:r>
        <w:rPr>
          <w:rFonts w:hint="eastAsia" w:ascii="宋体" w:hAnsi="宋体" w:cs="宋体"/>
          <w:b/>
          <w:bCs/>
          <w:kern w:val="0"/>
          <w:sz w:val="22"/>
          <w:szCs w:val="22"/>
          <w:highlight w:val="none"/>
          <w:lang w:val="en-US" w:eastAsia="zh-CN" w:bidi="ar"/>
        </w:rPr>
        <w:t>5</w:t>
      </w:r>
      <w:r>
        <w:rPr>
          <w:rFonts w:hint="eastAsia" w:ascii="宋体" w:hAnsi="宋体" w:eastAsia="宋体" w:cs="宋体"/>
          <w:b/>
          <w:bCs/>
          <w:color w:val="auto"/>
          <w:kern w:val="0"/>
          <w:sz w:val="22"/>
          <w:szCs w:val="22"/>
          <w:highlight w:val="none"/>
          <w:lang w:val="en-US" w:eastAsia="zh-CN" w:bidi="ar"/>
        </w:rPr>
        <w:t>、</w:t>
      </w:r>
      <w:r>
        <w:rPr>
          <w:rFonts w:hint="eastAsia" w:ascii="宋体" w:hAnsi="宋体" w:eastAsia="宋体" w:cs="宋体"/>
          <w:b/>
          <w:bCs/>
          <w:color w:val="auto"/>
          <w:kern w:val="0"/>
          <w:sz w:val="22"/>
          <w:szCs w:val="22"/>
          <w:highlight w:val="none"/>
          <w:lang w:bidi="ar"/>
        </w:rPr>
        <w:t>最终洗涤量按实结算，招标人不做最低采购量承诺</w:t>
      </w:r>
      <w:r>
        <w:rPr>
          <w:rFonts w:hint="eastAsia" w:ascii="宋体" w:hAnsi="宋体" w:eastAsia="宋体" w:cs="宋体"/>
          <w:b/>
          <w:bCs/>
          <w:color w:val="auto"/>
          <w:kern w:val="0"/>
          <w:sz w:val="22"/>
          <w:szCs w:val="22"/>
          <w:highlight w:val="none"/>
          <w:lang w:eastAsia="zh-CN" w:bidi="ar"/>
        </w:rPr>
        <w:t>。</w:t>
      </w:r>
    </w:p>
    <w:p>
      <w:pPr>
        <w:spacing w:before="156" w:beforeLines="50" w:line="360" w:lineRule="auto"/>
        <w:outlineLvl w:val="0"/>
        <w:rPr>
          <w:rFonts w:ascii="宋体" w:hAnsi="宋体"/>
          <w:b/>
          <w:szCs w:val="21"/>
          <w:highlight w:val="none"/>
        </w:rPr>
      </w:pPr>
      <w:bookmarkStart w:id="57" w:name="_Toc31477"/>
      <w:bookmarkStart w:id="58" w:name="_Toc18089"/>
      <w:r>
        <w:rPr>
          <w:rFonts w:hint="eastAsia" w:ascii="宋体" w:hAnsi="宋体"/>
          <w:b/>
          <w:szCs w:val="21"/>
          <w:highlight w:val="none"/>
          <w:lang w:val="en-US" w:eastAsia="zh-CN"/>
        </w:rPr>
        <w:t>三</w:t>
      </w:r>
      <w:r>
        <w:rPr>
          <w:rFonts w:hint="eastAsia" w:ascii="宋体" w:hAnsi="宋体"/>
          <w:b/>
          <w:szCs w:val="21"/>
          <w:highlight w:val="none"/>
        </w:rPr>
        <w:t>、</w:t>
      </w:r>
      <w:r>
        <w:rPr>
          <w:rFonts w:hint="eastAsia" w:ascii="黑体" w:hAnsi="黑体" w:eastAsia="黑体" w:cs="黑体"/>
          <w:b/>
          <w:szCs w:val="21"/>
          <w:highlight w:val="none"/>
        </w:rPr>
        <w:t>★</w:t>
      </w:r>
      <w:r>
        <w:rPr>
          <w:rFonts w:hint="eastAsia" w:ascii="宋体" w:hAnsi="宋体"/>
          <w:b/>
          <w:szCs w:val="21"/>
          <w:highlight w:val="none"/>
        </w:rPr>
        <w:t>商务和服务需求</w:t>
      </w:r>
      <w:bookmarkEnd w:id="57"/>
      <w:bookmarkEnd w:id="58"/>
    </w:p>
    <w:tbl>
      <w:tblPr>
        <w:tblStyle w:val="49"/>
        <w:tblW w:w="8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1380"/>
        <w:gridCol w:w="6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1" w:type="dxa"/>
            <w:noWrap w:val="0"/>
            <w:vAlign w:val="center"/>
          </w:tcPr>
          <w:p>
            <w:pPr>
              <w:keepNext w:val="0"/>
              <w:keepLines w:val="0"/>
              <w:pageBreakBefore w:val="0"/>
              <w:kinsoku/>
              <w:wordWrap/>
              <w:overflowPunct/>
              <w:topLinePunct w:val="0"/>
              <w:autoSpaceDE w:val="0"/>
              <w:autoSpaceDN w:val="0"/>
              <w:bidi w:val="0"/>
              <w:adjustRightInd w:val="0"/>
              <w:snapToGrid w:val="0"/>
              <w:spacing w:before="156" w:beforeLines="50" w:after="156" w:afterLines="50"/>
              <w:jc w:val="center"/>
              <w:textAlignment w:val="auto"/>
              <w:rPr>
                <w:rFonts w:hint="eastAsia"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序号</w:t>
            </w:r>
          </w:p>
        </w:tc>
        <w:tc>
          <w:tcPr>
            <w:tcW w:w="1380" w:type="dxa"/>
            <w:noWrap w:val="0"/>
            <w:vAlign w:val="center"/>
          </w:tcPr>
          <w:p>
            <w:pPr>
              <w:keepNext w:val="0"/>
              <w:keepLines w:val="0"/>
              <w:pageBreakBefore w:val="0"/>
              <w:kinsoku/>
              <w:wordWrap/>
              <w:overflowPunct/>
              <w:topLinePunct w:val="0"/>
              <w:autoSpaceDE w:val="0"/>
              <w:autoSpaceDN w:val="0"/>
              <w:bidi w:val="0"/>
              <w:adjustRightInd w:val="0"/>
              <w:snapToGrid w:val="0"/>
              <w:spacing w:before="156" w:beforeLines="50" w:after="156" w:afterLines="50"/>
              <w:jc w:val="center"/>
              <w:textAlignment w:val="auto"/>
              <w:rPr>
                <w:rFonts w:hint="eastAsia"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商务和服务项目</w:t>
            </w:r>
          </w:p>
        </w:tc>
        <w:tc>
          <w:tcPr>
            <w:tcW w:w="6695" w:type="dxa"/>
            <w:noWrap w:val="0"/>
            <w:vAlign w:val="center"/>
          </w:tcPr>
          <w:p>
            <w:pPr>
              <w:keepNext w:val="0"/>
              <w:keepLines w:val="0"/>
              <w:pageBreakBefore w:val="0"/>
              <w:kinsoku/>
              <w:wordWrap/>
              <w:overflowPunct/>
              <w:topLinePunct w:val="0"/>
              <w:autoSpaceDE w:val="0"/>
              <w:autoSpaceDN w:val="0"/>
              <w:bidi w:val="0"/>
              <w:adjustRightInd w:val="0"/>
              <w:snapToGrid w:val="0"/>
              <w:spacing w:before="156" w:beforeLines="50" w:after="156" w:afterLines="50"/>
              <w:jc w:val="center"/>
              <w:textAlignment w:val="auto"/>
              <w:rPr>
                <w:rFonts w:hint="eastAsia"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商务和服务要求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01" w:type="dxa"/>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1</w:t>
            </w:r>
          </w:p>
        </w:tc>
        <w:tc>
          <w:tcPr>
            <w:tcW w:w="1380" w:type="dxa"/>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服务期</w:t>
            </w:r>
          </w:p>
        </w:tc>
        <w:tc>
          <w:tcPr>
            <w:tcW w:w="6695" w:type="dxa"/>
            <w:noWrap w:val="0"/>
            <w:vAlign w:val="center"/>
          </w:tcPr>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三年（202</w:t>
            </w:r>
            <w:r>
              <w:rPr>
                <w:rFonts w:hint="eastAsia" w:ascii="宋体" w:hAnsi="宋体" w:eastAsia="宋体" w:cs="宋体"/>
                <w:snapToGrid w:val="0"/>
                <w:kern w:val="0"/>
                <w:szCs w:val="21"/>
                <w:highlight w:val="none"/>
              </w:rPr>
              <w:t>5</w:t>
            </w:r>
            <w:r>
              <w:rPr>
                <w:rFonts w:hint="eastAsia" w:ascii="宋体" w:hAnsi="宋体" w:eastAsia="宋体" w:cs="宋体"/>
                <w:snapToGrid w:val="0"/>
                <w:kern w:val="0"/>
                <w:szCs w:val="21"/>
                <w:highlight w:val="none"/>
                <w:lang w:val="zh-CN"/>
              </w:rPr>
              <w:t>年6月1日至202</w:t>
            </w:r>
            <w:r>
              <w:rPr>
                <w:rFonts w:hint="eastAsia" w:ascii="宋体" w:hAnsi="宋体" w:eastAsia="宋体" w:cs="宋体"/>
                <w:snapToGrid w:val="0"/>
                <w:kern w:val="0"/>
                <w:szCs w:val="21"/>
                <w:highlight w:val="none"/>
              </w:rPr>
              <w:t>8</w:t>
            </w:r>
            <w:r>
              <w:rPr>
                <w:rFonts w:hint="eastAsia" w:ascii="宋体" w:hAnsi="宋体" w:eastAsia="宋体" w:cs="宋体"/>
                <w:snapToGrid w:val="0"/>
                <w:kern w:val="0"/>
                <w:szCs w:val="21"/>
                <w:highlight w:val="none"/>
                <w:lang w:val="zh-CN"/>
              </w:rPr>
              <w:t>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01" w:type="dxa"/>
            <w:vMerge w:val="restart"/>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rPr>
            </w:pPr>
            <w:r>
              <w:rPr>
                <w:rFonts w:hint="eastAsia" w:ascii="宋体" w:hAnsi="宋体" w:eastAsia="宋体" w:cs="宋体"/>
                <w:snapToGrid w:val="0"/>
                <w:kern w:val="0"/>
                <w:szCs w:val="21"/>
                <w:highlight w:val="none"/>
              </w:rPr>
              <w:t>2</w:t>
            </w:r>
          </w:p>
        </w:tc>
        <w:tc>
          <w:tcPr>
            <w:tcW w:w="1380" w:type="dxa"/>
            <w:vMerge w:val="restart"/>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服务标准</w:t>
            </w:r>
          </w:p>
        </w:tc>
        <w:tc>
          <w:tcPr>
            <w:tcW w:w="6695" w:type="dxa"/>
            <w:noWrap w:val="0"/>
            <w:vAlign w:val="center"/>
          </w:tcPr>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napToGrid w:val="0"/>
                <w:kern w:val="0"/>
                <w:szCs w:val="21"/>
                <w:highlight w:val="none"/>
              </w:rPr>
            </w:pPr>
            <w:r>
              <w:rPr>
                <w:rFonts w:hint="eastAsia" w:ascii="宋体" w:hAnsi="宋体" w:eastAsia="宋体" w:cs="宋体"/>
                <w:snapToGrid w:val="0"/>
                <w:kern w:val="0"/>
                <w:szCs w:val="21"/>
                <w:highlight w:val="none"/>
              </w:rPr>
              <w:t>2.1</w:t>
            </w:r>
            <w:r>
              <w:rPr>
                <w:rFonts w:hint="eastAsia" w:ascii="宋体" w:hAnsi="宋体" w:eastAsia="宋体" w:cs="宋体"/>
                <w:szCs w:val="21"/>
                <w:highlight w:val="none"/>
              </w:rPr>
              <w:t>根据医院实际情形，按院方时间要求将洗净物品送至医院洗衣房，如洗涤公司物品不及时送达（超过24小时），严重影响医院医疗业务正常运行的，</w:t>
            </w:r>
            <w:r>
              <w:rPr>
                <w:rFonts w:hint="eastAsia" w:ascii="宋体" w:hAnsi="宋体" w:eastAsia="宋体" w:cs="宋体"/>
                <w:color w:val="000000"/>
                <w:highlight w:val="none"/>
                <w:lang w:val="en-US" w:eastAsia="zh-CN"/>
              </w:rPr>
              <w:t>每逾期交付一次，扣罚违约金2000元</w:t>
            </w:r>
            <w:r>
              <w:rPr>
                <w:rFonts w:hint="eastAsia" w:ascii="宋体" w:hAnsi="宋体" w:eastAsia="宋体" w:cs="宋体"/>
                <w:color w:val="000000"/>
                <w:szCs w:val="21"/>
                <w:highlight w:val="none"/>
              </w:rPr>
              <w:t>，第三次直接终止合同并予处罚。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01"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1380"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6695" w:type="dxa"/>
            <w:noWrap w:val="0"/>
            <w:vAlign w:val="center"/>
          </w:tcPr>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zCs w:val="21"/>
                <w:highlight w:val="none"/>
              </w:rPr>
            </w:pPr>
            <w:r>
              <w:rPr>
                <w:rFonts w:hint="eastAsia" w:ascii="宋体" w:hAnsi="宋体" w:eastAsia="宋体" w:cs="宋体"/>
                <w:snapToGrid w:val="0"/>
                <w:kern w:val="0"/>
                <w:szCs w:val="21"/>
                <w:highlight w:val="none"/>
              </w:rPr>
              <w:t>2.2项目组服务人员应</w:t>
            </w:r>
            <w:r>
              <w:rPr>
                <w:rFonts w:hint="eastAsia" w:ascii="宋体" w:hAnsi="宋体" w:eastAsia="宋体" w:cs="宋体"/>
                <w:szCs w:val="21"/>
                <w:highlight w:val="none"/>
              </w:rPr>
              <w:t>严格执行医院各项规章制度，做到服务</w:t>
            </w:r>
            <w:r>
              <w:rPr>
                <w:rFonts w:hint="eastAsia" w:ascii="宋体" w:hAnsi="宋体" w:eastAsia="宋体" w:cs="宋体"/>
                <w:color w:val="000000"/>
                <w:szCs w:val="21"/>
                <w:highlight w:val="none"/>
              </w:rPr>
              <w:t>热情</w:t>
            </w:r>
            <w:r>
              <w:rPr>
                <w:rFonts w:hint="eastAsia" w:ascii="宋体" w:hAnsi="宋体" w:eastAsia="宋体" w:cs="宋体"/>
                <w:szCs w:val="21"/>
                <w:highlight w:val="none"/>
              </w:rPr>
              <w:t>规范。</w:t>
            </w:r>
          </w:p>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配送工作除节假日外（节假日仅指春节期间的除夕、初一、初二），全年无休，保证每日正常派送。</w:t>
            </w:r>
          </w:p>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highlight w:val="none"/>
              </w:rPr>
            </w:pPr>
            <w:r>
              <w:rPr>
                <w:rFonts w:hint="eastAsia" w:ascii="宋体" w:hAnsi="宋体" w:eastAsia="宋体" w:cs="宋体"/>
                <w:szCs w:val="21"/>
                <w:highlight w:val="none"/>
              </w:rPr>
              <w:t>节假日期间须事先与院方沟通好派送方案。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01"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1380"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6695" w:type="dxa"/>
            <w:noWrap w:val="0"/>
            <w:vAlign w:val="center"/>
          </w:tcPr>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2.3项目组服务人员根据分块包区，将洗净的物品及时送至各科室，双方现场清点数量，并签字确认。如果送至科室的清洁洗涤物品数量与清点不符，24小时内必须补齐，否则按成本价从当月洗涤费中扣除。</w:t>
            </w:r>
          </w:p>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对各科室前一日的污物收集，应由项目组服务人员在指定地点，与所在科室代表共同清点无误后装袋送回洗衣房。清点污物时污物不落地，禁止将污大单铺在走廊地面上。如双方对清点数目有争议，应多次清点直至数目准确。</w:t>
            </w:r>
          </w:p>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洗涤物品登记交接单必须一式3联，字迹清晰，分单位、部门留存。</w:t>
            </w:r>
          </w:p>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按院方具体科室、种类及数量进行汇总统计，便于清点数量。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01"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1380"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6695" w:type="dxa"/>
            <w:noWrap w:val="0"/>
            <w:vAlign w:val="center"/>
          </w:tcPr>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2.4洗涤配送车辆到达医院后应停放至指定位置，清空洁净的衣物后，再将污物装车运走。</w:t>
            </w:r>
          </w:p>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配送至各科室的洁净衣物由洗涤公司自行提供车辆，车辆须轻便、结实，确保减少噪音产生。</w:t>
            </w:r>
          </w:p>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配送车辆要及时清洁、消毒和保养，清洁车与污染车分开，车辆标志清楚，分室放置，每天都应用消毒溶液擦试，每周彻底清洁、消毒、保养一次。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01"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1380"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6695" w:type="dxa"/>
            <w:noWrap w:val="0"/>
            <w:vAlign w:val="center"/>
          </w:tcPr>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color w:val="000000"/>
                <w:szCs w:val="21"/>
                <w:highlight w:val="none"/>
              </w:rPr>
            </w:pPr>
            <w:r>
              <w:rPr>
                <w:rFonts w:hint="eastAsia" w:ascii="宋体" w:hAnsi="宋体" w:eastAsia="宋体" w:cs="宋体"/>
                <w:snapToGrid w:val="0"/>
                <w:kern w:val="0"/>
                <w:szCs w:val="21"/>
                <w:highlight w:val="none"/>
              </w:rPr>
              <w:t>2.5</w:t>
            </w:r>
            <w:r>
              <w:rPr>
                <w:rFonts w:hint="eastAsia" w:ascii="宋体" w:hAnsi="宋体" w:eastAsia="宋体" w:cs="宋体"/>
                <w:szCs w:val="21"/>
                <w:highlight w:val="none"/>
              </w:rPr>
              <w:t>为避免交叉感染，必须遵守国家最新颁布的</w:t>
            </w:r>
            <w:r>
              <w:rPr>
                <w:rFonts w:hint="eastAsia" w:ascii="宋体" w:hAnsi="宋体" w:eastAsia="宋体" w:cs="宋体"/>
                <w:color w:val="000000"/>
                <w:szCs w:val="21"/>
                <w:highlight w:val="none"/>
              </w:rPr>
              <w:t>《医院医用织物洗涤消毒技术规范》（</w:t>
            </w:r>
            <w:r>
              <w:rPr>
                <w:rFonts w:hint="eastAsia" w:ascii="宋体" w:hAnsi="宋体" w:eastAsia="宋体" w:cs="宋体"/>
                <w:color w:val="000000"/>
                <w:szCs w:val="21"/>
                <w:highlight w:val="none"/>
                <w:lang w:eastAsia="zh-CN"/>
              </w:rPr>
              <w:t>最新版</w:t>
            </w:r>
            <w:r>
              <w:rPr>
                <w:rFonts w:hint="eastAsia" w:ascii="宋体" w:hAnsi="宋体" w:eastAsia="宋体" w:cs="宋体"/>
                <w:color w:val="000000"/>
                <w:szCs w:val="21"/>
                <w:highlight w:val="none"/>
              </w:rPr>
              <w:t>）有关规定要求，严格执行。</w:t>
            </w:r>
            <w:r>
              <w:rPr>
                <w:rFonts w:hint="eastAsia" w:ascii="宋体" w:hAnsi="宋体" w:eastAsia="宋体" w:cs="宋体"/>
                <w:color w:val="000000"/>
                <w:szCs w:val="21"/>
                <w:highlight w:val="none"/>
                <w:lang w:eastAsia="zh-CN"/>
              </w:rPr>
              <w:t>认真做好洗涤质量的监测，并按采购方意见及时整改，不断改进洗涤质量。</w:t>
            </w:r>
          </w:p>
          <w:p>
            <w:pPr>
              <w:pStyle w:val="24"/>
              <w:keepNext w:val="0"/>
              <w:keepLines w:val="0"/>
              <w:pageBreakBefore w:val="0"/>
              <w:kinsoku/>
              <w:wordWrap/>
              <w:overflowPunct/>
              <w:topLinePunct w:val="0"/>
              <w:bidi w:val="0"/>
              <w:snapToGrid w:val="0"/>
              <w:ind w:left="0" w:leftChars="0"/>
              <w:jc w:val="left"/>
              <w:textAlignment w:val="auto"/>
              <w:rPr>
                <w:rFonts w:hint="eastAsia" w:ascii="宋体" w:hAnsi="宋体" w:eastAsia="宋体" w:cs="宋体"/>
                <w:szCs w:val="21"/>
                <w:highlight w:val="none"/>
              </w:rPr>
            </w:pPr>
            <w:r>
              <w:rPr>
                <w:rFonts w:hint="eastAsia" w:ascii="宋体" w:hAnsi="宋体" w:eastAsia="宋体" w:cs="宋体"/>
                <w:color w:val="000000"/>
                <w:szCs w:val="21"/>
                <w:highlight w:val="none"/>
              </w:rPr>
              <w:t>2.5.1</w:t>
            </w:r>
            <w:r>
              <w:rPr>
                <w:rFonts w:hint="eastAsia" w:ascii="宋体" w:hAnsi="宋体" w:eastAsia="宋体" w:cs="宋体"/>
                <w:szCs w:val="21"/>
                <w:highlight w:val="none"/>
              </w:rPr>
              <w:t>收回的污染物品，要先分检，再分洗，按流程规范操作（消毒、洗涤、干燥、烫平、折叠）。</w:t>
            </w:r>
          </w:p>
          <w:p>
            <w:pPr>
              <w:keepNext w:val="0"/>
              <w:keepLines w:val="0"/>
              <w:pageBreakBefore w:val="0"/>
              <w:kinsoku/>
              <w:wordWrap/>
              <w:overflowPunct/>
              <w:topLinePunct w:val="0"/>
              <w:bidi w:val="0"/>
              <w:snapToGrid w:val="0"/>
              <w:textAlignment w:val="auto"/>
              <w:rPr>
                <w:rFonts w:hint="eastAsia" w:ascii="宋体" w:hAnsi="宋体" w:eastAsia="宋体" w:cs="宋体"/>
                <w:szCs w:val="21"/>
                <w:highlight w:val="none"/>
              </w:rPr>
            </w:pPr>
            <w:r>
              <w:rPr>
                <w:rFonts w:hint="eastAsia" w:ascii="宋体" w:hAnsi="宋体" w:eastAsia="宋体" w:cs="宋体"/>
                <w:szCs w:val="21"/>
                <w:highlight w:val="none"/>
              </w:rPr>
              <w:t>2.5.2物品清洗达标，无肉眼可见污渍和血迹、基本没</w:t>
            </w:r>
            <w:r>
              <w:rPr>
                <w:rFonts w:hint="eastAsia" w:ascii="宋体" w:hAnsi="宋体" w:eastAsia="宋体" w:cs="宋体"/>
                <w:szCs w:val="21"/>
                <w:highlight w:val="none"/>
                <w:lang w:eastAsia="zh"/>
              </w:rPr>
              <w:t>有</w:t>
            </w:r>
            <w:r>
              <w:rPr>
                <w:rFonts w:hint="eastAsia" w:ascii="宋体" w:hAnsi="宋体" w:eastAsia="宋体" w:cs="宋体"/>
                <w:szCs w:val="21"/>
                <w:highlight w:val="none"/>
              </w:rPr>
              <w:t>明显退色</w:t>
            </w:r>
            <w:r>
              <w:rPr>
                <w:rFonts w:hint="eastAsia" w:ascii="宋体" w:hAnsi="宋体" w:eastAsia="宋体" w:cs="宋体"/>
                <w:szCs w:val="21"/>
                <w:highlight w:val="none"/>
                <w:lang w:eastAsia="zh"/>
              </w:rPr>
              <w:t>且</w:t>
            </w:r>
            <w:r>
              <w:rPr>
                <w:rFonts w:hint="eastAsia" w:ascii="宋体" w:hAnsi="宋体" w:eastAsia="宋体" w:cs="宋体"/>
                <w:szCs w:val="21"/>
                <w:highlight w:val="none"/>
              </w:rPr>
              <w:t>无布屑、无线头、无异物包裹在洗涤物品内。</w:t>
            </w:r>
          </w:p>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2.5.3</w:t>
            </w:r>
            <w:r>
              <w:rPr>
                <w:rFonts w:hint="eastAsia" w:ascii="宋体" w:hAnsi="宋体" w:eastAsia="宋体" w:cs="宋体"/>
                <w:color w:val="000000"/>
                <w:szCs w:val="21"/>
                <w:highlight w:val="none"/>
              </w:rPr>
              <w:t>派送</w:t>
            </w:r>
            <w:r>
              <w:rPr>
                <w:rFonts w:hint="eastAsia" w:ascii="宋体" w:hAnsi="宋体" w:eastAsia="宋体" w:cs="宋体"/>
                <w:szCs w:val="21"/>
                <w:highlight w:val="none"/>
              </w:rPr>
              <w:t>的洁净物品规范达标，出厂前做到物品干燥、平整、完好，缝补到位，无破损、无皱折、无裂缝、带子及钮扣齐全。</w:t>
            </w:r>
          </w:p>
          <w:p>
            <w:pPr>
              <w:pStyle w:val="24"/>
              <w:keepNext w:val="0"/>
              <w:keepLines w:val="0"/>
              <w:pageBreakBefore w:val="0"/>
              <w:kinsoku/>
              <w:wordWrap/>
              <w:overflowPunct/>
              <w:topLinePunct w:val="0"/>
              <w:bidi w:val="0"/>
              <w:snapToGrid w:val="0"/>
              <w:ind w:left="0" w:leftChars="0"/>
              <w:textAlignment w:val="auto"/>
              <w:rPr>
                <w:rFonts w:hint="eastAsia" w:ascii="宋体" w:hAnsi="宋体" w:eastAsia="宋体" w:cs="宋体"/>
                <w:szCs w:val="21"/>
                <w:highlight w:val="none"/>
              </w:rPr>
            </w:pPr>
            <w:r>
              <w:rPr>
                <w:rFonts w:hint="eastAsia" w:ascii="宋体" w:hAnsi="宋体" w:eastAsia="宋体" w:cs="宋体"/>
                <w:szCs w:val="21"/>
                <w:highlight w:val="none"/>
              </w:rPr>
              <w:t>2.5.4洗涤后布草的残留菌落数须符合国家标准要求，每一件医疗被服等布类用品送回后即能投入使用。</w:t>
            </w:r>
          </w:p>
          <w:p>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highlight w:val="none"/>
              </w:rPr>
            </w:pPr>
            <w:r>
              <w:rPr>
                <w:rFonts w:hint="eastAsia" w:ascii="宋体" w:hAnsi="宋体" w:eastAsia="宋体" w:cs="宋体"/>
                <w:szCs w:val="21"/>
                <w:highlight w:val="none"/>
              </w:rPr>
              <w:t>2.5.5中标方随时接受卫生部门和院方院感部门的检查、监督、指导。院方将不定期对中标方洗涤程序及洗涤质量进行抽查，发现不达标，中标方必须及时整改并重新免费洗涤。</w:t>
            </w:r>
            <w:r>
              <w:rPr>
                <w:rFonts w:hint="eastAsia" w:ascii="宋体" w:hAnsi="宋体" w:eastAsia="宋体" w:cs="宋体"/>
                <w:bCs/>
                <w:color w:val="000000"/>
                <w:kern w:val="0"/>
                <w:szCs w:val="21"/>
                <w:highlight w:val="none"/>
              </w:rPr>
              <w:t>每发现质量不合格一次，</w:t>
            </w:r>
            <w:r>
              <w:rPr>
                <w:rFonts w:hint="eastAsia" w:ascii="宋体" w:hAnsi="宋体" w:eastAsia="宋体" w:cs="宋体"/>
                <w:bCs/>
                <w:color w:val="000000"/>
                <w:kern w:val="0"/>
                <w:szCs w:val="21"/>
                <w:highlight w:val="none"/>
                <w:lang w:eastAsia="zh-CN"/>
              </w:rPr>
              <w:t>扣罚</w:t>
            </w:r>
            <w:r>
              <w:rPr>
                <w:rFonts w:hint="eastAsia" w:ascii="宋体" w:hAnsi="宋体" w:eastAsia="宋体" w:cs="宋体"/>
                <w:bCs/>
                <w:color w:val="000000"/>
                <w:kern w:val="0"/>
                <w:szCs w:val="21"/>
                <w:highlight w:val="none"/>
              </w:rPr>
              <w:t>违约金2000元。</w:t>
            </w:r>
            <w:r>
              <w:rPr>
                <w:rFonts w:hint="eastAsia" w:ascii="宋体" w:hAnsi="宋体" w:eastAsia="宋体" w:cs="宋体"/>
                <w:szCs w:val="21"/>
                <w:highlight w:val="none"/>
              </w:rPr>
              <w:t>连续抽查发现三次以上（含三次）不合格，院方有权终止合同。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01"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1380"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6695" w:type="dxa"/>
            <w:noWrap w:val="0"/>
            <w:vAlign w:val="center"/>
          </w:tcPr>
          <w:p>
            <w:pPr>
              <w:pStyle w:val="24"/>
              <w:keepNext w:val="0"/>
              <w:keepLines w:val="0"/>
              <w:pageBreakBefore w:val="0"/>
              <w:kinsoku/>
              <w:wordWrap/>
              <w:overflowPunct/>
              <w:topLinePunct w:val="0"/>
              <w:bidi w:val="0"/>
              <w:snapToGrid w:val="0"/>
              <w:ind w:left="0" w:leftChars="0"/>
              <w:textAlignment w:val="auto"/>
              <w:rPr>
                <w:rFonts w:hint="eastAsia" w:ascii="宋体" w:hAnsi="宋体" w:eastAsia="宋体" w:cs="宋体"/>
                <w:highlight w:val="none"/>
                <w:lang w:eastAsia="zh"/>
              </w:rPr>
            </w:pPr>
            <w:r>
              <w:rPr>
                <w:rFonts w:hint="eastAsia" w:ascii="宋体" w:hAnsi="宋体" w:eastAsia="宋体" w:cs="宋体"/>
                <w:highlight w:val="none"/>
              </w:rPr>
              <w:t>2.6</w:t>
            </w:r>
            <w:r>
              <w:rPr>
                <w:rFonts w:hint="eastAsia" w:ascii="宋体" w:hAnsi="宋体" w:eastAsia="宋体" w:cs="宋体"/>
                <w:szCs w:val="21"/>
                <w:highlight w:val="none"/>
              </w:rPr>
              <w:t>以临床工作为中心，做到下收下送及时到位，保证供应，配送工作</w:t>
            </w:r>
            <w:r>
              <w:rPr>
                <w:rFonts w:hint="eastAsia" w:ascii="宋体" w:hAnsi="宋体" w:eastAsia="宋体" w:cs="宋体"/>
                <w:szCs w:val="21"/>
                <w:highlight w:val="none"/>
                <w:lang w:eastAsia="zh"/>
              </w:rPr>
              <w:t>避免投诉。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01"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1380"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6695" w:type="dxa"/>
            <w:noWrap w:val="0"/>
            <w:vAlign w:val="center"/>
          </w:tcPr>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zCs w:val="21"/>
                <w:highlight w:val="none"/>
              </w:rPr>
            </w:pPr>
            <w:r>
              <w:rPr>
                <w:rFonts w:hint="eastAsia" w:ascii="宋体" w:hAnsi="宋体" w:eastAsia="宋体" w:cs="宋体"/>
                <w:snapToGrid w:val="0"/>
                <w:kern w:val="0"/>
                <w:szCs w:val="21"/>
                <w:highlight w:val="none"/>
              </w:rPr>
              <w:t>2.7</w:t>
            </w:r>
            <w:r>
              <w:rPr>
                <w:rFonts w:hint="eastAsia" w:ascii="宋体" w:hAnsi="宋体" w:eastAsia="宋体" w:cs="宋体"/>
                <w:color w:val="000000"/>
                <w:szCs w:val="21"/>
                <w:highlight w:val="none"/>
              </w:rPr>
              <w:t>对特殊科室洗涤要</w:t>
            </w:r>
            <w:r>
              <w:rPr>
                <w:rFonts w:hint="eastAsia" w:ascii="宋体" w:hAnsi="宋体" w:eastAsia="宋体" w:cs="宋体"/>
                <w:szCs w:val="21"/>
                <w:highlight w:val="none"/>
              </w:rPr>
              <w:t>求：</w:t>
            </w:r>
          </w:p>
          <w:p>
            <w:pPr>
              <w:keepNext w:val="0"/>
              <w:keepLines w:val="0"/>
              <w:pageBreakBefore w:val="0"/>
              <w:kinsoku/>
              <w:wordWrap/>
              <w:overflowPunct/>
              <w:topLinePunct w:val="0"/>
              <w:bidi w:val="0"/>
              <w:snapToGrid w:val="0"/>
              <w:jc w:val="left"/>
              <w:textAlignment w:val="auto"/>
              <w:rPr>
                <w:rFonts w:hint="eastAsia" w:ascii="宋体" w:hAnsi="宋体" w:eastAsia="宋体" w:cs="宋体"/>
                <w:szCs w:val="21"/>
                <w:highlight w:val="none"/>
              </w:rPr>
            </w:pPr>
            <w:r>
              <w:rPr>
                <w:rFonts w:hint="eastAsia" w:ascii="宋体" w:hAnsi="宋体" w:eastAsia="宋体" w:cs="宋体"/>
                <w:highlight w:val="none"/>
              </w:rPr>
              <w:t>2.7.1</w:t>
            </w:r>
            <w:r>
              <w:rPr>
                <w:rFonts w:hint="eastAsia" w:ascii="宋体" w:hAnsi="宋体" w:eastAsia="宋体" w:cs="宋体"/>
                <w:szCs w:val="21"/>
                <w:highlight w:val="none"/>
              </w:rPr>
              <w:t>手术室每天回收2-3次（8:00、13:00、15:00）、血液透析中心每天回收2次（8:00、13:30）。其余科室每天回收一次，特殊情况无条件服从院方要求。</w:t>
            </w:r>
          </w:p>
          <w:p>
            <w:pPr>
              <w:pStyle w:val="24"/>
              <w:keepNext w:val="0"/>
              <w:keepLines w:val="0"/>
              <w:pageBreakBefore w:val="0"/>
              <w:kinsoku/>
              <w:wordWrap/>
              <w:overflowPunct/>
              <w:topLinePunct w:val="0"/>
              <w:bidi w:val="0"/>
              <w:snapToGrid w:val="0"/>
              <w:ind w:left="0" w:leftChars="0"/>
              <w:textAlignment w:val="auto"/>
              <w:rPr>
                <w:rFonts w:hint="eastAsia" w:ascii="宋体" w:hAnsi="宋体" w:eastAsia="宋体" w:cs="宋体"/>
                <w:highlight w:val="none"/>
              </w:rPr>
            </w:pPr>
            <w:r>
              <w:rPr>
                <w:rFonts w:hint="eastAsia" w:ascii="宋体" w:hAnsi="宋体" w:eastAsia="宋体" w:cs="宋体"/>
                <w:highlight w:val="none"/>
              </w:rPr>
              <w:t>2.7.2</w:t>
            </w:r>
            <w:r>
              <w:rPr>
                <w:rFonts w:hint="eastAsia" w:ascii="宋体" w:hAnsi="宋体" w:eastAsia="宋体" w:cs="宋体"/>
                <w:szCs w:val="21"/>
                <w:highlight w:val="none"/>
              </w:rPr>
              <w:t>按各科室回收污织物的数量，如数进行分类、洗涤、检查、整理、烫平并且分类折叠。对破损的或有污渍等须去除，分拣出来单独摆放。</w:t>
            </w:r>
          </w:p>
          <w:p>
            <w:pPr>
              <w:pStyle w:val="24"/>
              <w:keepNext w:val="0"/>
              <w:keepLines w:val="0"/>
              <w:pageBreakBefore w:val="0"/>
              <w:kinsoku/>
              <w:wordWrap/>
              <w:overflowPunct/>
              <w:topLinePunct w:val="0"/>
              <w:bidi w:val="0"/>
              <w:snapToGrid w:val="0"/>
              <w:ind w:left="0" w:leftChars="0"/>
              <w:textAlignment w:val="auto"/>
              <w:rPr>
                <w:rFonts w:hint="eastAsia" w:ascii="宋体" w:hAnsi="宋体" w:eastAsia="宋体" w:cs="宋体"/>
                <w:color w:val="FF0000"/>
                <w:szCs w:val="21"/>
                <w:highlight w:val="none"/>
              </w:rPr>
            </w:pPr>
            <w:r>
              <w:rPr>
                <w:rFonts w:hint="eastAsia" w:ascii="宋体" w:hAnsi="宋体" w:eastAsia="宋体" w:cs="宋体"/>
                <w:highlight w:val="none"/>
              </w:rPr>
              <w:t>2.7.3</w:t>
            </w:r>
            <w:r>
              <w:rPr>
                <w:rFonts w:hint="eastAsia" w:ascii="宋体" w:hAnsi="宋体" w:eastAsia="宋体" w:cs="宋体"/>
                <w:szCs w:val="21"/>
                <w:highlight w:val="none"/>
              </w:rPr>
              <w:t>消毒供应中心的敷料折叠方法按照供应室具体要求，且符合使用科室的要求；物品应做到分类定量放置，帐物相等；具体配送时间听取院方意见。</w:t>
            </w:r>
          </w:p>
          <w:p>
            <w:pPr>
              <w:pStyle w:val="24"/>
              <w:keepNext w:val="0"/>
              <w:keepLines w:val="0"/>
              <w:pageBreakBefore w:val="0"/>
              <w:kinsoku/>
              <w:wordWrap/>
              <w:overflowPunct/>
              <w:topLinePunct w:val="0"/>
              <w:bidi w:val="0"/>
              <w:snapToGrid w:val="0"/>
              <w:ind w:left="0" w:leftChars="0"/>
              <w:textAlignment w:val="auto"/>
              <w:rPr>
                <w:rFonts w:hint="eastAsia" w:ascii="宋体" w:hAnsi="宋体" w:eastAsia="宋体" w:cs="宋体"/>
                <w:highlight w:val="none"/>
              </w:rPr>
            </w:pPr>
            <w:r>
              <w:rPr>
                <w:rFonts w:hint="eastAsia" w:ascii="宋体" w:hAnsi="宋体" w:eastAsia="宋体" w:cs="宋体"/>
                <w:color w:val="000000"/>
                <w:szCs w:val="21"/>
                <w:highlight w:val="none"/>
              </w:rPr>
              <w:t>2.7.4</w:t>
            </w:r>
            <w:r>
              <w:rPr>
                <w:rFonts w:hint="eastAsia" w:ascii="宋体" w:hAnsi="宋体" w:eastAsia="宋体" w:cs="宋体"/>
                <w:szCs w:val="21"/>
                <w:highlight w:val="none"/>
              </w:rPr>
              <w:t>棉质包布初次使用前，需经高温洗涤去色、脱脂去浆处理。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01"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1380"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6695" w:type="dxa"/>
            <w:noWrap w:val="0"/>
            <w:vAlign w:val="center"/>
          </w:tcPr>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napToGrid w:val="0"/>
                <w:kern w:val="0"/>
                <w:szCs w:val="21"/>
                <w:highlight w:val="none"/>
              </w:rPr>
            </w:pPr>
            <w:r>
              <w:rPr>
                <w:rFonts w:hint="eastAsia" w:ascii="宋体" w:hAnsi="宋体" w:eastAsia="宋体" w:cs="宋体"/>
                <w:snapToGrid w:val="0"/>
                <w:kern w:val="0"/>
                <w:szCs w:val="21"/>
                <w:highlight w:val="none"/>
              </w:rPr>
              <w:t>2.8</w:t>
            </w:r>
            <w:r>
              <w:rPr>
                <w:rFonts w:hint="eastAsia" w:ascii="宋体" w:hAnsi="宋体" w:eastAsia="宋体" w:cs="宋体"/>
                <w:szCs w:val="21"/>
                <w:highlight w:val="none"/>
              </w:rPr>
              <w:t>工作服洗涤完成后，需交还给本人，不能错发、丢失。医护人员工作服在洗涤过程中丢失，并且3天还未找到，等价赔偿。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01"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1380"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6695" w:type="dxa"/>
            <w:noWrap w:val="0"/>
            <w:vAlign w:val="center"/>
          </w:tcPr>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napToGrid w:val="0"/>
                <w:kern w:val="0"/>
                <w:szCs w:val="21"/>
                <w:highlight w:val="none"/>
              </w:rPr>
            </w:pPr>
            <w:r>
              <w:rPr>
                <w:rFonts w:hint="eastAsia" w:ascii="宋体" w:hAnsi="宋体" w:eastAsia="宋体" w:cs="宋体"/>
                <w:snapToGrid w:val="0"/>
                <w:kern w:val="0"/>
                <w:szCs w:val="21"/>
                <w:highlight w:val="none"/>
              </w:rPr>
              <w:t>2.9</w:t>
            </w:r>
            <w:r>
              <w:rPr>
                <w:rFonts w:hint="eastAsia" w:ascii="宋体" w:hAnsi="宋体" w:eastAsia="宋体" w:cs="宋体"/>
                <w:szCs w:val="21"/>
                <w:highlight w:val="none"/>
              </w:rPr>
              <w:t>保持项目组工作场所环境清洁卫生，做好防火、防盗工作，确保安全。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01"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1380" w:type="dxa"/>
            <w:vMerge w:val="continue"/>
            <w:noWrap w:val="0"/>
            <w:vAlign w:val="center"/>
          </w:tcPr>
          <w:p>
            <w:pPr>
              <w:keepNext w:val="0"/>
              <w:keepLines w:val="0"/>
              <w:pageBreakBefore w:val="0"/>
              <w:kinsoku/>
              <w:wordWrap/>
              <w:overflowPunct/>
              <w:topLinePunct w:val="0"/>
              <w:autoSpaceDE w:val="0"/>
              <w:autoSpaceDN w:val="0"/>
              <w:bidi w:val="0"/>
              <w:adjustRightInd w:val="0"/>
              <w:snapToGrid w:val="0"/>
              <w:jc w:val="center"/>
              <w:textAlignment w:val="auto"/>
              <w:rPr>
                <w:rFonts w:hint="eastAsia" w:ascii="宋体" w:hAnsi="宋体" w:eastAsia="宋体" w:cs="宋体"/>
                <w:snapToGrid w:val="0"/>
                <w:kern w:val="0"/>
                <w:szCs w:val="21"/>
                <w:highlight w:val="none"/>
                <w:lang w:val="zh-CN"/>
              </w:rPr>
            </w:pPr>
          </w:p>
        </w:tc>
        <w:tc>
          <w:tcPr>
            <w:tcW w:w="6695" w:type="dxa"/>
            <w:noWrap w:val="0"/>
            <w:vAlign w:val="center"/>
          </w:tcPr>
          <w:p>
            <w:pPr>
              <w:keepNext w:val="0"/>
              <w:keepLines w:val="0"/>
              <w:pageBreakBefore w:val="0"/>
              <w:kinsoku/>
              <w:wordWrap/>
              <w:overflowPunct/>
              <w:topLinePunct w:val="0"/>
              <w:autoSpaceDE w:val="0"/>
              <w:autoSpaceDN w:val="0"/>
              <w:bidi w:val="0"/>
              <w:adjustRightInd w:val="0"/>
              <w:snapToGrid w:val="0"/>
              <w:jc w:val="left"/>
              <w:textAlignment w:val="auto"/>
              <w:rPr>
                <w:rFonts w:hint="eastAsia" w:ascii="宋体" w:hAnsi="宋体" w:eastAsia="宋体" w:cs="宋体"/>
                <w:snapToGrid w:val="0"/>
                <w:kern w:val="0"/>
                <w:szCs w:val="21"/>
                <w:highlight w:val="none"/>
              </w:rPr>
            </w:pPr>
            <w:r>
              <w:rPr>
                <w:rFonts w:hint="eastAsia" w:ascii="宋体" w:hAnsi="宋体"/>
                <w:szCs w:val="21"/>
                <w:highlight w:val="none"/>
                <w:lang w:val="en-US" w:eastAsia="zh-CN"/>
              </w:rPr>
              <w:t>2.10</w:t>
            </w:r>
            <w:r>
              <w:rPr>
                <w:rFonts w:hint="eastAsia" w:ascii="宋体" w:hAnsi="宋体"/>
                <w:szCs w:val="21"/>
                <w:highlight w:val="none"/>
              </w:rPr>
              <w:t>项目组服务人员不得少于7人，其中包含主管1人，主管要具备专业管理能力及与临床沟通的工作经验。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701" w:type="dxa"/>
            <w:noWrap w:val="0"/>
            <w:vAlign w:val="center"/>
          </w:tcPr>
          <w:p>
            <w:pPr>
              <w:keepNext w:val="0"/>
              <w:keepLines w:val="0"/>
              <w:pageBreakBefore w:val="0"/>
              <w:kinsoku/>
              <w:wordWrap/>
              <w:overflowPunct/>
              <w:topLinePunct w:val="0"/>
              <w:autoSpaceDE w:val="0"/>
              <w:autoSpaceDN w:val="0"/>
              <w:bidi w:val="0"/>
              <w:adjustRightInd w:val="0"/>
              <w:snapToGrid w:val="0"/>
              <w:spacing w:before="156" w:beforeLines="50" w:after="156" w:afterLines="50"/>
              <w:jc w:val="center"/>
              <w:textAlignment w:val="auto"/>
              <w:rPr>
                <w:rFonts w:hint="eastAsia"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3</w:t>
            </w:r>
          </w:p>
        </w:tc>
        <w:tc>
          <w:tcPr>
            <w:tcW w:w="1380"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jc w:val="center"/>
              <w:textAlignment w:val="auto"/>
              <w:rPr>
                <w:rFonts w:hint="eastAsia"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验收标准</w:t>
            </w:r>
          </w:p>
        </w:tc>
        <w:tc>
          <w:tcPr>
            <w:tcW w:w="6695" w:type="dxa"/>
            <w:noWrap w:val="0"/>
            <w:vAlign w:val="top"/>
          </w:tcPr>
          <w:p>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见附件1（洗涤服务满意度考核调查表）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01" w:type="dxa"/>
            <w:noWrap w:val="0"/>
            <w:vAlign w:val="center"/>
          </w:tcPr>
          <w:p>
            <w:pPr>
              <w:keepNext w:val="0"/>
              <w:keepLines w:val="0"/>
              <w:pageBreakBefore w:val="0"/>
              <w:kinsoku/>
              <w:wordWrap/>
              <w:overflowPunct/>
              <w:topLinePunct w:val="0"/>
              <w:autoSpaceDE w:val="0"/>
              <w:autoSpaceDN w:val="0"/>
              <w:bidi w:val="0"/>
              <w:adjustRightInd w:val="0"/>
              <w:snapToGrid w:val="0"/>
              <w:spacing w:before="156" w:beforeLines="50" w:after="156" w:afterLines="50"/>
              <w:jc w:val="center"/>
              <w:textAlignment w:val="auto"/>
              <w:rPr>
                <w:rFonts w:hint="eastAsia"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4</w:t>
            </w:r>
          </w:p>
        </w:tc>
        <w:tc>
          <w:tcPr>
            <w:tcW w:w="1380"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jc w:val="center"/>
              <w:textAlignment w:val="auto"/>
              <w:rPr>
                <w:rFonts w:hint="eastAsia"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付款方式</w:t>
            </w:r>
          </w:p>
        </w:tc>
        <w:tc>
          <w:tcPr>
            <w:tcW w:w="6695" w:type="dxa"/>
            <w:noWrap w:val="0"/>
            <w:vAlign w:val="top"/>
          </w:tcPr>
          <w:p>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1.中标单位完成当月工作，经医院考评合格后，在次月支付费用。</w:t>
            </w:r>
          </w:p>
          <w:p>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jc w:val="left"/>
              <w:textAlignment w:val="auto"/>
              <w:rPr>
                <w:rFonts w:hint="eastAsia" w:ascii="宋体" w:hAnsi="宋体" w:eastAsia="宋体" w:cs="宋体"/>
                <w:szCs w:val="21"/>
                <w:highlight w:val="none"/>
                <w:lang w:val="zh-CN"/>
              </w:rPr>
            </w:pPr>
            <w:r>
              <w:rPr>
                <w:rFonts w:hint="eastAsia" w:ascii="宋体" w:hAnsi="宋体" w:eastAsia="宋体" w:cs="宋体"/>
                <w:color w:val="000000"/>
                <w:szCs w:val="21"/>
                <w:highlight w:val="none"/>
              </w:rPr>
              <w:t>2.服务期内，经双方协商，每月月末为截止日，双方按交接单对账，核对无误后打印结算表经双方签字确认，中标方每月按实际洗涤件数乘以中标</w:t>
            </w:r>
            <w:r>
              <w:rPr>
                <w:rFonts w:hint="eastAsia" w:ascii="宋体" w:hAnsi="宋体" w:cs="宋体"/>
                <w:color w:val="000000"/>
                <w:szCs w:val="21"/>
                <w:highlight w:val="none"/>
                <w:lang w:val="en-US" w:eastAsia="zh-CN"/>
              </w:rPr>
              <w:t>单价</w:t>
            </w:r>
            <w:r>
              <w:rPr>
                <w:rFonts w:hint="eastAsia" w:ascii="宋体" w:hAnsi="宋体" w:eastAsia="宋体" w:cs="宋体"/>
                <w:color w:val="000000"/>
                <w:szCs w:val="21"/>
                <w:highlight w:val="none"/>
              </w:rPr>
              <w:t>进行结算，并开出发票，院方结合月度考核实际情况进入审批流程结付。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7" w:hRule="atLeast"/>
          <w:jc w:val="center"/>
        </w:trPr>
        <w:tc>
          <w:tcPr>
            <w:tcW w:w="701" w:type="dxa"/>
            <w:noWrap w:val="0"/>
            <w:vAlign w:val="center"/>
          </w:tcPr>
          <w:p>
            <w:pPr>
              <w:keepNext w:val="0"/>
              <w:keepLines w:val="0"/>
              <w:pageBreakBefore w:val="0"/>
              <w:kinsoku/>
              <w:wordWrap/>
              <w:overflowPunct/>
              <w:topLinePunct w:val="0"/>
              <w:autoSpaceDE w:val="0"/>
              <w:autoSpaceDN w:val="0"/>
              <w:bidi w:val="0"/>
              <w:adjustRightInd w:val="0"/>
              <w:snapToGrid w:val="0"/>
              <w:spacing w:before="156" w:beforeLines="50" w:after="156" w:afterLines="50"/>
              <w:jc w:val="center"/>
              <w:textAlignment w:val="auto"/>
              <w:rPr>
                <w:rFonts w:hint="eastAsia" w:ascii="宋体" w:hAnsi="宋体" w:eastAsia="宋体" w:cs="宋体"/>
                <w:snapToGrid w:val="0"/>
                <w:kern w:val="0"/>
                <w:szCs w:val="21"/>
                <w:highlight w:val="none"/>
                <w:lang w:val="en-US" w:eastAsia="zh-CN"/>
              </w:rPr>
            </w:pPr>
            <w:r>
              <w:rPr>
                <w:rFonts w:hint="eastAsia" w:ascii="宋体" w:hAnsi="宋体" w:cs="宋体"/>
                <w:snapToGrid w:val="0"/>
                <w:kern w:val="0"/>
                <w:szCs w:val="21"/>
                <w:highlight w:val="none"/>
                <w:lang w:val="en-US" w:eastAsia="zh-CN"/>
              </w:rPr>
              <w:t>5</w:t>
            </w:r>
          </w:p>
        </w:tc>
        <w:tc>
          <w:tcPr>
            <w:tcW w:w="1380"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jc w:val="center"/>
              <w:textAlignment w:val="auto"/>
              <w:rPr>
                <w:rFonts w:hint="default" w:ascii="宋体" w:hAnsi="宋体" w:eastAsia="宋体" w:cs="宋体"/>
                <w:snapToGrid w:val="0"/>
                <w:kern w:val="0"/>
                <w:szCs w:val="21"/>
                <w:highlight w:val="none"/>
                <w:lang w:val="en-US" w:eastAsia="zh-CN"/>
              </w:rPr>
            </w:pPr>
            <w:r>
              <w:rPr>
                <w:rFonts w:hint="eastAsia" w:ascii="宋体" w:hAnsi="宋体" w:cs="宋体"/>
                <w:snapToGrid w:val="0"/>
                <w:kern w:val="0"/>
                <w:szCs w:val="21"/>
                <w:highlight w:val="none"/>
                <w:lang w:val="en-US" w:eastAsia="zh-CN"/>
              </w:rPr>
              <w:t>其他</w:t>
            </w:r>
          </w:p>
        </w:tc>
        <w:tc>
          <w:tcPr>
            <w:tcW w:w="6695" w:type="dxa"/>
            <w:noWrap w:val="0"/>
            <w:vAlign w:val="top"/>
          </w:tcPr>
          <w:p>
            <w:pPr>
              <w:pStyle w:val="24"/>
              <w:keepNext w:val="0"/>
              <w:keepLines w:val="0"/>
              <w:pageBreakBefore w:val="0"/>
              <w:widowControl w:val="0"/>
              <w:kinsoku/>
              <w:wordWrap/>
              <w:overflowPunct/>
              <w:topLinePunct w:val="0"/>
              <w:autoSpaceDE/>
              <w:autoSpaceDN/>
              <w:bidi w:val="0"/>
              <w:adjustRightInd/>
              <w:snapToGrid w:val="0"/>
              <w:spacing w:line="440" w:lineRule="exact"/>
              <w:ind w:left="0" w:leftChars="0" w:firstLine="0" w:firstLineChars="0"/>
              <w:textAlignment w:val="auto"/>
              <w:rPr>
                <w:rFonts w:hint="eastAsia"/>
                <w:highlight w:val="none"/>
              </w:rPr>
            </w:pPr>
            <w:r>
              <w:rPr>
                <w:rFonts w:hint="eastAsia"/>
                <w:highlight w:val="none"/>
                <w:lang w:val="en-US" w:eastAsia="zh-CN"/>
              </w:rPr>
              <w:t>1、</w:t>
            </w:r>
            <w:r>
              <w:rPr>
                <w:rFonts w:hint="eastAsia"/>
                <w:highlight w:val="none"/>
              </w:rPr>
              <w:t>服务协议到期后，在新洗涤公司接管前，本项目中标执行方仍应履行原合同，如因故不履行合同，导致院方另行聘请其它洗涤公司洗涤的，由此产生的洗涤费用（以聘请的洗涤公司提供的清单为准）由本项目中标执行方承担，并应赔偿由此产生的相应经济损失。</w:t>
            </w:r>
          </w:p>
          <w:p>
            <w:pPr>
              <w:pStyle w:val="24"/>
              <w:keepNext w:val="0"/>
              <w:keepLines w:val="0"/>
              <w:pageBreakBefore w:val="0"/>
              <w:widowControl w:val="0"/>
              <w:kinsoku/>
              <w:wordWrap/>
              <w:overflowPunct/>
              <w:topLinePunct w:val="0"/>
              <w:autoSpaceDE/>
              <w:autoSpaceDN/>
              <w:bidi w:val="0"/>
              <w:adjustRightInd/>
              <w:snapToGrid w:val="0"/>
              <w:spacing w:line="440" w:lineRule="exact"/>
              <w:ind w:left="0" w:leftChars="0" w:firstLine="0" w:firstLineChars="0"/>
              <w:textAlignment w:val="auto"/>
              <w:rPr>
                <w:highlight w:val="none"/>
              </w:rPr>
            </w:pPr>
            <w:r>
              <w:rPr>
                <w:rFonts w:hint="eastAsia"/>
                <w:highlight w:val="none"/>
                <w:lang w:val="en-US" w:eastAsia="zh-CN"/>
              </w:rPr>
              <w:t>2、</w:t>
            </w:r>
            <w:r>
              <w:rPr>
                <w:rFonts w:hint="eastAsia"/>
                <w:highlight w:val="none"/>
              </w:rPr>
              <w:t>协议期内中标方应</w:t>
            </w:r>
            <w:r>
              <w:rPr>
                <w:highlight w:val="none"/>
              </w:rPr>
              <w:t>认真做好洗涤质量监测，根据</w:t>
            </w:r>
            <w:r>
              <w:rPr>
                <w:rFonts w:hint="eastAsia"/>
                <w:highlight w:val="none"/>
              </w:rPr>
              <w:t>采购</w:t>
            </w:r>
            <w:r>
              <w:rPr>
                <w:highlight w:val="none"/>
              </w:rPr>
              <w:t>方的反馈意见和要求及时改进洗涤质量</w:t>
            </w:r>
            <w:r>
              <w:rPr>
                <w:rFonts w:hint="eastAsia"/>
                <w:highlight w:val="none"/>
              </w:rPr>
              <w:t>，洗涤物的</w:t>
            </w:r>
            <w:r>
              <w:rPr>
                <w:highlight w:val="none"/>
              </w:rPr>
              <w:t>报废、报损须经</w:t>
            </w:r>
            <w:r>
              <w:rPr>
                <w:rFonts w:hint="eastAsia"/>
                <w:highlight w:val="none"/>
              </w:rPr>
              <w:t>院</w:t>
            </w:r>
            <w:r>
              <w:rPr>
                <w:highlight w:val="none"/>
              </w:rPr>
              <w:t>方确认，报废和报损的补充由</w:t>
            </w:r>
            <w:r>
              <w:rPr>
                <w:rFonts w:hint="eastAsia"/>
                <w:highlight w:val="none"/>
              </w:rPr>
              <w:t>院</w:t>
            </w:r>
            <w:r>
              <w:rPr>
                <w:highlight w:val="none"/>
              </w:rPr>
              <w:t>方负责。</w:t>
            </w:r>
          </w:p>
          <w:p>
            <w:pPr>
              <w:pStyle w:val="24"/>
              <w:keepNext w:val="0"/>
              <w:keepLines w:val="0"/>
              <w:pageBreakBefore w:val="0"/>
              <w:widowControl w:val="0"/>
              <w:kinsoku/>
              <w:wordWrap/>
              <w:overflowPunct/>
              <w:topLinePunct w:val="0"/>
              <w:autoSpaceDE/>
              <w:autoSpaceDN/>
              <w:bidi w:val="0"/>
              <w:adjustRightInd/>
              <w:snapToGrid w:val="0"/>
              <w:spacing w:line="440" w:lineRule="exact"/>
              <w:ind w:left="0" w:leftChars="0" w:firstLine="0" w:firstLineChars="0"/>
              <w:textAlignment w:val="auto"/>
              <w:rPr>
                <w:highlight w:val="none"/>
              </w:rPr>
            </w:pPr>
            <w:r>
              <w:rPr>
                <w:highlight w:val="none"/>
              </w:rPr>
              <w:t>由于</w:t>
            </w:r>
            <w:r>
              <w:rPr>
                <w:rFonts w:hint="eastAsia"/>
                <w:highlight w:val="none"/>
              </w:rPr>
              <w:t>洗涤公司</w:t>
            </w:r>
            <w:r>
              <w:rPr>
                <w:highlight w:val="none"/>
              </w:rPr>
              <w:t>原因造成</w:t>
            </w:r>
            <w:r>
              <w:rPr>
                <w:rFonts w:hint="eastAsia"/>
                <w:highlight w:val="none"/>
              </w:rPr>
              <w:t>洗涤物</w:t>
            </w:r>
            <w:r>
              <w:rPr>
                <w:highlight w:val="none"/>
              </w:rPr>
              <w:t>丢失或洗涤不当造成局部染色、局部霉烂、严重脱色等</w:t>
            </w:r>
            <w:r>
              <w:rPr>
                <w:rFonts w:hint="eastAsia"/>
                <w:highlight w:val="none"/>
              </w:rPr>
              <w:t>造成临床</w:t>
            </w:r>
            <w:r>
              <w:rPr>
                <w:highlight w:val="none"/>
              </w:rPr>
              <w:t>科室不能正常使用</w:t>
            </w:r>
            <w:r>
              <w:rPr>
                <w:rFonts w:hint="eastAsia"/>
                <w:highlight w:val="none"/>
              </w:rPr>
              <w:t>的</w:t>
            </w:r>
            <w:r>
              <w:rPr>
                <w:highlight w:val="none"/>
              </w:rPr>
              <w:t>，应由洗涤公司作相应赔偿，并及时补充到位。</w:t>
            </w:r>
          </w:p>
          <w:p>
            <w:pPr>
              <w:pStyle w:val="24"/>
              <w:keepNext w:val="0"/>
              <w:keepLines w:val="0"/>
              <w:pageBreakBefore w:val="0"/>
              <w:widowControl w:val="0"/>
              <w:kinsoku/>
              <w:wordWrap/>
              <w:overflowPunct/>
              <w:topLinePunct w:val="0"/>
              <w:autoSpaceDE/>
              <w:autoSpaceDN/>
              <w:bidi w:val="0"/>
              <w:adjustRightInd/>
              <w:snapToGrid w:val="0"/>
              <w:spacing w:line="440" w:lineRule="exact"/>
              <w:ind w:left="0" w:leftChars="0" w:firstLine="0" w:firstLineChars="0"/>
              <w:textAlignment w:val="auto"/>
              <w:rPr>
                <w:highlight w:val="none"/>
              </w:rPr>
            </w:pPr>
            <w:r>
              <w:rPr>
                <w:highlight w:val="none"/>
              </w:rPr>
              <w:t>因洗涤质量造成</w:t>
            </w:r>
            <w:r>
              <w:rPr>
                <w:rFonts w:hint="eastAsia"/>
                <w:highlight w:val="none"/>
              </w:rPr>
              <w:t>院</w:t>
            </w:r>
            <w:r>
              <w:rPr>
                <w:highlight w:val="none"/>
              </w:rPr>
              <w:t>方经济损失的，</w:t>
            </w:r>
            <w:r>
              <w:rPr>
                <w:rFonts w:hint="eastAsia"/>
                <w:highlight w:val="none"/>
              </w:rPr>
              <w:t>中标</w:t>
            </w:r>
            <w:r>
              <w:rPr>
                <w:highlight w:val="none"/>
              </w:rPr>
              <w:t>方应给予</w:t>
            </w:r>
            <w:r>
              <w:rPr>
                <w:rFonts w:hint="eastAsia"/>
                <w:highlight w:val="none"/>
              </w:rPr>
              <w:t>院</w:t>
            </w:r>
            <w:r>
              <w:rPr>
                <w:highlight w:val="none"/>
              </w:rPr>
              <w:t>方经济赔偿，并承担相应的法律责任。每发现质量不合格一次，</w:t>
            </w:r>
            <w:r>
              <w:rPr>
                <w:rFonts w:hint="eastAsia"/>
                <w:highlight w:val="none"/>
              </w:rPr>
              <w:t>中标</w:t>
            </w:r>
            <w:r>
              <w:rPr>
                <w:highlight w:val="none"/>
              </w:rPr>
              <w:t>方必须向</w:t>
            </w:r>
            <w:r>
              <w:rPr>
                <w:rFonts w:hint="eastAsia"/>
                <w:highlight w:val="none"/>
              </w:rPr>
              <w:t>采购</w:t>
            </w:r>
            <w:r>
              <w:rPr>
                <w:highlight w:val="none"/>
              </w:rPr>
              <w:t>方承担违约金2000元。</w:t>
            </w:r>
          </w:p>
          <w:p>
            <w:pPr>
              <w:pStyle w:val="24"/>
              <w:keepNext w:val="0"/>
              <w:keepLines w:val="0"/>
              <w:pageBreakBefore w:val="0"/>
              <w:widowControl w:val="0"/>
              <w:kinsoku/>
              <w:wordWrap/>
              <w:overflowPunct/>
              <w:topLinePunct w:val="0"/>
              <w:autoSpaceDE/>
              <w:autoSpaceDN/>
              <w:bidi w:val="0"/>
              <w:adjustRightInd/>
              <w:snapToGrid w:val="0"/>
              <w:spacing w:line="440" w:lineRule="exact"/>
              <w:ind w:left="0" w:leftChars="0" w:firstLine="0" w:firstLineChars="0"/>
              <w:textAlignment w:val="auto"/>
              <w:rPr>
                <w:rFonts w:hint="eastAsia"/>
                <w:highlight w:val="none"/>
              </w:rPr>
            </w:pPr>
            <w:r>
              <w:rPr>
                <w:rFonts w:hint="eastAsia"/>
                <w:highlight w:val="none"/>
                <w:lang w:val="en-US" w:eastAsia="zh-CN"/>
              </w:rPr>
              <w:t>3、</w:t>
            </w:r>
            <w:r>
              <w:rPr>
                <w:rFonts w:hint="eastAsia"/>
                <w:highlight w:val="none"/>
              </w:rPr>
              <w:t>中标方的服务活动不得影响采购方单位的正常工作。因中标方人为因素或管理</w:t>
            </w:r>
            <w:r>
              <w:rPr>
                <w:rFonts w:hint="eastAsia"/>
                <w:highlight w:val="none"/>
                <w:lang w:eastAsia="zh-CN"/>
              </w:rPr>
              <w:t>、操作</w:t>
            </w:r>
            <w:r>
              <w:rPr>
                <w:rFonts w:hint="eastAsia"/>
                <w:highlight w:val="none"/>
              </w:rPr>
              <w:t>不善而</w:t>
            </w:r>
            <w:r>
              <w:rPr>
                <w:rFonts w:hint="eastAsia"/>
                <w:highlight w:val="none"/>
                <w:lang w:eastAsia="zh-CN"/>
              </w:rPr>
              <w:t>给采购方</w:t>
            </w:r>
            <w:r>
              <w:rPr>
                <w:rFonts w:hint="eastAsia"/>
                <w:highlight w:val="none"/>
              </w:rPr>
              <w:t>造成人身、设备等事故的一切损失、费用由中标方自行承担。采购方对发生重大人身、设备事故的中标方有权终止合同。</w:t>
            </w:r>
          </w:p>
          <w:p>
            <w:pPr>
              <w:pStyle w:val="24"/>
              <w:keepNext w:val="0"/>
              <w:keepLines w:val="0"/>
              <w:pageBreakBefore w:val="0"/>
              <w:widowControl w:val="0"/>
              <w:kinsoku/>
              <w:wordWrap/>
              <w:overflowPunct/>
              <w:topLinePunct w:val="0"/>
              <w:autoSpaceDE/>
              <w:autoSpaceDN/>
              <w:bidi w:val="0"/>
              <w:adjustRightInd/>
              <w:snapToGrid w:val="0"/>
              <w:spacing w:line="440" w:lineRule="exact"/>
              <w:ind w:left="0" w:leftChars="0" w:firstLine="0" w:firstLineChars="0"/>
              <w:textAlignment w:val="auto"/>
              <w:rPr>
                <w:rFonts w:hint="eastAsia"/>
                <w:highlight w:val="none"/>
              </w:rPr>
            </w:pPr>
            <w:r>
              <w:rPr>
                <w:rFonts w:hint="eastAsia"/>
                <w:highlight w:val="none"/>
              </w:rPr>
              <w:t>中标方应重视消防安全管理，严格遵守消防安全法律法规和制度要求，重视员工消防知识培训与规范操作，因中标方人为因素或管理不善造成的消防安全事故，所产生的一切责任和损失由中标方自行承担，并对采购方承担相应的赔偿责任。</w:t>
            </w:r>
          </w:p>
          <w:p>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jc w:val="left"/>
              <w:textAlignment w:val="auto"/>
              <w:rPr>
                <w:rFonts w:hint="eastAsia"/>
                <w:highlight w:val="none"/>
              </w:rPr>
            </w:pPr>
            <w:r>
              <w:rPr>
                <w:rFonts w:hint="eastAsia"/>
                <w:highlight w:val="none"/>
                <w:lang w:val="en-US" w:eastAsia="zh-CN"/>
              </w:rPr>
              <w:t>4、</w:t>
            </w:r>
            <w:r>
              <w:rPr>
                <w:rFonts w:hint="eastAsia"/>
                <w:highlight w:val="none"/>
              </w:rPr>
              <w:t>本项目不接受联合体投标</w:t>
            </w:r>
            <w:r>
              <w:rPr>
                <w:rFonts w:hint="eastAsia"/>
                <w:highlight w:val="none"/>
                <w:lang w:eastAsia="zh-CN"/>
              </w:rPr>
              <w:t>，</w:t>
            </w:r>
            <w:r>
              <w:rPr>
                <w:rFonts w:hint="eastAsia"/>
                <w:highlight w:val="none"/>
              </w:rPr>
              <w:t>不得转让和分包。</w:t>
            </w:r>
          </w:p>
        </w:tc>
      </w:tr>
    </w:tbl>
    <w:p>
      <w:pPr>
        <w:adjustRightInd w:val="0"/>
        <w:spacing w:line="360" w:lineRule="auto"/>
        <w:ind w:firstLine="482" w:firstLineChars="200"/>
        <w:rPr>
          <w:rFonts w:hint="eastAsia" w:ascii="宋体" w:hAnsi="宋体"/>
          <w:b/>
          <w:bCs/>
          <w:color w:val="000000"/>
          <w:sz w:val="24"/>
          <w:highlight w:val="none"/>
          <w:lang w:val="en-US" w:eastAsia="zh-CN"/>
        </w:rPr>
      </w:pPr>
    </w:p>
    <w:p>
      <w:pPr>
        <w:adjustRightInd/>
        <w:spacing w:before="156" w:beforeLines="50" w:line="360" w:lineRule="auto"/>
        <w:ind w:firstLine="0" w:firstLineChars="0"/>
        <w:outlineLvl w:val="0"/>
        <w:rPr>
          <w:rFonts w:hint="eastAsia" w:ascii="宋体" w:hAnsi="宋体" w:cs="宋体"/>
          <w:b/>
          <w:bCs/>
          <w:sz w:val="21"/>
          <w:szCs w:val="21"/>
          <w:highlight w:val="none"/>
        </w:rPr>
      </w:pPr>
      <w:bookmarkStart w:id="59" w:name="_Toc2532"/>
      <w:bookmarkStart w:id="60" w:name="_Toc17519"/>
      <w:r>
        <w:rPr>
          <w:rFonts w:hint="eastAsia" w:ascii="宋体" w:hAnsi="宋体"/>
          <w:b/>
          <w:bCs/>
          <w:color w:val="000000"/>
          <w:sz w:val="21"/>
          <w:szCs w:val="21"/>
          <w:highlight w:val="none"/>
          <w:lang w:val="en-US" w:eastAsia="zh-CN"/>
        </w:rPr>
        <w:t>四</w:t>
      </w:r>
      <w:r>
        <w:rPr>
          <w:rFonts w:hint="eastAsia" w:ascii="宋体" w:hAnsi="宋体"/>
          <w:b/>
          <w:bCs/>
          <w:color w:val="000000"/>
          <w:szCs w:val="21"/>
          <w:highlight w:val="none"/>
        </w:rPr>
        <w:t>、</w:t>
      </w:r>
      <w:r>
        <w:rPr>
          <w:rFonts w:hint="eastAsia" w:ascii="宋体" w:hAnsi="宋体" w:cs="宋体"/>
          <w:b/>
          <w:bCs/>
          <w:sz w:val="21"/>
          <w:szCs w:val="21"/>
          <w:highlight w:val="none"/>
        </w:rPr>
        <w:t>其他要求</w:t>
      </w:r>
      <w:bookmarkEnd w:id="59"/>
      <w:bookmarkEnd w:id="60"/>
    </w:p>
    <w:p>
      <w:pPr>
        <w:pStyle w:val="24"/>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szCs w:val="21"/>
          <w:highlight w:val="none"/>
        </w:rPr>
      </w:pPr>
      <w:r>
        <w:rPr>
          <w:rFonts w:hint="eastAsia" w:ascii="宋体" w:hAnsi="宋体"/>
          <w:color w:val="000000"/>
          <w:szCs w:val="21"/>
          <w:highlight w:val="none"/>
        </w:rPr>
        <w:t>结合项目特点制订服务方案，包含但不限于：</w:t>
      </w:r>
    </w:p>
    <w:p>
      <w:pPr>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szCs w:val="21"/>
          <w:highlight w:val="none"/>
        </w:rPr>
      </w:pPr>
      <w:r>
        <w:rPr>
          <w:rFonts w:hint="eastAsia" w:ascii="宋体" w:hAnsi="宋体"/>
          <w:szCs w:val="21"/>
          <w:highlight w:val="none"/>
          <w:lang w:val="en-US" w:eastAsia="zh-CN"/>
        </w:rPr>
        <w:t>1、</w:t>
      </w:r>
      <w:r>
        <w:rPr>
          <w:rFonts w:hint="eastAsia" w:ascii="宋体" w:hAnsi="宋体"/>
          <w:szCs w:val="21"/>
          <w:highlight w:val="none"/>
        </w:rPr>
        <w:t>服务流程、服务方案及项目管理细则。相应的流程、方案、细则等应契合采购方实际，并有专门的对接人员，</w:t>
      </w:r>
      <w:r>
        <w:rPr>
          <w:rFonts w:hint="eastAsia" w:ascii="宋体" w:hAnsi="宋体"/>
          <w:szCs w:val="21"/>
          <w:highlight w:val="none"/>
          <w:lang w:eastAsia="zh"/>
        </w:rPr>
        <w:t>及时解决问题，同时</w:t>
      </w:r>
      <w:r>
        <w:rPr>
          <w:rFonts w:hint="eastAsia" w:ascii="宋体" w:hAnsi="宋体"/>
          <w:szCs w:val="21"/>
          <w:highlight w:val="none"/>
        </w:rPr>
        <w:t>确保</w:t>
      </w:r>
      <w:r>
        <w:rPr>
          <w:rFonts w:hint="eastAsia" w:ascii="宋体" w:hAnsi="宋体"/>
          <w:szCs w:val="21"/>
          <w:highlight w:val="none"/>
          <w:lang w:eastAsia="zh"/>
        </w:rPr>
        <w:t>24小时</w:t>
      </w:r>
      <w:r>
        <w:rPr>
          <w:rFonts w:hint="eastAsia" w:ascii="宋体" w:hAnsi="宋体"/>
          <w:szCs w:val="21"/>
          <w:highlight w:val="none"/>
        </w:rPr>
        <w:t>电话</w:t>
      </w:r>
      <w:r>
        <w:rPr>
          <w:rFonts w:hint="eastAsia" w:ascii="宋体" w:hAnsi="宋体"/>
          <w:szCs w:val="21"/>
          <w:highlight w:val="none"/>
          <w:lang w:eastAsia="zh"/>
        </w:rPr>
        <w:t>畅通。</w:t>
      </w:r>
    </w:p>
    <w:p>
      <w:pPr>
        <w:pStyle w:val="24"/>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szCs w:val="21"/>
          <w:highlight w:val="none"/>
        </w:rPr>
      </w:pPr>
      <w:r>
        <w:rPr>
          <w:rFonts w:hint="eastAsia" w:ascii="宋体" w:hAnsi="宋体" w:cs="宋体"/>
          <w:color w:val="000000"/>
          <w:highlight w:val="none"/>
          <w:lang w:val="en-US" w:eastAsia="zh-CN"/>
        </w:rPr>
        <w:t>2、</w:t>
      </w:r>
      <w:r>
        <w:rPr>
          <w:rFonts w:hint="eastAsia" w:ascii="宋体" w:hAnsi="宋体" w:cs="宋体"/>
          <w:color w:val="000000"/>
          <w:highlight w:val="none"/>
        </w:rPr>
        <w:t>提供配送车辆、厂房设施等配备方案。提供配送</w:t>
      </w:r>
      <w:r>
        <w:rPr>
          <w:rFonts w:hint="eastAsia" w:ascii="宋体" w:hAnsi="宋体"/>
          <w:szCs w:val="21"/>
          <w:highlight w:val="none"/>
        </w:rPr>
        <w:t>车辆及洗衣厂房、设备设施配备情况（如：洗涤、烘干、熨烫、折叠等设备），以及生产流水线和洗涤设备的新旧及专业程度化情况方案。</w:t>
      </w:r>
    </w:p>
    <w:p>
      <w:pPr>
        <w:pStyle w:val="24"/>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firstLine="420" w:firstLineChars="200"/>
        <w:textAlignment w:val="auto"/>
        <w:rPr>
          <w:rFonts w:hint="eastAsia" w:ascii="宋体" w:hAnsi="宋体" w:cs="宋体"/>
          <w:szCs w:val="21"/>
          <w:highlight w:val="none"/>
        </w:rPr>
      </w:pPr>
      <w:r>
        <w:rPr>
          <w:rFonts w:hint="eastAsia" w:ascii="宋体" w:hAnsi="宋体"/>
          <w:szCs w:val="21"/>
          <w:highlight w:val="none"/>
          <w:lang w:val="en-US" w:eastAsia="zh-CN"/>
        </w:rPr>
        <w:t>3、</w:t>
      </w:r>
      <w:r>
        <w:rPr>
          <w:rFonts w:hint="eastAsia" w:ascii="宋体" w:hAnsi="宋体"/>
          <w:szCs w:val="21"/>
          <w:highlight w:val="none"/>
        </w:rPr>
        <w:t>制订项目组人员配备方案。人员配备方案要科学合理，具有可行性，服从采购方管理要求，确保在规定的时限内保质保量完成工作任务。</w:t>
      </w:r>
    </w:p>
    <w:p>
      <w:pPr>
        <w:pStyle w:val="24"/>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cs="宋体"/>
          <w:highlight w:val="none"/>
        </w:rPr>
      </w:pPr>
      <w:r>
        <w:rPr>
          <w:rFonts w:hint="eastAsia" w:ascii="宋体" w:hAnsi="宋体" w:cs="宋体"/>
          <w:highlight w:val="none"/>
          <w:lang w:val="en-US" w:eastAsia="zh-CN"/>
        </w:rPr>
        <w:t>4、</w:t>
      </w:r>
      <w:r>
        <w:rPr>
          <w:rFonts w:hint="eastAsia" w:ascii="宋体" w:hAnsi="宋体" w:cs="宋体"/>
          <w:highlight w:val="none"/>
        </w:rPr>
        <w:t>制订应急预案。</w:t>
      </w:r>
      <w:r>
        <w:rPr>
          <w:rFonts w:hint="eastAsia" w:ascii="宋体" w:hAnsi="宋体"/>
          <w:szCs w:val="21"/>
          <w:highlight w:val="none"/>
        </w:rPr>
        <w:t>认真做到满足各科室的需求，</w:t>
      </w:r>
      <w:r>
        <w:rPr>
          <w:rFonts w:hint="eastAsia" w:ascii="宋体" w:hAnsi="宋体" w:cs="宋体"/>
          <w:highlight w:val="none"/>
        </w:rPr>
        <w:t>针对项目特点制订包含应急洗涤、应急配送</w:t>
      </w:r>
      <w:r>
        <w:rPr>
          <w:rFonts w:hint="eastAsia" w:ascii="宋体" w:hAnsi="宋体"/>
          <w:szCs w:val="21"/>
          <w:highlight w:val="none"/>
        </w:rPr>
        <w:t>（如交通受阻、停水、停电、设备故障等）和突发公共卫生事件防控工作方案，</w:t>
      </w:r>
      <w:r>
        <w:rPr>
          <w:rFonts w:hint="eastAsia" w:ascii="宋体" w:hAnsi="宋体" w:cs="宋体"/>
          <w:highlight w:val="none"/>
        </w:rPr>
        <w:t>方案内容应详尽、充分、可行性强，</w:t>
      </w:r>
      <w:r>
        <w:rPr>
          <w:rFonts w:hint="eastAsia" w:ascii="宋体" w:hAnsi="宋体"/>
          <w:szCs w:val="21"/>
          <w:highlight w:val="none"/>
        </w:rPr>
        <w:t>确保在任何情况下的保障供给。</w:t>
      </w:r>
    </w:p>
    <w:p>
      <w:pPr>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lang w:val="en-US" w:eastAsia="zh-CN"/>
        </w:rPr>
        <w:t>5、</w:t>
      </w:r>
      <w:r>
        <w:rPr>
          <w:rFonts w:hint="eastAsia" w:ascii="宋体" w:hAnsi="宋体"/>
          <w:szCs w:val="21"/>
          <w:highlight w:val="none"/>
        </w:rPr>
        <w:t xml:space="preserve">制订洗涤流程及消毒制度。根据国家相关法规和院感要求，制订完善的洗涤流程和消毒制度，消毒环节清晰，流程图清晰合理（尤其涉及传染性洗涤物应有专门的流程和制度）。 </w:t>
      </w:r>
    </w:p>
    <w:p>
      <w:pPr>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lang w:val="en-US" w:eastAsia="zh-CN"/>
        </w:rPr>
        <w:t>6、</w:t>
      </w:r>
      <w:r>
        <w:rPr>
          <w:rFonts w:hint="eastAsia" w:ascii="宋体" w:hAnsi="宋体"/>
          <w:szCs w:val="21"/>
          <w:highlight w:val="none"/>
        </w:rPr>
        <w:t xml:space="preserve"> 制订项目组工作制度。</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以上内容，采购方有权进行审核并提出进一步修改意见，投标人应予遵守。采购方对中标方项目组管理实施监督检查，有权要求中标方对违反服务承诺的事项进行限期整改，有权对中标方项目组不称职的人员提出撤换建议。</w:t>
      </w:r>
    </w:p>
    <w:p>
      <w:pPr>
        <w:spacing w:line="360" w:lineRule="auto"/>
        <w:ind w:firstLine="0"/>
        <w:rPr>
          <w:rFonts w:hint="eastAsia" w:ascii="宋体" w:hAnsi="宋体"/>
          <w:szCs w:val="21"/>
          <w:highlight w:val="none"/>
        </w:rPr>
      </w:pPr>
    </w:p>
    <w:p>
      <w:pPr>
        <w:spacing w:line="240" w:lineRule="auto"/>
        <w:rPr>
          <w:rFonts w:hint="eastAsia" w:ascii="微软雅黑" w:hAnsi="微软雅黑" w:cs="微软雅黑"/>
          <w:b/>
          <w:bCs/>
          <w:szCs w:val="21"/>
          <w:highlight w:val="none"/>
        </w:rPr>
      </w:pPr>
      <w:r>
        <w:rPr>
          <w:rFonts w:hint="eastAsia" w:ascii="微软雅黑" w:hAnsi="微软雅黑" w:cs="微软雅黑"/>
          <w:b/>
          <w:bCs/>
          <w:szCs w:val="21"/>
          <w:highlight w:val="none"/>
        </w:rPr>
        <w:br w:type="page"/>
      </w:r>
    </w:p>
    <w:p>
      <w:pPr>
        <w:spacing w:line="440" w:lineRule="exact"/>
        <w:rPr>
          <w:rFonts w:ascii="微软雅黑" w:hAnsi="微软雅黑" w:cs="微软雅黑"/>
          <w:b/>
          <w:bCs/>
          <w:szCs w:val="21"/>
          <w:highlight w:val="none"/>
        </w:rPr>
      </w:pPr>
      <w:r>
        <w:rPr>
          <w:rFonts w:hint="eastAsia" w:ascii="微软雅黑" w:hAnsi="微软雅黑" w:cs="微软雅黑"/>
          <w:b/>
          <w:bCs/>
          <w:szCs w:val="21"/>
          <w:highlight w:val="none"/>
        </w:rPr>
        <w:t>附件1：</w:t>
      </w:r>
    </w:p>
    <w:tbl>
      <w:tblPr>
        <w:tblStyle w:val="49"/>
        <w:tblW w:w="8589" w:type="dxa"/>
        <w:tblInd w:w="91" w:type="dxa"/>
        <w:tblLayout w:type="autofit"/>
        <w:tblCellMar>
          <w:top w:w="0" w:type="dxa"/>
          <w:left w:w="108" w:type="dxa"/>
          <w:bottom w:w="0" w:type="dxa"/>
          <w:right w:w="108" w:type="dxa"/>
        </w:tblCellMar>
      </w:tblPr>
      <w:tblGrid>
        <w:gridCol w:w="569"/>
        <w:gridCol w:w="4847"/>
        <w:gridCol w:w="720"/>
        <w:gridCol w:w="840"/>
        <w:gridCol w:w="630"/>
        <w:gridCol w:w="983"/>
      </w:tblGrid>
      <w:tr>
        <w:tblPrEx>
          <w:tblCellMar>
            <w:top w:w="0" w:type="dxa"/>
            <w:left w:w="108" w:type="dxa"/>
            <w:bottom w:w="0" w:type="dxa"/>
            <w:right w:w="108" w:type="dxa"/>
          </w:tblCellMar>
        </w:tblPrEx>
        <w:trPr>
          <w:trHeight w:val="678" w:hRule="atLeast"/>
        </w:trPr>
        <w:tc>
          <w:tcPr>
            <w:tcW w:w="8589" w:type="dxa"/>
            <w:gridSpan w:val="6"/>
            <w:tcBorders>
              <w:top w:val="nil"/>
              <w:left w:val="single" w:color="auto" w:sz="4" w:space="0"/>
              <w:bottom w:val="single" w:color="auto" w:sz="4" w:space="0"/>
              <w:right w:val="single" w:color="auto" w:sz="4" w:space="0"/>
            </w:tcBorders>
            <w:noWrap w:val="0"/>
            <w:vAlign w:val="center"/>
          </w:tcPr>
          <w:p>
            <w:pPr>
              <w:widowControl/>
              <w:spacing w:line="440" w:lineRule="exact"/>
              <w:jc w:val="center"/>
              <w:rPr>
                <w:rFonts w:hint="eastAsia" w:ascii="微软雅黑" w:hAnsi="微软雅黑" w:cs="微软雅黑"/>
                <w:bCs/>
                <w:kern w:val="0"/>
                <w:szCs w:val="21"/>
                <w:highlight w:val="none"/>
              </w:rPr>
            </w:pPr>
            <w:r>
              <w:rPr>
                <w:rFonts w:hint="eastAsia" w:ascii="微软雅黑" w:hAnsi="微软雅黑" w:cs="微软雅黑"/>
                <w:b/>
                <w:bCs/>
                <w:kern w:val="0"/>
                <w:sz w:val="32"/>
                <w:szCs w:val="32"/>
                <w:highlight w:val="none"/>
              </w:rPr>
              <w:t>洗涤服务满意度考核调查表</w:t>
            </w:r>
          </w:p>
        </w:tc>
      </w:tr>
      <w:tr>
        <w:tblPrEx>
          <w:tblCellMar>
            <w:top w:w="0" w:type="dxa"/>
            <w:left w:w="108" w:type="dxa"/>
            <w:bottom w:w="0" w:type="dxa"/>
            <w:right w:w="108" w:type="dxa"/>
          </w:tblCellMar>
        </w:tblPrEx>
        <w:trPr>
          <w:trHeight w:val="678" w:hRule="atLeast"/>
        </w:trPr>
        <w:tc>
          <w:tcPr>
            <w:tcW w:w="8589" w:type="dxa"/>
            <w:gridSpan w:val="6"/>
            <w:tcBorders>
              <w:top w:val="nil"/>
              <w:left w:val="single" w:color="auto" w:sz="4" w:space="0"/>
              <w:bottom w:val="single" w:color="auto" w:sz="4" w:space="0"/>
              <w:right w:val="single" w:color="auto" w:sz="4" w:space="0"/>
            </w:tcBorders>
            <w:noWrap w:val="0"/>
            <w:vAlign w:val="center"/>
          </w:tcPr>
          <w:p>
            <w:pPr>
              <w:widowControl/>
              <w:spacing w:line="440" w:lineRule="exact"/>
              <w:jc w:val="left"/>
              <w:rPr>
                <w:rFonts w:hint="eastAsia" w:ascii="微软雅黑" w:hAnsi="微软雅黑" w:cs="微软雅黑"/>
                <w:bCs/>
                <w:kern w:val="0"/>
                <w:szCs w:val="21"/>
                <w:highlight w:val="none"/>
              </w:rPr>
            </w:pPr>
            <w:r>
              <w:rPr>
                <w:rFonts w:hint="eastAsia" w:ascii="微软雅黑" w:hAnsi="微软雅黑" w:cs="微软雅黑"/>
                <w:bCs/>
                <w:kern w:val="0"/>
                <w:szCs w:val="21"/>
                <w:highlight w:val="none"/>
              </w:rPr>
              <w:t>本次满意度调查随机发放调查表  份，实收  份，调查满意率为  %，具体如下：</w:t>
            </w:r>
          </w:p>
        </w:tc>
      </w:tr>
      <w:tr>
        <w:tblPrEx>
          <w:tblCellMar>
            <w:top w:w="0" w:type="dxa"/>
            <w:left w:w="108" w:type="dxa"/>
            <w:bottom w:w="0" w:type="dxa"/>
            <w:right w:w="108" w:type="dxa"/>
          </w:tblCellMar>
        </w:tblPrEx>
        <w:trPr>
          <w:trHeight w:val="687" w:hRule="atLeast"/>
        </w:trPr>
        <w:tc>
          <w:tcPr>
            <w:tcW w:w="0" w:type="auto"/>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ascii="微软雅黑" w:hAnsi="微软雅黑" w:cs="微软雅黑"/>
                <w:bCs/>
                <w:kern w:val="0"/>
                <w:szCs w:val="21"/>
                <w:highlight w:val="none"/>
              </w:rPr>
            </w:pPr>
            <w:r>
              <w:rPr>
                <w:rFonts w:hint="eastAsia" w:ascii="微软雅黑" w:hAnsi="微软雅黑" w:cs="微软雅黑"/>
                <w:bCs/>
                <w:kern w:val="0"/>
                <w:szCs w:val="21"/>
                <w:highlight w:val="none"/>
              </w:rPr>
              <w:t>序号</w:t>
            </w:r>
          </w:p>
        </w:tc>
        <w:tc>
          <w:tcPr>
            <w:tcW w:w="0" w:type="auto"/>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ascii="微软雅黑" w:hAnsi="微软雅黑" w:cs="微软雅黑"/>
                <w:bCs/>
                <w:kern w:val="0"/>
                <w:szCs w:val="21"/>
                <w:highlight w:val="none"/>
              </w:rPr>
            </w:pPr>
            <w:r>
              <w:rPr>
                <w:rFonts w:hint="eastAsia" w:ascii="微软雅黑" w:hAnsi="微软雅黑" w:cs="微软雅黑"/>
                <w:bCs/>
                <w:kern w:val="0"/>
                <w:szCs w:val="21"/>
                <w:highlight w:val="none"/>
              </w:rPr>
              <w:t>内容</w:t>
            </w:r>
          </w:p>
        </w:tc>
        <w:tc>
          <w:tcPr>
            <w:tcW w:w="720"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ascii="微软雅黑" w:hAnsi="微软雅黑" w:cs="微软雅黑"/>
                <w:bCs/>
                <w:kern w:val="0"/>
                <w:szCs w:val="21"/>
                <w:highlight w:val="none"/>
              </w:rPr>
            </w:pPr>
            <w:r>
              <w:rPr>
                <w:rFonts w:hint="eastAsia" w:ascii="微软雅黑" w:hAnsi="微软雅黑" w:cs="微软雅黑"/>
                <w:bCs/>
                <w:kern w:val="0"/>
                <w:szCs w:val="21"/>
                <w:highlight w:val="none"/>
              </w:rPr>
              <w:t>满意</w:t>
            </w:r>
          </w:p>
        </w:tc>
        <w:tc>
          <w:tcPr>
            <w:tcW w:w="840"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ascii="微软雅黑" w:hAnsi="微软雅黑" w:cs="微软雅黑"/>
                <w:bCs/>
                <w:kern w:val="0"/>
                <w:szCs w:val="21"/>
                <w:highlight w:val="none"/>
              </w:rPr>
            </w:pPr>
            <w:r>
              <w:rPr>
                <w:rFonts w:hint="eastAsia" w:ascii="微软雅黑" w:hAnsi="微软雅黑" w:cs="微软雅黑"/>
                <w:bCs/>
                <w:kern w:val="0"/>
                <w:szCs w:val="21"/>
                <w:highlight w:val="none"/>
              </w:rPr>
              <w:t>基本满意</w:t>
            </w:r>
          </w:p>
        </w:tc>
        <w:tc>
          <w:tcPr>
            <w:tcW w:w="630" w:type="dxa"/>
            <w:tcBorders>
              <w:top w:val="nil"/>
              <w:left w:val="nil"/>
              <w:bottom w:val="nil"/>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ascii="微软雅黑" w:hAnsi="微软雅黑" w:cs="微软雅黑"/>
                <w:bCs/>
                <w:kern w:val="0"/>
                <w:szCs w:val="21"/>
                <w:highlight w:val="none"/>
              </w:rPr>
            </w:pPr>
            <w:r>
              <w:rPr>
                <w:rFonts w:hint="eastAsia" w:ascii="微软雅黑" w:hAnsi="微软雅黑" w:cs="微软雅黑"/>
                <w:bCs/>
                <w:kern w:val="0"/>
                <w:szCs w:val="21"/>
                <w:highlight w:val="none"/>
              </w:rPr>
              <w:t>一般</w:t>
            </w:r>
          </w:p>
        </w:tc>
        <w:tc>
          <w:tcPr>
            <w:tcW w:w="983" w:type="dxa"/>
            <w:tcBorders>
              <w:top w:val="nil"/>
              <w:left w:val="nil"/>
              <w:bottom w:val="nil"/>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ascii="微软雅黑" w:hAnsi="微软雅黑" w:cs="微软雅黑"/>
                <w:bCs/>
                <w:kern w:val="0"/>
                <w:szCs w:val="21"/>
                <w:highlight w:val="none"/>
              </w:rPr>
            </w:pPr>
            <w:r>
              <w:rPr>
                <w:rFonts w:hint="eastAsia" w:ascii="微软雅黑" w:hAnsi="微软雅黑" w:cs="微软雅黑"/>
                <w:bCs/>
                <w:kern w:val="0"/>
                <w:szCs w:val="21"/>
                <w:highlight w:val="none"/>
              </w:rPr>
              <w:t>不满意</w:t>
            </w:r>
          </w:p>
        </w:tc>
      </w:tr>
      <w:tr>
        <w:tblPrEx>
          <w:tblCellMar>
            <w:top w:w="0" w:type="dxa"/>
            <w:left w:w="108" w:type="dxa"/>
            <w:bottom w:w="0" w:type="dxa"/>
            <w:right w:w="108" w:type="dxa"/>
          </w:tblCellMar>
        </w:tblPrEx>
        <w:trPr>
          <w:trHeight w:val="533" w:hRule="atLeast"/>
        </w:trPr>
        <w:tc>
          <w:tcPr>
            <w:tcW w:w="0" w:type="auto"/>
            <w:tcBorders>
              <w:top w:val="nil"/>
              <w:left w:val="single" w:color="auto" w:sz="4" w:space="0"/>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1</w:t>
            </w:r>
          </w:p>
        </w:tc>
        <w:tc>
          <w:tcPr>
            <w:tcW w:w="0" w:type="auto"/>
            <w:tcBorders>
              <w:top w:val="nil"/>
              <w:left w:val="nil"/>
              <w:bottom w:val="single" w:color="auto" w:sz="4" w:space="0"/>
              <w:right w:val="single" w:color="auto" w:sz="4" w:space="0"/>
            </w:tcBorders>
            <w:noWrap w:val="0"/>
            <w:vAlign w:val="center"/>
          </w:tcPr>
          <w:p>
            <w:pPr>
              <w:widowControl/>
              <w:spacing w:line="440" w:lineRule="exact"/>
              <w:jc w:val="left"/>
              <w:rPr>
                <w:rFonts w:hint="eastAsia" w:ascii="微软雅黑" w:hAnsi="微软雅黑" w:cs="微软雅黑"/>
                <w:bCs/>
                <w:color w:val="FF0000"/>
                <w:kern w:val="0"/>
                <w:szCs w:val="21"/>
                <w:highlight w:val="none"/>
              </w:rPr>
            </w:pPr>
            <w:r>
              <w:rPr>
                <w:rFonts w:hint="eastAsia" w:ascii="微软雅黑" w:hAnsi="微软雅黑" w:cs="微软雅黑"/>
                <w:bCs/>
                <w:kern w:val="0"/>
                <w:szCs w:val="21"/>
                <w:highlight w:val="none"/>
              </w:rPr>
              <w:t>洗衣房的下收下送</w:t>
            </w:r>
            <w:r>
              <w:rPr>
                <w:rFonts w:hint="eastAsia" w:ascii="宋体" w:hAnsi="宋体"/>
                <w:szCs w:val="21"/>
                <w:highlight w:val="none"/>
              </w:rPr>
              <w:t>时效性</w:t>
            </w:r>
            <w:r>
              <w:rPr>
                <w:rFonts w:hint="eastAsia" w:ascii="微软雅黑" w:hAnsi="微软雅黑" w:cs="微软雅黑"/>
                <w:bCs/>
                <w:kern w:val="0"/>
                <w:szCs w:val="21"/>
                <w:highlight w:val="none"/>
              </w:rPr>
              <w:t xml:space="preserve">  </w:t>
            </w:r>
          </w:p>
        </w:tc>
        <w:tc>
          <w:tcPr>
            <w:tcW w:w="72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84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630" w:type="dxa"/>
            <w:tcBorders>
              <w:top w:val="single" w:color="auto" w:sz="4" w:space="0"/>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983" w:type="dxa"/>
            <w:tcBorders>
              <w:top w:val="single" w:color="auto" w:sz="4" w:space="0"/>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r>
      <w:tr>
        <w:tblPrEx>
          <w:tblCellMar>
            <w:top w:w="0" w:type="dxa"/>
            <w:left w:w="108" w:type="dxa"/>
            <w:bottom w:w="0" w:type="dxa"/>
            <w:right w:w="108" w:type="dxa"/>
          </w:tblCellMar>
        </w:tblPrEx>
        <w:trPr>
          <w:trHeight w:val="556" w:hRule="atLeast"/>
        </w:trPr>
        <w:tc>
          <w:tcPr>
            <w:tcW w:w="0" w:type="auto"/>
            <w:tcBorders>
              <w:top w:val="nil"/>
              <w:left w:val="single" w:color="auto" w:sz="4" w:space="0"/>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2</w:t>
            </w:r>
          </w:p>
        </w:tc>
        <w:tc>
          <w:tcPr>
            <w:tcW w:w="0" w:type="auto"/>
            <w:tcBorders>
              <w:top w:val="nil"/>
              <w:left w:val="nil"/>
              <w:bottom w:val="single" w:color="auto" w:sz="4" w:space="0"/>
              <w:right w:val="single" w:color="auto" w:sz="4" w:space="0"/>
            </w:tcBorders>
            <w:noWrap w:val="0"/>
            <w:vAlign w:val="center"/>
          </w:tcPr>
          <w:p>
            <w:pPr>
              <w:widowControl/>
              <w:spacing w:line="440" w:lineRule="exact"/>
              <w:jc w:val="left"/>
              <w:rPr>
                <w:rFonts w:ascii="微软雅黑" w:hAnsi="微软雅黑" w:cs="微软雅黑"/>
                <w:bCs/>
                <w:kern w:val="0"/>
                <w:szCs w:val="21"/>
                <w:highlight w:val="none"/>
              </w:rPr>
            </w:pPr>
            <w:r>
              <w:rPr>
                <w:rFonts w:hint="eastAsia" w:ascii="微软雅黑" w:hAnsi="微软雅黑" w:cs="微软雅黑"/>
                <w:bCs/>
                <w:kern w:val="0"/>
                <w:szCs w:val="21"/>
                <w:highlight w:val="none"/>
              </w:rPr>
              <w:t>负责下收下送的人员服务态度</w:t>
            </w:r>
          </w:p>
        </w:tc>
        <w:tc>
          <w:tcPr>
            <w:tcW w:w="72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84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63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983"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r>
      <w:tr>
        <w:tblPrEx>
          <w:tblCellMar>
            <w:top w:w="0" w:type="dxa"/>
            <w:left w:w="108" w:type="dxa"/>
            <w:bottom w:w="0" w:type="dxa"/>
            <w:right w:w="108" w:type="dxa"/>
          </w:tblCellMar>
        </w:tblPrEx>
        <w:trPr>
          <w:trHeight w:val="525" w:hRule="atLeast"/>
        </w:trPr>
        <w:tc>
          <w:tcPr>
            <w:tcW w:w="0" w:type="auto"/>
            <w:tcBorders>
              <w:top w:val="nil"/>
              <w:left w:val="single" w:color="auto" w:sz="4" w:space="0"/>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3</w:t>
            </w:r>
          </w:p>
        </w:tc>
        <w:tc>
          <w:tcPr>
            <w:tcW w:w="0" w:type="auto"/>
            <w:tcBorders>
              <w:top w:val="nil"/>
              <w:left w:val="nil"/>
              <w:bottom w:val="single" w:color="auto" w:sz="4" w:space="0"/>
              <w:right w:val="single" w:color="auto" w:sz="4" w:space="0"/>
            </w:tcBorders>
            <w:noWrap w:val="0"/>
            <w:vAlign w:val="center"/>
          </w:tcPr>
          <w:p>
            <w:pPr>
              <w:widowControl/>
              <w:spacing w:line="440" w:lineRule="exact"/>
              <w:jc w:val="left"/>
              <w:rPr>
                <w:rFonts w:ascii="微软雅黑" w:hAnsi="微软雅黑" w:cs="微软雅黑"/>
                <w:bCs/>
                <w:kern w:val="0"/>
                <w:szCs w:val="21"/>
                <w:highlight w:val="none"/>
              </w:rPr>
            </w:pPr>
            <w:r>
              <w:rPr>
                <w:rFonts w:hint="eastAsia" w:ascii="微软雅黑" w:hAnsi="微软雅黑" w:cs="微软雅黑"/>
                <w:bCs/>
                <w:kern w:val="0"/>
                <w:szCs w:val="21"/>
                <w:highlight w:val="none"/>
              </w:rPr>
              <w:t>洗涤物品的清洁度和干燥度</w:t>
            </w:r>
          </w:p>
        </w:tc>
        <w:tc>
          <w:tcPr>
            <w:tcW w:w="72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84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63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983"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r>
      <w:tr>
        <w:tblPrEx>
          <w:tblCellMar>
            <w:top w:w="0" w:type="dxa"/>
            <w:left w:w="108" w:type="dxa"/>
            <w:bottom w:w="0" w:type="dxa"/>
            <w:right w:w="108" w:type="dxa"/>
          </w:tblCellMar>
        </w:tblPrEx>
        <w:trPr>
          <w:trHeight w:val="526" w:hRule="atLeast"/>
        </w:trPr>
        <w:tc>
          <w:tcPr>
            <w:tcW w:w="0" w:type="auto"/>
            <w:tcBorders>
              <w:top w:val="nil"/>
              <w:left w:val="single" w:color="auto" w:sz="4" w:space="0"/>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4</w:t>
            </w:r>
          </w:p>
        </w:tc>
        <w:tc>
          <w:tcPr>
            <w:tcW w:w="0" w:type="auto"/>
            <w:tcBorders>
              <w:top w:val="nil"/>
              <w:left w:val="nil"/>
              <w:bottom w:val="single" w:color="auto" w:sz="4" w:space="0"/>
              <w:right w:val="single" w:color="auto" w:sz="4" w:space="0"/>
            </w:tcBorders>
            <w:noWrap w:val="0"/>
            <w:vAlign w:val="center"/>
          </w:tcPr>
          <w:p>
            <w:pPr>
              <w:widowControl/>
              <w:spacing w:line="440" w:lineRule="exact"/>
              <w:jc w:val="left"/>
              <w:rPr>
                <w:rFonts w:hint="eastAsia" w:ascii="微软雅黑" w:hAnsi="微软雅黑" w:cs="微软雅黑"/>
                <w:bCs/>
                <w:color w:val="FF0000"/>
                <w:kern w:val="0"/>
                <w:szCs w:val="21"/>
                <w:highlight w:val="none"/>
              </w:rPr>
            </w:pPr>
            <w:r>
              <w:rPr>
                <w:rFonts w:hint="eastAsia" w:ascii="微软雅黑" w:hAnsi="微软雅黑" w:cs="微软雅黑"/>
                <w:bCs/>
                <w:kern w:val="0"/>
                <w:szCs w:val="21"/>
                <w:highlight w:val="none"/>
              </w:rPr>
              <w:t xml:space="preserve">洗涤物品破损缝补和牛筋更换  </w:t>
            </w:r>
          </w:p>
        </w:tc>
        <w:tc>
          <w:tcPr>
            <w:tcW w:w="72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84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63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983"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r>
      <w:tr>
        <w:tblPrEx>
          <w:tblCellMar>
            <w:top w:w="0" w:type="dxa"/>
            <w:left w:w="108" w:type="dxa"/>
            <w:bottom w:w="0" w:type="dxa"/>
            <w:right w:w="108" w:type="dxa"/>
          </w:tblCellMar>
        </w:tblPrEx>
        <w:trPr>
          <w:trHeight w:val="498" w:hRule="atLeast"/>
        </w:trPr>
        <w:tc>
          <w:tcPr>
            <w:tcW w:w="0" w:type="auto"/>
            <w:tcBorders>
              <w:top w:val="nil"/>
              <w:left w:val="single" w:color="auto" w:sz="4" w:space="0"/>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5</w:t>
            </w:r>
          </w:p>
        </w:tc>
        <w:tc>
          <w:tcPr>
            <w:tcW w:w="0" w:type="auto"/>
            <w:tcBorders>
              <w:top w:val="nil"/>
              <w:left w:val="nil"/>
              <w:bottom w:val="nil"/>
              <w:right w:val="nil"/>
            </w:tcBorders>
            <w:noWrap/>
            <w:vAlign w:val="center"/>
          </w:tcPr>
          <w:p>
            <w:pPr>
              <w:widowControl/>
              <w:spacing w:line="440" w:lineRule="exact"/>
              <w:jc w:val="left"/>
              <w:rPr>
                <w:rFonts w:hint="eastAsia" w:ascii="微软雅黑" w:hAnsi="微软雅黑" w:cs="微软雅黑"/>
                <w:bCs/>
                <w:kern w:val="0"/>
                <w:szCs w:val="21"/>
                <w:highlight w:val="none"/>
              </w:rPr>
            </w:pPr>
            <w:r>
              <w:rPr>
                <w:rFonts w:hint="eastAsia" w:ascii="微软雅黑" w:hAnsi="微软雅黑" w:cs="微软雅黑"/>
                <w:bCs/>
                <w:kern w:val="0"/>
                <w:szCs w:val="21"/>
                <w:highlight w:val="none"/>
              </w:rPr>
              <w:t>交接清点的账物的准确性，交接单双方签名</w:t>
            </w:r>
          </w:p>
        </w:tc>
        <w:tc>
          <w:tcPr>
            <w:tcW w:w="720" w:type="dxa"/>
            <w:tcBorders>
              <w:top w:val="nil"/>
              <w:left w:val="single" w:color="auto" w:sz="4" w:space="0"/>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84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63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983"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r>
      <w:tr>
        <w:tblPrEx>
          <w:tblCellMar>
            <w:top w:w="0" w:type="dxa"/>
            <w:left w:w="108" w:type="dxa"/>
            <w:bottom w:w="0" w:type="dxa"/>
            <w:right w:w="108" w:type="dxa"/>
          </w:tblCellMar>
        </w:tblPrEx>
        <w:trPr>
          <w:trHeight w:val="608" w:hRule="atLeast"/>
        </w:trPr>
        <w:tc>
          <w:tcPr>
            <w:tcW w:w="0" w:type="auto"/>
            <w:tcBorders>
              <w:top w:val="nil"/>
              <w:left w:val="single" w:color="auto" w:sz="4" w:space="0"/>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6</w:t>
            </w:r>
          </w:p>
        </w:tc>
        <w:tc>
          <w:tcPr>
            <w:tcW w:w="0" w:type="auto"/>
            <w:tcBorders>
              <w:top w:val="single" w:color="auto" w:sz="4" w:space="0"/>
              <w:left w:val="nil"/>
              <w:bottom w:val="single" w:color="auto" w:sz="4" w:space="0"/>
              <w:right w:val="single" w:color="auto" w:sz="4" w:space="0"/>
            </w:tcBorders>
            <w:noWrap w:val="0"/>
            <w:vAlign w:val="center"/>
          </w:tcPr>
          <w:p>
            <w:pPr>
              <w:widowControl/>
              <w:spacing w:line="440" w:lineRule="exact"/>
              <w:jc w:val="left"/>
              <w:rPr>
                <w:rFonts w:ascii="微软雅黑" w:hAnsi="微软雅黑" w:cs="微软雅黑"/>
                <w:bCs/>
                <w:kern w:val="0"/>
                <w:szCs w:val="21"/>
                <w:highlight w:val="none"/>
              </w:rPr>
            </w:pPr>
            <w:r>
              <w:rPr>
                <w:rFonts w:hint="eastAsia" w:ascii="微软雅黑" w:hAnsi="微软雅黑" w:cs="微软雅黑"/>
                <w:bCs/>
                <w:kern w:val="0"/>
                <w:szCs w:val="21"/>
                <w:highlight w:val="none"/>
              </w:rPr>
              <w:t>负责下收下送的人员执行院感操作和个人防护是否规范</w:t>
            </w:r>
          </w:p>
        </w:tc>
        <w:tc>
          <w:tcPr>
            <w:tcW w:w="72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84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63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983"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r>
      <w:tr>
        <w:tblPrEx>
          <w:tblCellMar>
            <w:top w:w="0" w:type="dxa"/>
            <w:left w:w="108" w:type="dxa"/>
            <w:bottom w:w="0" w:type="dxa"/>
            <w:right w:w="108" w:type="dxa"/>
          </w:tblCellMar>
        </w:tblPrEx>
        <w:trPr>
          <w:trHeight w:val="608" w:hRule="atLeast"/>
        </w:trPr>
        <w:tc>
          <w:tcPr>
            <w:tcW w:w="0" w:type="auto"/>
            <w:tcBorders>
              <w:top w:val="nil"/>
              <w:left w:val="single" w:color="auto" w:sz="4" w:space="0"/>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7</w:t>
            </w:r>
          </w:p>
        </w:tc>
        <w:tc>
          <w:tcPr>
            <w:tcW w:w="0" w:type="auto"/>
            <w:tcBorders>
              <w:top w:val="nil"/>
              <w:left w:val="nil"/>
              <w:bottom w:val="single" w:color="auto" w:sz="4" w:space="0"/>
              <w:right w:val="single" w:color="auto" w:sz="4" w:space="0"/>
            </w:tcBorders>
            <w:noWrap w:val="0"/>
            <w:vAlign w:val="center"/>
          </w:tcPr>
          <w:p>
            <w:pPr>
              <w:widowControl/>
              <w:spacing w:line="440" w:lineRule="exact"/>
              <w:jc w:val="left"/>
              <w:rPr>
                <w:rFonts w:hint="eastAsia" w:ascii="微软雅黑" w:hAnsi="微软雅黑" w:cs="微软雅黑"/>
                <w:bCs/>
                <w:color w:val="FF0000"/>
                <w:kern w:val="0"/>
                <w:szCs w:val="21"/>
                <w:highlight w:val="none"/>
              </w:rPr>
            </w:pPr>
            <w:r>
              <w:rPr>
                <w:rFonts w:hint="eastAsia" w:ascii="微软雅黑" w:hAnsi="微软雅黑" w:cs="微软雅黑"/>
                <w:bCs/>
                <w:kern w:val="0"/>
                <w:szCs w:val="21"/>
                <w:highlight w:val="none"/>
              </w:rPr>
              <w:t>清洁洗涤物品归类叠放是否平整</w:t>
            </w:r>
          </w:p>
        </w:tc>
        <w:tc>
          <w:tcPr>
            <w:tcW w:w="72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84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63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983"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r>
      <w:tr>
        <w:tblPrEx>
          <w:tblCellMar>
            <w:top w:w="0" w:type="dxa"/>
            <w:left w:w="108" w:type="dxa"/>
            <w:bottom w:w="0" w:type="dxa"/>
            <w:right w:w="108" w:type="dxa"/>
          </w:tblCellMar>
        </w:tblPrEx>
        <w:trPr>
          <w:trHeight w:val="608" w:hRule="atLeast"/>
        </w:trPr>
        <w:tc>
          <w:tcPr>
            <w:tcW w:w="0" w:type="auto"/>
            <w:tcBorders>
              <w:top w:val="nil"/>
              <w:left w:val="single" w:color="auto" w:sz="4" w:space="0"/>
              <w:bottom w:val="single" w:color="auto" w:sz="4" w:space="0"/>
              <w:right w:val="single" w:color="auto" w:sz="4" w:space="0"/>
            </w:tcBorders>
            <w:noWrap w:val="0"/>
            <w:vAlign w:val="center"/>
          </w:tcPr>
          <w:p>
            <w:pPr>
              <w:widowControl/>
              <w:spacing w:line="440" w:lineRule="exact"/>
              <w:jc w:val="center"/>
              <w:rPr>
                <w:rFonts w:ascii="微软雅黑" w:hAnsi="微软雅黑" w:cs="微软雅黑"/>
                <w:bCs/>
                <w:color w:val="000000"/>
                <w:kern w:val="0"/>
                <w:szCs w:val="21"/>
                <w:highlight w:val="none"/>
              </w:rPr>
            </w:pPr>
            <w:r>
              <w:rPr>
                <w:rFonts w:hint="eastAsia" w:ascii="微软雅黑" w:hAnsi="微软雅黑" w:cs="微软雅黑"/>
                <w:bCs/>
                <w:color w:val="000000"/>
                <w:kern w:val="0"/>
                <w:szCs w:val="21"/>
                <w:highlight w:val="none"/>
              </w:rPr>
              <w:t>8</w:t>
            </w:r>
          </w:p>
        </w:tc>
        <w:tc>
          <w:tcPr>
            <w:tcW w:w="0" w:type="auto"/>
            <w:tcBorders>
              <w:top w:val="nil"/>
              <w:left w:val="nil"/>
              <w:bottom w:val="single" w:color="auto" w:sz="4" w:space="0"/>
              <w:right w:val="single" w:color="auto" w:sz="4" w:space="0"/>
            </w:tcBorders>
            <w:noWrap w:val="0"/>
            <w:vAlign w:val="center"/>
          </w:tcPr>
          <w:p>
            <w:pPr>
              <w:widowControl/>
              <w:spacing w:line="440" w:lineRule="exact"/>
              <w:jc w:val="left"/>
              <w:rPr>
                <w:rFonts w:hint="eastAsia" w:ascii="微软雅黑" w:hAnsi="微软雅黑" w:cs="微软雅黑"/>
                <w:bCs/>
                <w:color w:val="000000"/>
                <w:kern w:val="0"/>
                <w:szCs w:val="21"/>
                <w:highlight w:val="none"/>
              </w:rPr>
            </w:pPr>
            <w:r>
              <w:rPr>
                <w:rFonts w:hint="eastAsia" w:ascii="微软雅黑" w:hAnsi="微软雅黑" w:cs="微软雅黑"/>
                <w:bCs/>
                <w:color w:val="000000"/>
                <w:kern w:val="0"/>
                <w:szCs w:val="21"/>
                <w:highlight w:val="none"/>
              </w:rPr>
              <w:t xml:space="preserve">收送洗涤物品的车辆是否洁污分开 </w:t>
            </w:r>
          </w:p>
        </w:tc>
        <w:tc>
          <w:tcPr>
            <w:tcW w:w="720" w:type="dxa"/>
            <w:tcBorders>
              <w:top w:val="nil"/>
              <w:left w:val="nil"/>
              <w:bottom w:val="single" w:color="auto" w:sz="4" w:space="0"/>
              <w:right w:val="single" w:color="auto" w:sz="4" w:space="0"/>
            </w:tcBorders>
            <w:noWrap w:val="0"/>
            <w:vAlign w:val="center"/>
          </w:tcPr>
          <w:p>
            <w:pPr>
              <w:widowControl/>
              <w:spacing w:line="440" w:lineRule="exact"/>
              <w:jc w:val="center"/>
              <w:rPr>
                <w:rFonts w:hint="eastAsia" w:ascii="微软雅黑" w:hAnsi="微软雅黑" w:cs="微软雅黑"/>
                <w:bCs/>
                <w:kern w:val="0"/>
                <w:szCs w:val="21"/>
                <w:highlight w:val="none"/>
              </w:rPr>
            </w:pPr>
          </w:p>
        </w:tc>
        <w:tc>
          <w:tcPr>
            <w:tcW w:w="840" w:type="dxa"/>
            <w:tcBorders>
              <w:top w:val="nil"/>
              <w:left w:val="nil"/>
              <w:bottom w:val="single" w:color="auto" w:sz="4" w:space="0"/>
              <w:right w:val="single" w:color="auto" w:sz="4" w:space="0"/>
            </w:tcBorders>
            <w:noWrap w:val="0"/>
            <w:vAlign w:val="center"/>
          </w:tcPr>
          <w:p>
            <w:pPr>
              <w:widowControl/>
              <w:spacing w:line="440" w:lineRule="exact"/>
              <w:jc w:val="center"/>
              <w:rPr>
                <w:rFonts w:hint="eastAsia" w:ascii="微软雅黑" w:hAnsi="微软雅黑" w:cs="微软雅黑"/>
                <w:bCs/>
                <w:kern w:val="0"/>
                <w:szCs w:val="21"/>
                <w:highlight w:val="none"/>
              </w:rPr>
            </w:pPr>
          </w:p>
        </w:tc>
        <w:tc>
          <w:tcPr>
            <w:tcW w:w="630" w:type="dxa"/>
            <w:tcBorders>
              <w:top w:val="nil"/>
              <w:left w:val="nil"/>
              <w:bottom w:val="single" w:color="auto" w:sz="4" w:space="0"/>
              <w:right w:val="single" w:color="auto" w:sz="4" w:space="0"/>
            </w:tcBorders>
            <w:noWrap w:val="0"/>
            <w:vAlign w:val="center"/>
          </w:tcPr>
          <w:p>
            <w:pPr>
              <w:widowControl/>
              <w:spacing w:line="440" w:lineRule="exact"/>
              <w:jc w:val="center"/>
              <w:rPr>
                <w:rFonts w:hint="eastAsia" w:ascii="微软雅黑" w:hAnsi="微软雅黑" w:cs="微软雅黑"/>
                <w:bCs/>
                <w:kern w:val="0"/>
                <w:szCs w:val="21"/>
                <w:highlight w:val="none"/>
              </w:rPr>
            </w:pPr>
          </w:p>
        </w:tc>
        <w:tc>
          <w:tcPr>
            <w:tcW w:w="983" w:type="dxa"/>
            <w:tcBorders>
              <w:top w:val="nil"/>
              <w:left w:val="nil"/>
              <w:bottom w:val="single" w:color="auto" w:sz="4" w:space="0"/>
              <w:right w:val="single" w:color="auto" w:sz="4" w:space="0"/>
            </w:tcBorders>
            <w:noWrap w:val="0"/>
            <w:vAlign w:val="center"/>
          </w:tcPr>
          <w:p>
            <w:pPr>
              <w:widowControl/>
              <w:spacing w:line="440" w:lineRule="exact"/>
              <w:jc w:val="center"/>
              <w:rPr>
                <w:rFonts w:hint="eastAsia" w:ascii="微软雅黑" w:hAnsi="微软雅黑" w:cs="微软雅黑"/>
                <w:bCs/>
                <w:kern w:val="0"/>
                <w:szCs w:val="21"/>
                <w:highlight w:val="none"/>
              </w:rPr>
            </w:pPr>
          </w:p>
        </w:tc>
      </w:tr>
      <w:tr>
        <w:tblPrEx>
          <w:tblCellMar>
            <w:top w:w="0" w:type="dxa"/>
            <w:left w:w="108" w:type="dxa"/>
            <w:bottom w:w="0" w:type="dxa"/>
            <w:right w:w="108" w:type="dxa"/>
          </w:tblCellMar>
        </w:tblPrEx>
        <w:trPr>
          <w:trHeight w:val="488" w:hRule="atLeast"/>
        </w:trPr>
        <w:tc>
          <w:tcPr>
            <w:tcW w:w="0" w:type="auto"/>
            <w:tcBorders>
              <w:top w:val="nil"/>
              <w:left w:val="single" w:color="auto" w:sz="4" w:space="0"/>
              <w:bottom w:val="single" w:color="auto" w:sz="4" w:space="0"/>
              <w:right w:val="single" w:color="auto" w:sz="4" w:space="0"/>
            </w:tcBorders>
            <w:noWrap w:val="0"/>
            <w:vAlign w:val="center"/>
          </w:tcPr>
          <w:p>
            <w:pPr>
              <w:widowControl/>
              <w:spacing w:line="440" w:lineRule="exact"/>
              <w:jc w:val="center"/>
              <w:rPr>
                <w:rFonts w:hint="eastAsia" w:ascii="微软雅黑" w:hAnsi="微软雅黑" w:cs="微软雅黑"/>
                <w:bCs/>
                <w:kern w:val="0"/>
                <w:szCs w:val="21"/>
                <w:highlight w:val="none"/>
              </w:rPr>
            </w:pPr>
            <w:r>
              <w:rPr>
                <w:rFonts w:hint="eastAsia" w:ascii="微软雅黑" w:hAnsi="微软雅黑" w:cs="微软雅黑"/>
                <w:bCs/>
                <w:kern w:val="0"/>
                <w:szCs w:val="21"/>
                <w:highlight w:val="none"/>
              </w:rPr>
              <w:t>9</w:t>
            </w:r>
          </w:p>
        </w:tc>
        <w:tc>
          <w:tcPr>
            <w:tcW w:w="0" w:type="auto"/>
            <w:tcBorders>
              <w:top w:val="nil"/>
              <w:left w:val="nil"/>
              <w:bottom w:val="single" w:color="auto" w:sz="4" w:space="0"/>
              <w:right w:val="single" w:color="auto" w:sz="4" w:space="0"/>
            </w:tcBorders>
            <w:noWrap w:val="0"/>
            <w:vAlign w:val="center"/>
          </w:tcPr>
          <w:p>
            <w:pPr>
              <w:widowControl/>
              <w:spacing w:line="440" w:lineRule="exact"/>
              <w:jc w:val="left"/>
              <w:rPr>
                <w:rFonts w:hint="eastAsia" w:ascii="微软雅黑" w:hAnsi="微软雅黑" w:cs="微软雅黑"/>
                <w:bCs/>
                <w:kern w:val="0"/>
                <w:szCs w:val="21"/>
                <w:highlight w:val="none"/>
              </w:rPr>
            </w:pPr>
            <w:r>
              <w:rPr>
                <w:rFonts w:hint="eastAsia" w:ascii="微软雅黑" w:hAnsi="微软雅黑" w:cs="微软雅黑"/>
                <w:bCs/>
                <w:kern w:val="0"/>
                <w:szCs w:val="21"/>
                <w:highlight w:val="none"/>
              </w:rPr>
              <w:t>清洁洗涤物品供应是否及时</w:t>
            </w:r>
          </w:p>
        </w:tc>
        <w:tc>
          <w:tcPr>
            <w:tcW w:w="72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84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630"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c>
          <w:tcPr>
            <w:tcW w:w="983" w:type="dxa"/>
            <w:tcBorders>
              <w:top w:val="nil"/>
              <w:left w:val="nil"/>
              <w:bottom w:val="single" w:color="auto" w:sz="4" w:space="0"/>
              <w:right w:val="single" w:color="auto" w:sz="4" w:space="0"/>
            </w:tcBorders>
            <w:noWrap w:val="0"/>
            <w:vAlign w:val="center"/>
          </w:tcPr>
          <w:p>
            <w:pPr>
              <w:widowControl/>
              <w:spacing w:line="440" w:lineRule="exact"/>
              <w:jc w:val="center"/>
              <w:rPr>
                <w:rFonts w:ascii="微软雅黑" w:hAnsi="微软雅黑" w:cs="微软雅黑"/>
                <w:bCs/>
                <w:kern w:val="0"/>
                <w:szCs w:val="21"/>
                <w:highlight w:val="none"/>
              </w:rPr>
            </w:pPr>
            <w:r>
              <w:rPr>
                <w:rFonts w:hint="eastAsia" w:ascii="微软雅黑" w:hAnsi="微软雅黑" w:cs="微软雅黑"/>
                <w:bCs/>
                <w:kern w:val="0"/>
                <w:szCs w:val="21"/>
                <w:highlight w:val="none"/>
              </w:rPr>
              <w:t>　</w:t>
            </w:r>
          </w:p>
        </w:tc>
      </w:tr>
      <w:tr>
        <w:tblPrEx>
          <w:tblCellMar>
            <w:top w:w="0" w:type="dxa"/>
            <w:left w:w="108" w:type="dxa"/>
            <w:bottom w:w="0" w:type="dxa"/>
            <w:right w:w="108" w:type="dxa"/>
          </w:tblCellMar>
        </w:tblPrEx>
        <w:trPr>
          <w:trHeight w:val="465" w:hRule="atLeast"/>
        </w:trPr>
        <w:tc>
          <w:tcPr>
            <w:tcW w:w="0" w:type="auto"/>
            <w:tcBorders>
              <w:top w:val="nil"/>
              <w:left w:val="single" w:color="auto" w:sz="4" w:space="0"/>
              <w:bottom w:val="single" w:color="auto" w:sz="4" w:space="0"/>
              <w:right w:val="single" w:color="auto" w:sz="4" w:space="0"/>
            </w:tcBorders>
            <w:noWrap w:val="0"/>
            <w:vAlign w:val="center"/>
          </w:tcPr>
          <w:p>
            <w:pPr>
              <w:widowControl/>
              <w:spacing w:line="440" w:lineRule="exact"/>
              <w:jc w:val="center"/>
              <w:rPr>
                <w:rFonts w:ascii="微软雅黑" w:hAnsi="微软雅黑" w:cs="微软雅黑"/>
                <w:bCs/>
                <w:color w:val="FF0000"/>
                <w:kern w:val="0"/>
                <w:szCs w:val="21"/>
                <w:highlight w:val="none"/>
              </w:rPr>
            </w:pPr>
            <w:r>
              <w:rPr>
                <w:rFonts w:hint="eastAsia" w:ascii="微软雅黑" w:hAnsi="微软雅黑" w:cs="微软雅黑"/>
                <w:bCs/>
                <w:kern w:val="0"/>
                <w:szCs w:val="21"/>
                <w:highlight w:val="none"/>
              </w:rPr>
              <w:t>10</w:t>
            </w:r>
          </w:p>
        </w:tc>
        <w:tc>
          <w:tcPr>
            <w:tcW w:w="0" w:type="auto"/>
            <w:tcBorders>
              <w:top w:val="nil"/>
              <w:left w:val="nil"/>
              <w:bottom w:val="single" w:color="auto" w:sz="4" w:space="0"/>
              <w:right w:val="single" w:color="auto" w:sz="4" w:space="0"/>
            </w:tcBorders>
            <w:noWrap w:val="0"/>
            <w:vAlign w:val="center"/>
          </w:tcPr>
          <w:p>
            <w:pPr>
              <w:widowControl/>
              <w:spacing w:line="440" w:lineRule="exact"/>
              <w:jc w:val="left"/>
              <w:rPr>
                <w:rFonts w:hint="eastAsia" w:ascii="微软雅黑" w:hAnsi="微软雅黑" w:cs="微软雅黑"/>
                <w:bCs/>
                <w:color w:val="FF0000"/>
                <w:kern w:val="0"/>
                <w:szCs w:val="21"/>
                <w:highlight w:val="none"/>
              </w:rPr>
            </w:pPr>
            <w:r>
              <w:rPr>
                <w:rFonts w:hint="eastAsia" w:ascii="微软雅黑" w:hAnsi="微软雅黑" w:cs="微软雅黑"/>
                <w:bCs/>
                <w:kern w:val="0"/>
                <w:szCs w:val="21"/>
                <w:highlight w:val="none"/>
              </w:rPr>
              <w:t>本周是否做到零退换（洗）</w:t>
            </w:r>
          </w:p>
        </w:tc>
        <w:tc>
          <w:tcPr>
            <w:tcW w:w="1560" w:type="dxa"/>
            <w:gridSpan w:val="2"/>
            <w:tcBorders>
              <w:top w:val="nil"/>
              <w:left w:val="nil"/>
              <w:bottom w:val="single" w:color="auto" w:sz="4" w:space="0"/>
              <w:right w:val="single" w:color="auto" w:sz="4" w:space="0"/>
            </w:tcBorders>
            <w:noWrap w:val="0"/>
            <w:vAlign w:val="center"/>
          </w:tcPr>
          <w:p>
            <w:pPr>
              <w:widowControl/>
              <w:spacing w:line="440" w:lineRule="exact"/>
              <w:jc w:val="center"/>
              <w:rPr>
                <w:rFonts w:hint="eastAsia" w:ascii="微软雅黑" w:hAnsi="微软雅黑" w:cs="微软雅黑"/>
                <w:bCs/>
                <w:kern w:val="0"/>
                <w:szCs w:val="21"/>
                <w:highlight w:val="none"/>
              </w:rPr>
            </w:pPr>
            <w:r>
              <w:rPr>
                <w:rFonts w:hint="eastAsia" w:ascii="微软雅黑" w:hAnsi="微软雅黑" w:cs="微软雅黑"/>
                <w:bCs/>
                <w:kern w:val="0"/>
                <w:szCs w:val="21"/>
                <w:highlight w:val="none"/>
              </w:rPr>
              <w:t>是（）</w:t>
            </w:r>
          </w:p>
        </w:tc>
        <w:tc>
          <w:tcPr>
            <w:tcW w:w="1613" w:type="dxa"/>
            <w:gridSpan w:val="2"/>
            <w:tcBorders>
              <w:top w:val="nil"/>
              <w:left w:val="nil"/>
              <w:bottom w:val="single" w:color="auto" w:sz="4" w:space="0"/>
              <w:right w:val="single" w:color="auto" w:sz="4" w:space="0"/>
            </w:tcBorders>
            <w:noWrap w:val="0"/>
            <w:vAlign w:val="center"/>
          </w:tcPr>
          <w:p>
            <w:pPr>
              <w:widowControl/>
              <w:spacing w:line="440" w:lineRule="exact"/>
              <w:jc w:val="center"/>
              <w:rPr>
                <w:rFonts w:hint="eastAsia" w:ascii="微软雅黑" w:hAnsi="微软雅黑" w:cs="微软雅黑"/>
                <w:bCs/>
                <w:kern w:val="0"/>
                <w:szCs w:val="21"/>
                <w:highlight w:val="none"/>
              </w:rPr>
            </w:pPr>
            <w:r>
              <w:rPr>
                <w:rFonts w:hint="eastAsia" w:ascii="微软雅黑" w:hAnsi="微软雅黑" w:cs="微软雅黑"/>
                <w:bCs/>
                <w:kern w:val="0"/>
                <w:szCs w:val="21"/>
                <w:highlight w:val="none"/>
              </w:rPr>
              <w:t>否（）</w:t>
            </w:r>
          </w:p>
        </w:tc>
      </w:tr>
      <w:tr>
        <w:tblPrEx>
          <w:tblCellMar>
            <w:top w:w="0" w:type="dxa"/>
            <w:left w:w="108" w:type="dxa"/>
            <w:bottom w:w="0" w:type="dxa"/>
            <w:right w:w="108" w:type="dxa"/>
          </w:tblCellMar>
        </w:tblPrEx>
        <w:trPr>
          <w:trHeight w:val="503" w:hRule="atLeast"/>
        </w:trPr>
        <w:tc>
          <w:tcPr>
            <w:tcW w:w="0" w:type="auto"/>
            <w:tcBorders>
              <w:top w:val="nil"/>
              <w:left w:val="single" w:color="auto" w:sz="4" w:space="0"/>
              <w:bottom w:val="single" w:color="auto" w:sz="4" w:space="0"/>
              <w:right w:val="single" w:color="auto" w:sz="4" w:space="0"/>
            </w:tcBorders>
            <w:noWrap w:val="0"/>
            <w:vAlign w:val="center"/>
          </w:tcPr>
          <w:p>
            <w:pPr>
              <w:widowControl/>
              <w:spacing w:line="440" w:lineRule="exact"/>
              <w:jc w:val="center"/>
              <w:rPr>
                <w:rFonts w:ascii="微软雅黑" w:hAnsi="微软雅黑" w:cs="微软雅黑"/>
                <w:bCs/>
                <w:color w:val="FF0000"/>
                <w:kern w:val="0"/>
                <w:szCs w:val="21"/>
                <w:highlight w:val="none"/>
              </w:rPr>
            </w:pPr>
            <w:r>
              <w:rPr>
                <w:rFonts w:hint="eastAsia" w:ascii="微软雅黑" w:hAnsi="微软雅黑" w:cs="微软雅黑"/>
                <w:bCs/>
                <w:kern w:val="0"/>
                <w:szCs w:val="21"/>
                <w:highlight w:val="none"/>
              </w:rPr>
              <w:t>11</w:t>
            </w:r>
          </w:p>
        </w:tc>
        <w:tc>
          <w:tcPr>
            <w:tcW w:w="0" w:type="auto"/>
            <w:tcBorders>
              <w:top w:val="nil"/>
              <w:left w:val="nil"/>
              <w:bottom w:val="single" w:color="auto" w:sz="4" w:space="0"/>
              <w:right w:val="single" w:color="auto" w:sz="4" w:space="0"/>
            </w:tcBorders>
            <w:noWrap w:val="0"/>
            <w:vAlign w:val="center"/>
          </w:tcPr>
          <w:p>
            <w:pPr>
              <w:widowControl/>
              <w:spacing w:line="440" w:lineRule="exact"/>
              <w:jc w:val="left"/>
              <w:rPr>
                <w:rFonts w:hint="eastAsia" w:ascii="微软雅黑" w:hAnsi="微软雅黑" w:cs="微软雅黑"/>
                <w:bCs/>
                <w:color w:val="FF0000"/>
                <w:kern w:val="0"/>
                <w:szCs w:val="21"/>
                <w:highlight w:val="none"/>
              </w:rPr>
            </w:pPr>
            <w:r>
              <w:rPr>
                <w:rFonts w:hint="eastAsia" w:ascii="微软雅黑" w:hAnsi="微软雅黑" w:cs="微软雅黑"/>
                <w:bCs/>
                <w:kern w:val="0"/>
                <w:szCs w:val="21"/>
                <w:highlight w:val="none"/>
              </w:rPr>
              <w:t>本周是否做到零投诉</w:t>
            </w:r>
          </w:p>
        </w:tc>
        <w:tc>
          <w:tcPr>
            <w:tcW w:w="1560" w:type="dxa"/>
            <w:gridSpan w:val="2"/>
            <w:tcBorders>
              <w:top w:val="nil"/>
              <w:left w:val="nil"/>
              <w:bottom w:val="single" w:color="auto" w:sz="4" w:space="0"/>
              <w:right w:val="single" w:color="auto" w:sz="4" w:space="0"/>
            </w:tcBorders>
            <w:noWrap w:val="0"/>
            <w:vAlign w:val="center"/>
          </w:tcPr>
          <w:p>
            <w:pPr>
              <w:widowControl/>
              <w:spacing w:line="440" w:lineRule="exact"/>
              <w:jc w:val="center"/>
              <w:rPr>
                <w:rFonts w:hint="eastAsia" w:ascii="微软雅黑" w:hAnsi="微软雅黑" w:cs="微软雅黑"/>
                <w:bCs/>
                <w:kern w:val="0"/>
                <w:szCs w:val="21"/>
                <w:highlight w:val="none"/>
              </w:rPr>
            </w:pPr>
            <w:r>
              <w:rPr>
                <w:rFonts w:hint="eastAsia" w:ascii="微软雅黑" w:hAnsi="微软雅黑" w:cs="微软雅黑"/>
                <w:bCs/>
                <w:kern w:val="0"/>
                <w:szCs w:val="21"/>
                <w:highlight w:val="none"/>
              </w:rPr>
              <w:t>是（）</w:t>
            </w:r>
          </w:p>
        </w:tc>
        <w:tc>
          <w:tcPr>
            <w:tcW w:w="1613" w:type="dxa"/>
            <w:gridSpan w:val="2"/>
            <w:tcBorders>
              <w:top w:val="nil"/>
              <w:left w:val="nil"/>
              <w:bottom w:val="single" w:color="auto" w:sz="4" w:space="0"/>
              <w:right w:val="single" w:color="auto" w:sz="4" w:space="0"/>
            </w:tcBorders>
            <w:noWrap w:val="0"/>
            <w:vAlign w:val="center"/>
          </w:tcPr>
          <w:p>
            <w:pPr>
              <w:widowControl/>
              <w:spacing w:line="440" w:lineRule="exact"/>
              <w:jc w:val="center"/>
              <w:rPr>
                <w:rFonts w:hint="eastAsia" w:ascii="微软雅黑" w:hAnsi="微软雅黑" w:cs="微软雅黑"/>
                <w:bCs/>
                <w:kern w:val="0"/>
                <w:szCs w:val="21"/>
                <w:highlight w:val="none"/>
              </w:rPr>
            </w:pPr>
            <w:r>
              <w:rPr>
                <w:rFonts w:hint="eastAsia" w:ascii="微软雅黑" w:hAnsi="微软雅黑" w:cs="微软雅黑"/>
                <w:bCs/>
                <w:kern w:val="0"/>
                <w:szCs w:val="21"/>
                <w:highlight w:val="none"/>
              </w:rPr>
              <w:t>否（）</w:t>
            </w:r>
          </w:p>
        </w:tc>
      </w:tr>
      <w:tr>
        <w:tblPrEx>
          <w:tblCellMar>
            <w:top w:w="0" w:type="dxa"/>
            <w:left w:w="108" w:type="dxa"/>
            <w:bottom w:w="0" w:type="dxa"/>
            <w:right w:w="108" w:type="dxa"/>
          </w:tblCellMar>
        </w:tblPrEx>
        <w:trPr>
          <w:trHeight w:val="608" w:hRule="atLeast"/>
        </w:trPr>
        <w:tc>
          <w:tcPr>
            <w:tcW w:w="5416" w:type="dxa"/>
            <w:gridSpan w:val="2"/>
            <w:tcBorders>
              <w:top w:val="nil"/>
              <w:left w:val="single" w:color="auto" w:sz="4" w:space="0"/>
              <w:bottom w:val="single" w:color="auto" w:sz="4" w:space="0"/>
              <w:right w:val="single" w:color="auto" w:sz="4" w:space="0"/>
            </w:tcBorders>
            <w:noWrap w:val="0"/>
            <w:vAlign w:val="center"/>
          </w:tcPr>
          <w:p>
            <w:pPr>
              <w:widowControl/>
              <w:spacing w:line="440" w:lineRule="exact"/>
              <w:jc w:val="left"/>
              <w:rPr>
                <w:rFonts w:hint="eastAsia" w:ascii="微软雅黑" w:hAnsi="微软雅黑" w:cs="微软雅黑"/>
                <w:bCs/>
                <w:kern w:val="0"/>
                <w:szCs w:val="21"/>
                <w:highlight w:val="none"/>
              </w:rPr>
            </w:pPr>
            <w:r>
              <w:rPr>
                <w:rFonts w:hint="eastAsia" w:ascii="微软雅黑" w:hAnsi="微软雅黑" w:cs="微软雅黑"/>
                <w:bCs/>
                <w:kern w:val="0"/>
                <w:szCs w:val="21"/>
                <w:highlight w:val="none"/>
              </w:rPr>
              <w:t>平均满意率</w:t>
            </w:r>
          </w:p>
        </w:tc>
        <w:tc>
          <w:tcPr>
            <w:tcW w:w="3173" w:type="dxa"/>
            <w:gridSpan w:val="4"/>
            <w:tcBorders>
              <w:top w:val="nil"/>
              <w:left w:val="nil"/>
              <w:bottom w:val="single" w:color="auto" w:sz="4" w:space="0"/>
              <w:right w:val="single" w:color="auto" w:sz="4" w:space="0"/>
            </w:tcBorders>
            <w:noWrap w:val="0"/>
            <w:vAlign w:val="center"/>
          </w:tcPr>
          <w:p>
            <w:pPr>
              <w:widowControl/>
              <w:spacing w:line="440" w:lineRule="exact"/>
              <w:jc w:val="center"/>
              <w:rPr>
                <w:rFonts w:hint="eastAsia" w:ascii="微软雅黑" w:hAnsi="微软雅黑" w:cs="微软雅黑"/>
                <w:bCs/>
                <w:kern w:val="0"/>
                <w:szCs w:val="21"/>
                <w:highlight w:val="none"/>
              </w:rPr>
            </w:pPr>
          </w:p>
        </w:tc>
      </w:tr>
    </w:tbl>
    <w:p>
      <w:pPr>
        <w:rPr>
          <w:rFonts w:hint="eastAsia" w:ascii="宋体" w:hAnsi="宋体" w:cs="宋体"/>
          <w:bCs/>
          <w:kern w:val="0"/>
          <w:szCs w:val="21"/>
          <w:highlight w:val="none"/>
        </w:rPr>
      </w:pPr>
      <w:r>
        <w:rPr>
          <w:rFonts w:hint="eastAsia" w:ascii="宋体" w:hAnsi="宋体" w:cs="宋体"/>
          <w:bCs/>
          <w:kern w:val="0"/>
          <w:szCs w:val="21"/>
          <w:highlight w:val="none"/>
        </w:rPr>
        <w:t>考核办法：</w:t>
      </w:r>
    </w:p>
    <w:p>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宋体" w:hAnsi="宋体" w:eastAsia="宋体" w:cs="Times New Roman"/>
          <w:color w:val="000000"/>
          <w:szCs w:val="21"/>
          <w:highlight w:val="none"/>
        </w:rPr>
      </w:pPr>
      <w:r>
        <w:rPr>
          <w:rFonts w:hint="eastAsia" w:ascii="宋体" w:hAnsi="宋体" w:cs="宋体"/>
          <w:bCs/>
          <w:kern w:val="0"/>
          <w:szCs w:val="21"/>
          <w:highlight w:val="none"/>
          <w:lang w:eastAsia="zh-CN"/>
        </w:rPr>
        <w:t>院</w:t>
      </w:r>
      <w:r>
        <w:rPr>
          <w:rFonts w:hint="eastAsia" w:ascii="宋体" w:hAnsi="宋体" w:cs="宋体"/>
          <w:bCs/>
          <w:kern w:val="0"/>
          <w:szCs w:val="21"/>
          <w:highlight w:val="none"/>
        </w:rPr>
        <w:t>方每月按周由专人对洗涤的质量及服务采取满意度调查等方式进行考</w:t>
      </w:r>
      <w:r>
        <w:rPr>
          <w:rFonts w:hint="eastAsia" w:ascii="宋体" w:hAnsi="宋体" w:cs="宋体"/>
          <w:bCs/>
          <w:kern w:val="0"/>
          <w:szCs w:val="21"/>
          <w:highlight w:val="none"/>
          <w:lang w:eastAsia="zh-CN"/>
        </w:rPr>
        <w:t>查</w:t>
      </w:r>
      <w:r>
        <w:rPr>
          <w:rFonts w:hint="eastAsia" w:ascii="宋体" w:hAnsi="宋体" w:cs="宋体"/>
          <w:bCs/>
          <w:kern w:val="0"/>
          <w:szCs w:val="21"/>
          <w:highlight w:val="none"/>
        </w:rPr>
        <w:t>，</w:t>
      </w:r>
      <w:r>
        <w:rPr>
          <w:rFonts w:hint="eastAsia" w:ascii="宋体" w:hAnsi="宋体" w:eastAsia="宋体" w:cs="Times New Roman"/>
          <w:color w:val="000000"/>
          <w:szCs w:val="21"/>
          <w:highlight w:val="none"/>
        </w:rPr>
        <w:t>月度考核结果</w:t>
      </w:r>
      <w:r>
        <w:rPr>
          <w:rFonts w:hint="eastAsia" w:ascii="宋体" w:hAnsi="宋体" w:eastAsia="宋体" w:cs="Times New Roman"/>
          <w:color w:val="000000"/>
          <w:szCs w:val="21"/>
          <w:highlight w:val="none"/>
          <w:lang w:eastAsia="zh-CN"/>
        </w:rPr>
        <w:t>综合满意度测评结果及日常行为规范性考量</w:t>
      </w:r>
      <w:r>
        <w:rPr>
          <w:rFonts w:hint="eastAsia" w:ascii="宋体" w:hAnsi="宋体" w:eastAsia="宋体" w:cs="Times New Roman"/>
          <w:color w:val="000000"/>
          <w:szCs w:val="21"/>
          <w:highlight w:val="none"/>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cs="宋体"/>
          <w:bCs/>
          <w:kern w:val="0"/>
          <w:szCs w:val="21"/>
          <w:highlight w:val="none"/>
        </w:rPr>
      </w:pPr>
      <w:r>
        <w:rPr>
          <w:rFonts w:hint="eastAsia" w:ascii="宋体" w:hAnsi="宋体" w:cs="宋体"/>
          <w:bCs/>
          <w:kern w:val="0"/>
          <w:szCs w:val="21"/>
          <w:highlight w:val="none"/>
        </w:rPr>
        <w:t>1.月考核总分低于95分，甲方扣罚乙方当月服务费总额1%；</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cs="宋体"/>
          <w:bCs/>
          <w:color w:val="1F497D"/>
          <w:kern w:val="0"/>
          <w:szCs w:val="21"/>
          <w:highlight w:val="none"/>
        </w:rPr>
      </w:pPr>
      <w:r>
        <w:rPr>
          <w:rFonts w:hint="eastAsia" w:ascii="宋体" w:hAnsi="宋体" w:cs="宋体"/>
          <w:bCs/>
          <w:kern w:val="0"/>
          <w:szCs w:val="21"/>
          <w:highlight w:val="none"/>
        </w:rPr>
        <w:t>2.连续2个月（包括2个月以上）月度考核总分低于95分，扣罚当月服务费2%；</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cs="宋体"/>
          <w:bCs/>
          <w:color w:val="1F497D"/>
          <w:kern w:val="0"/>
          <w:szCs w:val="21"/>
          <w:highlight w:val="none"/>
        </w:rPr>
      </w:pPr>
      <w:r>
        <w:rPr>
          <w:rFonts w:hint="eastAsia" w:ascii="宋体" w:hAnsi="宋体" w:cs="宋体"/>
          <w:bCs/>
          <w:kern w:val="0"/>
          <w:szCs w:val="21"/>
          <w:highlight w:val="none"/>
        </w:rPr>
        <w:t>3.月度考核总分在85分以下，甲方有权拒付当月服务费。</w:t>
      </w:r>
      <w:r>
        <w:rPr>
          <w:rFonts w:hint="eastAsia" w:ascii="宋体" w:hAnsi="宋体" w:cs="宋体"/>
          <w:bCs/>
          <w:kern w:val="0"/>
          <w:szCs w:val="21"/>
          <w:highlight w:val="none"/>
          <w:lang w:eastAsia="zh"/>
        </w:rPr>
        <w:t>连续</w:t>
      </w:r>
      <w:r>
        <w:rPr>
          <w:rFonts w:hint="eastAsia" w:ascii="宋体" w:hAnsi="宋体" w:cs="宋体"/>
          <w:bCs/>
          <w:kern w:val="0"/>
          <w:szCs w:val="21"/>
          <w:highlight w:val="none"/>
        </w:rPr>
        <w:t>两个月考核总分在85分以下，甲方有权终止承包合同。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cs="宋体"/>
          <w:bCs/>
          <w:color w:val="FF0000"/>
          <w:kern w:val="0"/>
          <w:szCs w:val="21"/>
          <w:highlight w:val="none"/>
        </w:rPr>
      </w:pPr>
      <w:r>
        <w:rPr>
          <w:rFonts w:hint="eastAsia" w:ascii="宋体" w:hAnsi="宋体" w:cs="宋体"/>
          <w:bCs/>
          <w:kern w:val="0"/>
          <w:szCs w:val="21"/>
          <w:highlight w:val="none"/>
        </w:rPr>
        <w:t>4.当月投诉至甲方项目负责人</w:t>
      </w:r>
      <w:r>
        <w:rPr>
          <w:rFonts w:hint="eastAsia" w:ascii="宋体" w:hAnsi="宋体" w:cs="宋体"/>
          <w:bCs/>
          <w:kern w:val="0"/>
          <w:szCs w:val="21"/>
          <w:highlight w:val="none"/>
          <w:lang w:eastAsia="zh-CN"/>
        </w:rPr>
        <w:t>或院部</w:t>
      </w:r>
      <w:r>
        <w:rPr>
          <w:rFonts w:hint="eastAsia" w:ascii="宋体" w:hAnsi="宋体" w:cs="宋体"/>
          <w:bCs/>
          <w:kern w:val="0"/>
          <w:szCs w:val="21"/>
          <w:highlight w:val="none"/>
        </w:rPr>
        <w:t>超过2次，甲方扣罚当月服务费1000元；</w:t>
      </w:r>
      <w:r>
        <w:rPr>
          <w:rFonts w:hint="eastAsia" w:ascii="宋体" w:hAnsi="宋体" w:cs="宋体"/>
          <w:bCs/>
          <w:kern w:val="0"/>
          <w:szCs w:val="21"/>
          <w:highlight w:val="none"/>
          <w:lang w:eastAsia="zh"/>
        </w:rPr>
        <w:t>此后每增加一次投诉加扣当月服务费500元。</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cs="宋体"/>
          <w:szCs w:val="21"/>
          <w:highlight w:val="none"/>
          <w:lang w:eastAsia="zh"/>
        </w:rPr>
      </w:pPr>
      <w:r>
        <w:rPr>
          <w:rFonts w:hint="eastAsia" w:ascii="宋体" w:hAnsi="宋体" w:cs="宋体"/>
          <w:szCs w:val="21"/>
          <w:highlight w:val="none"/>
        </w:rPr>
        <w:t>5.当月退洗及退换超过5次</w:t>
      </w:r>
      <w:r>
        <w:rPr>
          <w:rFonts w:hint="eastAsia" w:ascii="宋体" w:hAnsi="宋体" w:cs="宋体"/>
          <w:szCs w:val="21"/>
          <w:highlight w:val="none"/>
          <w:lang w:eastAsia="zh-CN"/>
        </w:rPr>
        <w:t>（含</w:t>
      </w:r>
      <w:r>
        <w:rPr>
          <w:rFonts w:hint="eastAsia" w:ascii="宋体" w:hAnsi="宋体" w:cs="宋体"/>
          <w:szCs w:val="21"/>
          <w:highlight w:val="none"/>
          <w:lang w:val="en-US" w:eastAsia="zh-CN"/>
        </w:rPr>
        <w:t>5次</w:t>
      </w:r>
      <w:r>
        <w:rPr>
          <w:rFonts w:hint="eastAsia" w:ascii="宋体" w:hAnsi="宋体" w:cs="宋体"/>
          <w:szCs w:val="21"/>
          <w:highlight w:val="none"/>
          <w:lang w:eastAsia="zh-CN"/>
        </w:rPr>
        <w:t>）</w:t>
      </w:r>
      <w:r>
        <w:rPr>
          <w:rFonts w:hint="eastAsia" w:ascii="宋体" w:hAnsi="宋体" w:cs="宋体"/>
          <w:szCs w:val="21"/>
          <w:highlight w:val="none"/>
        </w:rPr>
        <w:t>，扣罚当月服务费500元。</w:t>
      </w:r>
      <w:r>
        <w:rPr>
          <w:rFonts w:hint="eastAsia" w:ascii="宋体" w:hAnsi="宋体" w:cs="宋体"/>
          <w:szCs w:val="21"/>
          <w:highlight w:val="none"/>
          <w:lang w:eastAsia="zh"/>
        </w:rPr>
        <w:t>此后每增加一次退洗及退换扣当月服务费50元。</w:t>
      </w:r>
    </w:p>
    <w:p>
      <w:pPr>
        <w:pStyle w:val="24"/>
        <w:keepNext w:val="0"/>
        <w:keepLines w:val="0"/>
        <w:pageBreakBefore w:val="0"/>
        <w:widowControl w:val="0"/>
        <w:kinsoku/>
        <w:wordWrap/>
        <w:overflowPunct/>
        <w:topLinePunct w:val="0"/>
        <w:autoSpaceDE/>
        <w:autoSpaceDN/>
        <w:bidi w:val="0"/>
        <w:adjustRightInd/>
        <w:snapToGrid w:val="0"/>
        <w:ind w:left="0" w:leftChars="0" w:firstLine="420" w:firstLineChars="0"/>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6.每发现质量不合格一次，扣罚违约金2000元。</w:t>
      </w:r>
    </w:p>
    <w:p>
      <w:pPr>
        <w:pStyle w:val="24"/>
        <w:ind w:left="0" w:leftChars="0" w:firstLine="420" w:firstLineChars="200"/>
        <w:jc w:val="left"/>
        <w:rPr>
          <w:rFonts w:hint="eastAsia" w:ascii="宋体" w:hAnsi="宋体" w:eastAsia="宋体" w:cs="宋体"/>
          <w:strike w:val="0"/>
          <w:color w:val="auto"/>
          <w:sz w:val="21"/>
          <w:szCs w:val="21"/>
          <w:highlight w:val="none"/>
        </w:rPr>
      </w:pPr>
      <w:r>
        <w:rPr>
          <w:rFonts w:hint="eastAsia" w:ascii="宋体" w:hAnsi="宋体" w:eastAsia="宋体" w:cs="宋体"/>
          <w:color w:val="000000"/>
          <w:szCs w:val="22"/>
          <w:highlight w:val="none"/>
          <w:lang w:val="en-US" w:eastAsia="zh-CN"/>
        </w:rPr>
        <w:t>7.每逾期交付一次，扣罚违约金2000元。</w:t>
      </w:r>
      <w:bookmarkEnd w:id="50"/>
      <w:bookmarkEnd w:id="51"/>
    </w:p>
    <w:bookmarkEnd w:id="52"/>
    <w:p>
      <w:pPr>
        <w:pStyle w:val="20"/>
        <w:spacing w:line="360" w:lineRule="auto"/>
        <w:jc w:val="left"/>
        <w:rPr>
          <w:rFonts w:ascii="宋体" w:hAnsi="宋体" w:eastAsia="宋体" w:cs="宋体"/>
          <w:strike w:val="0"/>
          <w:sz w:val="21"/>
          <w:szCs w:val="21"/>
          <w:highlight w:val="none"/>
        </w:rPr>
      </w:pPr>
      <w:r>
        <w:rPr>
          <w:rFonts w:hint="eastAsia" w:ascii="宋体" w:hAnsi="宋体" w:eastAsia="宋体" w:cs="宋体"/>
          <w:strike w:val="0"/>
          <w:sz w:val="21"/>
          <w:szCs w:val="21"/>
          <w:highlight w:val="none"/>
        </w:rPr>
        <w:t>五、投标报价要求</w:t>
      </w:r>
    </w:p>
    <w:p>
      <w:pPr>
        <w:ind w:firstLine="420" w:firstLineChars="200"/>
        <w:rPr>
          <w:rFonts w:ascii="宋体" w:hAnsi="宋体" w:cs="宋体"/>
          <w:strike w:val="0"/>
          <w:highlight w:val="none"/>
        </w:rPr>
      </w:pPr>
      <w:r>
        <w:rPr>
          <w:rFonts w:hint="eastAsia" w:ascii="宋体" w:hAnsi="宋体" w:cs="宋体"/>
          <w:strike w:val="0"/>
          <w:szCs w:val="21"/>
          <w:highlight w:val="none"/>
        </w:rPr>
        <w:t>所有投标响应均以</w:t>
      </w:r>
      <w:r>
        <w:rPr>
          <w:rFonts w:hint="eastAsia" w:ascii="宋体" w:hAnsi="宋体" w:cs="宋体"/>
          <w:bCs/>
          <w:strike w:val="0"/>
          <w:szCs w:val="21"/>
          <w:highlight w:val="none"/>
        </w:rPr>
        <w:t>人民币</w:t>
      </w:r>
      <w:r>
        <w:rPr>
          <w:rFonts w:hint="eastAsia" w:ascii="宋体" w:hAnsi="宋体" w:cs="宋体"/>
          <w:strike w:val="0"/>
          <w:szCs w:val="21"/>
          <w:highlight w:val="none"/>
        </w:rPr>
        <w:t>报价。</w:t>
      </w:r>
      <w:r>
        <w:rPr>
          <w:rFonts w:hint="eastAsia" w:ascii="宋体" w:hAnsi="宋体" w:cs="宋体"/>
          <w:strike w:val="0"/>
          <w:szCs w:val="21"/>
          <w:highlight w:val="none"/>
          <w:lang w:val="en-US" w:eastAsia="zh-CN"/>
        </w:rPr>
        <w:t>本项目为固定单价，</w:t>
      </w:r>
      <w:r>
        <w:rPr>
          <w:rFonts w:hint="eastAsia" w:ascii="宋体" w:hAnsi="宋体" w:cs="宋体"/>
          <w:strike w:val="0"/>
          <w:szCs w:val="21"/>
          <w:highlight w:val="none"/>
        </w:rPr>
        <w:t>该报价为到江苏大学附属医院现场的全部费用，含相关</w:t>
      </w:r>
      <w:r>
        <w:rPr>
          <w:rFonts w:hint="eastAsia" w:ascii="宋体" w:hAnsi="宋体" w:cs="宋体"/>
          <w:strike w:val="0"/>
          <w:szCs w:val="21"/>
          <w:highlight w:val="none"/>
          <w:lang w:val="en-US" w:eastAsia="zh-CN"/>
        </w:rPr>
        <w:t>人工费、</w:t>
      </w:r>
      <w:r>
        <w:rPr>
          <w:rFonts w:hint="eastAsia" w:ascii="宋体" w:hAnsi="宋体" w:cs="宋体"/>
          <w:strike w:val="0"/>
          <w:szCs w:val="21"/>
          <w:highlight w:val="none"/>
        </w:rPr>
        <w:t>税费，运输费及相关服务费等一切可能发生的费用。</w:t>
      </w:r>
      <w:bookmarkEnd w:id="47"/>
      <w:bookmarkStart w:id="61" w:name="_Toc12584"/>
      <w:bookmarkStart w:id="62" w:name="_Toc9251"/>
      <w:bookmarkStart w:id="63" w:name="_Toc228"/>
    </w:p>
    <w:p>
      <w:pPr>
        <w:rPr>
          <w:rFonts w:ascii="宋体" w:hAnsi="宋体" w:cs="宋体"/>
          <w:strike w:val="0"/>
          <w:highlight w:val="none"/>
        </w:rPr>
      </w:pPr>
      <w:r>
        <w:rPr>
          <w:rFonts w:hint="eastAsia" w:ascii="宋体" w:hAnsi="宋体" w:cs="宋体"/>
          <w:strike w:val="0"/>
          <w:highlight w:val="none"/>
        </w:rPr>
        <w:br w:type="page"/>
      </w:r>
    </w:p>
    <w:p>
      <w:pPr>
        <w:pStyle w:val="3"/>
        <w:numPr>
          <w:ilvl w:val="0"/>
          <w:numId w:val="0"/>
        </w:numPr>
        <w:spacing w:before="0" w:after="0"/>
        <w:rPr>
          <w:rFonts w:ascii="宋体" w:hAnsi="宋体" w:cs="宋体"/>
          <w:strike w:val="0"/>
          <w:highlight w:val="none"/>
        </w:rPr>
      </w:pPr>
      <w:bookmarkStart w:id="64" w:name="_Toc5371"/>
      <w:bookmarkStart w:id="65" w:name="_Toc10973"/>
      <w:bookmarkStart w:id="66" w:name="_Toc2438"/>
      <w:bookmarkStart w:id="67" w:name="_Toc14369"/>
      <w:bookmarkStart w:id="68" w:name="_Toc31098"/>
      <w:r>
        <w:rPr>
          <w:rFonts w:hint="eastAsia" w:ascii="宋体" w:hAnsi="宋体" w:cs="宋体"/>
          <w:strike w:val="0"/>
          <w:highlight w:val="none"/>
        </w:rPr>
        <w:t xml:space="preserve">第五章 </w:t>
      </w:r>
      <w:bookmarkEnd w:id="61"/>
      <w:bookmarkEnd w:id="62"/>
      <w:bookmarkEnd w:id="63"/>
      <w:r>
        <w:rPr>
          <w:rFonts w:hint="eastAsia" w:ascii="宋体" w:hAnsi="宋体" w:cs="宋体"/>
          <w:strike w:val="0"/>
          <w:highlight w:val="none"/>
        </w:rPr>
        <w:t>拟签订合同的主要条款</w:t>
      </w:r>
      <w:bookmarkEnd w:id="64"/>
      <w:bookmarkEnd w:id="65"/>
      <w:bookmarkEnd w:id="66"/>
      <w:bookmarkEnd w:id="67"/>
      <w:bookmarkEnd w:id="68"/>
    </w:p>
    <w:p>
      <w:pPr>
        <w:spacing w:line="440" w:lineRule="exact"/>
        <w:jc w:val="center"/>
        <w:textAlignment w:val="baseline"/>
        <w:rPr>
          <w:rFonts w:ascii="宋体" w:hAnsi="宋体" w:cs="宋体"/>
          <w:b/>
          <w:color w:val="000000"/>
          <w:sz w:val="30"/>
          <w:szCs w:val="30"/>
          <w:highlight w:val="none"/>
        </w:rPr>
      </w:pPr>
      <w:bookmarkStart w:id="69" w:name="_Toc25661"/>
      <w:r>
        <w:rPr>
          <w:rFonts w:hint="eastAsia" w:ascii="Calibri" w:hAnsi="Calibri"/>
          <w:b/>
          <w:sz w:val="44"/>
          <w:szCs w:val="44"/>
          <w:highlight w:val="none"/>
        </w:rPr>
        <w:t xml:space="preserve"> </w:t>
      </w:r>
      <w:r>
        <w:rPr>
          <w:rFonts w:hint="eastAsia" w:ascii="宋体" w:hAnsi="宋体" w:cs="宋体"/>
          <w:b/>
          <w:color w:val="000000"/>
          <w:sz w:val="30"/>
          <w:szCs w:val="30"/>
          <w:highlight w:val="none"/>
        </w:rPr>
        <w:t>洗涤服务合同</w:t>
      </w:r>
    </w:p>
    <w:p>
      <w:pPr>
        <w:snapToGrid w:val="0"/>
        <w:spacing w:line="440" w:lineRule="exact"/>
        <w:jc w:val="center"/>
        <w:textAlignment w:val="baseline"/>
        <w:rPr>
          <w:rFonts w:ascii="宋体" w:hAnsi="宋体" w:cs="宋体"/>
          <w:color w:val="000000"/>
          <w:sz w:val="20"/>
          <w:szCs w:val="21"/>
          <w:highlight w:val="none"/>
        </w:rPr>
      </w:pPr>
    </w:p>
    <w:p>
      <w:pPr>
        <w:snapToGrid w:val="0"/>
        <w:spacing w:line="360" w:lineRule="auto"/>
        <w:textAlignment w:val="baseline"/>
        <w:rPr>
          <w:rFonts w:ascii="宋体" w:hAnsi="宋体" w:cs="宋体"/>
          <w:color w:val="000000"/>
          <w:sz w:val="20"/>
          <w:szCs w:val="21"/>
          <w:highlight w:val="none"/>
          <w:u w:val="single"/>
        </w:rPr>
      </w:pPr>
      <w:r>
        <w:rPr>
          <w:rFonts w:hint="eastAsia" w:ascii="宋体" w:hAnsi="宋体" w:cs="宋体"/>
          <w:color w:val="000000"/>
          <w:szCs w:val="21"/>
          <w:highlight w:val="none"/>
        </w:rPr>
        <w:t>甲方(采购单位)：                  签订地点：</w:t>
      </w:r>
    </w:p>
    <w:p>
      <w:pPr>
        <w:snapToGrid w:val="0"/>
        <w:spacing w:line="360" w:lineRule="auto"/>
        <w:textAlignment w:val="baseline"/>
        <w:rPr>
          <w:rFonts w:ascii="宋体" w:hAnsi="宋体" w:cs="宋体"/>
          <w:color w:val="000000"/>
          <w:szCs w:val="21"/>
          <w:highlight w:val="none"/>
        </w:rPr>
      </w:pPr>
      <w:r>
        <w:rPr>
          <w:rFonts w:hint="eastAsia" w:ascii="宋体" w:hAnsi="宋体" w:cs="宋体"/>
          <w:color w:val="000000"/>
          <w:szCs w:val="21"/>
          <w:highlight w:val="none"/>
        </w:rPr>
        <w:t xml:space="preserve">乙方（供应商）： </w:t>
      </w:r>
    </w:p>
    <w:p>
      <w:pP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住所地：</w:t>
      </w:r>
      <w:r>
        <w:rPr>
          <w:rFonts w:ascii="宋体" w:hAnsi="宋体" w:eastAsia="宋体" w:cs="宋体"/>
          <w:color w:val="000000"/>
          <w:sz w:val="21"/>
          <w:szCs w:val="21"/>
          <w:highlight w:val="none"/>
        </w:rPr>
        <w:t xml:space="preserve">                        ，联系电话：             </w:t>
      </w:r>
    </w:p>
    <w:p>
      <w:pPr>
        <w:pStyle w:val="48"/>
        <w:spacing w:after="0" w:line="360" w:lineRule="auto"/>
        <w:ind w:left="0" w:leftChars="0" w:firstLine="0" w:firstLineChars="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法定代表人</w:t>
      </w: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，职务</w:t>
      </w: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w:t>
      </w:r>
    </w:p>
    <w:p>
      <w:pPr>
        <w:rPr>
          <w:highlight w:val="none"/>
        </w:rPr>
      </w:pPr>
    </w:p>
    <w:p>
      <w:pPr>
        <w:numPr>
          <w:ilvl w:val="0"/>
          <w:numId w:val="5"/>
        </w:numPr>
        <w:spacing w:line="440" w:lineRule="exact"/>
        <w:textAlignment w:val="baseline"/>
        <w:rPr>
          <w:rFonts w:ascii="宋体" w:hAnsi="宋体" w:cs="宋体"/>
          <w:color w:val="000000"/>
          <w:sz w:val="20"/>
          <w:szCs w:val="21"/>
          <w:highlight w:val="none"/>
        </w:rPr>
      </w:pPr>
      <w:r>
        <w:rPr>
          <w:rFonts w:hint="eastAsia" w:ascii="宋体" w:hAnsi="宋体" w:cs="宋体"/>
          <w:color w:val="000000"/>
          <w:szCs w:val="21"/>
          <w:highlight w:val="none"/>
        </w:rPr>
        <w:t>甲乙双方依据</w:t>
      </w:r>
      <w:r>
        <w:rPr>
          <w:rFonts w:hint="eastAsia" w:ascii="宋体" w:hAnsi="宋体" w:cs="宋体"/>
          <w:color w:val="000000"/>
          <w:szCs w:val="21"/>
          <w:highlight w:val="none"/>
          <w:u w:val="single" w:color="000000"/>
        </w:rPr>
        <w:t xml:space="preserve">      </w:t>
      </w:r>
      <w:r>
        <w:rPr>
          <w:rFonts w:hint="eastAsia" w:ascii="宋体" w:hAnsi="宋体" w:cs="宋体"/>
          <w:color w:val="000000"/>
          <w:szCs w:val="21"/>
          <w:highlight w:val="none"/>
        </w:rPr>
        <w:t>中标文件及《中华人民共和国</w:t>
      </w:r>
      <w:r>
        <w:rPr>
          <w:rFonts w:hint="eastAsia" w:ascii="宋体" w:hAnsi="宋体" w:cs="宋体"/>
          <w:color w:val="000000"/>
          <w:highlight w:val="none"/>
        </w:rPr>
        <w:t>民法典</w:t>
      </w:r>
      <w:r>
        <w:rPr>
          <w:rFonts w:hint="eastAsia" w:ascii="宋体" w:hAnsi="宋体" w:cs="宋体"/>
          <w:color w:val="000000"/>
          <w:szCs w:val="21"/>
          <w:highlight w:val="none"/>
        </w:rPr>
        <w:t>》就甲方有关院内各类医用布草及手术敷料的洗涤、高温消毒、清点交接、运输、以及与此相关的洗涤服务项目，协商一致并达成本协议。</w:t>
      </w:r>
    </w:p>
    <w:p>
      <w:pPr>
        <w:snapToGrid w:val="0"/>
        <w:spacing w:beforeLines="0" w:afterLines="0" w:line="360" w:lineRule="auto"/>
        <w:jc w:val="left"/>
        <w:textAlignment w:val="baseline"/>
        <w:rPr>
          <w:rFonts w:ascii="宋体" w:hAnsi="宋体" w:cs="宋体"/>
          <w:color w:val="000000"/>
          <w:sz w:val="20"/>
          <w:szCs w:val="21"/>
          <w:highlight w:val="none"/>
        </w:rPr>
      </w:pPr>
      <w:r>
        <w:rPr>
          <w:rFonts w:hint="eastAsia" w:ascii="宋体" w:hAnsi="宋体" w:cs="宋体"/>
          <w:color w:val="000000"/>
          <w:szCs w:val="21"/>
          <w:highlight w:val="none"/>
        </w:rPr>
        <w:t>二、合同文件：</w:t>
      </w:r>
    </w:p>
    <w:p>
      <w:pPr>
        <w:snapToGrid w:val="0"/>
        <w:spacing w:beforeLines="0" w:afterLines="0" w:line="360" w:lineRule="auto"/>
        <w:ind w:firstLine="420" w:firstLineChars="200"/>
        <w:jc w:val="left"/>
        <w:textAlignment w:val="baseline"/>
        <w:rPr>
          <w:rFonts w:ascii="宋体" w:hAnsi="宋体" w:cs="宋体"/>
          <w:color w:val="000000"/>
          <w:sz w:val="20"/>
          <w:szCs w:val="21"/>
          <w:highlight w:val="none"/>
        </w:rPr>
      </w:pPr>
      <w:r>
        <w:rPr>
          <w:rFonts w:hint="eastAsia" w:ascii="宋体" w:hAnsi="宋体" w:cs="宋体"/>
          <w:color w:val="000000"/>
          <w:szCs w:val="21"/>
          <w:highlight w:val="none"/>
        </w:rPr>
        <w:t>下列采购文件是构成本合同不可分割的部分。</w:t>
      </w:r>
    </w:p>
    <w:p>
      <w:pPr>
        <w:snapToGrid w:val="0"/>
        <w:spacing w:beforeLines="0" w:afterLines="0" w:line="360" w:lineRule="auto"/>
        <w:ind w:firstLine="420" w:firstLineChars="200"/>
        <w:jc w:val="left"/>
        <w:textAlignment w:val="baseline"/>
        <w:rPr>
          <w:rFonts w:ascii="宋体" w:hAnsi="宋体" w:cs="宋体"/>
          <w:color w:val="000000"/>
          <w:sz w:val="20"/>
          <w:szCs w:val="21"/>
          <w:highlight w:val="none"/>
        </w:rPr>
      </w:pPr>
      <w:r>
        <w:rPr>
          <w:rFonts w:hint="eastAsia" w:ascii="宋体" w:hAnsi="宋体" w:cs="宋体"/>
          <w:color w:val="000000"/>
          <w:szCs w:val="21"/>
          <w:highlight w:val="none"/>
        </w:rPr>
        <w:t>1</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采购文件（含补充公告）及相关说明；</w:t>
      </w:r>
    </w:p>
    <w:p>
      <w:pPr>
        <w:snapToGrid w:val="0"/>
        <w:spacing w:beforeLines="0" w:afterLines="0" w:line="360" w:lineRule="auto"/>
        <w:ind w:firstLine="420" w:firstLineChars="200"/>
        <w:jc w:val="left"/>
        <w:textAlignment w:val="baseline"/>
        <w:rPr>
          <w:rFonts w:ascii="宋体" w:hAnsi="宋体" w:cs="宋体"/>
          <w:color w:val="000000"/>
          <w:sz w:val="20"/>
          <w:szCs w:val="21"/>
          <w:highlight w:val="none"/>
        </w:rPr>
      </w:pPr>
      <w:r>
        <w:rPr>
          <w:rFonts w:hint="eastAsia" w:ascii="宋体" w:hAnsi="宋体" w:cs="宋体"/>
          <w:color w:val="000000"/>
          <w:szCs w:val="21"/>
          <w:highlight w:val="none"/>
        </w:rPr>
        <w:t>2</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乙方提交的投标文件；</w:t>
      </w:r>
    </w:p>
    <w:p>
      <w:pPr>
        <w:snapToGrid w:val="0"/>
        <w:spacing w:beforeLines="0" w:afterLines="0" w:line="360" w:lineRule="auto"/>
        <w:ind w:firstLine="420" w:firstLineChars="200"/>
        <w:jc w:val="left"/>
        <w:textAlignment w:val="baseline"/>
        <w:rPr>
          <w:rFonts w:ascii="宋体" w:hAnsi="宋体" w:cs="宋体"/>
          <w:color w:val="000000"/>
          <w:sz w:val="20"/>
          <w:szCs w:val="21"/>
          <w:highlight w:val="none"/>
        </w:rPr>
      </w:pPr>
      <w:r>
        <w:rPr>
          <w:rFonts w:hint="eastAsia" w:ascii="宋体" w:hAnsi="宋体" w:cs="宋体"/>
          <w:color w:val="000000"/>
          <w:szCs w:val="21"/>
          <w:highlight w:val="none"/>
        </w:rPr>
        <w:t>3</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乙方除投标文件外的其他资料、说明及承诺等。</w:t>
      </w:r>
    </w:p>
    <w:p>
      <w:pPr>
        <w:snapToGrid w:val="0"/>
        <w:spacing w:beforeLines="0" w:afterLines="0" w:line="360" w:lineRule="auto"/>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三、价格与支付：</w:t>
      </w:r>
    </w:p>
    <w:p>
      <w:pPr>
        <w:snapToGrid w:val="0"/>
        <w:spacing w:beforeLines="0" w:afterLines="0" w:line="360" w:lineRule="auto"/>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1、中标价为人民币</w:t>
      </w:r>
      <w:r>
        <w:rPr>
          <w:rFonts w:hint="eastAsia" w:ascii="宋体" w:hAnsi="宋体" w:cs="宋体"/>
          <w:bCs/>
          <w:color w:val="000000"/>
          <w:kern w:val="0"/>
          <w:szCs w:val="21"/>
          <w:highlight w:val="none"/>
          <w:u w:val="single" w:color="000000"/>
        </w:rPr>
        <w:t xml:space="preserve">      </w:t>
      </w:r>
      <w:r>
        <w:rPr>
          <w:rFonts w:hint="eastAsia" w:ascii="宋体" w:hAnsi="宋体" w:cs="宋体"/>
          <w:bCs/>
          <w:color w:val="000000"/>
          <w:kern w:val="0"/>
          <w:szCs w:val="21"/>
          <w:highlight w:val="none"/>
        </w:rPr>
        <w:t>元/年（参考价，按单价及月洗涤数量结算），包括完成本项目可能发生的所有费用（各类临床布草及手术敷料洗涤、高温消毒、清点交接、运输、缝补的服务费、管理费、完成洗涤服务所需的材料费、机械费、运输费，各项人员费用、税金、利润等）。乙方不得以任何借口或理由，要求甲方增加任何项目单价及额外费用。</w:t>
      </w:r>
    </w:p>
    <w:p>
      <w:pPr>
        <w:snapToGrid w:val="0"/>
        <w:spacing w:beforeLines="0" w:afterLines="0" w:line="360" w:lineRule="auto"/>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2、结算方式：</w:t>
      </w:r>
    </w:p>
    <w:p>
      <w:pPr>
        <w:widowControl/>
        <w:autoSpaceDE w:val="0"/>
        <w:autoSpaceDN w:val="0"/>
        <w:adjustRightInd w:val="0"/>
        <w:snapToGrid w:val="0"/>
        <w:spacing w:before="0" w:beforeLines="0" w:after="0" w:afterLines="0" w:line="360" w:lineRule="auto"/>
        <w:ind w:firstLine="420" w:firstLineChars="200"/>
        <w:jc w:val="left"/>
        <w:rPr>
          <w:rFonts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lang w:val="en-US" w:eastAsia="zh-CN"/>
        </w:rPr>
        <w:t>1）</w:t>
      </w:r>
      <w:r>
        <w:rPr>
          <w:rFonts w:hint="eastAsia" w:ascii="宋体" w:hAnsi="宋体" w:cs="宋体"/>
          <w:color w:val="000000"/>
          <w:szCs w:val="21"/>
          <w:highlight w:val="none"/>
        </w:rPr>
        <w:t>乙方</w:t>
      </w:r>
      <w:r>
        <w:rPr>
          <w:rFonts w:hint="eastAsia" w:ascii="宋体" w:hAnsi="宋体" w:cs="宋体"/>
          <w:szCs w:val="21"/>
          <w:highlight w:val="none"/>
        </w:rPr>
        <w:t>完成当月工作，经</w:t>
      </w:r>
      <w:r>
        <w:rPr>
          <w:rFonts w:hint="eastAsia" w:ascii="宋体" w:hAnsi="宋体" w:cs="宋体"/>
          <w:color w:val="000000"/>
          <w:szCs w:val="21"/>
          <w:highlight w:val="none"/>
        </w:rPr>
        <w:t>甲方</w:t>
      </w:r>
      <w:r>
        <w:rPr>
          <w:rFonts w:hint="eastAsia" w:ascii="宋体" w:hAnsi="宋体" w:cs="宋体"/>
          <w:szCs w:val="21"/>
          <w:highlight w:val="none"/>
        </w:rPr>
        <w:t>考评合格后，在次月支付费用，当然，乙方应提前10个工作日向甲方提供对应金额的正式票据，且无任何存量违约行为。</w:t>
      </w:r>
    </w:p>
    <w:p>
      <w:pPr>
        <w:snapToGrid w:val="0"/>
        <w:spacing w:beforeLines="0" w:afterLines="0" w:line="360" w:lineRule="auto"/>
        <w:ind w:firstLine="420" w:firstLineChars="200"/>
        <w:jc w:val="left"/>
        <w:textAlignment w:val="baseline"/>
        <w:rPr>
          <w:rFonts w:ascii="宋体" w:hAnsi="宋体" w:cs="宋体"/>
          <w:color w:val="000000"/>
          <w:szCs w:val="21"/>
          <w:highlight w:val="none"/>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2）</w:t>
      </w:r>
      <w:r>
        <w:rPr>
          <w:rFonts w:hint="eastAsia" w:ascii="宋体" w:hAnsi="宋体" w:cs="宋体"/>
          <w:color w:val="000000"/>
          <w:szCs w:val="21"/>
          <w:highlight w:val="none"/>
        </w:rPr>
        <w:t>服务期内，经甲乙双方协商，每月月末为截止日，双方按交接单对账，核对无误后打印结算表经双方签字确认，乙方每月按实际洗涤件数乘以中标价格进行结算，并开出发票，甲方结合月度考核实际情况进入审批流程结付。</w:t>
      </w:r>
    </w:p>
    <w:p>
      <w:pPr>
        <w:pStyle w:val="48"/>
        <w:snapToGrid w:val="0"/>
        <w:spacing w:beforeLines="0" w:after="0" w:afterLines="0" w:line="360" w:lineRule="auto"/>
        <w:ind w:left="0" w:leftChars="0" w:firstLine="420" w:firstLineChars="200"/>
        <w:jc w:val="left"/>
        <w:textAlignment w:val="baseline"/>
        <w:rPr>
          <w:rFonts w:ascii="宋体" w:hAnsi="宋体" w:cs="宋体"/>
          <w:bCs/>
          <w:color w:val="000000"/>
          <w:kern w:val="0"/>
          <w:sz w:val="20"/>
          <w:szCs w:val="21"/>
          <w:highlight w:val="none"/>
        </w:rPr>
      </w:pPr>
      <w:r>
        <w:rPr>
          <w:rFonts w:hint="eastAsia"/>
          <w:highlight w:val="none"/>
        </w:rPr>
        <w:t>（3）甲</w:t>
      </w:r>
      <w:r>
        <w:rPr>
          <w:rFonts w:hint="eastAsia" w:ascii="宋体" w:hAnsi="宋体" w:cs="宋体"/>
          <w:bCs/>
          <w:kern w:val="0"/>
          <w:szCs w:val="21"/>
          <w:highlight w:val="none"/>
        </w:rPr>
        <w:t>方由专人对洗涤的质量及服务采取满意度调查等方式进行考查，</w:t>
      </w:r>
      <w:r>
        <w:rPr>
          <w:rFonts w:hint="eastAsia" w:ascii="宋体" w:hAnsi="宋体"/>
          <w:color w:val="000000"/>
          <w:szCs w:val="21"/>
          <w:highlight w:val="none"/>
        </w:rPr>
        <w:t>月度考核结果综合满意度测评结果及日常行为规范性考量。</w:t>
      </w:r>
      <w:r>
        <w:rPr>
          <w:rFonts w:hint="eastAsia"/>
          <w:highlight w:val="none"/>
        </w:rPr>
        <w:t>经甲方考核合格超过95分（不包括95分），乙方才可申请支付款项的100%。</w:t>
      </w:r>
      <w:r>
        <w:rPr>
          <w:rFonts w:hint="eastAsia" w:ascii="宋体" w:hAnsi="宋体" w:cs="宋体"/>
          <w:bCs/>
          <w:kern w:val="0"/>
          <w:szCs w:val="21"/>
          <w:highlight w:val="none"/>
        </w:rPr>
        <w:t>月考核总分低于95分，甲方扣罚乙方当月服务费总额1%，连续2个月（包括2个月以上）月度考核总分低于95分，扣罚当月服务费2%</w:t>
      </w:r>
      <w:r>
        <w:rPr>
          <w:rFonts w:hint="eastAsia"/>
          <w:highlight w:val="none"/>
        </w:rPr>
        <w:t>。</w:t>
      </w:r>
      <w:r>
        <w:rPr>
          <w:rFonts w:hint="eastAsia" w:ascii="宋体" w:hAnsi="宋体" w:cs="宋体"/>
          <w:bCs/>
          <w:kern w:val="0"/>
          <w:szCs w:val="21"/>
          <w:highlight w:val="none"/>
        </w:rPr>
        <w:t>月度考核总分在85分以下，甲方有权拒付当月服务费，连续两个月考核总分在85分以下，甲方有权终止承包合同</w:t>
      </w:r>
      <w:r>
        <w:rPr>
          <w:rFonts w:hint="eastAsia"/>
          <w:highlight w:val="none"/>
        </w:rPr>
        <w:t>且按如下 A 种方式：A：无需向乙方支付任何款项。B：按</w:t>
      </w:r>
      <w:r>
        <w:rPr>
          <w:rFonts w:hint="eastAsia"/>
          <w:highlight w:val="none"/>
          <w:u w:val="single"/>
        </w:rPr>
        <w:t xml:space="preserve">                                  </w:t>
      </w:r>
      <w:r>
        <w:rPr>
          <w:rFonts w:hint="eastAsia"/>
          <w:highlight w:val="none"/>
        </w:rPr>
        <w:t xml:space="preserve"> 向乙方支付款项。</w:t>
      </w:r>
    </w:p>
    <w:p>
      <w:pPr>
        <w:snapToGrid w:val="0"/>
        <w:spacing w:line="440" w:lineRule="exact"/>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 xml:space="preserve"> 四、项目验收</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1、乙方应按照采购文件和投标文件的有关规定提供合格服务；</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2、服务质量出现问题，乙方负责立刻全面纠正，直至达到甲方的要求；</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3、服务的验收包括：项目内容范围内的全部服务内容；</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4、验收标准根据有关规定及技术要求，直至验收通过为准；</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5、乙方交付验收时应先用书面、电传等方式通告甲方，由甲方组织相关人员进行验收。</w:t>
      </w:r>
    </w:p>
    <w:p>
      <w:pPr>
        <w:snapToGrid w:val="0"/>
        <w:spacing w:line="440" w:lineRule="exact"/>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五、甲、乙双方权利义务</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1、甲方权利义务</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lang w:eastAsia="zh-CN"/>
        </w:rPr>
        <w:t>（</w:t>
      </w:r>
      <w:r>
        <w:rPr>
          <w:rFonts w:hint="eastAsia" w:ascii="宋体" w:hAnsi="宋体" w:cs="宋体"/>
          <w:bCs/>
          <w:color w:val="000000"/>
          <w:kern w:val="0"/>
          <w:szCs w:val="21"/>
          <w:highlight w:val="none"/>
          <w:lang w:val="en-US" w:eastAsia="zh-CN"/>
        </w:rPr>
        <w:t>1）</w:t>
      </w:r>
      <w:r>
        <w:rPr>
          <w:rFonts w:hint="eastAsia" w:ascii="宋体" w:hAnsi="宋体" w:cs="宋体"/>
          <w:bCs/>
          <w:color w:val="000000"/>
          <w:kern w:val="0"/>
          <w:szCs w:val="21"/>
          <w:highlight w:val="none"/>
        </w:rPr>
        <w:t>甲方审定乙方拟定的管理制度，并根据实际情况提出合理化修改意见，乙方应予遵守，但并不因此减轻或弱化乙方在本合同项下的义务和责任。</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lang w:eastAsia="zh-CN"/>
        </w:rPr>
        <w:t>（</w:t>
      </w:r>
      <w:r>
        <w:rPr>
          <w:rFonts w:hint="eastAsia" w:ascii="宋体" w:hAnsi="宋体" w:cs="宋体"/>
          <w:bCs/>
          <w:color w:val="000000"/>
          <w:kern w:val="0"/>
          <w:szCs w:val="21"/>
          <w:highlight w:val="none"/>
          <w:lang w:val="en-US" w:eastAsia="zh-CN"/>
        </w:rPr>
        <w:t>2）</w:t>
      </w:r>
      <w:r>
        <w:rPr>
          <w:rFonts w:hint="eastAsia" w:ascii="宋体" w:hAnsi="宋体" w:cs="宋体"/>
          <w:bCs/>
          <w:color w:val="000000"/>
          <w:kern w:val="0"/>
          <w:szCs w:val="21"/>
          <w:highlight w:val="none"/>
        </w:rPr>
        <w:t>甲方检查监督乙方管理工作的实施及制度的执行情况。</w:t>
      </w:r>
    </w:p>
    <w:p>
      <w:pPr>
        <w:snapToGrid w:val="0"/>
        <w:spacing w:line="440" w:lineRule="exact"/>
        <w:ind w:firstLine="420" w:firstLineChars="200"/>
        <w:jc w:val="left"/>
        <w:textAlignment w:val="baseline"/>
        <w:rPr>
          <w:rFonts w:ascii="宋体" w:hAnsi="宋体" w:cs="宋体"/>
          <w:bCs/>
          <w:color w:val="000000" w:themeColor="text1"/>
          <w:kern w:val="0"/>
          <w:sz w:val="20"/>
          <w:szCs w:val="21"/>
          <w:highlight w:val="none"/>
          <w14:textFill>
            <w14:solidFill>
              <w14:schemeClr w14:val="tx1"/>
            </w14:solidFill>
          </w14:textFill>
        </w:rPr>
      </w:pPr>
      <w:r>
        <w:rPr>
          <w:rFonts w:hint="eastAsia" w:ascii="宋体" w:hAnsi="宋体" w:cs="宋体"/>
          <w:bCs/>
          <w:color w:val="000000" w:themeColor="text1"/>
          <w:kern w:val="0"/>
          <w:szCs w:val="21"/>
          <w:highlight w:val="none"/>
          <w:lang w:eastAsia="zh-CN"/>
          <w14:textFill>
            <w14:solidFill>
              <w14:schemeClr w14:val="tx1"/>
            </w14:solidFill>
          </w14:textFill>
        </w:rPr>
        <w:t>（</w:t>
      </w:r>
      <w:r>
        <w:rPr>
          <w:rFonts w:hint="eastAsia" w:ascii="宋体" w:hAnsi="宋体" w:cs="宋体"/>
          <w:bCs/>
          <w:color w:val="000000" w:themeColor="text1"/>
          <w:kern w:val="0"/>
          <w:szCs w:val="21"/>
          <w:highlight w:val="none"/>
          <w:lang w:val="en-US" w:eastAsia="zh-CN"/>
          <w14:textFill>
            <w14:solidFill>
              <w14:schemeClr w14:val="tx1"/>
            </w14:solidFill>
          </w14:textFill>
        </w:rPr>
        <w:t>3）</w:t>
      </w:r>
      <w:r>
        <w:rPr>
          <w:rFonts w:hint="eastAsia" w:ascii="宋体" w:hAnsi="宋体" w:cs="宋体"/>
          <w:bCs/>
          <w:color w:val="000000" w:themeColor="text1"/>
          <w:kern w:val="0"/>
          <w:szCs w:val="21"/>
          <w:highlight w:val="none"/>
          <w14:textFill>
            <w14:solidFill>
              <w14:schemeClr w14:val="tx1"/>
            </w14:solidFill>
          </w14:textFill>
        </w:rPr>
        <w:t>甲方监督乙方作好洗涤服务管理工作，指定专人作为甲方联系人予以协调工作，加强与乙方沟通，交流情况，互通信息。</w:t>
      </w:r>
    </w:p>
    <w:p>
      <w:pPr>
        <w:snapToGrid w:val="0"/>
        <w:spacing w:line="440" w:lineRule="exact"/>
        <w:ind w:firstLine="420" w:firstLineChars="200"/>
        <w:jc w:val="left"/>
        <w:textAlignment w:val="baseline"/>
        <w:rPr>
          <w:rFonts w:ascii="宋体" w:hAnsi="宋体" w:cs="宋体"/>
          <w:bCs/>
          <w:color w:val="000000" w:themeColor="text1"/>
          <w:kern w:val="0"/>
          <w:sz w:val="20"/>
          <w:szCs w:val="21"/>
          <w:highlight w:val="none"/>
          <w14:textFill>
            <w14:solidFill>
              <w14:schemeClr w14:val="tx1"/>
            </w14:solidFill>
          </w14:textFill>
        </w:rPr>
      </w:pPr>
      <w:r>
        <w:rPr>
          <w:rFonts w:hint="eastAsia" w:ascii="宋体" w:hAnsi="宋体" w:cs="宋体"/>
          <w:bCs/>
          <w:color w:val="000000" w:themeColor="text1"/>
          <w:kern w:val="0"/>
          <w:szCs w:val="21"/>
          <w:highlight w:val="none"/>
          <w:lang w:eastAsia="zh-CN"/>
          <w14:textFill>
            <w14:solidFill>
              <w14:schemeClr w14:val="tx1"/>
            </w14:solidFill>
          </w14:textFill>
        </w:rPr>
        <w:t>（</w:t>
      </w:r>
      <w:r>
        <w:rPr>
          <w:rFonts w:hint="eastAsia" w:ascii="宋体" w:hAnsi="宋体" w:cs="宋体"/>
          <w:bCs/>
          <w:color w:val="000000" w:themeColor="text1"/>
          <w:kern w:val="0"/>
          <w:szCs w:val="21"/>
          <w:highlight w:val="none"/>
          <w:lang w:val="en-US" w:eastAsia="zh-CN"/>
          <w14:textFill>
            <w14:solidFill>
              <w14:schemeClr w14:val="tx1"/>
            </w14:solidFill>
          </w14:textFill>
        </w:rPr>
        <w:t>4）</w:t>
      </w:r>
      <w:r>
        <w:rPr>
          <w:rFonts w:hint="eastAsia" w:ascii="宋体" w:hAnsi="宋体" w:cs="宋体"/>
          <w:bCs/>
          <w:color w:val="000000" w:themeColor="text1"/>
          <w:kern w:val="0"/>
          <w:szCs w:val="21"/>
          <w:highlight w:val="none"/>
          <w14:textFill>
            <w14:solidFill>
              <w14:schemeClr w14:val="tx1"/>
            </w14:solidFill>
          </w14:textFill>
        </w:rPr>
        <w:t>甲方对乙方管理实施监督检查。有权要求乙方对违反服务承诺的事项进行限期整改；有权对乙方不称职的人员提出撤换的要求。因乙方违约，给甲方造成经济损失或出现管理失误，甲方有权要求乙方承担全部赔偿责任。</w:t>
      </w:r>
    </w:p>
    <w:p>
      <w:pPr>
        <w:snapToGrid w:val="0"/>
        <w:spacing w:line="440" w:lineRule="exact"/>
        <w:ind w:firstLine="420" w:firstLineChars="200"/>
        <w:jc w:val="left"/>
        <w:textAlignment w:val="baseline"/>
        <w:rPr>
          <w:rFonts w:ascii="宋体" w:hAnsi="宋体" w:cs="宋体"/>
          <w:bCs/>
          <w:color w:val="000000" w:themeColor="text1"/>
          <w:kern w:val="0"/>
          <w:sz w:val="20"/>
          <w:szCs w:val="21"/>
          <w:highlight w:val="none"/>
          <w14:textFill>
            <w14:solidFill>
              <w14:schemeClr w14:val="tx1"/>
            </w14:solidFill>
          </w14:textFill>
        </w:rPr>
      </w:pPr>
      <w:r>
        <w:rPr>
          <w:rFonts w:hint="eastAsia" w:ascii="宋体" w:hAnsi="宋体" w:cs="宋体"/>
          <w:bCs/>
          <w:color w:val="000000" w:themeColor="text1"/>
          <w:kern w:val="0"/>
          <w:szCs w:val="21"/>
          <w:highlight w:val="none"/>
          <w:lang w:eastAsia="zh-CN"/>
          <w14:textFill>
            <w14:solidFill>
              <w14:schemeClr w14:val="tx1"/>
            </w14:solidFill>
          </w14:textFill>
        </w:rPr>
        <w:t>（</w:t>
      </w:r>
      <w:r>
        <w:rPr>
          <w:rFonts w:hint="eastAsia" w:ascii="宋体" w:hAnsi="宋体" w:cs="宋体"/>
          <w:bCs/>
          <w:color w:val="000000" w:themeColor="text1"/>
          <w:kern w:val="0"/>
          <w:szCs w:val="21"/>
          <w:highlight w:val="none"/>
          <w:lang w:val="en-US" w:eastAsia="zh-CN"/>
          <w14:textFill>
            <w14:solidFill>
              <w14:schemeClr w14:val="tx1"/>
            </w14:solidFill>
          </w14:textFill>
        </w:rPr>
        <w:t>5）</w:t>
      </w:r>
      <w:r>
        <w:rPr>
          <w:rFonts w:hint="eastAsia" w:ascii="宋体" w:hAnsi="宋体" w:cs="宋体"/>
          <w:bCs/>
          <w:color w:val="000000" w:themeColor="text1"/>
          <w:kern w:val="0"/>
          <w:szCs w:val="21"/>
          <w:highlight w:val="none"/>
          <w14:textFill>
            <w14:solidFill>
              <w14:schemeClr w14:val="tx1"/>
            </w14:solidFill>
          </w14:textFill>
        </w:rPr>
        <w:t>甲方有权要求乙方按双方约定的洗涤服务标准提供相关报告等材料。</w:t>
      </w:r>
    </w:p>
    <w:p>
      <w:pPr>
        <w:snapToGrid w:val="0"/>
        <w:spacing w:line="440" w:lineRule="exact"/>
        <w:ind w:firstLine="420" w:firstLineChars="200"/>
        <w:jc w:val="left"/>
        <w:textAlignment w:val="baseline"/>
        <w:rPr>
          <w:rFonts w:ascii="宋体" w:hAnsi="宋体" w:cs="宋体"/>
          <w:bCs/>
          <w:color w:val="000000" w:themeColor="text1"/>
          <w:kern w:val="0"/>
          <w:sz w:val="20"/>
          <w:szCs w:val="21"/>
          <w:highlight w:val="none"/>
          <w14:textFill>
            <w14:solidFill>
              <w14:schemeClr w14:val="tx1"/>
            </w14:solidFill>
          </w14:textFill>
        </w:rPr>
      </w:pPr>
      <w:r>
        <w:rPr>
          <w:rFonts w:hint="eastAsia" w:ascii="宋体" w:hAnsi="宋体" w:cs="宋体"/>
          <w:bCs/>
          <w:color w:val="000000" w:themeColor="text1"/>
          <w:kern w:val="0"/>
          <w:szCs w:val="21"/>
          <w:highlight w:val="none"/>
          <w:lang w:eastAsia="zh-CN"/>
          <w14:textFill>
            <w14:solidFill>
              <w14:schemeClr w14:val="tx1"/>
            </w14:solidFill>
          </w14:textFill>
        </w:rPr>
        <w:t>（</w:t>
      </w:r>
      <w:r>
        <w:rPr>
          <w:rFonts w:hint="eastAsia" w:ascii="宋体" w:hAnsi="宋体" w:cs="宋体"/>
          <w:bCs/>
          <w:color w:val="000000" w:themeColor="text1"/>
          <w:kern w:val="0"/>
          <w:szCs w:val="21"/>
          <w:highlight w:val="none"/>
          <w:lang w:val="en-US" w:eastAsia="zh-CN"/>
          <w14:textFill>
            <w14:solidFill>
              <w14:schemeClr w14:val="tx1"/>
            </w14:solidFill>
          </w14:textFill>
        </w:rPr>
        <w:t>6）</w:t>
      </w:r>
      <w:r>
        <w:rPr>
          <w:rFonts w:hint="eastAsia" w:ascii="宋体" w:hAnsi="宋体" w:cs="宋体"/>
          <w:bCs/>
          <w:color w:val="000000" w:themeColor="text1"/>
          <w:kern w:val="0"/>
          <w:szCs w:val="21"/>
          <w:highlight w:val="none"/>
          <w14:textFill>
            <w14:solidFill>
              <w14:schemeClr w14:val="tx1"/>
            </w14:solidFill>
          </w14:textFill>
        </w:rPr>
        <w:t>甲方有权对乙方服务工作质量进行监督检查和考核考评，对达不到采购文件的服务要求和标准的项目，有权按本合同有关奖惩条款进行处罚，并提出限时整改意见。详见附件1。</w:t>
      </w:r>
    </w:p>
    <w:p>
      <w:pPr>
        <w:snapToGrid w:val="0"/>
        <w:spacing w:line="440" w:lineRule="exact"/>
        <w:ind w:firstLine="420" w:firstLineChars="200"/>
        <w:jc w:val="left"/>
        <w:textAlignment w:val="baseline"/>
        <w:rPr>
          <w:rFonts w:ascii="宋体" w:hAnsi="宋体" w:cs="宋体"/>
          <w:bCs/>
          <w:color w:val="000000" w:themeColor="text1"/>
          <w:kern w:val="0"/>
          <w:sz w:val="20"/>
          <w:szCs w:val="21"/>
          <w:highlight w:val="none"/>
          <w14:textFill>
            <w14:solidFill>
              <w14:schemeClr w14:val="tx1"/>
            </w14:solidFill>
          </w14:textFill>
        </w:rPr>
      </w:pPr>
      <w:r>
        <w:rPr>
          <w:rFonts w:hint="eastAsia" w:ascii="宋体" w:hAnsi="宋体" w:cs="宋体"/>
          <w:bCs/>
          <w:color w:val="000000" w:themeColor="text1"/>
          <w:kern w:val="0"/>
          <w:szCs w:val="21"/>
          <w:highlight w:val="none"/>
          <w:lang w:eastAsia="zh-CN"/>
          <w14:textFill>
            <w14:solidFill>
              <w14:schemeClr w14:val="tx1"/>
            </w14:solidFill>
          </w14:textFill>
        </w:rPr>
        <w:t>（</w:t>
      </w:r>
      <w:r>
        <w:rPr>
          <w:rFonts w:hint="eastAsia" w:ascii="宋体" w:hAnsi="宋体" w:cs="宋体"/>
          <w:bCs/>
          <w:color w:val="000000" w:themeColor="text1"/>
          <w:kern w:val="0"/>
          <w:szCs w:val="21"/>
          <w:highlight w:val="none"/>
          <w:lang w:val="en-US" w:eastAsia="zh-CN"/>
          <w14:textFill>
            <w14:solidFill>
              <w14:schemeClr w14:val="tx1"/>
            </w14:solidFill>
          </w14:textFill>
        </w:rPr>
        <w:t>7）</w:t>
      </w:r>
      <w:r>
        <w:rPr>
          <w:rFonts w:hint="eastAsia" w:ascii="宋体" w:hAnsi="宋体" w:cs="宋体"/>
          <w:bCs/>
          <w:color w:val="000000" w:themeColor="text1"/>
          <w:kern w:val="0"/>
          <w:szCs w:val="21"/>
          <w:highlight w:val="none"/>
          <w14:textFill>
            <w14:solidFill>
              <w14:schemeClr w14:val="tx1"/>
            </w14:solidFill>
          </w14:textFill>
        </w:rPr>
        <w:t>甲方负责提供本委托项目工作人员的办公用房及仓库，产权归甲方所有，并免费提供所需的合理用水、合理用电。</w:t>
      </w:r>
    </w:p>
    <w:p>
      <w:pPr>
        <w:snapToGrid w:val="0"/>
        <w:spacing w:line="440" w:lineRule="exact"/>
        <w:ind w:firstLine="420" w:firstLineChars="200"/>
        <w:jc w:val="left"/>
        <w:textAlignment w:val="baseline"/>
        <w:rPr>
          <w:rFonts w:ascii="宋体" w:hAnsi="宋体" w:cs="宋体"/>
          <w:bCs/>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lang w:eastAsia="zh-CN"/>
          <w14:textFill>
            <w14:solidFill>
              <w14:schemeClr w14:val="tx1"/>
            </w14:solidFill>
          </w14:textFill>
        </w:rPr>
        <w:t>（</w:t>
      </w:r>
      <w:r>
        <w:rPr>
          <w:rFonts w:hint="eastAsia" w:ascii="宋体" w:hAnsi="宋体" w:cs="宋体"/>
          <w:bCs/>
          <w:color w:val="000000" w:themeColor="text1"/>
          <w:kern w:val="0"/>
          <w:szCs w:val="21"/>
          <w:highlight w:val="none"/>
          <w:lang w:val="en-US" w:eastAsia="zh-CN"/>
          <w14:textFill>
            <w14:solidFill>
              <w14:schemeClr w14:val="tx1"/>
            </w14:solidFill>
          </w14:textFill>
        </w:rPr>
        <w:t>8）</w:t>
      </w:r>
      <w:r>
        <w:rPr>
          <w:rFonts w:hint="eastAsia" w:ascii="宋体" w:hAnsi="宋体" w:cs="宋体"/>
          <w:bCs/>
          <w:color w:val="000000" w:themeColor="text1"/>
          <w:kern w:val="0"/>
          <w:szCs w:val="21"/>
          <w:highlight w:val="none"/>
          <w14:textFill>
            <w14:solidFill>
              <w14:schemeClr w14:val="tx1"/>
            </w14:solidFill>
          </w14:textFill>
        </w:rPr>
        <w:t>甲方应保证送洗被服的完好，如布草因使用过久无法修复，由甲方负责及时报废和替换。</w:t>
      </w:r>
    </w:p>
    <w:p>
      <w:pPr>
        <w:snapToGrid w:val="0"/>
        <w:spacing w:line="440" w:lineRule="exact"/>
        <w:ind w:firstLine="420" w:firstLineChars="200"/>
        <w:jc w:val="left"/>
        <w:textAlignment w:val="baseline"/>
        <w:rPr>
          <w:rFonts w:ascii="宋体" w:hAnsi="宋体" w:cs="宋体"/>
          <w:bCs/>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lang w:eastAsia="zh-CN"/>
          <w14:textFill>
            <w14:solidFill>
              <w14:schemeClr w14:val="tx1"/>
            </w14:solidFill>
          </w14:textFill>
        </w:rPr>
        <w:t>（</w:t>
      </w:r>
      <w:r>
        <w:rPr>
          <w:rFonts w:hint="eastAsia" w:ascii="宋体" w:hAnsi="宋体" w:cs="宋体"/>
          <w:bCs/>
          <w:color w:val="000000" w:themeColor="text1"/>
          <w:kern w:val="0"/>
          <w:szCs w:val="21"/>
          <w:highlight w:val="none"/>
          <w:lang w:val="en-US" w:eastAsia="zh-CN"/>
          <w14:textFill>
            <w14:solidFill>
              <w14:schemeClr w14:val="tx1"/>
            </w14:solidFill>
          </w14:textFill>
        </w:rPr>
        <w:t>9）</w:t>
      </w:r>
      <w:r>
        <w:rPr>
          <w:rFonts w:hint="eastAsia" w:ascii="宋体" w:hAnsi="宋体" w:cs="宋体"/>
          <w:bCs/>
          <w:color w:val="000000" w:themeColor="text1"/>
          <w:kern w:val="0"/>
          <w:szCs w:val="21"/>
          <w:highlight w:val="none"/>
          <w14:textFill>
            <w14:solidFill>
              <w14:schemeClr w14:val="tx1"/>
            </w14:solidFill>
          </w14:textFill>
        </w:rPr>
        <w:t>向乙方提供本院各科室应洗的物品。</w:t>
      </w:r>
    </w:p>
    <w:p>
      <w:pPr>
        <w:snapToGrid w:val="0"/>
        <w:spacing w:line="440" w:lineRule="exact"/>
        <w:ind w:firstLine="420" w:firstLineChars="200"/>
        <w:jc w:val="left"/>
        <w:textAlignment w:val="baseline"/>
        <w:rPr>
          <w:rFonts w:ascii="宋体" w:hAnsi="宋体" w:cs="宋体"/>
          <w:bCs/>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lang w:eastAsia="zh-CN"/>
          <w14:textFill>
            <w14:solidFill>
              <w14:schemeClr w14:val="tx1"/>
            </w14:solidFill>
          </w14:textFill>
        </w:rPr>
        <w:t>（</w:t>
      </w:r>
      <w:r>
        <w:rPr>
          <w:rFonts w:hint="eastAsia" w:ascii="宋体" w:hAnsi="宋体" w:cs="宋体"/>
          <w:bCs/>
          <w:color w:val="000000" w:themeColor="text1"/>
          <w:kern w:val="0"/>
          <w:szCs w:val="21"/>
          <w:highlight w:val="none"/>
          <w:lang w:val="en-US" w:eastAsia="zh-CN"/>
          <w14:textFill>
            <w14:solidFill>
              <w14:schemeClr w14:val="tx1"/>
            </w14:solidFill>
          </w14:textFill>
        </w:rPr>
        <w:t>10）</w:t>
      </w:r>
      <w:r>
        <w:rPr>
          <w:rFonts w:hint="eastAsia" w:ascii="宋体" w:hAnsi="宋体" w:cs="宋体"/>
          <w:bCs/>
          <w:color w:val="000000" w:themeColor="text1"/>
          <w:kern w:val="0"/>
          <w:szCs w:val="21"/>
          <w:highlight w:val="none"/>
          <w14:textFill>
            <w14:solidFill>
              <w14:schemeClr w14:val="tx1"/>
            </w14:solidFill>
          </w14:textFill>
        </w:rPr>
        <w:t>甲方如有传染性洗涤物，必须单独处理后密封交与乙方，交付时告知乙方，乙方按照规范流程和要求进行洗涤。</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themeColor="text1"/>
          <w:kern w:val="0"/>
          <w:szCs w:val="21"/>
          <w:highlight w:val="none"/>
          <w:lang w:eastAsia="zh-CN"/>
          <w14:textFill>
            <w14:solidFill>
              <w14:schemeClr w14:val="tx1"/>
            </w14:solidFill>
          </w14:textFill>
        </w:rPr>
        <w:t>（</w:t>
      </w:r>
      <w:r>
        <w:rPr>
          <w:rFonts w:hint="eastAsia" w:ascii="宋体" w:hAnsi="宋体" w:cs="宋体"/>
          <w:bCs/>
          <w:color w:val="000000" w:themeColor="text1"/>
          <w:kern w:val="0"/>
          <w:szCs w:val="21"/>
          <w:highlight w:val="none"/>
          <w:lang w:val="en-US" w:eastAsia="zh-CN"/>
          <w14:textFill>
            <w14:solidFill>
              <w14:schemeClr w14:val="tx1"/>
            </w14:solidFill>
          </w14:textFill>
        </w:rPr>
        <w:t>11）</w:t>
      </w:r>
      <w:r>
        <w:rPr>
          <w:rFonts w:hint="eastAsia" w:ascii="宋体" w:hAnsi="宋体" w:cs="宋体"/>
          <w:bCs/>
          <w:color w:val="000000" w:themeColor="text1"/>
          <w:kern w:val="0"/>
          <w:szCs w:val="21"/>
          <w:highlight w:val="none"/>
          <w14:textFill>
            <w14:solidFill>
              <w14:schemeClr w14:val="tx1"/>
            </w14:solidFill>
          </w14:textFill>
        </w:rPr>
        <w:t>甲方有权监督检查乙方的洗涤过程和洗</w:t>
      </w:r>
      <w:r>
        <w:rPr>
          <w:rFonts w:hint="eastAsia" w:ascii="宋体" w:hAnsi="宋体" w:cs="宋体"/>
          <w:bCs/>
          <w:color w:val="000000"/>
          <w:kern w:val="0"/>
          <w:szCs w:val="21"/>
          <w:highlight w:val="none"/>
        </w:rPr>
        <w:t>涤效果。</w:t>
      </w:r>
    </w:p>
    <w:p>
      <w:pPr>
        <w:snapToGrid w:val="0"/>
        <w:spacing w:line="440" w:lineRule="exact"/>
        <w:ind w:firstLine="420" w:firstLineChars="200"/>
        <w:jc w:val="left"/>
        <w:textAlignment w:val="baseline"/>
        <w:rPr>
          <w:bCs/>
          <w:highlight w:val="none"/>
        </w:rPr>
      </w:pPr>
      <w:r>
        <w:rPr>
          <w:rFonts w:hint="eastAsia"/>
          <w:bCs/>
          <w:highlight w:val="none"/>
        </w:rPr>
        <w:t>（12）乙方不遵守劳动合同法等相关规定，未依法与乙方人员签订劳动合同，未为其人员缴纳社会保险或者不按期足额向乙方人员支付劳动报酬的，甲方有权解除本合同。</w:t>
      </w:r>
    </w:p>
    <w:p>
      <w:pPr>
        <w:snapToGrid w:val="0"/>
        <w:spacing w:line="440" w:lineRule="exact"/>
        <w:ind w:firstLine="420" w:firstLineChars="200"/>
        <w:jc w:val="left"/>
        <w:textAlignment w:val="baseline"/>
        <w:rPr>
          <w:bCs/>
          <w:highlight w:val="none"/>
        </w:rPr>
      </w:pPr>
      <w:r>
        <w:rPr>
          <w:rFonts w:hint="eastAsia"/>
          <w:bCs/>
          <w:highlight w:val="none"/>
        </w:rPr>
        <w:t>（13）甲方有权督促乙方及时处理在履行本合同过程中出现的各类安全事故造成乙方人员或甲方或者第三方财产损失或者人身损害和因各类原因造成的乙方人员伤、残、病、亡等事件，甲方有权暂缓支付乙方费用直至乙方妥善处理完毕。</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kern w:val="0"/>
          <w:szCs w:val="21"/>
          <w:highlight w:val="none"/>
        </w:rPr>
        <w:t>2、乙方权利义务</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kern w:val="0"/>
          <w:szCs w:val="21"/>
          <w:highlight w:val="none"/>
          <w:lang w:eastAsia="zh-CN"/>
        </w:rPr>
        <w:t>（</w:t>
      </w:r>
      <w:r>
        <w:rPr>
          <w:rFonts w:hint="eastAsia" w:ascii="宋体" w:hAnsi="宋体" w:cs="宋体"/>
          <w:bCs/>
          <w:color w:val="000000"/>
          <w:kern w:val="0"/>
          <w:szCs w:val="21"/>
          <w:highlight w:val="none"/>
          <w:lang w:val="en-US" w:eastAsia="zh-CN"/>
        </w:rPr>
        <w:t>1）</w:t>
      </w:r>
      <w:r>
        <w:rPr>
          <w:rFonts w:hint="eastAsia" w:ascii="宋体" w:hAnsi="宋体" w:cs="宋体"/>
          <w:bCs/>
          <w:color w:val="000000"/>
          <w:kern w:val="0"/>
          <w:szCs w:val="21"/>
          <w:highlight w:val="none"/>
        </w:rPr>
        <w:t>根据有关的法律法规和甲方的意见，制定相应的洗涤管理制度和预案，并按要求进行作业；</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kern w:val="0"/>
          <w:szCs w:val="21"/>
          <w:highlight w:val="none"/>
          <w:lang w:eastAsia="zh-CN"/>
        </w:rPr>
        <w:t>（</w:t>
      </w:r>
      <w:r>
        <w:rPr>
          <w:rFonts w:hint="eastAsia" w:ascii="宋体" w:hAnsi="宋体" w:cs="宋体"/>
          <w:bCs/>
          <w:color w:val="000000"/>
          <w:kern w:val="0"/>
          <w:szCs w:val="21"/>
          <w:highlight w:val="none"/>
          <w:lang w:val="en-US" w:eastAsia="zh-CN"/>
        </w:rPr>
        <w:t>2）</w:t>
      </w:r>
      <w:r>
        <w:rPr>
          <w:rFonts w:hint="eastAsia" w:ascii="宋体" w:hAnsi="宋体" w:cs="宋体"/>
          <w:bCs/>
          <w:color w:val="000000"/>
          <w:kern w:val="0"/>
          <w:szCs w:val="21"/>
          <w:highlight w:val="none"/>
        </w:rPr>
        <w:t xml:space="preserve">按照医院被服洗涤的程序和标准，控制洗涤质量，洗涤场所符合环保疾控等相关各项要求，做好消毒布草的运输等相关各项工作； </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themeColor="text1"/>
          <w:kern w:val="0"/>
          <w:szCs w:val="21"/>
          <w:highlight w:val="none"/>
          <w:lang w:eastAsia="zh-CN"/>
          <w14:textFill>
            <w14:solidFill>
              <w14:schemeClr w14:val="tx1"/>
            </w14:solidFill>
          </w14:textFill>
        </w:rPr>
        <w:t>（</w:t>
      </w:r>
      <w:r>
        <w:rPr>
          <w:rFonts w:hint="eastAsia" w:ascii="宋体" w:hAnsi="宋体" w:cs="宋体"/>
          <w:bCs/>
          <w:color w:val="000000" w:themeColor="text1"/>
          <w:kern w:val="0"/>
          <w:szCs w:val="21"/>
          <w:highlight w:val="none"/>
          <w:lang w:val="en-US" w:eastAsia="zh-CN"/>
          <w14:textFill>
            <w14:solidFill>
              <w14:schemeClr w14:val="tx1"/>
            </w14:solidFill>
          </w14:textFill>
        </w:rPr>
        <w:t>3）</w:t>
      </w:r>
      <w:r>
        <w:rPr>
          <w:rFonts w:hint="eastAsia" w:ascii="宋体" w:hAnsi="宋体" w:cs="宋体"/>
          <w:bCs/>
          <w:color w:val="000000"/>
          <w:kern w:val="0"/>
          <w:szCs w:val="21"/>
          <w:highlight w:val="none"/>
        </w:rPr>
        <w:t>接受甲方的检查和监督，及时落实并限期完成甲方要求整改的意见；</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kern w:val="0"/>
          <w:szCs w:val="21"/>
          <w:highlight w:val="none"/>
          <w:lang w:eastAsia="zh-CN"/>
        </w:rPr>
        <w:t>（</w:t>
      </w:r>
      <w:r>
        <w:rPr>
          <w:rFonts w:hint="eastAsia" w:ascii="宋体" w:hAnsi="宋体" w:cs="宋体"/>
          <w:bCs/>
          <w:color w:val="000000"/>
          <w:kern w:val="0"/>
          <w:szCs w:val="21"/>
          <w:highlight w:val="none"/>
          <w:lang w:val="en-US" w:eastAsia="zh-CN"/>
        </w:rPr>
        <w:t>4）</w:t>
      </w:r>
      <w:r>
        <w:rPr>
          <w:rFonts w:hint="eastAsia" w:ascii="宋体" w:hAnsi="宋体" w:cs="宋体"/>
          <w:bCs/>
          <w:color w:val="000000"/>
          <w:kern w:val="0"/>
          <w:szCs w:val="21"/>
          <w:highlight w:val="none"/>
        </w:rPr>
        <w:t>乙方应根据甲方的运行情况安排充足的工作人员，制定合理的上班时间，以满足各科室的被服需求，不影响甲方的正常医疗工作。乙方派专人在甲方指定的时间及工作场所与甲方人员进行现场交接。</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kern w:val="0"/>
          <w:szCs w:val="21"/>
          <w:highlight w:val="none"/>
          <w:lang w:eastAsia="zh-CN"/>
        </w:rPr>
        <w:t>（</w:t>
      </w:r>
      <w:r>
        <w:rPr>
          <w:rFonts w:hint="eastAsia" w:ascii="宋体" w:hAnsi="宋体" w:cs="宋体"/>
          <w:bCs/>
          <w:color w:val="000000"/>
          <w:kern w:val="0"/>
          <w:szCs w:val="21"/>
          <w:highlight w:val="none"/>
          <w:lang w:val="en-US" w:eastAsia="zh-CN"/>
        </w:rPr>
        <w:t>5）</w:t>
      </w:r>
      <w:r>
        <w:rPr>
          <w:rFonts w:hint="eastAsia" w:ascii="宋体" w:hAnsi="宋体" w:cs="宋体"/>
          <w:bCs/>
          <w:color w:val="000000"/>
          <w:kern w:val="0"/>
          <w:szCs w:val="21"/>
          <w:highlight w:val="none"/>
        </w:rPr>
        <w:t>乙方选派现场管理人员具体安排、全面督导每日、每周、每月的洗涤服务工作，巡检（分自检和参与甲方联检）现场服务质量情况，及时做好工作记录，及时处理有关投诉，并做好与甲方主管负责人的日常工作联系。</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themeColor="text1"/>
          <w:kern w:val="0"/>
          <w:szCs w:val="21"/>
          <w:highlight w:val="none"/>
          <w:lang w:eastAsia="zh-CN"/>
          <w14:textFill>
            <w14:solidFill>
              <w14:schemeClr w14:val="tx1"/>
            </w14:solidFill>
          </w14:textFill>
        </w:rPr>
        <w:t>（</w:t>
      </w:r>
      <w:r>
        <w:rPr>
          <w:rFonts w:hint="eastAsia" w:ascii="宋体" w:hAnsi="宋体" w:cs="宋体"/>
          <w:bCs/>
          <w:color w:val="000000" w:themeColor="text1"/>
          <w:kern w:val="0"/>
          <w:szCs w:val="21"/>
          <w:highlight w:val="none"/>
          <w:lang w:val="en-US" w:eastAsia="zh-CN"/>
          <w14:textFill>
            <w14:solidFill>
              <w14:schemeClr w14:val="tx1"/>
            </w14:solidFill>
          </w14:textFill>
        </w:rPr>
        <w:t>6）</w:t>
      </w:r>
      <w:r>
        <w:rPr>
          <w:rFonts w:hint="eastAsia" w:ascii="宋体" w:hAnsi="宋体" w:cs="宋体"/>
          <w:bCs/>
          <w:color w:val="000000"/>
          <w:kern w:val="0"/>
          <w:szCs w:val="21"/>
          <w:highlight w:val="none"/>
        </w:rPr>
        <w:t>乙方需无条件执行和遵守甲方的规章制度和质量要求，并要求乙方员工严格遵守，保持甲方良好的环境和秩序（尤其不能在甲方提供的工作间里堆放任何垃圾和使用大功率的电器），爱护本项目财物，注意言行举止以维护甲方良好的形象，如发现有违法乱纪，并经查实确属乙方人员所为时，甲方将严肃处理有关人员；造成损失的，乙方应承担相应责任，包括甲方有权解除本合同。</w:t>
      </w:r>
    </w:p>
    <w:p>
      <w:pPr>
        <w:snapToGrid w:val="0"/>
        <w:spacing w:line="440" w:lineRule="exact"/>
        <w:ind w:firstLine="420" w:firstLineChars="200"/>
        <w:jc w:val="left"/>
        <w:textAlignment w:val="baseline"/>
        <w:rPr>
          <w:rFonts w:hint="eastAsia" w:ascii="宋体" w:hAnsi="宋体" w:cs="宋体"/>
          <w:bCs/>
          <w:color w:val="000000"/>
          <w:kern w:val="0"/>
          <w:szCs w:val="21"/>
          <w:highlight w:val="none"/>
        </w:rPr>
      </w:pPr>
      <w:r>
        <w:rPr>
          <w:rFonts w:hint="eastAsia" w:ascii="宋体" w:hAnsi="宋体" w:cs="宋体"/>
          <w:bCs/>
          <w:color w:val="000000" w:themeColor="text1"/>
          <w:kern w:val="0"/>
          <w:szCs w:val="21"/>
          <w:highlight w:val="none"/>
          <w:lang w:eastAsia="zh-CN"/>
          <w14:textFill>
            <w14:solidFill>
              <w14:schemeClr w14:val="tx1"/>
            </w14:solidFill>
          </w14:textFill>
        </w:rPr>
        <w:t>（</w:t>
      </w:r>
      <w:r>
        <w:rPr>
          <w:rFonts w:hint="eastAsia" w:ascii="宋体" w:hAnsi="宋体" w:cs="宋体"/>
          <w:bCs/>
          <w:color w:val="000000" w:themeColor="text1"/>
          <w:kern w:val="0"/>
          <w:szCs w:val="21"/>
          <w:highlight w:val="none"/>
          <w:lang w:val="en-US" w:eastAsia="zh-CN"/>
          <w14:textFill>
            <w14:solidFill>
              <w14:schemeClr w14:val="tx1"/>
            </w14:solidFill>
          </w14:textFill>
        </w:rPr>
        <w:t>7）</w:t>
      </w:r>
      <w:r>
        <w:rPr>
          <w:rFonts w:hint="eastAsia" w:ascii="宋体" w:hAnsi="宋体" w:cs="宋体"/>
          <w:bCs/>
          <w:color w:val="000000"/>
          <w:kern w:val="0"/>
          <w:szCs w:val="21"/>
          <w:highlight w:val="none"/>
        </w:rPr>
        <w:t xml:space="preserve">乙方根据有关法律、法规政策及本合同规定，制定各项管理办法、规章制度、实施细则，自主开展各项管理活动，但不得损害甲方的合法权益，也不得获取除洗涤服务费外的利益。  </w:t>
      </w:r>
      <w:r>
        <w:rPr>
          <w:rFonts w:hint="eastAsia" w:ascii="宋体" w:hAnsi="宋体" w:cs="宋体"/>
          <w:bCs/>
          <w:color w:val="000000"/>
          <w:kern w:val="0"/>
          <w:szCs w:val="21"/>
          <w:highlight w:val="none"/>
          <w:lang w:val="en-US" w:eastAsia="zh-CN"/>
        </w:rPr>
        <w:t xml:space="preserve"> </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themeColor="text1"/>
          <w:kern w:val="0"/>
          <w:szCs w:val="21"/>
          <w:highlight w:val="none"/>
          <w:lang w:eastAsia="zh-CN"/>
          <w14:textFill>
            <w14:solidFill>
              <w14:schemeClr w14:val="tx1"/>
            </w14:solidFill>
          </w14:textFill>
        </w:rPr>
        <w:t>（</w:t>
      </w:r>
      <w:r>
        <w:rPr>
          <w:rFonts w:hint="eastAsia" w:ascii="宋体" w:hAnsi="宋体" w:cs="宋体"/>
          <w:bCs/>
          <w:color w:val="000000" w:themeColor="text1"/>
          <w:kern w:val="0"/>
          <w:szCs w:val="21"/>
          <w:highlight w:val="none"/>
          <w:lang w:val="en-US" w:eastAsia="zh-CN"/>
          <w14:textFill>
            <w14:solidFill>
              <w14:schemeClr w14:val="tx1"/>
            </w14:solidFill>
          </w14:textFill>
        </w:rPr>
        <w:t>8）</w:t>
      </w:r>
      <w:r>
        <w:rPr>
          <w:rFonts w:hint="eastAsia" w:ascii="宋体" w:hAnsi="宋体" w:cs="宋体"/>
          <w:bCs/>
          <w:color w:val="000000"/>
          <w:kern w:val="0"/>
          <w:szCs w:val="21"/>
          <w:highlight w:val="none"/>
        </w:rPr>
        <w:t>乙方维护本项目各类设施、设备的完好，如因乙方员工造成甲方物品损坏、丢失或由此造成甲方损失，乙方应承担全部责任，并作相应赔偿。杜绝挪用及偷窃行为。严守有关安全作业规定。乙方在工作中所发生的一切安全事故，均由乙方承担全部责任，与甲方无关。</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themeColor="text1"/>
          <w:kern w:val="0"/>
          <w:szCs w:val="21"/>
          <w:highlight w:val="none"/>
          <w:lang w:eastAsia="zh-CN"/>
          <w14:textFill>
            <w14:solidFill>
              <w14:schemeClr w14:val="tx1"/>
            </w14:solidFill>
          </w14:textFill>
        </w:rPr>
        <w:t>（</w:t>
      </w:r>
      <w:r>
        <w:rPr>
          <w:rFonts w:hint="eastAsia" w:ascii="宋体" w:hAnsi="宋体" w:cs="宋体"/>
          <w:bCs/>
          <w:color w:val="000000" w:themeColor="text1"/>
          <w:kern w:val="0"/>
          <w:szCs w:val="21"/>
          <w:highlight w:val="none"/>
          <w:lang w:val="en-US" w:eastAsia="zh-CN"/>
          <w14:textFill>
            <w14:solidFill>
              <w14:schemeClr w14:val="tx1"/>
            </w14:solidFill>
          </w14:textFill>
        </w:rPr>
        <w:t>9）</w:t>
      </w:r>
      <w:r>
        <w:rPr>
          <w:rFonts w:hint="eastAsia" w:ascii="宋体" w:hAnsi="宋体" w:cs="宋体"/>
          <w:bCs/>
          <w:color w:val="000000"/>
          <w:kern w:val="0"/>
          <w:szCs w:val="21"/>
          <w:highlight w:val="none"/>
        </w:rPr>
        <w:t>乙方制定和执行有关应急预案，遇有紧急情况及突发事件时（如交通受阻、停水、停电、设备故障等），乙方所派工作人员有责任在最短的时间内处理好现场，并应无条件听从甲方现场工作人员调遣。</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themeColor="text1"/>
          <w:kern w:val="0"/>
          <w:szCs w:val="21"/>
          <w:highlight w:val="none"/>
          <w14:textFill>
            <w14:solidFill>
              <w14:schemeClr w14:val="tx1"/>
            </w14:solidFill>
          </w14:textFill>
        </w:rPr>
        <w:t>(10)</w:t>
      </w:r>
      <w:r>
        <w:rPr>
          <w:rFonts w:hint="eastAsia" w:ascii="宋体" w:hAnsi="宋体" w:cs="宋体"/>
          <w:bCs/>
          <w:color w:val="000000"/>
          <w:kern w:val="0"/>
          <w:szCs w:val="21"/>
          <w:highlight w:val="none"/>
        </w:rPr>
        <w:t>乙方提供本项目所需的设施必须符合国家相关规定，如因设施使用不当，对甲方或任何第三人所造成的一切损失由乙方负全部责任。</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kern w:val="0"/>
          <w:szCs w:val="21"/>
          <w:highlight w:val="none"/>
          <w:lang w:eastAsia="zh-CN"/>
        </w:rPr>
        <w:t>（</w:t>
      </w:r>
      <w:r>
        <w:rPr>
          <w:rFonts w:hint="eastAsia" w:ascii="宋体" w:hAnsi="宋体" w:cs="宋体"/>
          <w:bCs/>
          <w:color w:val="000000"/>
          <w:kern w:val="0"/>
          <w:szCs w:val="21"/>
          <w:highlight w:val="none"/>
          <w:lang w:val="en-US" w:eastAsia="zh-CN"/>
        </w:rPr>
        <w:t>11）</w:t>
      </w:r>
      <w:r>
        <w:rPr>
          <w:rFonts w:hint="eastAsia" w:ascii="宋体" w:hAnsi="宋体" w:cs="宋体"/>
          <w:bCs/>
          <w:color w:val="000000"/>
          <w:kern w:val="0"/>
          <w:szCs w:val="21"/>
          <w:highlight w:val="none"/>
        </w:rPr>
        <w:t>乙方要求协助工作或提出工作建议，甲方认为合理的，应予全力支持和配合。</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kern w:val="0"/>
          <w:szCs w:val="21"/>
          <w:highlight w:val="none"/>
          <w:lang w:eastAsia="zh-CN"/>
        </w:rPr>
        <w:t>（</w:t>
      </w:r>
      <w:r>
        <w:rPr>
          <w:rFonts w:hint="eastAsia" w:ascii="宋体" w:hAnsi="宋体" w:cs="宋体"/>
          <w:bCs/>
          <w:color w:val="000000"/>
          <w:kern w:val="0"/>
          <w:szCs w:val="21"/>
          <w:highlight w:val="none"/>
          <w:lang w:val="en-US" w:eastAsia="zh-CN"/>
        </w:rPr>
        <w:t>12）</w:t>
      </w:r>
      <w:r>
        <w:rPr>
          <w:rFonts w:hint="eastAsia" w:ascii="宋体" w:hAnsi="宋体" w:cs="宋体"/>
          <w:bCs/>
          <w:color w:val="000000"/>
          <w:kern w:val="0"/>
          <w:szCs w:val="21"/>
          <w:highlight w:val="none"/>
        </w:rPr>
        <w:t>乙方负责派驻本项目服务人员的教育、培训和管理。</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kern w:val="0"/>
          <w:szCs w:val="21"/>
          <w:highlight w:val="none"/>
          <w:lang w:eastAsia="zh-CN"/>
        </w:rPr>
        <w:t>（</w:t>
      </w:r>
      <w:r>
        <w:rPr>
          <w:rFonts w:hint="eastAsia" w:ascii="宋体" w:hAnsi="宋体" w:cs="宋体"/>
          <w:bCs/>
          <w:color w:val="000000"/>
          <w:kern w:val="0"/>
          <w:szCs w:val="21"/>
          <w:highlight w:val="none"/>
        </w:rPr>
        <w:t>13</w:t>
      </w:r>
      <w:r>
        <w:rPr>
          <w:rFonts w:hint="eastAsia" w:ascii="宋体" w:hAnsi="宋体" w:cs="宋体"/>
          <w:bCs/>
          <w:color w:val="000000"/>
          <w:kern w:val="0"/>
          <w:szCs w:val="21"/>
          <w:highlight w:val="none"/>
          <w:lang w:eastAsia="zh-CN"/>
        </w:rPr>
        <w:t>）</w:t>
      </w:r>
      <w:r>
        <w:rPr>
          <w:rFonts w:hint="eastAsia" w:ascii="宋体" w:hAnsi="宋体" w:cs="宋体"/>
          <w:bCs/>
          <w:color w:val="000000"/>
          <w:kern w:val="0"/>
          <w:szCs w:val="21"/>
          <w:highlight w:val="none"/>
        </w:rPr>
        <w:t>乙方人员必须身体健康、仪容端正、品德良好，无违法犯罪纪录。乙方人员不与甲方形成任何劳动、劳务关系；乙方有义务按照《劳动合同法》等法律法规，切实保障乙方人员的合法权益。</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kern w:val="0"/>
          <w:szCs w:val="21"/>
          <w:highlight w:val="none"/>
          <w:lang w:eastAsia="zh-CN"/>
        </w:rPr>
        <w:t>（</w:t>
      </w:r>
      <w:r>
        <w:rPr>
          <w:rFonts w:hint="eastAsia" w:ascii="宋体" w:hAnsi="宋体" w:cs="宋体"/>
          <w:bCs/>
          <w:color w:val="000000"/>
          <w:kern w:val="0"/>
          <w:szCs w:val="21"/>
          <w:highlight w:val="none"/>
        </w:rPr>
        <w:t>14</w:t>
      </w:r>
      <w:r>
        <w:rPr>
          <w:rFonts w:hint="eastAsia" w:ascii="宋体" w:hAnsi="宋体" w:cs="宋体"/>
          <w:bCs/>
          <w:color w:val="000000"/>
          <w:kern w:val="0"/>
          <w:szCs w:val="21"/>
          <w:highlight w:val="none"/>
          <w:lang w:eastAsia="zh-CN"/>
        </w:rPr>
        <w:t>）</w:t>
      </w:r>
      <w:r>
        <w:rPr>
          <w:rFonts w:hint="eastAsia" w:ascii="宋体" w:hAnsi="宋体" w:cs="宋体"/>
          <w:bCs/>
          <w:color w:val="000000"/>
          <w:kern w:val="0"/>
          <w:szCs w:val="21"/>
          <w:highlight w:val="none"/>
        </w:rPr>
        <w:t>乙方应遵循安全生产的各项规定，采取严格的安全措施，认真做好安全工作，如果发生各类安全事故造成乙方或者甲方或者第三方人身或者财产损害，所有责任（包括赔偿等民事责任、行政责任、甚至刑事责任等）均由乙方承担。如因上述安全事项，导致甲方被第三方索赔，甲方亦有权要求乙方承担或向乙方追偿，乙方同意甲方可以从应向乙方支付的费用直接扣减予以冲抵。</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kern w:val="0"/>
          <w:szCs w:val="21"/>
          <w:highlight w:val="none"/>
          <w:lang w:eastAsia="zh-CN"/>
        </w:rPr>
        <w:t>（</w:t>
      </w:r>
      <w:r>
        <w:rPr>
          <w:rFonts w:hint="eastAsia" w:ascii="宋体" w:hAnsi="宋体" w:cs="宋体"/>
          <w:bCs/>
          <w:color w:val="000000"/>
          <w:kern w:val="0"/>
          <w:szCs w:val="21"/>
          <w:highlight w:val="none"/>
        </w:rPr>
        <w:t>15</w:t>
      </w:r>
      <w:r>
        <w:rPr>
          <w:rFonts w:hint="eastAsia" w:ascii="宋体" w:hAnsi="宋体" w:cs="宋体"/>
          <w:bCs/>
          <w:color w:val="000000"/>
          <w:kern w:val="0"/>
          <w:szCs w:val="21"/>
          <w:highlight w:val="none"/>
          <w:lang w:eastAsia="zh-CN"/>
        </w:rPr>
        <w:t>）</w:t>
      </w:r>
      <w:r>
        <w:rPr>
          <w:rFonts w:hint="eastAsia" w:ascii="宋体" w:hAnsi="宋体" w:cs="宋体"/>
          <w:bCs/>
          <w:color w:val="000000"/>
          <w:kern w:val="0"/>
          <w:szCs w:val="21"/>
          <w:highlight w:val="none"/>
        </w:rPr>
        <w:t xml:space="preserve">负责及时处理在履行本合同过程中出现的各类安全事故造成甲方或者第三方财产损失或者人身损害和因各种原因造成的乙方人员伤、残、病、亡等事件，并将处理进程和结果通报甲方。 </w:t>
      </w:r>
    </w:p>
    <w:p>
      <w:pPr>
        <w:snapToGrid w:val="0"/>
        <w:spacing w:line="440" w:lineRule="exact"/>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六、服务要求</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见采购文件第四部分 采购需求。</w:t>
      </w:r>
    </w:p>
    <w:p>
      <w:pPr>
        <w:snapToGrid w:val="0"/>
        <w:spacing w:line="440" w:lineRule="exact"/>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七、安全责任</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1、乙方服务活动不得影响甲方单位的正常工作。</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2、因乙方人为因素或管理不善而造成人身、设备等事故的一切损失、费用由乙方自行承担。乙方应当采取各种切实可行的措施，预防各类安全事故的发生并承担与此相关的所有义务和费用以及责任。如有违反或如发生安全事故，则甲方有权追究乙方违约责任，包括要求乙方赔偿损失以及解除合同等。</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3、消防安全：乙方重视消防安全管理，严格遵守消防安全法律法规和制度要求，重视员工消防知识培训与规范操作，因乙方人为因素或管理不善造成消防安全事故，所产生的一切责任和损失由乙方自行承担。</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八、转让和分包</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本合同不得转让和分包。</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九、甲、乙双方违约责任</w:t>
      </w:r>
    </w:p>
    <w:p>
      <w:pPr>
        <w:snapToGrid w:val="0"/>
        <w:spacing w:line="440" w:lineRule="exact"/>
        <w:ind w:firstLine="420" w:firstLineChars="200"/>
        <w:jc w:val="left"/>
        <w:textAlignment w:val="baseline"/>
        <w:rPr>
          <w:rFonts w:ascii="宋体" w:hAnsi="宋体" w:cs="宋体"/>
          <w:bCs/>
          <w:kern w:val="0"/>
          <w:sz w:val="20"/>
          <w:szCs w:val="21"/>
          <w:highlight w:val="none"/>
        </w:rPr>
      </w:pPr>
      <w:r>
        <w:rPr>
          <w:rFonts w:hint="eastAsia" w:ascii="宋体" w:hAnsi="宋体" w:cs="宋体"/>
          <w:bCs/>
          <w:color w:val="000000"/>
          <w:kern w:val="0"/>
          <w:szCs w:val="21"/>
          <w:highlight w:val="none"/>
        </w:rPr>
        <w:t>1、乙方认真做好洗涤质量监测，根据甲方的反馈意见和要求及时改进洗涤质量。洗涤质量不合格的，乙方不得向甲方主张和结算对应洗涤物品的费用，还应给予甲方经济赔偿，并承担相应的法律责任，包括单次</w:t>
      </w:r>
      <w:r>
        <w:rPr>
          <w:rFonts w:hint="eastAsia" w:ascii="宋体" w:hAnsi="宋体" w:cs="宋体"/>
          <w:bCs/>
          <w:kern w:val="0"/>
          <w:szCs w:val="21"/>
          <w:highlight w:val="none"/>
        </w:rPr>
        <w:t>承担违约金2000元。如累计达到三次，甲方有权解除合同。</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kern w:val="0"/>
          <w:szCs w:val="21"/>
          <w:highlight w:val="none"/>
        </w:rPr>
        <w:t>2、乙方如逾期交付洗涤物品应赔偿给甲方造成的损失，每逾期一次，须向甲方承担违约金2000元。</w:t>
      </w:r>
      <w:r>
        <w:rPr>
          <w:rFonts w:hint="eastAsia" w:ascii="宋体" w:hAnsi="宋体" w:cs="宋体"/>
          <w:bCs/>
          <w:color w:val="000000"/>
          <w:kern w:val="0"/>
          <w:szCs w:val="21"/>
          <w:highlight w:val="none"/>
        </w:rPr>
        <w:t>如逾期达到三次，甲方有权解除合同。</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3、合同有效期内，除本合同明确规定以外，乙方不得无故解除本合同，否则承担违约责任，并向甲方支付相当于本合同服务费总额的10%的款项作为违约金，中标价和结算价不一致的，较高者作为本条服务费总额。</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kern w:val="0"/>
          <w:szCs w:val="21"/>
          <w:highlight w:val="none"/>
        </w:rPr>
        <w:t>4、乙方应严格执行各项服务标准，确保工作质量。如有质量问题，甲方有权按有关处罚规定进行经济处罚。</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kern w:val="0"/>
          <w:szCs w:val="21"/>
          <w:highlight w:val="none"/>
        </w:rPr>
        <w:t>5、除本合同另有约定，乙方存在违约行为而未能按照甲方要求全面整改完毕的，或者甲方认为乙方的违约行为已经给甲方利益造成或者将要造成较大损失的，甲方均有权解除本合同。</w:t>
      </w:r>
    </w:p>
    <w:p>
      <w:pPr>
        <w:snapToGrid w:val="0"/>
        <w:spacing w:line="440" w:lineRule="exact"/>
        <w:ind w:firstLine="420" w:firstLineChars="200"/>
        <w:jc w:val="left"/>
        <w:textAlignment w:val="baseline"/>
        <w:rPr>
          <w:rFonts w:ascii="宋体" w:hAnsi="宋体" w:cs="宋体"/>
          <w:bCs/>
          <w:color w:val="000000"/>
          <w:kern w:val="0"/>
          <w:szCs w:val="21"/>
          <w:highlight w:val="none"/>
        </w:rPr>
      </w:pPr>
      <w:r>
        <w:rPr>
          <w:rFonts w:hint="eastAsia" w:ascii="宋体" w:hAnsi="宋体" w:cs="宋体"/>
          <w:bCs/>
          <w:color w:val="000000"/>
          <w:kern w:val="0"/>
          <w:szCs w:val="21"/>
          <w:highlight w:val="none"/>
        </w:rPr>
        <w:t>6、甲方为追究乙方违约而发生的所有费用以及损失均由乙方承担，前述费用包括诉讼费、保全担保费、律师费用等，前述损失包括直接损失和间接损失。</w:t>
      </w:r>
    </w:p>
    <w:p>
      <w:pPr>
        <w:pStyle w:val="48"/>
        <w:spacing w:line="440" w:lineRule="exact"/>
        <w:ind w:left="0" w:leftChars="0" w:firstLine="420" w:firstLineChars="200"/>
        <w:rPr>
          <w:rFonts w:ascii="宋体" w:hAnsi="宋体" w:cs="宋体"/>
          <w:bCs/>
          <w:color w:val="000000"/>
          <w:kern w:val="0"/>
          <w:szCs w:val="21"/>
          <w:highlight w:val="none"/>
        </w:rPr>
      </w:pPr>
      <w:r>
        <w:rPr>
          <w:rFonts w:hint="eastAsia" w:ascii="宋体" w:hAnsi="宋体" w:cs="宋体"/>
          <w:bCs/>
          <w:color w:val="000000"/>
          <w:kern w:val="0"/>
          <w:szCs w:val="21"/>
          <w:highlight w:val="none"/>
        </w:rPr>
        <w:t>7、合同到期或者解除后三日内，乙方应向甲方交还设施、设备及物品；迁出自己的设施、设备及物品，逾期迁出的，甲方有权视情况予以处理（包括但不限于抛弃等）由此产生的费用由乙方承担。</w:t>
      </w:r>
    </w:p>
    <w:p>
      <w:pPr>
        <w:snapToGrid w:val="0"/>
        <w:spacing w:line="440" w:lineRule="exact"/>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十、不可抗力</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1、如果双方由于不可抗拒力的任何事故（须经双方认同），致使影响合同履行时，双方不负任何责任，履行合同的期限可适当给予延长，延长期限由双方协商而定。</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2、本条所述的“不可抗拒力”系指双方无法控制、不可预见的事件。这些事件包括但不限于：战争、严重水灾、台风、地震以及其他双方商定的事件。</w:t>
      </w:r>
    </w:p>
    <w:p>
      <w:pPr>
        <w:snapToGrid w:val="0"/>
        <w:spacing w:line="440" w:lineRule="exact"/>
        <w:ind w:firstLine="420" w:firstLineChars="200"/>
        <w:jc w:val="left"/>
        <w:textAlignment w:val="baseline"/>
        <w:rPr>
          <w:rFonts w:hint="eastAsia" w:ascii="宋体" w:hAnsi="宋体" w:cs="宋体"/>
          <w:bCs/>
          <w:color w:val="000000"/>
          <w:kern w:val="0"/>
          <w:szCs w:val="21"/>
          <w:highlight w:val="none"/>
        </w:rPr>
      </w:pPr>
      <w:r>
        <w:rPr>
          <w:rFonts w:hint="eastAsia" w:ascii="宋体" w:hAnsi="宋体" w:cs="宋体"/>
          <w:bCs/>
          <w:color w:val="000000"/>
          <w:kern w:val="0"/>
          <w:szCs w:val="21"/>
          <w:highlight w:val="none"/>
        </w:rPr>
        <w:t>3、受事故影响的一方应在不可抗拒力事故发后尽快以传真通知对方，双方应通过友好协商在合理时间内达成进一步履行合同的协议。</w:t>
      </w:r>
    </w:p>
    <w:p>
      <w:pPr>
        <w:spacing w:line="400" w:lineRule="exact"/>
        <w:ind w:firstLine="0"/>
        <w:rPr>
          <w:szCs w:val="21"/>
          <w:highlight w:val="none"/>
        </w:rPr>
      </w:pPr>
      <w:r>
        <w:rPr>
          <w:rFonts w:hint="eastAsia"/>
          <w:szCs w:val="21"/>
          <w:highlight w:val="none"/>
        </w:rPr>
        <w:t>十</w:t>
      </w:r>
      <w:r>
        <w:rPr>
          <w:rFonts w:hint="eastAsia"/>
          <w:szCs w:val="21"/>
          <w:highlight w:val="none"/>
          <w:lang w:val="en-US" w:eastAsia="zh-CN"/>
        </w:rPr>
        <w:t>一</w:t>
      </w:r>
      <w:r>
        <w:rPr>
          <w:rFonts w:hint="eastAsia"/>
          <w:szCs w:val="21"/>
          <w:highlight w:val="none"/>
        </w:rPr>
        <w:t>、履约保证金</w:t>
      </w:r>
    </w:p>
    <w:p>
      <w:pPr>
        <w:numPr>
          <w:ilvl w:val="-1"/>
          <w:numId w:val="0"/>
        </w:numPr>
        <w:pBdr>
          <w:top w:val="none" w:color="000000" w:sz="0" w:space="0"/>
          <w:left w:val="none" w:color="000000" w:sz="0" w:space="0"/>
          <w:bottom w:val="none" w:color="000000" w:sz="0" w:space="0"/>
          <w:right w:val="none" w:color="000000" w:sz="0" w:space="0"/>
        </w:pBdr>
        <w:spacing w:before="0" w:after="0" w:line="460" w:lineRule="atLeast"/>
        <w:ind w:left="0" w:firstLine="420" w:firstLineChars="200"/>
        <w:jc w:val="both"/>
        <w:rPr>
          <w:highlight w:val="none"/>
        </w:rPr>
      </w:pPr>
      <w:r>
        <w:rPr>
          <w:rFonts w:hint="eastAsia" w:ascii="宋体" w:hAnsi="宋体" w:cs="宋体"/>
          <w:color w:val="000000"/>
          <w:sz w:val="21"/>
          <w:highlight w:val="none"/>
          <w:lang w:val="en-US" w:eastAsia="zh-CN"/>
        </w:rPr>
        <w:t>1、</w:t>
      </w:r>
      <w:r>
        <w:rPr>
          <w:rFonts w:ascii="宋体" w:hAnsi="宋体" w:eastAsia="宋体" w:cs="宋体"/>
          <w:color w:val="000000"/>
          <w:sz w:val="21"/>
          <w:highlight w:val="none"/>
        </w:rPr>
        <w:t>乙方需一次性缴纳履约保证金</w:t>
      </w:r>
      <w:r>
        <w:rPr>
          <w:rFonts w:hint="eastAsia" w:ascii="宋体" w:hAnsi="宋体" w:cs="宋体"/>
          <w:color w:val="000000"/>
          <w:sz w:val="21"/>
          <w:highlight w:val="none"/>
          <w:lang w:val="en-US" w:eastAsia="zh-CN"/>
        </w:rPr>
        <w:t>3</w:t>
      </w:r>
      <w:r>
        <w:rPr>
          <w:rFonts w:ascii="宋体" w:hAnsi="宋体" w:eastAsia="宋体" w:cs="宋体"/>
          <w:color w:val="000000"/>
          <w:sz w:val="21"/>
          <w:highlight w:val="none"/>
        </w:rPr>
        <w:t>万元并按照上述合同要求进行服务工作。</w:t>
      </w:r>
    </w:p>
    <w:p>
      <w:pPr>
        <w:pStyle w:val="243"/>
        <w:spacing w:line="400" w:lineRule="exact"/>
        <w:ind w:firstLine="420"/>
        <w:rPr>
          <w:rFonts w:ascii="Times New Roman" w:hAnsi="Times New Roman"/>
          <w:sz w:val="21"/>
          <w:highlight w:val="none"/>
        </w:rPr>
      </w:pPr>
      <w:r>
        <w:rPr>
          <w:rFonts w:hint="eastAsia" w:ascii="Times New Roman" w:hAnsi="Times New Roman"/>
          <w:sz w:val="21"/>
          <w:highlight w:val="none"/>
          <w:lang w:val="en-US" w:eastAsia="zh-CN"/>
        </w:rPr>
        <w:t>2</w:t>
      </w:r>
      <w:r>
        <w:rPr>
          <w:rFonts w:hint="eastAsia" w:ascii="Times New Roman" w:hAnsi="Times New Roman"/>
          <w:sz w:val="21"/>
          <w:highlight w:val="none"/>
        </w:rPr>
        <w:t>、合同履行完毕，且在乙方无违约情形时，履约保证金将在合同履行完毕</w:t>
      </w:r>
      <w:r>
        <w:rPr>
          <w:rFonts w:ascii="Times New Roman" w:hAnsi="Times New Roman"/>
          <w:sz w:val="21"/>
          <w:highlight w:val="none"/>
        </w:rPr>
        <w:t>后</w:t>
      </w:r>
      <w:r>
        <w:rPr>
          <w:rFonts w:hint="eastAsia" w:ascii="Times New Roman" w:hAnsi="Times New Roman"/>
          <w:sz w:val="21"/>
          <w:highlight w:val="none"/>
        </w:rPr>
        <w:t>在</w:t>
      </w:r>
      <w:r>
        <w:rPr>
          <w:rFonts w:ascii="Times New Roman" w:hAnsi="Times New Roman"/>
          <w:sz w:val="21"/>
          <w:highlight w:val="none"/>
        </w:rPr>
        <w:t>7个工作日内全额</w:t>
      </w:r>
      <w:r>
        <w:rPr>
          <w:rFonts w:hint="eastAsia" w:ascii="Times New Roman" w:hAnsi="Times New Roman"/>
          <w:sz w:val="21"/>
          <w:highlight w:val="none"/>
        </w:rPr>
        <w:t>（无息）</w:t>
      </w:r>
      <w:r>
        <w:rPr>
          <w:rFonts w:ascii="Times New Roman" w:hAnsi="Times New Roman"/>
          <w:sz w:val="21"/>
          <w:highlight w:val="none"/>
        </w:rPr>
        <w:t>退回</w:t>
      </w:r>
      <w:r>
        <w:rPr>
          <w:rFonts w:hint="eastAsia" w:ascii="Times New Roman" w:hAnsi="Times New Roman"/>
          <w:sz w:val="21"/>
          <w:highlight w:val="none"/>
        </w:rPr>
        <w:t>。</w:t>
      </w:r>
    </w:p>
    <w:p>
      <w:pPr>
        <w:snapToGrid w:val="0"/>
        <w:spacing w:line="440" w:lineRule="exact"/>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十</w:t>
      </w:r>
      <w:r>
        <w:rPr>
          <w:rFonts w:hint="eastAsia" w:ascii="宋体" w:hAnsi="宋体" w:cs="宋体"/>
          <w:bCs/>
          <w:color w:val="000000"/>
          <w:kern w:val="0"/>
          <w:szCs w:val="21"/>
          <w:highlight w:val="none"/>
          <w:lang w:val="en-US" w:eastAsia="zh-CN"/>
        </w:rPr>
        <w:t>二</w:t>
      </w:r>
      <w:r>
        <w:rPr>
          <w:rFonts w:hint="eastAsia" w:ascii="宋体" w:hAnsi="宋体" w:cs="宋体"/>
          <w:bCs/>
          <w:color w:val="000000"/>
          <w:kern w:val="0"/>
          <w:szCs w:val="21"/>
          <w:highlight w:val="none"/>
        </w:rPr>
        <w:t>、税费</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1、中国政府根据现行税法规定对甲方征收的与本合同有关的一切税费均由甲方负担（免税部分除外），采购文件另有规定的除外。</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2、 中国政府根据现行税法规定对乙方征收的与本合同有关的一切税费均由乙方负担（免税部分除外）。</w:t>
      </w:r>
    </w:p>
    <w:p>
      <w:pPr>
        <w:snapToGrid w:val="0"/>
        <w:spacing w:line="440" w:lineRule="exact"/>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十</w:t>
      </w:r>
      <w:r>
        <w:rPr>
          <w:rFonts w:hint="eastAsia" w:ascii="宋体" w:hAnsi="宋体" w:cs="宋体"/>
          <w:bCs/>
          <w:color w:val="000000"/>
          <w:kern w:val="0"/>
          <w:szCs w:val="21"/>
          <w:highlight w:val="none"/>
          <w:lang w:val="en-US" w:eastAsia="zh-CN"/>
        </w:rPr>
        <w:t>三</w:t>
      </w:r>
      <w:r>
        <w:rPr>
          <w:rFonts w:hint="eastAsia" w:ascii="宋体" w:hAnsi="宋体" w:cs="宋体"/>
          <w:bCs/>
          <w:color w:val="000000"/>
          <w:kern w:val="0"/>
          <w:szCs w:val="21"/>
          <w:highlight w:val="none"/>
        </w:rPr>
        <w:t>、纠纷解决办法</w:t>
      </w:r>
    </w:p>
    <w:p>
      <w:pPr>
        <w:pStyle w:val="21"/>
        <w:spacing w:after="0" w:line="440" w:lineRule="exact"/>
        <w:ind w:left="0" w:leftChars="0" w:firstLine="420" w:firstLineChars="200"/>
        <w:rPr>
          <w:rFonts w:ascii="宋体" w:hAnsi="宋体" w:cs="宋体"/>
          <w:bCs/>
          <w:color w:val="000000"/>
          <w:kern w:val="0"/>
          <w:sz w:val="21"/>
          <w:szCs w:val="21"/>
          <w:highlight w:val="none"/>
        </w:rPr>
      </w:pPr>
      <w:r>
        <w:rPr>
          <w:rFonts w:hint="eastAsia" w:ascii="宋体" w:hAnsi="宋体" w:cs="宋体"/>
          <w:bCs/>
          <w:color w:val="000000"/>
          <w:kern w:val="0"/>
          <w:sz w:val="21"/>
          <w:szCs w:val="21"/>
          <w:highlight w:val="none"/>
        </w:rPr>
        <w:t>1、在执行本合同中所发生的或与本合同有关的一切争端，甲方和乙方应通过友好协商的办法进行解决。如协商仍不能解决，则通过由甲方所在地人民法院诉讼。乙方在本合同载明的住所地和联系电话，既可用于甲方向乙方送达，亦可用于法院将相关文书和文件向乙方送达，且由此进行的送达，均为有效送达。乙方变更住所地或联系方式需在5个工作日内书面告知甲方，否则原地址视为有效送达地址</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2、在诉讼期间，本合同应继续执行。</w:t>
      </w:r>
    </w:p>
    <w:p>
      <w:pPr>
        <w:snapToGrid w:val="0"/>
        <w:spacing w:line="440" w:lineRule="exact"/>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十</w:t>
      </w:r>
      <w:r>
        <w:rPr>
          <w:rFonts w:hint="eastAsia" w:ascii="宋体" w:hAnsi="宋体" w:cs="宋体"/>
          <w:bCs/>
          <w:color w:val="000000"/>
          <w:kern w:val="0"/>
          <w:szCs w:val="21"/>
          <w:highlight w:val="none"/>
          <w:lang w:val="en-US" w:eastAsia="zh-CN"/>
        </w:rPr>
        <w:t>四</w:t>
      </w:r>
      <w:r>
        <w:rPr>
          <w:rFonts w:hint="eastAsia" w:ascii="宋体" w:hAnsi="宋体" w:cs="宋体"/>
          <w:bCs/>
          <w:color w:val="000000"/>
          <w:kern w:val="0"/>
          <w:szCs w:val="21"/>
          <w:highlight w:val="none"/>
        </w:rPr>
        <w:t>、破产终止合同</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1、如果乙方破产或无清偿能力时，甲方可立即书面通知乙方终止合同而不给乙方补偿。该终止合同将不损害或影响甲方已经或将要采取的补救措施的权利。</w:t>
      </w:r>
    </w:p>
    <w:p>
      <w:pPr>
        <w:snapToGrid w:val="0"/>
        <w:spacing w:line="440" w:lineRule="exact"/>
        <w:jc w:val="left"/>
        <w:textAlignment w:val="baseline"/>
        <w:rPr>
          <w:rFonts w:hint="eastAsia" w:ascii="宋体" w:hAnsi="宋体" w:cs="宋体"/>
          <w:bCs/>
          <w:color w:val="000000"/>
          <w:kern w:val="0"/>
          <w:szCs w:val="21"/>
          <w:highlight w:val="none"/>
        </w:rPr>
      </w:pPr>
      <w:r>
        <w:rPr>
          <w:rFonts w:hint="eastAsia" w:ascii="宋体" w:hAnsi="宋体" w:cs="宋体"/>
          <w:bCs/>
          <w:color w:val="000000"/>
          <w:kern w:val="0"/>
          <w:szCs w:val="21"/>
          <w:highlight w:val="none"/>
        </w:rPr>
        <w:t>十</w:t>
      </w:r>
      <w:r>
        <w:rPr>
          <w:rFonts w:hint="eastAsia" w:ascii="宋体" w:hAnsi="宋体" w:cs="宋体"/>
          <w:bCs/>
          <w:color w:val="000000"/>
          <w:kern w:val="0"/>
          <w:szCs w:val="21"/>
          <w:highlight w:val="none"/>
          <w:lang w:val="en-US" w:eastAsia="zh-CN"/>
        </w:rPr>
        <w:t>五</w:t>
      </w:r>
      <w:r>
        <w:rPr>
          <w:rFonts w:hint="eastAsia" w:ascii="宋体" w:hAnsi="宋体" w:cs="宋体"/>
          <w:bCs/>
          <w:color w:val="000000"/>
          <w:kern w:val="0"/>
          <w:szCs w:val="21"/>
          <w:highlight w:val="none"/>
        </w:rPr>
        <w:t>、合同生效及其它</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 xml:space="preserve">1、合同期限自 </w:t>
      </w:r>
      <w:r>
        <w:rPr>
          <w:rFonts w:hint="eastAsia" w:ascii="宋体" w:hAnsi="宋体" w:cs="宋体"/>
          <w:bCs/>
          <w:color w:val="000000"/>
          <w:kern w:val="0"/>
          <w:szCs w:val="21"/>
          <w:highlight w:val="none"/>
          <w:u w:val="single" w:color="000000"/>
        </w:rPr>
        <w:t xml:space="preserve"> </w:t>
      </w:r>
      <w:r>
        <w:rPr>
          <w:rFonts w:hint="eastAsia" w:ascii="宋体" w:hAnsi="宋体" w:cs="宋体"/>
          <w:bCs/>
          <w:color w:val="000000"/>
          <w:kern w:val="0"/>
          <w:szCs w:val="21"/>
          <w:highlight w:val="none"/>
        </w:rPr>
        <w:t>年</w:t>
      </w:r>
      <w:r>
        <w:rPr>
          <w:rFonts w:hint="eastAsia" w:ascii="宋体" w:hAnsi="宋体" w:cs="宋体"/>
          <w:bCs/>
          <w:color w:val="000000"/>
          <w:kern w:val="0"/>
          <w:szCs w:val="21"/>
          <w:highlight w:val="none"/>
          <w:u w:val="single" w:color="000000"/>
        </w:rPr>
        <w:t xml:space="preserve"> </w:t>
      </w:r>
      <w:r>
        <w:rPr>
          <w:rFonts w:hint="eastAsia" w:ascii="宋体" w:hAnsi="宋体" w:cs="宋体"/>
          <w:bCs/>
          <w:color w:val="000000"/>
          <w:kern w:val="0"/>
          <w:szCs w:val="21"/>
          <w:highlight w:val="none"/>
        </w:rPr>
        <w:t xml:space="preserve"> 月 </w:t>
      </w:r>
      <w:r>
        <w:rPr>
          <w:rFonts w:hint="eastAsia" w:ascii="宋体" w:hAnsi="宋体" w:cs="宋体"/>
          <w:bCs/>
          <w:color w:val="000000"/>
          <w:kern w:val="0"/>
          <w:szCs w:val="21"/>
          <w:highlight w:val="none"/>
          <w:u w:val="single" w:color="000000"/>
        </w:rPr>
        <w:t xml:space="preserve"> </w:t>
      </w:r>
      <w:r>
        <w:rPr>
          <w:rFonts w:hint="eastAsia" w:ascii="宋体" w:hAnsi="宋体" w:cs="宋体"/>
          <w:bCs/>
          <w:color w:val="000000"/>
          <w:kern w:val="0"/>
          <w:szCs w:val="21"/>
          <w:highlight w:val="none"/>
        </w:rPr>
        <w:t>日至</w:t>
      </w:r>
      <w:r>
        <w:rPr>
          <w:rFonts w:hint="eastAsia" w:ascii="宋体" w:hAnsi="宋体" w:cs="宋体"/>
          <w:bCs/>
          <w:color w:val="000000"/>
          <w:kern w:val="0"/>
          <w:szCs w:val="21"/>
          <w:highlight w:val="none"/>
          <w:u w:val="single" w:color="000000"/>
        </w:rPr>
        <w:t xml:space="preserve"> </w:t>
      </w:r>
      <w:r>
        <w:rPr>
          <w:rFonts w:hint="eastAsia" w:ascii="宋体" w:hAnsi="宋体" w:cs="宋体"/>
          <w:bCs/>
          <w:color w:val="000000"/>
          <w:kern w:val="0"/>
          <w:szCs w:val="21"/>
          <w:highlight w:val="none"/>
        </w:rPr>
        <w:t>年</w:t>
      </w:r>
      <w:r>
        <w:rPr>
          <w:rFonts w:hint="eastAsia" w:ascii="宋体" w:hAnsi="宋体" w:cs="宋体"/>
          <w:bCs/>
          <w:color w:val="000000"/>
          <w:kern w:val="0"/>
          <w:szCs w:val="21"/>
          <w:highlight w:val="none"/>
          <w:u w:val="single" w:color="000000"/>
        </w:rPr>
        <w:t xml:space="preserve">  </w:t>
      </w:r>
      <w:r>
        <w:rPr>
          <w:rFonts w:hint="eastAsia" w:ascii="宋体" w:hAnsi="宋体" w:cs="宋体"/>
          <w:bCs/>
          <w:color w:val="000000"/>
          <w:kern w:val="0"/>
          <w:szCs w:val="21"/>
          <w:highlight w:val="none"/>
        </w:rPr>
        <w:t>月 日止</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2、合同经甲方、乙方签字盖章后生效。本合同一式肆份，具有同等法律效力，甲方执叁份、乙方执壹份。</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3、本合同服务交付使用后所发生的合同纠纷，甲方与乙方协商处理。</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4、如需修改或补充合同内容，经甲方、乙方协商一致后签署补充协议，该协议与本合同具有同等法律效力。</w:t>
      </w:r>
    </w:p>
    <w:p>
      <w:pPr>
        <w:snapToGrid w:val="0"/>
        <w:spacing w:line="440" w:lineRule="exact"/>
        <w:ind w:firstLine="420" w:firstLineChars="200"/>
        <w:jc w:val="left"/>
        <w:textAlignment w:val="baseline"/>
        <w:rPr>
          <w:rFonts w:ascii="宋体" w:hAnsi="宋体" w:cs="宋体"/>
          <w:bCs/>
          <w:color w:val="000000"/>
          <w:kern w:val="0"/>
          <w:sz w:val="20"/>
          <w:szCs w:val="21"/>
          <w:highlight w:val="none"/>
        </w:rPr>
      </w:pPr>
      <w:r>
        <w:rPr>
          <w:rFonts w:hint="eastAsia" w:ascii="宋体" w:hAnsi="宋体" w:cs="宋体"/>
          <w:bCs/>
          <w:color w:val="000000"/>
          <w:kern w:val="0"/>
          <w:szCs w:val="21"/>
          <w:highlight w:val="none"/>
        </w:rPr>
        <w:t>5、本合同应按照中华人民共和国的现行法律进行解释。</w:t>
      </w:r>
    </w:p>
    <w:p>
      <w:pPr>
        <w:snapToGrid w:val="0"/>
        <w:spacing w:line="440" w:lineRule="exact"/>
        <w:jc w:val="left"/>
        <w:textAlignment w:val="baseline"/>
        <w:rPr>
          <w:rFonts w:ascii="宋体" w:hAnsi="宋体" w:cs="宋体"/>
          <w:color w:val="000000"/>
          <w:sz w:val="20"/>
          <w:szCs w:val="21"/>
          <w:highlight w:val="none"/>
        </w:rPr>
      </w:pPr>
      <w:r>
        <w:rPr>
          <w:rFonts w:hint="eastAsia" w:ascii="宋体" w:hAnsi="宋体" w:cs="宋体"/>
          <w:color w:val="000000"/>
          <w:szCs w:val="21"/>
          <w:highlight w:val="none"/>
        </w:rPr>
        <w:t>十</w:t>
      </w:r>
      <w:r>
        <w:rPr>
          <w:rFonts w:hint="eastAsia" w:ascii="宋体" w:hAnsi="宋体" w:cs="宋体"/>
          <w:color w:val="000000"/>
          <w:szCs w:val="21"/>
          <w:highlight w:val="none"/>
          <w:lang w:val="en-US" w:eastAsia="zh-CN"/>
        </w:rPr>
        <w:t>六</w:t>
      </w:r>
      <w:r>
        <w:rPr>
          <w:rFonts w:hint="eastAsia" w:ascii="宋体" w:hAnsi="宋体" w:cs="宋体"/>
          <w:color w:val="000000"/>
          <w:szCs w:val="21"/>
          <w:highlight w:val="none"/>
        </w:rPr>
        <w:t>、附件：</w:t>
      </w:r>
    </w:p>
    <w:p>
      <w:pPr>
        <w:snapToGrid w:val="0"/>
        <w:spacing w:line="440" w:lineRule="exact"/>
        <w:ind w:firstLine="420" w:firstLineChars="200"/>
        <w:jc w:val="left"/>
        <w:textAlignment w:val="baseline"/>
        <w:rPr>
          <w:rFonts w:ascii="宋体" w:hAnsi="宋体" w:cs="宋体"/>
          <w:color w:val="000000"/>
          <w:sz w:val="20"/>
          <w:szCs w:val="21"/>
          <w:highlight w:val="none"/>
        </w:rPr>
      </w:pPr>
      <w:r>
        <w:rPr>
          <w:rFonts w:hint="eastAsia" w:ascii="宋体" w:hAnsi="宋体" w:cs="宋体"/>
          <w:color w:val="000000"/>
          <w:szCs w:val="21"/>
          <w:highlight w:val="none"/>
        </w:rPr>
        <w:t>1</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洗涤服务满意度考核调查表及考核办法</w:t>
      </w:r>
    </w:p>
    <w:p>
      <w:pPr>
        <w:snapToGrid w:val="0"/>
        <w:spacing w:line="440" w:lineRule="exact"/>
        <w:ind w:firstLine="420" w:firstLineChars="200"/>
        <w:jc w:val="left"/>
        <w:textAlignment w:val="baseline"/>
        <w:rPr>
          <w:rFonts w:hint="eastAsia" w:ascii="宋体" w:hAnsi="宋体" w:cs="宋体"/>
          <w:color w:val="000000"/>
          <w:szCs w:val="21"/>
          <w:highlight w:val="none"/>
        </w:rPr>
      </w:pPr>
      <w:r>
        <w:rPr>
          <w:rFonts w:hint="eastAsia" w:ascii="宋体" w:hAnsi="宋体" w:cs="宋体"/>
          <w:color w:val="000000"/>
          <w:szCs w:val="21"/>
          <w:highlight w:val="none"/>
        </w:rPr>
        <w:t>2</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项目价格清单</w:t>
      </w:r>
    </w:p>
    <w:p>
      <w:pPr>
        <w:snapToGrid w:val="0"/>
        <w:spacing w:line="440" w:lineRule="exact"/>
        <w:ind w:firstLine="420" w:firstLineChars="200"/>
        <w:jc w:val="left"/>
        <w:textAlignment w:val="baseline"/>
        <w:rPr>
          <w:rFonts w:hint="eastAsia" w:ascii="宋体" w:hAnsi="宋体" w:cs="宋体"/>
          <w:color w:val="000000"/>
          <w:sz w:val="21"/>
          <w:szCs w:val="21"/>
          <w:highlight w:val="none"/>
        </w:rPr>
      </w:pPr>
    </w:p>
    <w:tbl>
      <w:tblPr>
        <w:tblStyle w:val="49"/>
        <w:tblW w:w="0" w:type="auto"/>
        <w:tblInd w:w="-176" w:type="dxa"/>
        <w:tblLayout w:type="fixed"/>
        <w:tblCellMar>
          <w:top w:w="0" w:type="dxa"/>
          <w:left w:w="108" w:type="dxa"/>
          <w:bottom w:w="0" w:type="dxa"/>
          <w:right w:w="108" w:type="dxa"/>
        </w:tblCellMar>
      </w:tblPr>
      <w:tblGrid>
        <w:gridCol w:w="4819"/>
        <w:gridCol w:w="4643"/>
      </w:tblGrid>
      <w:tr>
        <w:tblPrEx>
          <w:tblCellMar>
            <w:top w:w="0" w:type="dxa"/>
            <w:left w:w="108" w:type="dxa"/>
            <w:bottom w:w="0" w:type="dxa"/>
            <w:right w:w="108" w:type="dxa"/>
          </w:tblCellMar>
        </w:tblPrEx>
        <w:tc>
          <w:tcPr>
            <w:tcW w:w="4819" w:type="dxa"/>
          </w:tcPr>
          <w:p>
            <w:pPr>
              <w:spacing w:line="440" w:lineRule="exact"/>
              <w:jc w:val="left"/>
              <w:textAlignment w:val="baseline"/>
              <w:rPr>
                <w:rFonts w:ascii="宋体" w:hAnsi="宋体" w:cs="宋体"/>
                <w:color w:val="000000"/>
                <w:kern w:val="0"/>
                <w:sz w:val="20"/>
                <w:szCs w:val="21"/>
                <w:highlight w:val="none"/>
              </w:rPr>
            </w:pPr>
            <w:r>
              <w:rPr>
                <w:rFonts w:hint="eastAsia" w:ascii="宋体" w:hAnsi="宋体" w:cs="宋体"/>
                <w:color w:val="000000"/>
                <w:kern w:val="0"/>
                <w:szCs w:val="21"/>
                <w:highlight w:val="none"/>
                <w:lang w:val="zh-CN"/>
              </w:rPr>
              <w:t>甲方（采购人）</w:t>
            </w:r>
            <w:r>
              <w:rPr>
                <w:rFonts w:hint="eastAsia" w:ascii="宋体" w:hAnsi="宋体" w:cs="宋体"/>
                <w:color w:val="000000"/>
                <w:kern w:val="0"/>
                <w:szCs w:val="21"/>
                <w:highlight w:val="none"/>
              </w:rPr>
              <w:t>/</w:t>
            </w:r>
            <w:r>
              <w:rPr>
                <w:rFonts w:hint="eastAsia" w:ascii="宋体" w:hAnsi="宋体" w:cs="宋体"/>
                <w:color w:val="000000"/>
                <w:kern w:val="0"/>
                <w:szCs w:val="21"/>
                <w:highlight w:val="none"/>
                <w:lang w:val="zh-CN"/>
              </w:rPr>
              <w:t>（盖章）</w:t>
            </w:r>
            <w:r>
              <w:rPr>
                <w:rFonts w:hint="eastAsia" w:ascii="宋体" w:hAnsi="宋体" w:cs="宋体"/>
                <w:color w:val="000000"/>
                <w:szCs w:val="21"/>
                <w:highlight w:val="none"/>
              </w:rPr>
              <w:t>江苏大学附属医院</w:t>
            </w:r>
          </w:p>
        </w:tc>
        <w:tc>
          <w:tcPr>
            <w:tcW w:w="4643" w:type="dxa"/>
          </w:tcPr>
          <w:p>
            <w:pPr>
              <w:spacing w:line="440" w:lineRule="exact"/>
              <w:jc w:val="left"/>
              <w:textAlignment w:val="baseline"/>
              <w:rPr>
                <w:rFonts w:ascii="宋体" w:hAnsi="宋体" w:cs="宋体"/>
                <w:color w:val="000000"/>
                <w:kern w:val="0"/>
                <w:sz w:val="20"/>
                <w:szCs w:val="21"/>
                <w:highlight w:val="none"/>
                <w:lang w:val="zh-CN"/>
              </w:rPr>
            </w:pPr>
            <w:r>
              <w:rPr>
                <w:rFonts w:hint="eastAsia" w:ascii="宋体" w:hAnsi="宋体" w:cs="宋体"/>
                <w:color w:val="000000"/>
                <w:kern w:val="0"/>
                <w:szCs w:val="21"/>
                <w:highlight w:val="none"/>
                <w:lang w:val="zh-CN"/>
              </w:rPr>
              <w:t>乙方（供应商）</w:t>
            </w:r>
            <w:r>
              <w:rPr>
                <w:rFonts w:hint="eastAsia" w:ascii="宋体" w:hAnsi="宋体" w:cs="宋体"/>
                <w:color w:val="000000"/>
                <w:kern w:val="0"/>
                <w:szCs w:val="21"/>
                <w:highlight w:val="none"/>
              </w:rPr>
              <w:t>/</w:t>
            </w:r>
            <w:r>
              <w:rPr>
                <w:rFonts w:hint="eastAsia" w:ascii="宋体" w:hAnsi="宋体" w:cs="宋体"/>
                <w:color w:val="000000"/>
                <w:kern w:val="0"/>
                <w:szCs w:val="21"/>
                <w:highlight w:val="none"/>
                <w:lang w:val="zh-CN"/>
              </w:rPr>
              <w:t>（盖章）</w:t>
            </w:r>
          </w:p>
        </w:tc>
      </w:tr>
      <w:tr>
        <w:tblPrEx>
          <w:tblCellMar>
            <w:top w:w="0" w:type="dxa"/>
            <w:left w:w="108" w:type="dxa"/>
            <w:bottom w:w="0" w:type="dxa"/>
            <w:right w:w="108" w:type="dxa"/>
          </w:tblCellMar>
        </w:tblPrEx>
        <w:tc>
          <w:tcPr>
            <w:tcW w:w="4819" w:type="dxa"/>
          </w:tcPr>
          <w:p>
            <w:pPr>
              <w:spacing w:line="440" w:lineRule="exact"/>
              <w:jc w:val="left"/>
              <w:textAlignment w:val="baseline"/>
              <w:rPr>
                <w:rFonts w:ascii="宋体" w:hAnsi="宋体" w:cs="宋体"/>
                <w:color w:val="000000"/>
                <w:kern w:val="0"/>
                <w:sz w:val="20"/>
                <w:szCs w:val="21"/>
                <w:highlight w:val="none"/>
              </w:rPr>
            </w:pPr>
            <w:r>
              <w:rPr>
                <w:rFonts w:hint="eastAsia" w:ascii="宋体" w:hAnsi="宋体" w:cs="宋体"/>
                <w:color w:val="000000"/>
                <w:kern w:val="0"/>
                <w:szCs w:val="21"/>
                <w:highlight w:val="none"/>
              </w:rPr>
              <w:t>法人</w:t>
            </w:r>
            <w:r>
              <w:rPr>
                <w:rFonts w:hint="eastAsia" w:ascii="宋体" w:hAnsi="宋体" w:cs="宋体"/>
                <w:color w:val="000000"/>
                <w:kern w:val="0"/>
                <w:szCs w:val="21"/>
                <w:highlight w:val="none"/>
                <w:lang w:val="zh-CN"/>
              </w:rPr>
              <w:t>代表：</w:t>
            </w:r>
          </w:p>
        </w:tc>
        <w:tc>
          <w:tcPr>
            <w:tcW w:w="4643" w:type="dxa"/>
          </w:tcPr>
          <w:p>
            <w:pPr>
              <w:spacing w:line="440" w:lineRule="exact"/>
              <w:jc w:val="left"/>
              <w:textAlignment w:val="baseline"/>
              <w:rPr>
                <w:rFonts w:ascii="宋体" w:hAnsi="宋体" w:cs="宋体"/>
                <w:color w:val="000000"/>
                <w:kern w:val="0"/>
                <w:sz w:val="20"/>
                <w:szCs w:val="21"/>
                <w:highlight w:val="none"/>
              </w:rPr>
            </w:pPr>
            <w:r>
              <w:rPr>
                <w:rFonts w:hint="eastAsia" w:ascii="宋体" w:hAnsi="宋体" w:cs="宋体"/>
                <w:color w:val="000000"/>
                <w:kern w:val="0"/>
                <w:szCs w:val="21"/>
                <w:highlight w:val="none"/>
              </w:rPr>
              <w:t>法人</w:t>
            </w:r>
            <w:r>
              <w:rPr>
                <w:rFonts w:hint="eastAsia" w:ascii="宋体" w:hAnsi="宋体" w:cs="宋体"/>
                <w:color w:val="000000"/>
                <w:kern w:val="0"/>
                <w:szCs w:val="21"/>
                <w:highlight w:val="none"/>
                <w:lang w:val="zh-CN"/>
              </w:rPr>
              <w:t>代表</w:t>
            </w:r>
            <w:r>
              <w:rPr>
                <w:rFonts w:hint="eastAsia" w:ascii="宋体" w:hAnsi="宋体" w:cs="宋体"/>
                <w:color w:val="000000"/>
                <w:kern w:val="0"/>
                <w:szCs w:val="21"/>
                <w:highlight w:val="none"/>
              </w:rPr>
              <w:t>：</w:t>
            </w:r>
          </w:p>
        </w:tc>
      </w:tr>
      <w:tr>
        <w:tblPrEx>
          <w:tblCellMar>
            <w:top w:w="0" w:type="dxa"/>
            <w:left w:w="108" w:type="dxa"/>
            <w:bottom w:w="0" w:type="dxa"/>
            <w:right w:w="108" w:type="dxa"/>
          </w:tblCellMar>
        </w:tblPrEx>
        <w:tc>
          <w:tcPr>
            <w:tcW w:w="4819" w:type="dxa"/>
          </w:tcPr>
          <w:p>
            <w:pPr>
              <w:spacing w:line="440" w:lineRule="exact"/>
              <w:jc w:val="left"/>
              <w:textAlignment w:val="baseline"/>
              <w:rPr>
                <w:rFonts w:ascii="宋体" w:hAnsi="宋体" w:cs="宋体"/>
                <w:color w:val="000000"/>
                <w:kern w:val="0"/>
                <w:sz w:val="20"/>
                <w:szCs w:val="21"/>
                <w:highlight w:val="none"/>
                <w:lang w:val="zh-CN"/>
              </w:rPr>
            </w:pPr>
            <w:r>
              <w:rPr>
                <w:rFonts w:hint="eastAsia" w:ascii="宋体" w:hAnsi="宋体" w:cs="宋体"/>
                <w:color w:val="000000"/>
                <w:kern w:val="0"/>
                <w:szCs w:val="21"/>
                <w:highlight w:val="none"/>
                <w:lang w:val="zh-CN"/>
              </w:rPr>
              <w:t>电话：</w:t>
            </w:r>
          </w:p>
          <w:p>
            <w:pPr>
              <w:spacing w:line="440" w:lineRule="exact"/>
              <w:jc w:val="left"/>
              <w:textAlignment w:val="baseline"/>
              <w:rPr>
                <w:rFonts w:ascii="宋体" w:hAnsi="宋体" w:cs="宋体"/>
                <w:color w:val="000000"/>
                <w:kern w:val="0"/>
                <w:sz w:val="20"/>
                <w:szCs w:val="21"/>
                <w:highlight w:val="none"/>
              </w:rPr>
            </w:pPr>
            <w:r>
              <w:rPr>
                <w:rFonts w:hint="eastAsia" w:ascii="宋体" w:hAnsi="宋体" w:cs="宋体"/>
                <w:color w:val="000000"/>
                <w:kern w:val="0"/>
                <w:szCs w:val="21"/>
                <w:highlight w:val="none"/>
              </w:rPr>
              <w:t>经办代理人：</w:t>
            </w:r>
          </w:p>
        </w:tc>
        <w:tc>
          <w:tcPr>
            <w:tcW w:w="4643" w:type="dxa"/>
          </w:tcPr>
          <w:p>
            <w:pPr>
              <w:spacing w:line="440" w:lineRule="exact"/>
              <w:jc w:val="left"/>
              <w:textAlignment w:val="baseline"/>
              <w:rPr>
                <w:rFonts w:ascii="宋体" w:hAnsi="宋体" w:cs="宋体"/>
                <w:color w:val="000000"/>
                <w:kern w:val="0"/>
                <w:sz w:val="20"/>
                <w:szCs w:val="21"/>
                <w:highlight w:val="none"/>
              </w:rPr>
            </w:pPr>
            <w:r>
              <w:rPr>
                <w:rFonts w:hint="eastAsia" w:ascii="宋体" w:hAnsi="宋体" w:cs="宋体"/>
                <w:color w:val="000000"/>
                <w:kern w:val="0"/>
                <w:szCs w:val="21"/>
                <w:highlight w:val="none"/>
                <w:lang w:val="zh-CN"/>
              </w:rPr>
              <w:t>电话：</w:t>
            </w:r>
          </w:p>
        </w:tc>
      </w:tr>
      <w:tr>
        <w:tblPrEx>
          <w:tblCellMar>
            <w:top w:w="0" w:type="dxa"/>
            <w:left w:w="108" w:type="dxa"/>
            <w:bottom w:w="0" w:type="dxa"/>
            <w:right w:w="108" w:type="dxa"/>
          </w:tblCellMar>
        </w:tblPrEx>
        <w:tc>
          <w:tcPr>
            <w:tcW w:w="4819" w:type="dxa"/>
          </w:tcPr>
          <w:p>
            <w:pPr>
              <w:spacing w:line="440" w:lineRule="exact"/>
              <w:jc w:val="left"/>
              <w:textAlignment w:val="baseline"/>
              <w:rPr>
                <w:rFonts w:ascii="宋体" w:hAnsi="宋体" w:cs="宋体"/>
                <w:color w:val="000000"/>
                <w:kern w:val="0"/>
                <w:sz w:val="20"/>
                <w:szCs w:val="21"/>
                <w:highlight w:val="none"/>
              </w:rPr>
            </w:pPr>
          </w:p>
        </w:tc>
        <w:tc>
          <w:tcPr>
            <w:tcW w:w="4643" w:type="dxa"/>
          </w:tcPr>
          <w:p>
            <w:pPr>
              <w:spacing w:line="440" w:lineRule="exact"/>
              <w:jc w:val="left"/>
              <w:textAlignment w:val="baseline"/>
              <w:rPr>
                <w:rFonts w:ascii="宋体" w:hAnsi="宋体" w:cs="宋体"/>
                <w:color w:val="000000"/>
                <w:kern w:val="0"/>
                <w:sz w:val="20"/>
                <w:szCs w:val="21"/>
                <w:highlight w:val="none"/>
              </w:rPr>
            </w:pPr>
            <w:r>
              <w:rPr>
                <w:rFonts w:hint="eastAsia" w:ascii="宋体" w:hAnsi="宋体" w:cs="宋体"/>
                <w:color w:val="000000"/>
                <w:kern w:val="0"/>
                <w:szCs w:val="21"/>
                <w:highlight w:val="none"/>
                <w:lang w:val="zh-CN"/>
              </w:rPr>
              <w:t>开户银行：</w:t>
            </w:r>
          </w:p>
        </w:tc>
      </w:tr>
      <w:tr>
        <w:tblPrEx>
          <w:tblCellMar>
            <w:top w:w="0" w:type="dxa"/>
            <w:left w:w="108" w:type="dxa"/>
            <w:bottom w:w="0" w:type="dxa"/>
            <w:right w:w="108" w:type="dxa"/>
          </w:tblCellMar>
        </w:tblPrEx>
        <w:tc>
          <w:tcPr>
            <w:tcW w:w="4819" w:type="dxa"/>
          </w:tcPr>
          <w:p>
            <w:pPr>
              <w:spacing w:line="440" w:lineRule="exact"/>
              <w:jc w:val="left"/>
              <w:textAlignment w:val="baseline"/>
              <w:rPr>
                <w:rFonts w:ascii="宋体" w:hAnsi="宋体" w:cs="宋体"/>
                <w:color w:val="000000"/>
                <w:kern w:val="0"/>
                <w:sz w:val="20"/>
                <w:szCs w:val="21"/>
                <w:highlight w:val="none"/>
              </w:rPr>
            </w:pPr>
          </w:p>
        </w:tc>
        <w:tc>
          <w:tcPr>
            <w:tcW w:w="4643" w:type="dxa"/>
          </w:tcPr>
          <w:p>
            <w:pPr>
              <w:spacing w:line="440" w:lineRule="exact"/>
              <w:jc w:val="left"/>
              <w:textAlignment w:val="baseline"/>
              <w:rPr>
                <w:rFonts w:ascii="宋体" w:hAnsi="宋体" w:cs="宋体"/>
                <w:color w:val="000000"/>
                <w:kern w:val="0"/>
                <w:sz w:val="20"/>
                <w:szCs w:val="21"/>
                <w:highlight w:val="none"/>
              </w:rPr>
            </w:pPr>
            <w:r>
              <w:rPr>
                <w:rFonts w:hint="eastAsia" w:ascii="宋体" w:hAnsi="宋体" w:cs="宋体"/>
                <w:color w:val="000000"/>
                <w:kern w:val="0"/>
                <w:szCs w:val="21"/>
                <w:highlight w:val="none"/>
              </w:rPr>
              <w:t>账</w:t>
            </w:r>
            <w:r>
              <w:rPr>
                <w:rFonts w:hint="eastAsia" w:ascii="宋体" w:hAnsi="宋体" w:cs="宋体"/>
                <w:color w:val="000000"/>
                <w:kern w:val="0"/>
                <w:szCs w:val="21"/>
                <w:highlight w:val="none"/>
                <w:lang w:val="zh-CN"/>
              </w:rPr>
              <w:t>号：</w:t>
            </w:r>
          </w:p>
        </w:tc>
      </w:tr>
      <w:tr>
        <w:tblPrEx>
          <w:tblCellMar>
            <w:top w:w="0" w:type="dxa"/>
            <w:left w:w="108" w:type="dxa"/>
            <w:bottom w:w="0" w:type="dxa"/>
            <w:right w:w="108" w:type="dxa"/>
          </w:tblCellMar>
        </w:tblPrEx>
        <w:tc>
          <w:tcPr>
            <w:tcW w:w="4819" w:type="dxa"/>
          </w:tcPr>
          <w:p>
            <w:pPr>
              <w:spacing w:line="440" w:lineRule="exact"/>
              <w:jc w:val="left"/>
              <w:textAlignment w:val="baseline"/>
              <w:rPr>
                <w:rFonts w:ascii="宋体" w:hAnsi="宋体" w:cs="宋体"/>
                <w:color w:val="000000"/>
                <w:kern w:val="0"/>
                <w:sz w:val="20"/>
                <w:szCs w:val="21"/>
                <w:highlight w:val="none"/>
                <w:lang w:val="zh-CN"/>
              </w:rPr>
            </w:pPr>
            <w:r>
              <w:rPr>
                <w:rFonts w:hint="eastAsia" w:ascii="宋体" w:hAnsi="宋体" w:cs="宋体"/>
                <w:color w:val="000000"/>
                <w:kern w:val="0"/>
                <w:szCs w:val="21"/>
                <w:highlight w:val="none"/>
                <w:lang w:val="zh-CN"/>
              </w:rPr>
              <w:t>日期：</w:t>
            </w:r>
            <w:r>
              <w:rPr>
                <w:rFonts w:hint="eastAsia" w:ascii="宋体" w:hAnsi="宋体" w:cs="宋体"/>
                <w:color w:val="000000"/>
                <w:kern w:val="0"/>
                <w:szCs w:val="21"/>
                <w:highlight w:val="none"/>
              </w:rPr>
              <w:t xml:space="preserve">     </w:t>
            </w:r>
            <w:r>
              <w:rPr>
                <w:rFonts w:hint="eastAsia" w:ascii="宋体" w:hAnsi="宋体" w:cs="宋体"/>
                <w:color w:val="000000"/>
                <w:kern w:val="0"/>
                <w:szCs w:val="21"/>
                <w:highlight w:val="none"/>
                <w:lang w:val="zh-CN"/>
              </w:rPr>
              <w:t>年</w:t>
            </w:r>
            <w:r>
              <w:rPr>
                <w:rFonts w:hint="eastAsia" w:ascii="宋体" w:hAnsi="宋体" w:cs="宋体"/>
                <w:color w:val="000000"/>
                <w:kern w:val="0"/>
                <w:szCs w:val="21"/>
                <w:highlight w:val="none"/>
              </w:rPr>
              <w:t xml:space="preserve">  </w:t>
            </w:r>
            <w:r>
              <w:rPr>
                <w:rFonts w:hint="eastAsia" w:ascii="宋体" w:hAnsi="宋体" w:cs="宋体"/>
                <w:color w:val="000000"/>
                <w:kern w:val="0"/>
                <w:szCs w:val="21"/>
                <w:highlight w:val="none"/>
                <w:lang w:val="zh-CN"/>
              </w:rPr>
              <w:t>月</w:t>
            </w:r>
            <w:r>
              <w:rPr>
                <w:rFonts w:hint="eastAsia" w:ascii="宋体" w:hAnsi="宋体" w:cs="宋体"/>
                <w:color w:val="000000"/>
                <w:kern w:val="0"/>
                <w:szCs w:val="21"/>
                <w:highlight w:val="none"/>
              </w:rPr>
              <w:t xml:space="preserve">   </w:t>
            </w:r>
            <w:r>
              <w:rPr>
                <w:rFonts w:hint="eastAsia" w:ascii="宋体" w:hAnsi="宋体" w:cs="宋体"/>
                <w:color w:val="000000"/>
                <w:kern w:val="0"/>
                <w:szCs w:val="21"/>
                <w:highlight w:val="none"/>
                <w:lang w:val="zh-CN"/>
              </w:rPr>
              <w:t>日</w:t>
            </w:r>
          </w:p>
        </w:tc>
        <w:tc>
          <w:tcPr>
            <w:tcW w:w="4643" w:type="dxa"/>
          </w:tcPr>
          <w:p>
            <w:pPr>
              <w:spacing w:line="440" w:lineRule="exact"/>
              <w:jc w:val="left"/>
              <w:textAlignment w:val="baseline"/>
              <w:rPr>
                <w:rFonts w:ascii="宋体" w:hAnsi="宋体" w:cs="宋体"/>
                <w:color w:val="000000"/>
                <w:kern w:val="0"/>
                <w:sz w:val="20"/>
                <w:szCs w:val="21"/>
                <w:highlight w:val="none"/>
                <w:lang w:val="zh-CN"/>
              </w:rPr>
            </w:pPr>
            <w:r>
              <w:rPr>
                <w:rFonts w:hint="eastAsia" w:ascii="宋体" w:hAnsi="宋体" w:cs="宋体"/>
                <w:color w:val="000000"/>
                <w:kern w:val="0"/>
                <w:szCs w:val="21"/>
                <w:highlight w:val="none"/>
                <w:lang w:val="zh-CN"/>
              </w:rPr>
              <w:t>日期：</w:t>
            </w:r>
            <w:r>
              <w:rPr>
                <w:rFonts w:hint="eastAsia" w:ascii="宋体" w:hAnsi="宋体" w:cs="宋体"/>
                <w:color w:val="000000"/>
                <w:kern w:val="0"/>
                <w:szCs w:val="21"/>
                <w:highlight w:val="none"/>
              </w:rPr>
              <w:t xml:space="preserve">     </w:t>
            </w:r>
            <w:r>
              <w:rPr>
                <w:rFonts w:hint="eastAsia" w:ascii="宋体" w:hAnsi="宋体" w:cs="宋体"/>
                <w:color w:val="000000"/>
                <w:kern w:val="0"/>
                <w:szCs w:val="21"/>
                <w:highlight w:val="none"/>
                <w:lang w:val="zh-CN"/>
              </w:rPr>
              <w:t>年</w:t>
            </w:r>
            <w:r>
              <w:rPr>
                <w:rFonts w:hint="eastAsia" w:ascii="宋体" w:hAnsi="宋体" w:cs="宋体"/>
                <w:color w:val="000000"/>
                <w:kern w:val="0"/>
                <w:szCs w:val="21"/>
                <w:highlight w:val="none"/>
              </w:rPr>
              <w:t xml:space="preserve">  </w:t>
            </w:r>
            <w:r>
              <w:rPr>
                <w:rFonts w:hint="eastAsia" w:ascii="宋体" w:hAnsi="宋体" w:cs="宋体"/>
                <w:color w:val="000000"/>
                <w:kern w:val="0"/>
                <w:szCs w:val="21"/>
                <w:highlight w:val="none"/>
                <w:lang w:val="zh-CN"/>
              </w:rPr>
              <w:t>月</w:t>
            </w:r>
            <w:r>
              <w:rPr>
                <w:rFonts w:hint="eastAsia" w:ascii="宋体" w:hAnsi="宋体" w:cs="宋体"/>
                <w:color w:val="000000"/>
                <w:kern w:val="0"/>
                <w:szCs w:val="21"/>
                <w:highlight w:val="none"/>
              </w:rPr>
              <w:t xml:space="preserve">   </w:t>
            </w:r>
            <w:r>
              <w:rPr>
                <w:rFonts w:hint="eastAsia" w:ascii="宋体" w:hAnsi="宋体" w:cs="宋体"/>
                <w:color w:val="000000"/>
                <w:kern w:val="0"/>
                <w:szCs w:val="21"/>
                <w:highlight w:val="none"/>
                <w:lang w:val="zh-CN"/>
              </w:rPr>
              <w:t>日</w:t>
            </w:r>
          </w:p>
        </w:tc>
      </w:tr>
    </w:tbl>
    <w:p>
      <w:pPr>
        <w:spacing w:line="360" w:lineRule="auto"/>
        <w:rPr>
          <w:color w:val="000000"/>
          <w:highlight w:val="none"/>
        </w:rPr>
      </w:pPr>
    </w:p>
    <w:p>
      <w:pPr>
        <w:spacing w:line="360" w:lineRule="auto"/>
        <w:rPr>
          <w:rFonts w:hAnsi="Times New Roman"/>
          <w:strike w:val="0"/>
          <w:color w:val="000000"/>
          <w:szCs w:val="21"/>
          <w:highlight w:val="none"/>
        </w:rPr>
      </w:pPr>
    </w:p>
    <w:p>
      <w:pPr>
        <w:spacing w:line="360" w:lineRule="auto"/>
        <w:rPr>
          <w:rFonts w:hAnsi="Times New Roman"/>
          <w:strike w:val="0"/>
          <w:color w:val="000000"/>
          <w:highlight w:val="none"/>
        </w:rPr>
      </w:pPr>
    </w:p>
    <w:p>
      <w:pPr>
        <w:spacing w:line="360" w:lineRule="auto"/>
        <w:rPr>
          <w:rFonts w:hAnsi="Times New Roman"/>
          <w:strike w:val="0"/>
          <w:color w:val="000000"/>
          <w:highlight w:val="none"/>
        </w:rPr>
      </w:pPr>
    </w:p>
    <w:p>
      <w:pPr>
        <w:spacing w:line="360" w:lineRule="auto"/>
        <w:rPr>
          <w:rFonts w:hAnsi="Times New Roman"/>
          <w:strike w:val="0"/>
          <w:color w:val="000000"/>
          <w:highlight w:val="none"/>
        </w:rPr>
      </w:pPr>
    </w:p>
    <w:p>
      <w:pPr>
        <w:spacing w:line="360" w:lineRule="auto"/>
        <w:rPr>
          <w:rFonts w:hAnsi="Times New Roman"/>
          <w:strike w:val="0"/>
          <w:color w:val="000000"/>
          <w:highlight w:val="none"/>
        </w:rPr>
      </w:pPr>
    </w:p>
    <w:p>
      <w:pPr>
        <w:spacing w:line="360" w:lineRule="auto"/>
        <w:rPr>
          <w:rFonts w:hAnsi="Times New Roman"/>
          <w:strike w:val="0"/>
          <w:color w:val="000000"/>
          <w:highlight w:val="none"/>
        </w:rPr>
      </w:pPr>
    </w:p>
    <w:p>
      <w:pPr>
        <w:spacing w:line="360" w:lineRule="auto"/>
        <w:rPr>
          <w:rFonts w:hAnsi="Times New Roman"/>
          <w:strike w:val="0"/>
          <w:color w:val="000000"/>
          <w:highlight w:val="none"/>
        </w:rPr>
      </w:pPr>
    </w:p>
    <w:p>
      <w:pPr>
        <w:spacing w:line="360" w:lineRule="auto"/>
        <w:rPr>
          <w:rFonts w:hAnsi="Times New Roman"/>
          <w:strike w:val="0"/>
          <w:color w:val="000000"/>
          <w:highlight w:val="none"/>
        </w:rPr>
      </w:pPr>
    </w:p>
    <w:p>
      <w:pPr>
        <w:spacing w:line="360" w:lineRule="auto"/>
        <w:rPr>
          <w:rFonts w:hAnsi="Times New Roman"/>
          <w:strike w:val="0"/>
          <w:color w:val="000000"/>
          <w:highlight w:val="none"/>
        </w:rPr>
      </w:pPr>
    </w:p>
    <w:p>
      <w:pPr>
        <w:spacing w:line="360" w:lineRule="auto"/>
        <w:rPr>
          <w:rFonts w:hAnsi="Times New Roman"/>
          <w:strike w:val="0"/>
          <w:color w:val="000000"/>
          <w:highlight w:val="none"/>
        </w:rPr>
      </w:pPr>
    </w:p>
    <w:p>
      <w:pPr>
        <w:spacing w:line="360" w:lineRule="auto"/>
        <w:rPr>
          <w:rFonts w:hAnsi="Times New Roman"/>
          <w:strike w:val="0"/>
          <w:color w:val="000000"/>
          <w:highlight w:val="none"/>
        </w:rPr>
      </w:pPr>
    </w:p>
    <w:p>
      <w:pPr>
        <w:spacing w:line="360" w:lineRule="auto"/>
        <w:rPr>
          <w:rFonts w:hAnsi="Times New Roman"/>
          <w:strike w:val="0"/>
          <w:color w:val="000000"/>
          <w:highlight w:val="none"/>
        </w:rPr>
      </w:pPr>
    </w:p>
    <w:p>
      <w:pPr>
        <w:spacing w:line="360" w:lineRule="auto"/>
        <w:rPr>
          <w:rFonts w:hAnsi="Times New Roman"/>
          <w:strike w:val="0"/>
          <w:color w:val="000000"/>
          <w:highlight w:val="none"/>
        </w:rPr>
      </w:pPr>
    </w:p>
    <w:p>
      <w:pPr>
        <w:spacing w:line="360" w:lineRule="auto"/>
        <w:rPr>
          <w:rFonts w:hAnsi="Times New Roman"/>
          <w:strike w:val="0"/>
          <w:color w:val="000000"/>
          <w:highlight w:val="none"/>
        </w:rPr>
      </w:pPr>
    </w:p>
    <w:p>
      <w:pPr>
        <w:spacing w:line="360" w:lineRule="auto"/>
        <w:rPr>
          <w:rFonts w:hAnsi="Times New Roman"/>
          <w:strike w:val="0"/>
          <w:color w:val="000000"/>
          <w:highlight w:val="none"/>
        </w:rPr>
      </w:pPr>
    </w:p>
    <w:p>
      <w:pPr>
        <w:spacing w:line="240" w:lineRule="auto"/>
        <w:jc w:val="left"/>
        <w:rPr>
          <w:rFonts w:hint="eastAsia" w:ascii="宋体" w:hAnsi="宋体" w:cs="宋体"/>
          <w:strike w:val="0"/>
          <w:color w:val="000000"/>
          <w:sz w:val="32"/>
          <w:szCs w:val="32"/>
          <w:highlight w:val="none"/>
        </w:rPr>
      </w:pPr>
    </w:p>
    <w:p>
      <w:pPr>
        <w:spacing w:line="360" w:lineRule="auto"/>
        <w:jc w:val="center"/>
        <w:rPr>
          <w:rFonts w:ascii="宋体" w:hAnsi="宋体" w:cs="宋体"/>
          <w:strike w:val="0"/>
          <w:color w:val="000000"/>
          <w:szCs w:val="21"/>
          <w:highlight w:val="none"/>
        </w:rPr>
      </w:pPr>
      <w:r>
        <w:rPr>
          <w:rFonts w:hint="eastAsia" w:ascii="宋体" w:hAnsi="宋体" w:cs="宋体"/>
          <w:strike w:val="0"/>
          <w:color w:val="000000"/>
          <w:sz w:val="32"/>
          <w:szCs w:val="32"/>
          <w:highlight w:val="none"/>
        </w:rPr>
        <w:t>江大附院招投标工作廉政协议书</w:t>
      </w:r>
    </w:p>
    <w:p>
      <w:pPr>
        <w:shd w:val="clear" w:color="auto" w:fill="FFFFFF"/>
        <w:spacing w:line="360" w:lineRule="auto"/>
        <w:rPr>
          <w:rFonts w:ascii="宋体" w:hAnsi="宋体" w:cs="宋体"/>
          <w:strike w:val="0"/>
          <w:color w:val="000000"/>
          <w:szCs w:val="21"/>
          <w:highlight w:val="none"/>
        </w:rPr>
      </w:pPr>
    </w:p>
    <w:p>
      <w:pPr>
        <w:shd w:val="clear" w:color="auto" w:fill="FFFFFF"/>
        <w:spacing w:line="360" w:lineRule="auto"/>
        <w:rPr>
          <w:rFonts w:hint="eastAsia" w:ascii="宋体" w:hAnsi="宋体" w:eastAsia="宋体" w:cs="宋体"/>
          <w:strike w:val="0"/>
          <w:color w:val="000000"/>
          <w:szCs w:val="21"/>
          <w:highlight w:val="none"/>
          <w:lang w:eastAsia="zh-CN"/>
        </w:rPr>
      </w:pPr>
      <w:r>
        <w:rPr>
          <w:rFonts w:hint="eastAsia" w:ascii="宋体" w:hAnsi="宋体" w:cs="宋体"/>
          <w:strike w:val="0"/>
          <w:color w:val="000000"/>
          <w:szCs w:val="21"/>
          <w:highlight w:val="none"/>
        </w:rPr>
        <w:t>项目名称：</w:t>
      </w:r>
      <w:r>
        <w:rPr>
          <w:rFonts w:hint="eastAsia" w:ascii="宋体" w:hAnsi="宋体" w:cs="宋体"/>
          <w:strike w:val="0"/>
          <w:color w:val="000000"/>
          <w:szCs w:val="21"/>
          <w:highlight w:val="none"/>
          <w:lang w:eastAsia="zh-CN"/>
        </w:rPr>
        <w:t>江苏大学附属医院洗涤服务项目</w:t>
      </w:r>
    </w:p>
    <w:p>
      <w:pPr>
        <w:spacing w:line="440" w:lineRule="exact"/>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甲方：江苏大学附属医院                                    </w:t>
      </w:r>
    </w:p>
    <w:p>
      <w:pPr>
        <w:spacing w:line="440" w:lineRule="exact"/>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乙方：  </w:t>
      </w:r>
    </w:p>
    <w:p>
      <w:pPr>
        <w:spacing w:line="440" w:lineRule="exact"/>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                                  </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 </w:t>
      </w:r>
    </w:p>
    <w:p>
      <w:pPr>
        <w:spacing w:line="440" w:lineRule="exact"/>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一、甲方的廉政责任 </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（一）甲方工作人员有责任向乙方介绍本单位有关廉政建设的制度、规定。甲方的纪检监察人员有权对双方在招、投标及合同执行过程中的廉政情况进行监督。</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（二）甲方工作人员不得向乙方泄露招、投标中的商业秘密。 </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（三）甲方工作人员在招、投标过程中以及合同执行过程中，不得以任何形式向乙方索要贿赂、收受回扣或变相收受贿赂。</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（四）对乙方主动给予的钱（含有价证券）、物，甲方工作人员要坚决谢绝，无法拒绝的要在两周内上交甲方的纪检监察部门或上级纪检监察部门。 </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（五）甲方工作人员负责在招标及执行合同过程中，召开廉政会议，通报情况，解决廉政建设问题。 </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（六）甲方工作人员在招标及执行合同过程中，必须遵守廉洁自律的其他有关规定。 </w:t>
      </w:r>
    </w:p>
    <w:p>
      <w:pPr>
        <w:spacing w:line="440" w:lineRule="exact"/>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二、乙方的廉政责任 </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（一）乙方有权了解甲方在廉政建设方面的各项制度和规定，并主动配合甲方遵守执行。 </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（二）乙方的工作人员不得以任何方式向甲方工作人员了解招投标中的商业秘密。 </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三）乙方的工作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济活动；不得为甲方工作人员的亲属及朋友等安排工作、安排出境和国内旅游等；不得借婚丧嫁娶之机向甲方工作人员赠送钱（含有价证券）、物。 </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（四）乙方有责任对本单位工作人员进行廉政教育，按时参加甲方的廉政会议。</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（五）乙方发现甲方工作人员有不廉政的行为，必须在48小时内署名报告甲方的纪检监察人员或有关领导。 </w:t>
      </w:r>
    </w:p>
    <w:p>
      <w:pPr>
        <w:spacing w:line="440" w:lineRule="exact"/>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三、违约责任 </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（一）甲方工作人员违反廉政责任，经调查属实的，甲方将依据党、政纪对当事人视情况予以通报批评、警告、记过等处分。情节严重者将追究其经济与法律责任。 </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二）乙方违反廉政责任，经调查属实，甲方有权退回其投标；对中标的乙方，甲方有权撤销中标决定，或一次性扣罚与其签订的经济合同总价款的1—20%直至终止合同执行，由此造成的经济损失由乙方承担。在今后项目中，甲方不再考虑与乙方的合作。 </w:t>
      </w:r>
    </w:p>
    <w:p>
      <w:pPr>
        <w:spacing w:line="440" w:lineRule="exact"/>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四、协议的生效 </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（一）本协议在双方签字盖章后即生效。 </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（二）本协议一式两份，双方各执一份。 </w:t>
      </w:r>
    </w:p>
    <w:p>
      <w:pPr>
        <w:spacing w:line="440" w:lineRule="exact"/>
        <w:ind w:firstLine="420" w:firstLineChars="200"/>
        <w:rPr>
          <w:rFonts w:ascii="宋体" w:hAnsi="宋体" w:cs="宋体"/>
          <w:strike w:val="0"/>
          <w:color w:val="000000"/>
          <w:szCs w:val="21"/>
          <w:highlight w:val="none"/>
        </w:rPr>
      </w:pPr>
      <w:r>
        <w:rPr>
          <w:rFonts w:hint="eastAsia" w:ascii="宋体" w:hAnsi="宋体" w:cs="宋体"/>
          <w:strike w:val="0"/>
          <w:color w:val="000000"/>
          <w:szCs w:val="21"/>
          <w:highlight w:val="none"/>
        </w:rPr>
        <w:t>（三）本协议在本次招、投标及合同授予、履行的过程中保持有效，并作为主合同的附件。</w:t>
      </w:r>
    </w:p>
    <w:p>
      <w:pPr>
        <w:spacing w:line="440" w:lineRule="exact"/>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 </w:t>
      </w:r>
    </w:p>
    <w:p>
      <w:pPr>
        <w:spacing w:line="440" w:lineRule="exact"/>
        <w:rPr>
          <w:rFonts w:ascii="宋体" w:hAnsi="宋体" w:cs="宋体"/>
          <w:strike w:val="0"/>
          <w:color w:val="000000"/>
          <w:szCs w:val="21"/>
          <w:highlight w:val="none"/>
        </w:rPr>
      </w:pPr>
      <w:r>
        <w:rPr>
          <w:rFonts w:hint="eastAsia" w:ascii="宋体" w:hAnsi="宋体" w:cs="宋体"/>
          <w:strike w:val="0"/>
          <w:color w:val="000000"/>
          <w:szCs w:val="21"/>
          <w:highlight w:val="none"/>
        </w:rPr>
        <w:t>甲方： 江苏大学附属医院                        </w:t>
      </w:r>
    </w:p>
    <w:p>
      <w:pPr>
        <w:spacing w:line="440" w:lineRule="exact"/>
        <w:rPr>
          <w:rFonts w:ascii="宋体" w:hAnsi="宋体" w:cs="宋体"/>
          <w:strike w:val="0"/>
          <w:color w:val="000000"/>
          <w:szCs w:val="21"/>
          <w:highlight w:val="none"/>
        </w:rPr>
      </w:pPr>
      <w:r>
        <w:rPr>
          <w:rFonts w:hint="eastAsia" w:ascii="宋体" w:hAnsi="宋体" w:cs="宋体"/>
          <w:strike w:val="0"/>
          <w:color w:val="000000"/>
          <w:szCs w:val="21"/>
          <w:highlight w:val="none"/>
        </w:rPr>
        <w:t>法人代表（授权代表签字）：_______________</w:t>
      </w:r>
    </w:p>
    <w:p>
      <w:pPr>
        <w:spacing w:line="440" w:lineRule="exact"/>
        <w:rPr>
          <w:rFonts w:ascii="宋体" w:hAnsi="宋体" w:cs="宋体"/>
          <w:strike w:val="0"/>
          <w:color w:val="000000"/>
          <w:szCs w:val="21"/>
          <w:highlight w:val="none"/>
        </w:rPr>
      </w:pPr>
      <w:r>
        <w:rPr>
          <w:rFonts w:hint="eastAsia" w:ascii="宋体" w:hAnsi="宋体" w:cs="宋体"/>
          <w:strike w:val="0"/>
          <w:color w:val="000000"/>
          <w:szCs w:val="21"/>
          <w:highlight w:val="none"/>
        </w:rPr>
        <w:t>盖章：</w:t>
      </w:r>
    </w:p>
    <w:p>
      <w:pPr>
        <w:spacing w:line="440" w:lineRule="exact"/>
        <w:rPr>
          <w:rFonts w:ascii="宋体" w:hAnsi="宋体" w:cs="宋体"/>
          <w:strike w:val="0"/>
          <w:color w:val="000000"/>
          <w:szCs w:val="21"/>
          <w:highlight w:val="none"/>
        </w:rPr>
      </w:pPr>
      <w:r>
        <w:rPr>
          <w:rFonts w:hint="eastAsia" w:ascii="宋体" w:hAnsi="宋体" w:cs="宋体"/>
          <w:strike w:val="0"/>
          <w:color w:val="000000"/>
          <w:szCs w:val="21"/>
          <w:highlight w:val="none"/>
        </w:rPr>
        <w:t>签字日期：</w:t>
      </w:r>
    </w:p>
    <w:p>
      <w:pPr>
        <w:spacing w:line="440" w:lineRule="exact"/>
        <w:rPr>
          <w:rFonts w:ascii="宋体" w:hAnsi="宋体" w:cs="宋体"/>
          <w:strike w:val="0"/>
          <w:color w:val="000000"/>
          <w:szCs w:val="21"/>
          <w:highlight w:val="none"/>
        </w:rPr>
      </w:pPr>
    </w:p>
    <w:p>
      <w:pPr>
        <w:spacing w:line="440" w:lineRule="exact"/>
        <w:rPr>
          <w:rFonts w:ascii="宋体" w:hAnsi="宋体" w:cs="宋体"/>
          <w:strike w:val="0"/>
          <w:color w:val="000000"/>
          <w:szCs w:val="21"/>
          <w:highlight w:val="none"/>
        </w:rPr>
      </w:pPr>
      <w:r>
        <w:rPr>
          <w:rFonts w:hint="eastAsia" w:ascii="宋体" w:hAnsi="宋体" w:cs="宋体"/>
          <w:strike w:val="0"/>
          <w:color w:val="000000"/>
          <w:szCs w:val="21"/>
          <w:highlight w:val="none"/>
        </w:rPr>
        <w:t>乙方：</w:t>
      </w:r>
    </w:p>
    <w:p>
      <w:pPr>
        <w:spacing w:line="440" w:lineRule="exact"/>
        <w:rPr>
          <w:rFonts w:ascii="宋体" w:hAnsi="宋体" w:cs="宋体"/>
          <w:strike w:val="0"/>
          <w:color w:val="000000"/>
          <w:szCs w:val="21"/>
          <w:highlight w:val="none"/>
        </w:rPr>
      </w:pPr>
      <w:r>
        <w:rPr>
          <w:rFonts w:hint="eastAsia" w:ascii="宋体" w:hAnsi="宋体" w:cs="宋体"/>
          <w:strike w:val="0"/>
          <w:color w:val="000000"/>
          <w:szCs w:val="21"/>
          <w:highlight w:val="none"/>
        </w:rPr>
        <w:t>法人代表（授权代表签字）：_______________</w:t>
      </w:r>
    </w:p>
    <w:p>
      <w:pPr>
        <w:spacing w:line="440" w:lineRule="exact"/>
        <w:rPr>
          <w:rFonts w:ascii="宋体" w:hAnsi="宋体" w:cs="宋体"/>
          <w:strike w:val="0"/>
          <w:color w:val="000000"/>
          <w:szCs w:val="21"/>
          <w:highlight w:val="none"/>
        </w:rPr>
      </w:pPr>
      <w:r>
        <w:rPr>
          <w:rFonts w:hint="eastAsia" w:ascii="宋体" w:hAnsi="宋体" w:cs="宋体"/>
          <w:strike w:val="0"/>
          <w:color w:val="000000"/>
          <w:szCs w:val="21"/>
          <w:highlight w:val="none"/>
        </w:rPr>
        <w:t>盖章：</w:t>
      </w:r>
    </w:p>
    <w:p>
      <w:pPr>
        <w:rPr>
          <w:rFonts w:ascii="宋体" w:hAnsi="宋体" w:cs="宋体"/>
          <w:strike w:val="0"/>
          <w:highlight w:val="none"/>
        </w:rPr>
      </w:pPr>
      <w:r>
        <w:rPr>
          <w:rFonts w:hint="eastAsia" w:ascii="宋体" w:hAnsi="宋体" w:cs="宋体"/>
          <w:strike w:val="0"/>
          <w:color w:val="000000"/>
          <w:szCs w:val="21"/>
          <w:highlight w:val="none"/>
        </w:rPr>
        <w:t>签字日期：</w:t>
      </w:r>
      <w:r>
        <w:rPr>
          <w:rFonts w:hint="eastAsia" w:ascii="宋体" w:hAnsi="宋体" w:cs="宋体"/>
          <w:strike w:val="0"/>
          <w:highlight w:val="none"/>
        </w:rPr>
        <w:br w:type="page"/>
      </w:r>
    </w:p>
    <w:p>
      <w:pPr>
        <w:pStyle w:val="3"/>
        <w:numPr>
          <w:ilvl w:val="0"/>
          <w:numId w:val="0"/>
        </w:numPr>
        <w:rPr>
          <w:rFonts w:ascii="宋体" w:hAnsi="宋体" w:cs="宋体"/>
          <w:strike w:val="0"/>
          <w:highlight w:val="none"/>
        </w:rPr>
      </w:pPr>
      <w:bookmarkStart w:id="70" w:name="_Toc10811"/>
      <w:bookmarkStart w:id="71" w:name="_Toc24240"/>
      <w:bookmarkStart w:id="72" w:name="_Toc1524"/>
      <w:bookmarkStart w:id="73" w:name="_Toc5523"/>
      <w:bookmarkStart w:id="74" w:name="_Toc14594"/>
      <w:r>
        <w:rPr>
          <w:rFonts w:hint="eastAsia" w:ascii="宋体" w:hAnsi="宋体" w:cs="宋体"/>
          <w:strike w:val="0"/>
          <w:highlight w:val="none"/>
        </w:rPr>
        <w:t>第六章 附件</w:t>
      </w:r>
      <w:bookmarkEnd w:id="69"/>
      <w:bookmarkEnd w:id="70"/>
      <w:bookmarkEnd w:id="71"/>
      <w:bookmarkEnd w:id="72"/>
      <w:bookmarkEnd w:id="73"/>
      <w:bookmarkEnd w:id="74"/>
    </w:p>
    <w:p>
      <w:pPr>
        <w:jc w:val="center"/>
        <w:rPr>
          <w:rFonts w:ascii="宋体" w:hAnsi="宋体" w:cs="宋体"/>
          <w:strike w:val="0"/>
          <w:sz w:val="28"/>
          <w:szCs w:val="28"/>
          <w:highlight w:val="none"/>
        </w:rPr>
      </w:pPr>
    </w:p>
    <w:p>
      <w:pPr>
        <w:pStyle w:val="24"/>
        <w:ind w:left="1260"/>
        <w:rPr>
          <w:rFonts w:ascii="宋体" w:hAnsi="宋体" w:cs="宋体"/>
          <w:strike w:val="0"/>
          <w:highlight w:val="none"/>
        </w:rPr>
      </w:pPr>
    </w:p>
    <w:p>
      <w:pPr>
        <w:pStyle w:val="24"/>
        <w:ind w:left="1260"/>
        <w:rPr>
          <w:rFonts w:ascii="宋体" w:hAnsi="宋体" w:cs="宋体"/>
          <w:strike w:val="0"/>
          <w:sz w:val="28"/>
          <w:szCs w:val="28"/>
          <w:highlight w:val="none"/>
        </w:rPr>
      </w:pPr>
    </w:p>
    <w:p>
      <w:pPr>
        <w:rPr>
          <w:rFonts w:ascii="宋体" w:hAnsi="宋体" w:cs="宋体"/>
          <w:strike w:val="0"/>
          <w:highlight w:val="none"/>
        </w:rPr>
      </w:pPr>
    </w:p>
    <w:p>
      <w:pPr>
        <w:jc w:val="center"/>
        <w:rPr>
          <w:rFonts w:ascii="宋体" w:hAnsi="宋体" w:cs="宋体"/>
          <w:strike w:val="0"/>
          <w:sz w:val="28"/>
          <w:szCs w:val="28"/>
          <w:highlight w:val="none"/>
        </w:rPr>
      </w:pPr>
    </w:p>
    <w:p>
      <w:pPr>
        <w:jc w:val="center"/>
        <w:rPr>
          <w:rFonts w:ascii="宋体" w:hAnsi="宋体" w:cs="宋体"/>
          <w:strike w:val="0"/>
          <w:sz w:val="20"/>
          <w:szCs w:val="20"/>
          <w:highlight w:val="none"/>
        </w:rPr>
      </w:pPr>
      <w:r>
        <w:rPr>
          <w:rFonts w:hint="eastAsia" w:ascii="宋体" w:hAnsi="宋体" w:cs="宋体"/>
          <w:strike w:val="0"/>
          <w:sz w:val="28"/>
          <w:szCs w:val="28"/>
          <w:highlight w:val="none"/>
        </w:rPr>
        <w:t>（项目名称）</w:t>
      </w:r>
    </w:p>
    <w:p>
      <w:pPr>
        <w:jc w:val="center"/>
        <w:rPr>
          <w:rFonts w:ascii="宋体" w:hAnsi="宋体" w:cs="宋体"/>
          <w:strike w:val="0"/>
          <w:sz w:val="20"/>
          <w:szCs w:val="20"/>
          <w:highlight w:val="none"/>
        </w:rPr>
      </w:pPr>
    </w:p>
    <w:p>
      <w:pPr>
        <w:rPr>
          <w:rFonts w:ascii="宋体" w:hAnsi="宋体" w:cs="宋体"/>
          <w:strike w:val="0"/>
          <w:sz w:val="20"/>
          <w:szCs w:val="20"/>
          <w:highlight w:val="none"/>
        </w:rPr>
      </w:pPr>
    </w:p>
    <w:p>
      <w:pPr>
        <w:jc w:val="center"/>
        <w:rPr>
          <w:rFonts w:ascii="宋体" w:hAnsi="宋体" w:cs="宋体"/>
          <w:strike w:val="0"/>
          <w:sz w:val="44"/>
          <w:szCs w:val="44"/>
          <w:highlight w:val="none"/>
        </w:rPr>
      </w:pPr>
      <w:r>
        <w:rPr>
          <w:rFonts w:hint="eastAsia" w:ascii="宋体" w:hAnsi="宋体" w:cs="宋体"/>
          <w:strike w:val="0"/>
          <w:sz w:val="44"/>
          <w:szCs w:val="44"/>
          <w:highlight w:val="none"/>
        </w:rPr>
        <w:t>投标文件</w:t>
      </w:r>
    </w:p>
    <w:p>
      <w:pPr>
        <w:rPr>
          <w:rFonts w:ascii="宋体" w:hAnsi="宋体" w:cs="宋体"/>
          <w:strike w:val="0"/>
          <w:sz w:val="28"/>
          <w:szCs w:val="28"/>
          <w:highlight w:val="none"/>
        </w:rPr>
      </w:pPr>
    </w:p>
    <w:p>
      <w:pPr>
        <w:rPr>
          <w:rFonts w:ascii="宋体" w:hAnsi="宋体" w:cs="宋体"/>
          <w:strike w:val="0"/>
          <w:sz w:val="28"/>
          <w:szCs w:val="28"/>
          <w:highlight w:val="none"/>
        </w:rPr>
      </w:pPr>
    </w:p>
    <w:p>
      <w:pPr>
        <w:rPr>
          <w:rFonts w:ascii="宋体" w:hAnsi="宋体" w:cs="宋体"/>
          <w:strike w:val="0"/>
          <w:sz w:val="28"/>
          <w:szCs w:val="28"/>
          <w:highlight w:val="none"/>
        </w:rPr>
      </w:pPr>
    </w:p>
    <w:p>
      <w:pPr>
        <w:rPr>
          <w:rFonts w:ascii="宋体" w:hAnsi="宋体" w:cs="宋体"/>
          <w:strike w:val="0"/>
          <w:sz w:val="28"/>
          <w:szCs w:val="28"/>
          <w:highlight w:val="none"/>
        </w:rPr>
      </w:pPr>
    </w:p>
    <w:p>
      <w:pPr>
        <w:rPr>
          <w:rFonts w:ascii="宋体" w:hAnsi="宋体" w:cs="宋体"/>
          <w:strike w:val="0"/>
          <w:sz w:val="28"/>
          <w:szCs w:val="28"/>
          <w:highlight w:val="none"/>
        </w:rPr>
      </w:pPr>
    </w:p>
    <w:p>
      <w:pPr>
        <w:rPr>
          <w:rFonts w:ascii="宋体" w:hAnsi="宋体" w:cs="宋体"/>
          <w:strike w:val="0"/>
          <w:sz w:val="28"/>
          <w:szCs w:val="28"/>
          <w:highlight w:val="none"/>
        </w:rPr>
      </w:pPr>
    </w:p>
    <w:p>
      <w:pPr>
        <w:pStyle w:val="24"/>
        <w:ind w:left="1260"/>
        <w:rPr>
          <w:rFonts w:ascii="宋体" w:hAnsi="宋体" w:cs="宋体"/>
          <w:strike w:val="0"/>
          <w:highlight w:val="none"/>
        </w:rPr>
      </w:pPr>
    </w:p>
    <w:p>
      <w:pPr>
        <w:rPr>
          <w:rFonts w:ascii="宋体" w:hAnsi="宋体" w:cs="宋体"/>
          <w:strike w:val="0"/>
          <w:highlight w:val="none"/>
        </w:rPr>
      </w:pPr>
    </w:p>
    <w:p>
      <w:pPr>
        <w:rPr>
          <w:rFonts w:ascii="宋体" w:hAnsi="宋体" w:cs="宋体"/>
          <w:strike w:val="0"/>
          <w:sz w:val="28"/>
          <w:szCs w:val="28"/>
          <w:highlight w:val="none"/>
        </w:rPr>
      </w:pPr>
    </w:p>
    <w:p>
      <w:pPr>
        <w:jc w:val="center"/>
        <w:rPr>
          <w:rFonts w:ascii="宋体" w:hAnsi="宋体" w:cs="宋体"/>
          <w:strike w:val="0"/>
          <w:sz w:val="28"/>
          <w:szCs w:val="28"/>
          <w:highlight w:val="none"/>
          <w:u w:val="single"/>
        </w:rPr>
      </w:pPr>
      <w:r>
        <w:rPr>
          <w:rFonts w:hint="eastAsia" w:ascii="宋体" w:hAnsi="宋体" w:cs="宋体"/>
          <w:strike w:val="0"/>
          <w:sz w:val="28"/>
          <w:szCs w:val="28"/>
          <w:highlight w:val="none"/>
        </w:rPr>
        <w:t>供应商：（盖单位章）</w:t>
      </w:r>
    </w:p>
    <w:p>
      <w:pPr>
        <w:jc w:val="center"/>
        <w:rPr>
          <w:rFonts w:ascii="宋体" w:hAnsi="宋体" w:cs="宋体"/>
          <w:strike w:val="0"/>
          <w:sz w:val="28"/>
          <w:szCs w:val="28"/>
          <w:highlight w:val="none"/>
        </w:rPr>
      </w:pPr>
      <w:r>
        <w:rPr>
          <w:rFonts w:hint="eastAsia" w:ascii="宋体" w:hAnsi="宋体" w:cs="宋体"/>
          <w:strike w:val="0"/>
          <w:sz w:val="28"/>
          <w:szCs w:val="28"/>
          <w:highlight w:val="none"/>
        </w:rPr>
        <w:t>法定代表人或其委托代理人：（签字）</w:t>
      </w:r>
    </w:p>
    <w:p>
      <w:pPr>
        <w:jc w:val="center"/>
        <w:rPr>
          <w:rFonts w:ascii="宋体" w:hAnsi="宋体" w:cs="宋体"/>
          <w:strike w:val="0"/>
          <w:sz w:val="28"/>
          <w:szCs w:val="28"/>
          <w:highlight w:val="none"/>
        </w:rPr>
      </w:pPr>
      <w:r>
        <w:rPr>
          <w:rFonts w:hint="eastAsia" w:ascii="宋体" w:hAnsi="宋体" w:cs="宋体"/>
          <w:strike w:val="0"/>
          <w:sz w:val="28"/>
          <w:szCs w:val="28"/>
          <w:highlight w:val="none"/>
        </w:rPr>
        <w:t>年月日</w:t>
      </w:r>
    </w:p>
    <w:p>
      <w:pPr>
        <w:widowControl/>
        <w:jc w:val="center"/>
        <w:rPr>
          <w:rFonts w:ascii="宋体" w:hAnsi="宋体" w:cs="宋体"/>
          <w:strike w:val="0"/>
          <w:sz w:val="32"/>
          <w:szCs w:val="32"/>
          <w:highlight w:val="none"/>
        </w:rPr>
      </w:pPr>
      <w:r>
        <w:rPr>
          <w:rFonts w:hint="eastAsia" w:ascii="宋体" w:hAnsi="宋体" w:cs="宋体"/>
          <w:strike w:val="0"/>
          <w:sz w:val="28"/>
          <w:szCs w:val="28"/>
          <w:highlight w:val="none"/>
        </w:rPr>
        <w:br w:type="page"/>
      </w:r>
      <w:r>
        <w:rPr>
          <w:rFonts w:hint="eastAsia" w:ascii="宋体" w:hAnsi="宋体" w:cs="宋体"/>
          <w:strike w:val="0"/>
          <w:sz w:val="32"/>
          <w:szCs w:val="32"/>
          <w:highlight w:val="none"/>
        </w:rPr>
        <w:t>目录</w:t>
      </w:r>
    </w:p>
    <w:p>
      <w:pPr>
        <w:jc w:val="center"/>
        <w:rPr>
          <w:rFonts w:ascii="宋体" w:hAnsi="宋体" w:cs="宋体"/>
          <w:strike w:val="0"/>
          <w:szCs w:val="21"/>
          <w:highlight w:val="none"/>
        </w:rPr>
      </w:pPr>
      <w:r>
        <w:rPr>
          <w:rFonts w:hint="eastAsia" w:ascii="宋体" w:hAnsi="宋体" w:cs="宋体"/>
          <w:strike w:val="0"/>
          <w:szCs w:val="21"/>
          <w:highlight w:val="none"/>
        </w:rPr>
        <w:t>（注：供应商根据附件顺序编制投标文件并制作目录（须生成页码）</w:t>
      </w:r>
    </w:p>
    <w:p>
      <w:pPr>
        <w:pStyle w:val="4"/>
        <w:keepLines w:val="0"/>
        <w:widowControl/>
        <w:numPr>
          <w:ilvl w:val="1"/>
          <w:numId w:val="0"/>
        </w:numPr>
        <w:spacing w:line="360" w:lineRule="auto"/>
        <w:jc w:val="center"/>
        <w:rPr>
          <w:rFonts w:ascii="宋体" w:hAnsi="宋体" w:cs="宋体"/>
          <w:strike w:val="0"/>
          <w:sz w:val="21"/>
          <w:szCs w:val="21"/>
          <w:highlight w:val="none"/>
        </w:rPr>
      </w:pPr>
      <w:r>
        <w:rPr>
          <w:rFonts w:hint="eastAsia" w:ascii="宋体" w:hAnsi="宋体" w:cs="宋体"/>
          <w:strike w:val="0"/>
          <w:highlight w:val="none"/>
        </w:rPr>
        <w:br w:type="page"/>
      </w:r>
      <w:bookmarkStart w:id="75" w:name="_Toc8572"/>
      <w:r>
        <w:rPr>
          <w:rFonts w:hint="eastAsia" w:ascii="宋体" w:hAnsi="宋体" w:cs="宋体"/>
          <w:strike w:val="0"/>
          <w:sz w:val="21"/>
          <w:szCs w:val="21"/>
          <w:highlight w:val="none"/>
        </w:rPr>
        <w:t>评审索引表</w:t>
      </w:r>
      <w:bookmarkEnd w:id="75"/>
    </w:p>
    <w:tbl>
      <w:tblPr>
        <w:tblStyle w:val="49"/>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6"/>
        <w:gridCol w:w="6604"/>
        <w:gridCol w:w="1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6" w:type="dxa"/>
            <w:vAlign w:val="center"/>
          </w:tcPr>
          <w:p>
            <w:pPr>
              <w:widowControl/>
              <w:jc w:val="center"/>
              <w:rPr>
                <w:rFonts w:ascii="宋体" w:hAnsi="宋体" w:cs="宋体"/>
                <w:b/>
                <w:bCs/>
                <w:strike w:val="0"/>
                <w:szCs w:val="21"/>
                <w:highlight w:val="none"/>
              </w:rPr>
            </w:pPr>
            <w:r>
              <w:rPr>
                <w:rFonts w:hint="eastAsia" w:ascii="宋体" w:hAnsi="宋体" w:cs="宋体"/>
                <w:b/>
                <w:bCs/>
                <w:strike w:val="0"/>
                <w:highlight w:val="none"/>
              </w:rPr>
              <w:t>评审项目</w:t>
            </w:r>
          </w:p>
        </w:tc>
        <w:tc>
          <w:tcPr>
            <w:tcW w:w="6604" w:type="dxa"/>
            <w:tcBorders>
              <w:left w:val="nil"/>
            </w:tcBorders>
          </w:tcPr>
          <w:p>
            <w:pPr>
              <w:jc w:val="center"/>
              <w:rPr>
                <w:rFonts w:ascii="宋体" w:hAnsi="宋体" w:cs="宋体"/>
                <w:b/>
                <w:bCs/>
                <w:strike w:val="0"/>
                <w:szCs w:val="21"/>
                <w:highlight w:val="none"/>
              </w:rPr>
            </w:pPr>
            <w:r>
              <w:rPr>
                <w:rFonts w:hint="eastAsia" w:ascii="宋体" w:hAnsi="宋体" w:cs="宋体"/>
                <w:b/>
                <w:bCs/>
                <w:strike w:val="0"/>
                <w:highlight w:val="none"/>
              </w:rPr>
              <w:t>评分要求</w:t>
            </w:r>
          </w:p>
        </w:tc>
        <w:tc>
          <w:tcPr>
            <w:tcW w:w="1524" w:type="dxa"/>
            <w:tcBorders>
              <w:left w:val="nil"/>
            </w:tcBorders>
          </w:tcPr>
          <w:p>
            <w:pPr>
              <w:jc w:val="center"/>
              <w:rPr>
                <w:rFonts w:ascii="宋体" w:hAnsi="宋体" w:cs="宋体"/>
                <w:b/>
                <w:bCs/>
                <w:strike w:val="0"/>
                <w:szCs w:val="21"/>
                <w:highlight w:val="none"/>
              </w:rPr>
            </w:pPr>
            <w:r>
              <w:rPr>
                <w:rFonts w:hint="eastAsia" w:ascii="宋体" w:hAnsi="宋体" w:cs="宋体"/>
                <w:b/>
                <w:bCs/>
                <w:strike w:val="0"/>
                <w:highlight w:val="none"/>
              </w:rPr>
              <w:t>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26" w:type="dxa"/>
            <w:vAlign w:val="center"/>
          </w:tcPr>
          <w:p>
            <w:pPr>
              <w:widowControl/>
              <w:rPr>
                <w:rFonts w:ascii="宋体" w:hAnsi="宋体" w:cs="宋体"/>
                <w:strike w:val="0"/>
                <w:szCs w:val="21"/>
                <w:highlight w:val="none"/>
              </w:rPr>
            </w:pPr>
          </w:p>
        </w:tc>
        <w:tc>
          <w:tcPr>
            <w:tcW w:w="6604" w:type="dxa"/>
            <w:tcBorders>
              <w:left w:val="nil"/>
            </w:tcBorders>
            <w:vAlign w:val="center"/>
          </w:tcPr>
          <w:p>
            <w:pPr>
              <w:rPr>
                <w:rFonts w:ascii="宋体" w:hAnsi="宋体" w:cs="宋体"/>
                <w:strike w:val="0"/>
                <w:szCs w:val="21"/>
                <w:highlight w:val="none"/>
              </w:rPr>
            </w:pPr>
          </w:p>
        </w:tc>
        <w:tc>
          <w:tcPr>
            <w:tcW w:w="1524" w:type="dxa"/>
            <w:tcBorders>
              <w:left w:val="nil"/>
            </w:tcBorders>
          </w:tcPr>
          <w:p>
            <w:pPr>
              <w:widowControl/>
              <w:ind w:left="613"/>
              <w:rPr>
                <w:rFonts w:ascii="宋体" w:hAnsi="宋体" w:cs="宋体"/>
                <w:strike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26" w:type="dxa"/>
            <w:vAlign w:val="center"/>
          </w:tcPr>
          <w:p>
            <w:pPr>
              <w:rPr>
                <w:rFonts w:ascii="宋体" w:hAnsi="宋体" w:cs="宋体"/>
                <w:strike w:val="0"/>
                <w:szCs w:val="21"/>
                <w:highlight w:val="none"/>
              </w:rPr>
            </w:pPr>
          </w:p>
        </w:tc>
        <w:tc>
          <w:tcPr>
            <w:tcW w:w="6604" w:type="dxa"/>
            <w:tcBorders>
              <w:left w:val="nil"/>
            </w:tcBorders>
            <w:vAlign w:val="center"/>
          </w:tcPr>
          <w:p>
            <w:pPr>
              <w:rPr>
                <w:rFonts w:ascii="宋体" w:hAnsi="宋体" w:cs="宋体"/>
                <w:strike w:val="0"/>
                <w:szCs w:val="21"/>
                <w:highlight w:val="none"/>
              </w:rPr>
            </w:pPr>
          </w:p>
        </w:tc>
        <w:tc>
          <w:tcPr>
            <w:tcW w:w="1524" w:type="dxa"/>
            <w:tcBorders>
              <w:left w:val="nil"/>
            </w:tcBorders>
          </w:tcPr>
          <w:p>
            <w:pPr>
              <w:rPr>
                <w:rFonts w:ascii="宋体" w:hAnsi="宋体" w:cs="宋体"/>
                <w:strike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26" w:type="dxa"/>
            <w:vAlign w:val="center"/>
          </w:tcPr>
          <w:p>
            <w:pPr>
              <w:rPr>
                <w:rFonts w:ascii="宋体" w:hAnsi="宋体" w:cs="宋体"/>
                <w:strike w:val="0"/>
                <w:szCs w:val="21"/>
                <w:highlight w:val="none"/>
              </w:rPr>
            </w:pPr>
          </w:p>
        </w:tc>
        <w:tc>
          <w:tcPr>
            <w:tcW w:w="6604" w:type="dxa"/>
            <w:tcBorders>
              <w:left w:val="nil"/>
            </w:tcBorders>
            <w:vAlign w:val="center"/>
          </w:tcPr>
          <w:p>
            <w:pPr>
              <w:rPr>
                <w:rFonts w:ascii="宋体" w:hAnsi="宋体" w:cs="宋体"/>
                <w:strike w:val="0"/>
                <w:szCs w:val="21"/>
                <w:highlight w:val="none"/>
              </w:rPr>
            </w:pPr>
          </w:p>
        </w:tc>
        <w:tc>
          <w:tcPr>
            <w:tcW w:w="1524" w:type="dxa"/>
            <w:tcBorders>
              <w:left w:val="nil"/>
            </w:tcBorders>
          </w:tcPr>
          <w:p>
            <w:pPr>
              <w:rPr>
                <w:rFonts w:ascii="宋体" w:hAnsi="宋体" w:cs="宋体"/>
                <w:strike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26" w:type="dxa"/>
            <w:vAlign w:val="center"/>
          </w:tcPr>
          <w:p>
            <w:pPr>
              <w:rPr>
                <w:rFonts w:ascii="宋体" w:hAnsi="宋体" w:cs="宋体"/>
                <w:strike w:val="0"/>
                <w:szCs w:val="21"/>
                <w:highlight w:val="none"/>
              </w:rPr>
            </w:pPr>
          </w:p>
        </w:tc>
        <w:tc>
          <w:tcPr>
            <w:tcW w:w="6604" w:type="dxa"/>
            <w:tcBorders>
              <w:left w:val="nil"/>
            </w:tcBorders>
            <w:vAlign w:val="center"/>
          </w:tcPr>
          <w:p>
            <w:pPr>
              <w:rPr>
                <w:rFonts w:ascii="宋体" w:hAnsi="宋体" w:cs="宋体"/>
                <w:strike w:val="0"/>
                <w:szCs w:val="21"/>
                <w:highlight w:val="none"/>
              </w:rPr>
            </w:pPr>
          </w:p>
        </w:tc>
        <w:tc>
          <w:tcPr>
            <w:tcW w:w="1524" w:type="dxa"/>
            <w:tcBorders>
              <w:left w:val="nil"/>
            </w:tcBorders>
          </w:tcPr>
          <w:p>
            <w:pPr>
              <w:rPr>
                <w:rFonts w:ascii="宋体" w:hAnsi="宋体" w:cs="宋体"/>
                <w:strike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26" w:type="dxa"/>
            <w:vAlign w:val="center"/>
          </w:tcPr>
          <w:p>
            <w:pPr>
              <w:rPr>
                <w:rFonts w:ascii="宋体" w:hAnsi="宋体" w:cs="宋体"/>
                <w:strike w:val="0"/>
                <w:szCs w:val="21"/>
                <w:highlight w:val="none"/>
              </w:rPr>
            </w:pPr>
          </w:p>
        </w:tc>
        <w:tc>
          <w:tcPr>
            <w:tcW w:w="6604" w:type="dxa"/>
            <w:tcBorders>
              <w:left w:val="nil"/>
            </w:tcBorders>
            <w:vAlign w:val="center"/>
          </w:tcPr>
          <w:p>
            <w:pPr>
              <w:rPr>
                <w:rFonts w:ascii="宋体" w:hAnsi="宋体" w:cs="宋体"/>
                <w:strike w:val="0"/>
                <w:szCs w:val="21"/>
                <w:highlight w:val="none"/>
              </w:rPr>
            </w:pPr>
          </w:p>
        </w:tc>
        <w:tc>
          <w:tcPr>
            <w:tcW w:w="1524" w:type="dxa"/>
            <w:tcBorders>
              <w:left w:val="nil"/>
            </w:tcBorders>
          </w:tcPr>
          <w:p>
            <w:pPr>
              <w:rPr>
                <w:rFonts w:ascii="宋体" w:hAnsi="宋体" w:cs="宋体"/>
                <w:strike w:val="0"/>
                <w:szCs w:val="21"/>
                <w:highlight w:val="none"/>
              </w:rPr>
            </w:pPr>
          </w:p>
        </w:tc>
      </w:tr>
    </w:tbl>
    <w:p>
      <w:pPr>
        <w:spacing w:line="440" w:lineRule="exact"/>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
        <w:rPr>
          <w:rFonts w:ascii="宋体" w:hAnsi="宋体" w:cs="宋体"/>
          <w:strike w:val="0"/>
          <w:highlight w:val="none"/>
        </w:rPr>
      </w:pPr>
      <w:bookmarkStart w:id="76" w:name="_Toc6058"/>
      <w:r>
        <w:rPr>
          <w:rFonts w:hint="eastAsia" w:ascii="宋体" w:hAnsi="宋体" w:cs="宋体"/>
          <w:strike w:val="0"/>
          <w:highlight w:val="none"/>
        </w:rPr>
        <w:t>附件一、投标申请及声明格式</w:t>
      </w:r>
      <w:bookmarkEnd w:id="76"/>
    </w:p>
    <w:p>
      <w:pPr>
        <w:widowControl/>
        <w:shd w:val="clear" w:color="auto" w:fill="FFFFFF"/>
        <w:jc w:val="center"/>
        <w:rPr>
          <w:rFonts w:ascii="宋体" w:hAnsi="宋体" w:cs="宋体"/>
          <w:b/>
          <w:strike w:val="0"/>
          <w:kern w:val="0"/>
          <w:szCs w:val="21"/>
          <w:highlight w:val="none"/>
        </w:rPr>
      </w:pPr>
      <w:r>
        <w:rPr>
          <w:rFonts w:hint="eastAsia" w:ascii="宋体" w:hAnsi="宋体" w:cs="宋体"/>
          <w:b/>
          <w:strike w:val="0"/>
          <w:kern w:val="0"/>
          <w:sz w:val="36"/>
          <w:szCs w:val="36"/>
          <w:highlight w:val="none"/>
        </w:rPr>
        <w:t>投标申请及声明</w:t>
      </w:r>
    </w:p>
    <w:p>
      <w:pPr>
        <w:widowControl/>
        <w:shd w:val="clear" w:color="auto" w:fill="FFFFFF"/>
        <w:spacing w:line="400" w:lineRule="exact"/>
        <w:rPr>
          <w:rFonts w:ascii="宋体" w:hAnsi="宋体" w:cs="宋体"/>
          <w:strike w:val="0"/>
          <w:kern w:val="0"/>
          <w:szCs w:val="21"/>
          <w:highlight w:val="none"/>
        </w:rPr>
      </w:pPr>
      <w:r>
        <w:rPr>
          <w:rFonts w:hint="eastAsia" w:ascii="宋体" w:hAnsi="宋体" w:cs="宋体"/>
          <w:strike w:val="0"/>
          <w:kern w:val="0"/>
          <w:szCs w:val="21"/>
          <w:highlight w:val="none"/>
        </w:rPr>
        <w:t>致：江苏省设备成套股份有限公司</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根据贵方</w:t>
      </w:r>
      <w:r>
        <w:rPr>
          <w:rFonts w:hint="eastAsia" w:ascii="宋体" w:hAnsi="宋体" w:cs="宋体"/>
          <w:b/>
          <w:bCs/>
          <w:strike w:val="0"/>
          <w:kern w:val="0"/>
          <w:szCs w:val="21"/>
          <w:highlight w:val="none"/>
          <w:u w:val="single"/>
        </w:rPr>
        <w:t>（</w:t>
      </w:r>
      <w:r>
        <w:rPr>
          <w:rFonts w:hint="eastAsia" w:ascii="宋体" w:hAnsi="宋体" w:cs="宋体"/>
          <w:strike w:val="0"/>
          <w:kern w:val="0"/>
          <w:szCs w:val="21"/>
          <w:highlight w:val="none"/>
        </w:rPr>
        <w:t>项目名称）（项目编号）投标邀请，正式授权下述签字人(姓名和职务)代表供应商（供应商名称），提交投标文件。</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据此函，签字人兹宣布声明和承诺如下：</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1、</w:t>
      </w:r>
      <w:r>
        <w:rPr>
          <w:rFonts w:hint="eastAsia" w:ascii="宋体" w:hAnsi="宋体" w:cs="宋体"/>
          <w:b/>
          <w:bCs/>
          <w:strike w:val="0"/>
          <w:kern w:val="0"/>
          <w:szCs w:val="21"/>
          <w:highlight w:val="none"/>
        </w:rPr>
        <w:t>我们的资格条件完全符合政府采购法和本次招标要求</w:t>
      </w:r>
      <w:r>
        <w:rPr>
          <w:rFonts w:hint="eastAsia" w:ascii="宋体" w:hAnsi="宋体" w:cs="宋体"/>
          <w:strike w:val="0"/>
          <w:kern w:val="0"/>
          <w:szCs w:val="21"/>
          <w:highlight w:val="none"/>
        </w:rPr>
        <w:t>，我们同意并向贵方提供了与投标有关的所有证据和资料。</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2、按招标要求，我们的投标总报价为（大写）      元人民币。</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3、本项目交付时间为：。</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4、我们已详细阅读全部招标文件及其有效补充文件，我们放弃对招标文件任何误解的权利，提交投标文件后，</w:t>
      </w:r>
      <w:r>
        <w:rPr>
          <w:rFonts w:hint="eastAsia" w:ascii="宋体" w:hAnsi="宋体" w:cs="宋体"/>
          <w:b/>
          <w:bCs/>
          <w:strike w:val="0"/>
          <w:kern w:val="0"/>
          <w:szCs w:val="21"/>
          <w:highlight w:val="none"/>
        </w:rPr>
        <w:t>不对招标文件本身提出质疑</w:t>
      </w:r>
      <w:r>
        <w:rPr>
          <w:rFonts w:hint="eastAsia" w:ascii="宋体" w:hAnsi="宋体" w:cs="宋体"/>
          <w:strike w:val="0"/>
          <w:kern w:val="0"/>
          <w:szCs w:val="21"/>
          <w:highlight w:val="none"/>
        </w:rPr>
        <w:t>。</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5、我们同意从规定的开标日期起遵循本投标文件，并在规定的投标有效期期满之前均具有约束力。</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cs="宋体"/>
          <w:strike w:val="0"/>
          <w:highlight w:val="none"/>
        </w:rPr>
        <w:t>贵方组织的其他采购方式采购</w:t>
      </w:r>
      <w:r>
        <w:rPr>
          <w:rFonts w:hint="eastAsia" w:ascii="宋体" w:hAnsi="宋体" w:cs="宋体"/>
          <w:strike w:val="0"/>
          <w:kern w:val="0"/>
          <w:szCs w:val="21"/>
          <w:highlight w:val="none"/>
        </w:rPr>
        <w:t>。</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7、一旦我方中标，我方将根据招标文件的规定严格履行合同，并保证于承诺的时间完成货物的启动/集成、调试等服务，交付采购人验收、使用。</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9、与本投标有关的正式联系方式为：</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地址：</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电话：</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传真：</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开户银行：</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银行账号：</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供应商授权代表姓名（签字）：</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供应商名称：（盖章）</w:t>
      </w:r>
    </w:p>
    <w:p>
      <w:pPr>
        <w:widowControl/>
        <w:shd w:val="clear" w:color="auto" w:fill="FFFFFF"/>
        <w:spacing w:line="400" w:lineRule="exact"/>
        <w:ind w:firstLine="420"/>
        <w:rPr>
          <w:rFonts w:ascii="宋体" w:hAnsi="宋体" w:cs="宋体"/>
          <w:strike w:val="0"/>
          <w:kern w:val="0"/>
          <w:szCs w:val="21"/>
          <w:highlight w:val="none"/>
        </w:rPr>
      </w:pPr>
      <w:r>
        <w:rPr>
          <w:rFonts w:hint="eastAsia" w:ascii="宋体" w:hAnsi="宋体" w:cs="宋体"/>
          <w:strike w:val="0"/>
          <w:kern w:val="0"/>
          <w:szCs w:val="21"/>
          <w:highlight w:val="none"/>
        </w:rPr>
        <w:t>日期：年月日</w:t>
      </w:r>
    </w:p>
    <w:p>
      <w:pPr>
        <w:pStyle w:val="4"/>
        <w:rPr>
          <w:rFonts w:ascii="宋体" w:hAnsi="宋体" w:cs="宋体"/>
          <w:strike w:val="0"/>
          <w:kern w:val="0"/>
          <w:szCs w:val="21"/>
          <w:highlight w:val="none"/>
        </w:rPr>
      </w:pPr>
      <w:r>
        <w:rPr>
          <w:rFonts w:hint="eastAsia" w:ascii="宋体" w:hAnsi="宋体" w:cs="宋体"/>
          <w:bCs/>
          <w:strike w:val="0"/>
          <w:kern w:val="0"/>
          <w:szCs w:val="21"/>
          <w:highlight w:val="none"/>
        </w:rPr>
        <w:br w:type="page"/>
      </w:r>
      <w:bookmarkStart w:id="77" w:name="_Toc29901"/>
      <w:bookmarkStart w:id="78" w:name="_Toc26810"/>
      <w:r>
        <w:rPr>
          <w:rFonts w:hint="eastAsia" w:ascii="宋体" w:hAnsi="宋体" w:cs="宋体"/>
          <w:bCs/>
          <w:strike w:val="0"/>
          <w:kern w:val="0"/>
          <w:szCs w:val="21"/>
          <w:highlight w:val="none"/>
          <w:lang w:val="zh-CN"/>
        </w:rPr>
        <w:t>附件二、报价表</w:t>
      </w:r>
      <w:bookmarkEnd w:id="77"/>
      <w:bookmarkEnd w:id="78"/>
    </w:p>
    <w:p>
      <w:pPr>
        <w:autoSpaceDE w:val="0"/>
        <w:autoSpaceDN w:val="0"/>
        <w:adjustRightInd w:val="0"/>
        <w:rPr>
          <w:rFonts w:ascii="宋体" w:hAnsi="宋体" w:cs="宋体"/>
          <w:b/>
          <w:bCs/>
          <w:strike w:val="0"/>
          <w:highlight w:val="none"/>
          <w:lang w:val="zh-CN"/>
        </w:rPr>
      </w:pPr>
    </w:p>
    <w:p>
      <w:pPr>
        <w:jc w:val="center"/>
        <w:rPr>
          <w:rFonts w:ascii="宋体" w:hAnsi="宋体" w:cs="宋体"/>
          <w:b/>
          <w:strike w:val="0"/>
          <w:sz w:val="36"/>
          <w:szCs w:val="36"/>
          <w:highlight w:val="none"/>
        </w:rPr>
      </w:pPr>
      <w:r>
        <w:rPr>
          <w:rFonts w:hint="eastAsia" w:ascii="宋体" w:hAnsi="宋体" w:cs="宋体"/>
          <w:b/>
          <w:strike w:val="0"/>
          <w:sz w:val="36"/>
          <w:szCs w:val="36"/>
          <w:highlight w:val="none"/>
        </w:rPr>
        <w:t>开标一览表</w:t>
      </w:r>
    </w:p>
    <w:p>
      <w:pPr>
        <w:widowControl/>
        <w:shd w:val="clear" w:color="auto" w:fill="FFFFFF"/>
        <w:jc w:val="center"/>
        <w:rPr>
          <w:rFonts w:ascii="宋体" w:hAnsi="宋体" w:cs="宋体"/>
          <w:strike w:val="0"/>
          <w:kern w:val="0"/>
          <w:sz w:val="24"/>
          <w:highlight w:val="none"/>
        </w:rPr>
      </w:pPr>
    </w:p>
    <w:p>
      <w:pPr>
        <w:pStyle w:val="14"/>
        <w:spacing w:line="440" w:lineRule="exact"/>
        <w:ind w:firstLine="474" w:firstLineChars="225"/>
        <w:rPr>
          <w:rFonts w:ascii="宋体" w:hAnsi="宋体" w:cs="宋体"/>
          <w:strike w:val="0"/>
          <w:sz w:val="21"/>
          <w:szCs w:val="21"/>
          <w:highlight w:val="none"/>
        </w:rPr>
      </w:pPr>
      <w:r>
        <w:rPr>
          <w:rFonts w:hint="eastAsia" w:ascii="宋体" w:hAnsi="宋体" w:cs="宋体"/>
          <w:strike w:val="0"/>
          <w:sz w:val="21"/>
          <w:szCs w:val="21"/>
          <w:highlight w:val="none"/>
        </w:rPr>
        <w:t>项目名称：</w:t>
      </w:r>
    </w:p>
    <w:p>
      <w:pPr>
        <w:pStyle w:val="14"/>
        <w:spacing w:line="440" w:lineRule="exact"/>
        <w:ind w:firstLine="474" w:firstLineChars="225"/>
        <w:rPr>
          <w:rFonts w:ascii="宋体" w:hAnsi="宋体" w:cs="宋体"/>
          <w:strike w:val="0"/>
          <w:sz w:val="21"/>
          <w:szCs w:val="21"/>
          <w:highlight w:val="none"/>
        </w:rPr>
      </w:pPr>
      <w:r>
        <w:rPr>
          <w:rFonts w:hint="eastAsia" w:ascii="宋体" w:hAnsi="宋体" w:cs="宋体"/>
          <w:strike w:val="0"/>
          <w:sz w:val="21"/>
          <w:szCs w:val="21"/>
          <w:highlight w:val="none"/>
        </w:rPr>
        <w:t>项目编号：</w:t>
      </w:r>
    </w:p>
    <w:tbl>
      <w:tblPr>
        <w:tblStyle w:val="49"/>
        <w:tblW w:w="7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6"/>
        <w:gridCol w:w="5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7" w:hRule="atLeast"/>
          <w:jc w:val="center"/>
        </w:trPr>
        <w:tc>
          <w:tcPr>
            <w:tcW w:w="2606" w:type="dxa"/>
            <w:shd w:val="clear" w:color="auto" w:fill="auto"/>
            <w:vAlign w:val="center"/>
          </w:tcPr>
          <w:p>
            <w:pPr>
              <w:adjustRightInd w:val="0"/>
              <w:snapToGrid w:val="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年度投标报价 </w:t>
            </w:r>
          </w:p>
          <w:p>
            <w:pPr>
              <w:adjustRightInd w:val="0"/>
              <w:snapToGrid w:val="0"/>
              <w:jc w:val="center"/>
              <w:rPr>
                <w:rFonts w:hint="eastAsia" w:ascii="宋体" w:hAnsi="宋体" w:eastAsia="宋体" w:cs="宋体"/>
                <w:b/>
                <w:kern w:val="2"/>
                <w:sz w:val="21"/>
                <w:szCs w:val="21"/>
                <w:highlight w:val="none"/>
                <w:lang w:val="en-US" w:eastAsia="zh-CN" w:bidi="ar-SA"/>
              </w:rPr>
            </w:pPr>
            <w:r>
              <w:rPr>
                <w:rFonts w:hint="eastAsia" w:ascii="宋体" w:hAnsi="宋体" w:eastAsia="宋体" w:cs="宋体"/>
                <w:b/>
                <w:sz w:val="21"/>
                <w:szCs w:val="21"/>
                <w:highlight w:val="none"/>
              </w:rPr>
              <w:t>（元/年）</w:t>
            </w:r>
          </w:p>
        </w:tc>
        <w:tc>
          <w:tcPr>
            <w:tcW w:w="5286" w:type="dxa"/>
            <w:shd w:val="clear" w:color="auto" w:fill="auto"/>
            <w:vAlign w:val="center"/>
          </w:tcPr>
          <w:p>
            <w:pPr>
              <w:pStyle w:val="20"/>
              <w:adjustRightInd w:val="0"/>
              <w:snapToGrid w:val="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大写（人民币）：</w:t>
            </w:r>
          </w:p>
          <w:p>
            <w:pPr>
              <w:pStyle w:val="20"/>
              <w:adjustRightInd w:val="0"/>
              <w:snapToGrid w:val="0"/>
              <w:jc w:val="left"/>
              <w:rPr>
                <w:rFonts w:hint="eastAsia" w:ascii="宋体" w:hAnsi="宋体" w:eastAsia="宋体" w:cs="宋体"/>
                <w:sz w:val="21"/>
                <w:szCs w:val="21"/>
                <w:highlight w:val="none"/>
              </w:rPr>
            </w:pPr>
          </w:p>
          <w:p>
            <w:pPr>
              <w:adjustRightInd w:val="0"/>
              <w:snapToGrid w:val="0"/>
              <w:jc w:val="left"/>
              <w:rPr>
                <w:rFonts w:hint="eastAsia" w:ascii="宋体" w:hAnsi="宋体" w:eastAsia="宋体" w:cs="宋体"/>
                <w:b/>
                <w:kern w:val="2"/>
                <w:sz w:val="21"/>
                <w:szCs w:val="21"/>
                <w:highlight w:val="none"/>
                <w:lang w:val="en-US" w:eastAsia="zh-CN" w:bidi="ar-SA"/>
              </w:rPr>
            </w:pPr>
            <w:r>
              <w:rPr>
                <w:rFonts w:hint="eastAsia" w:ascii="宋体" w:hAnsi="宋体" w:eastAsia="宋体" w:cs="宋体"/>
                <w:b/>
                <w:sz w:val="21"/>
                <w:szCs w:val="21"/>
                <w:highlight w:val="none"/>
              </w:rPr>
              <w:t>小写（人民币）：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7" w:hRule="atLeast"/>
          <w:jc w:val="center"/>
        </w:trPr>
        <w:tc>
          <w:tcPr>
            <w:tcW w:w="2606" w:type="dxa"/>
            <w:shd w:val="clear" w:color="auto" w:fill="auto"/>
            <w:vAlign w:val="center"/>
          </w:tcPr>
          <w:p>
            <w:pPr>
              <w:adjustRightInd w:val="0"/>
              <w:snapToGrid w:val="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三</w:t>
            </w:r>
            <w:r>
              <w:rPr>
                <w:rFonts w:hint="eastAsia" w:ascii="宋体" w:hAnsi="宋体" w:eastAsia="宋体" w:cs="宋体"/>
                <w:b/>
                <w:sz w:val="21"/>
                <w:szCs w:val="21"/>
                <w:highlight w:val="none"/>
              </w:rPr>
              <w:t xml:space="preserve">年投标总报价 </w:t>
            </w:r>
          </w:p>
          <w:p>
            <w:pPr>
              <w:adjustRightInd w:val="0"/>
              <w:snapToGrid w:val="0"/>
              <w:jc w:val="center"/>
              <w:rPr>
                <w:rFonts w:hint="eastAsia" w:ascii="宋体" w:hAnsi="宋体" w:eastAsia="宋体" w:cs="宋体"/>
                <w:b/>
                <w:kern w:val="2"/>
                <w:sz w:val="21"/>
                <w:szCs w:val="21"/>
                <w:highlight w:val="none"/>
                <w:lang w:val="en-US" w:eastAsia="zh-CN" w:bidi="ar-SA"/>
              </w:rPr>
            </w:pPr>
            <w:r>
              <w:rPr>
                <w:rFonts w:hint="eastAsia" w:ascii="宋体" w:hAnsi="宋体" w:eastAsia="宋体" w:cs="宋体"/>
                <w:b/>
                <w:sz w:val="21"/>
                <w:szCs w:val="21"/>
                <w:highlight w:val="none"/>
              </w:rPr>
              <w:t>（元）</w:t>
            </w:r>
          </w:p>
        </w:tc>
        <w:tc>
          <w:tcPr>
            <w:tcW w:w="5286" w:type="dxa"/>
            <w:shd w:val="clear" w:color="auto" w:fill="auto"/>
            <w:vAlign w:val="center"/>
          </w:tcPr>
          <w:p>
            <w:pPr>
              <w:pStyle w:val="20"/>
              <w:adjustRightInd w:val="0"/>
              <w:snapToGrid w:val="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大写（人民币）：</w:t>
            </w:r>
          </w:p>
          <w:p>
            <w:pPr>
              <w:pStyle w:val="20"/>
              <w:adjustRightInd w:val="0"/>
              <w:snapToGrid w:val="0"/>
              <w:jc w:val="left"/>
              <w:rPr>
                <w:rFonts w:hint="eastAsia" w:ascii="宋体" w:hAnsi="宋体" w:eastAsia="宋体" w:cs="宋体"/>
                <w:sz w:val="21"/>
                <w:szCs w:val="21"/>
                <w:highlight w:val="none"/>
              </w:rPr>
            </w:pPr>
          </w:p>
          <w:p>
            <w:pPr>
              <w:adjustRightInd w:val="0"/>
              <w:snapToGrid w:val="0"/>
              <w:jc w:val="left"/>
              <w:rPr>
                <w:rFonts w:hint="eastAsia" w:ascii="宋体" w:hAnsi="宋体" w:eastAsia="宋体" w:cs="宋体"/>
                <w:b/>
                <w:kern w:val="2"/>
                <w:sz w:val="21"/>
                <w:szCs w:val="21"/>
                <w:highlight w:val="none"/>
                <w:lang w:val="en-US" w:eastAsia="zh-CN" w:bidi="ar-SA"/>
              </w:rPr>
            </w:pPr>
            <w:r>
              <w:rPr>
                <w:rFonts w:hint="eastAsia" w:ascii="宋体" w:hAnsi="宋体" w:eastAsia="宋体" w:cs="宋体"/>
                <w:b/>
                <w:sz w:val="21"/>
                <w:szCs w:val="21"/>
                <w:highlight w:val="none"/>
              </w:rPr>
              <w:t>小写（人民币）：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2606" w:type="dxa"/>
            <w:vAlign w:val="center"/>
          </w:tcPr>
          <w:p>
            <w:pPr>
              <w:pStyle w:val="14"/>
              <w:ind w:firstLine="0"/>
              <w:rPr>
                <w:rFonts w:ascii="宋体" w:hAnsi="宋体" w:cs="宋体"/>
                <w:strike w:val="0"/>
                <w:sz w:val="21"/>
                <w:szCs w:val="21"/>
                <w:highlight w:val="none"/>
              </w:rPr>
            </w:pPr>
            <w:r>
              <w:rPr>
                <w:rFonts w:hint="eastAsia" w:ascii="宋体" w:hAnsi="宋体" w:cs="宋体"/>
                <w:strike w:val="0"/>
                <w:sz w:val="21"/>
                <w:szCs w:val="21"/>
                <w:highlight w:val="none"/>
                <w:lang w:val="en-US" w:eastAsia="zh-CN"/>
              </w:rPr>
              <w:t>服务</w:t>
            </w:r>
            <w:r>
              <w:rPr>
                <w:rFonts w:hint="eastAsia" w:ascii="宋体" w:hAnsi="宋体" w:cs="宋体"/>
                <w:strike w:val="0"/>
                <w:sz w:val="21"/>
                <w:szCs w:val="21"/>
                <w:highlight w:val="none"/>
              </w:rPr>
              <w:t>期</w:t>
            </w:r>
          </w:p>
        </w:tc>
        <w:tc>
          <w:tcPr>
            <w:tcW w:w="5286" w:type="dxa"/>
            <w:vAlign w:val="center"/>
          </w:tcPr>
          <w:p>
            <w:pPr>
              <w:pStyle w:val="14"/>
              <w:ind w:firstLine="474" w:firstLineChars="225"/>
              <w:rPr>
                <w:rFonts w:ascii="宋体" w:hAnsi="宋体" w:cs="宋体"/>
                <w:strike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606" w:type="dxa"/>
            <w:vAlign w:val="center"/>
          </w:tcPr>
          <w:p>
            <w:pPr>
              <w:pStyle w:val="14"/>
              <w:ind w:firstLine="0" w:firstLineChars="0"/>
              <w:rPr>
                <w:rFonts w:ascii="宋体" w:hAnsi="宋体" w:cs="宋体"/>
                <w:strike w:val="0"/>
                <w:sz w:val="21"/>
                <w:szCs w:val="21"/>
                <w:highlight w:val="none"/>
              </w:rPr>
            </w:pPr>
            <w:r>
              <w:rPr>
                <w:rFonts w:hint="eastAsia" w:ascii="宋体" w:hAnsi="宋体" w:cs="宋体"/>
                <w:sz w:val="21"/>
                <w:szCs w:val="21"/>
                <w:highlight w:val="none"/>
              </w:rPr>
              <w:t>是否由小微企业</w:t>
            </w:r>
            <w:r>
              <w:rPr>
                <w:rFonts w:hint="eastAsia" w:ascii="宋体" w:hAnsi="宋体" w:cs="宋体"/>
                <w:sz w:val="21"/>
                <w:szCs w:val="21"/>
                <w:highlight w:val="none"/>
                <w:lang w:val="en-US" w:eastAsia="zh-CN"/>
              </w:rPr>
              <w:t>提供服务</w:t>
            </w:r>
          </w:p>
        </w:tc>
        <w:tc>
          <w:tcPr>
            <w:tcW w:w="5286" w:type="dxa"/>
            <w:vAlign w:val="center"/>
          </w:tcPr>
          <w:p>
            <w:pPr>
              <w:pStyle w:val="14"/>
              <w:ind w:firstLine="474" w:firstLineChars="225"/>
              <w:rPr>
                <w:rFonts w:ascii="宋体" w:hAnsi="宋体" w:cs="宋体"/>
                <w:strike w:val="0"/>
                <w:sz w:val="21"/>
                <w:szCs w:val="21"/>
                <w:highlight w:val="none"/>
              </w:rPr>
            </w:pPr>
            <w:r>
              <w:rPr>
                <w:rFonts w:hint="eastAsia" w:ascii="宋体" w:hAnsi="宋体" w:cs="宋体"/>
                <w:sz w:val="21"/>
                <w:szCs w:val="21"/>
                <w:highlight w:val="none"/>
              </w:rPr>
              <w:t>（</w:t>
            </w:r>
            <w:r>
              <w:rPr>
                <w:rFonts w:hint="eastAsia" w:ascii="宋体" w:hAnsi="宋体" w:cs="宋体"/>
                <w:sz w:val="21"/>
                <w:szCs w:val="21"/>
                <w:highlight w:val="none"/>
                <w:lang w:val="zh-CN"/>
              </w:rPr>
              <w:t>填写“是”或“否</w:t>
            </w:r>
            <w:r>
              <w:rPr>
                <w:rFonts w:hint="eastAsia" w:ascii="宋体" w:hAnsi="宋体" w:cs="宋体"/>
                <w:sz w:val="21"/>
                <w:szCs w:val="21"/>
                <w:highlight w:val="none"/>
              </w:rPr>
              <w:t>）</w:t>
            </w:r>
          </w:p>
        </w:tc>
      </w:tr>
    </w:tbl>
    <w:p>
      <w:pPr>
        <w:widowControl/>
        <w:shd w:val="clear" w:color="auto" w:fill="FFFFFF"/>
        <w:jc w:val="left"/>
        <w:rPr>
          <w:rFonts w:ascii="宋体" w:hAnsi="宋体" w:cs="宋体"/>
          <w:strike w:val="0"/>
          <w:kern w:val="0"/>
          <w:szCs w:val="21"/>
          <w:highlight w:val="none"/>
        </w:rPr>
      </w:pPr>
    </w:p>
    <w:p>
      <w:pPr>
        <w:widowControl/>
        <w:shd w:val="clear" w:color="auto" w:fill="FFFFFF"/>
        <w:jc w:val="left"/>
        <w:rPr>
          <w:rFonts w:ascii="宋体" w:hAnsi="宋体" w:cs="宋体"/>
          <w:strike w:val="0"/>
          <w:kern w:val="0"/>
          <w:szCs w:val="21"/>
          <w:highlight w:val="none"/>
        </w:rPr>
      </w:pPr>
      <w:r>
        <w:rPr>
          <w:rFonts w:hint="eastAsia" w:ascii="宋体" w:hAnsi="宋体" w:cs="宋体"/>
          <w:strike w:val="0"/>
          <w:kern w:val="0"/>
          <w:szCs w:val="21"/>
          <w:highlight w:val="none"/>
        </w:rPr>
        <w:t>投标单位（盖章）：</w:t>
      </w:r>
    </w:p>
    <w:p>
      <w:pPr>
        <w:widowControl/>
        <w:shd w:val="clear" w:color="auto" w:fill="FFFFFF"/>
        <w:jc w:val="left"/>
        <w:rPr>
          <w:rFonts w:ascii="宋体" w:hAnsi="宋体" w:cs="宋体"/>
          <w:strike w:val="0"/>
          <w:kern w:val="0"/>
          <w:szCs w:val="21"/>
          <w:highlight w:val="none"/>
          <w:u w:val="single"/>
        </w:rPr>
      </w:pPr>
      <w:r>
        <w:rPr>
          <w:rFonts w:hint="eastAsia" w:ascii="宋体" w:hAnsi="宋体" w:cs="宋体"/>
          <w:strike w:val="0"/>
          <w:kern w:val="0"/>
          <w:szCs w:val="21"/>
          <w:highlight w:val="none"/>
        </w:rPr>
        <w:t>授权代表（签字）：</w:t>
      </w:r>
    </w:p>
    <w:p>
      <w:pPr>
        <w:widowControl/>
        <w:shd w:val="clear" w:color="auto" w:fill="FFFFFF"/>
        <w:jc w:val="left"/>
        <w:rPr>
          <w:rFonts w:ascii="宋体" w:hAnsi="宋体" w:cs="宋体"/>
          <w:strike w:val="0"/>
          <w:kern w:val="0"/>
          <w:szCs w:val="21"/>
          <w:highlight w:val="none"/>
        </w:rPr>
      </w:pPr>
    </w:p>
    <w:p>
      <w:pPr>
        <w:widowControl/>
        <w:shd w:val="clear" w:color="auto" w:fill="FFFFFF"/>
        <w:jc w:val="left"/>
        <w:rPr>
          <w:rFonts w:ascii="宋体" w:hAnsi="宋体" w:cs="宋体"/>
          <w:strike w:val="0"/>
          <w:kern w:val="0"/>
          <w:szCs w:val="21"/>
          <w:highlight w:val="none"/>
        </w:rPr>
      </w:pPr>
      <w:r>
        <w:rPr>
          <w:rFonts w:hint="eastAsia" w:ascii="宋体" w:hAnsi="宋体" w:cs="宋体"/>
          <w:strike w:val="0"/>
          <w:kern w:val="0"/>
          <w:szCs w:val="21"/>
          <w:highlight w:val="none"/>
        </w:rPr>
        <w:t>说明：</w:t>
      </w:r>
    </w:p>
    <w:p>
      <w:pPr>
        <w:widowControl/>
        <w:numPr>
          <w:ilvl w:val="0"/>
          <w:numId w:val="6"/>
        </w:numPr>
        <w:shd w:val="clear" w:color="auto" w:fill="FFFFFF"/>
        <w:spacing w:line="360" w:lineRule="auto"/>
        <w:ind w:firstLine="422" w:firstLineChars="200"/>
        <w:jc w:val="left"/>
        <w:rPr>
          <w:rFonts w:ascii="宋体" w:hAnsi="宋体" w:cs="宋体"/>
          <w:b/>
          <w:bCs/>
          <w:strike w:val="0"/>
          <w:kern w:val="0"/>
          <w:szCs w:val="21"/>
          <w:highlight w:val="none"/>
        </w:rPr>
      </w:pPr>
      <w:r>
        <w:rPr>
          <w:rFonts w:hint="eastAsia" w:ascii="宋体" w:hAnsi="宋体" w:cs="宋体"/>
          <w:b/>
          <w:bCs/>
          <w:strike w:val="0"/>
          <w:kern w:val="0"/>
          <w:szCs w:val="21"/>
          <w:highlight w:val="none"/>
        </w:rPr>
        <w:t>本项目仅接受一个价格，不得填报有选择性报价方案。若有优惠条款须注明，但不得影响报价，影响产品整体功能。</w:t>
      </w:r>
    </w:p>
    <w:p>
      <w:pPr>
        <w:autoSpaceDE w:val="0"/>
        <w:autoSpaceDN w:val="0"/>
        <w:adjustRightInd w:val="0"/>
        <w:spacing w:line="360" w:lineRule="auto"/>
        <w:ind w:firstLine="420"/>
        <w:rPr>
          <w:rFonts w:ascii="宋体" w:hAnsi="宋体" w:cs="宋体"/>
          <w:b/>
          <w:bCs/>
          <w:szCs w:val="21"/>
          <w:highlight w:val="none"/>
        </w:rPr>
      </w:pPr>
      <w:r>
        <w:rPr>
          <w:rFonts w:hint="eastAsia" w:ascii="宋体" w:hAnsi="宋体" w:cs="宋体"/>
          <w:b/>
          <w:bCs/>
          <w:szCs w:val="21"/>
          <w:highlight w:val="none"/>
        </w:rPr>
        <w:t>2、“</w:t>
      </w:r>
      <w:r>
        <w:rPr>
          <w:rFonts w:hint="eastAsia" w:ascii="宋体" w:hAnsi="宋体" w:eastAsia="宋体" w:cs="宋体"/>
          <w:b/>
          <w:bCs/>
          <w:sz w:val="21"/>
          <w:szCs w:val="21"/>
          <w:highlight w:val="none"/>
        </w:rPr>
        <w:t>是否由小微企业</w:t>
      </w:r>
      <w:r>
        <w:rPr>
          <w:rFonts w:hint="eastAsia" w:ascii="宋体" w:hAnsi="宋体" w:eastAsia="宋体" w:cs="宋体"/>
          <w:b/>
          <w:bCs/>
          <w:sz w:val="21"/>
          <w:szCs w:val="21"/>
          <w:highlight w:val="none"/>
          <w:lang w:val="en-US" w:eastAsia="zh-CN"/>
        </w:rPr>
        <w:t>提供服务</w:t>
      </w:r>
      <w:r>
        <w:rPr>
          <w:rFonts w:hint="eastAsia" w:ascii="宋体" w:hAnsi="宋体" w:cs="宋体"/>
          <w:b/>
          <w:bCs/>
          <w:szCs w:val="21"/>
          <w:highlight w:val="none"/>
          <w:lang w:val="zh-CN"/>
        </w:rPr>
        <w:t>”栏内填写“是”或“否”。如填写“是”，</w:t>
      </w:r>
      <w:r>
        <w:rPr>
          <w:rFonts w:hint="eastAsia" w:ascii="宋体" w:hAnsi="宋体" w:cs="宋体"/>
          <w:b/>
          <w:bCs/>
          <w:szCs w:val="21"/>
          <w:highlight w:val="none"/>
        </w:rPr>
        <w:t>供应商应按招标文件要求提供《中小企业声明函》、《残疾人福利性单位声明函》、《属于监狱企业的证明文件》。如未按要求提供、填写，或相关内容表述不清前后矛盾的，不享受价格扣除。</w:t>
      </w:r>
    </w:p>
    <w:p>
      <w:pPr>
        <w:numPr>
          <w:ilvl w:val="-1"/>
          <w:numId w:val="0"/>
        </w:numPr>
        <w:autoSpaceDE w:val="0"/>
        <w:autoSpaceDN w:val="0"/>
        <w:adjustRightInd w:val="0"/>
        <w:spacing w:line="360" w:lineRule="auto"/>
        <w:ind w:firstLine="420" w:firstLineChars="200"/>
        <w:rPr>
          <w:rFonts w:hint="eastAsia" w:ascii="宋体" w:hAnsi="宋体" w:cs="宋体"/>
          <w:bCs/>
          <w:strike w:val="0"/>
          <w:kern w:val="0"/>
          <w:szCs w:val="21"/>
          <w:highlight w:val="none"/>
          <w:lang w:val="zh-CN"/>
        </w:rPr>
      </w:pPr>
      <w:bookmarkStart w:id="79" w:name="_Toc12264"/>
      <w:r>
        <w:rPr>
          <w:rFonts w:hint="eastAsia" w:ascii="宋体" w:hAnsi="宋体" w:cs="宋体"/>
          <w:bCs/>
          <w:strike w:val="0"/>
          <w:kern w:val="0"/>
          <w:szCs w:val="21"/>
          <w:highlight w:val="none"/>
          <w:lang w:val="zh-CN"/>
        </w:rPr>
        <w:br w:type="page"/>
      </w:r>
      <w:bookmarkStart w:id="80" w:name="_Toc19646"/>
    </w:p>
    <w:p>
      <w:pPr>
        <w:pStyle w:val="4"/>
        <w:rPr>
          <w:rFonts w:hint="eastAsia" w:ascii="Times New Roman" w:hAnsi="Times New Roman" w:cs="Times New Roman"/>
          <w:bCs w:val="0"/>
          <w:strike w:val="0"/>
          <w:kern w:val="2"/>
          <w:szCs w:val="20"/>
          <w:highlight w:val="none"/>
          <w:lang w:val="zh-CN"/>
        </w:rPr>
      </w:pPr>
      <w:r>
        <w:rPr>
          <w:rFonts w:hint="default" w:ascii="Times New Roman" w:hAnsi="Times New Roman" w:cs="Times New Roman"/>
          <w:bCs w:val="0"/>
          <w:strike w:val="0"/>
          <w:kern w:val="2"/>
          <w:szCs w:val="20"/>
          <w:highlight w:val="none"/>
          <w:lang w:val="zh-CN"/>
        </w:rPr>
        <w:t>附件三、分项报价表格式</w:t>
      </w:r>
      <w:bookmarkEnd w:id="79"/>
      <w:bookmarkEnd w:id="80"/>
    </w:p>
    <w:p>
      <w:pPr>
        <w:widowControl/>
        <w:adjustRightInd w:val="0"/>
        <w:spacing w:line="240" w:lineRule="atLeast"/>
        <w:jc w:val="left"/>
        <w:rPr>
          <w:rFonts w:ascii="宋体" w:hAnsi="宋体" w:cs="宋体"/>
          <w:b/>
          <w:bCs/>
          <w:strike w:val="0"/>
          <w:kern w:val="0"/>
          <w:highlight w:val="none"/>
          <w:lang w:val="zh-CN"/>
        </w:rPr>
      </w:pPr>
    </w:p>
    <w:p>
      <w:pPr>
        <w:widowControl/>
        <w:shd w:val="clear" w:color="auto" w:fill="FFFFFF"/>
        <w:jc w:val="center"/>
        <w:rPr>
          <w:rFonts w:hint="default" w:ascii="宋体" w:hAnsi="宋体" w:eastAsia="宋体" w:cs="宋体"/>
          <w:b/>
          <w:strike w:val="0"/>
          <w:kern w:val="0"/>
          <w:sz w:val="36"/>
          <w:szCs w:val="36"/>
          <w:highlight w:val="none"/>
          <w:lang w:val="en-US" w:eastAsia="zh-CN"/>
        </w:rPr>
      </w:pPr>
      <w:r>
        <w:rPr>
          <w:rFonts w:hint="eastAsia" w:ascii="宋体" w:hAnsi="宋体" w:cs="宋体"/>
          <w:b/>
          <w:strike w:val="0"/>
          <w:kern w:val="0"/>
          <w:sz w:val="36"/>
          <w:szCs w:val="36"/>
          <w:highlight w:val="none"/>
          <w:lang w:val="en-US" w:eastAsia="zh-CN"/>
        </w:rPr>
        <w:t>年度</w:t>
      </w:r>
      <w:r>
        <w:rPr>
          <w:rFonts w:hint="eastAsia" w:ascii="宋体" w:hAnsi="宋体" w:cs="宋体"/>
          <w:b/>
          <w:strike w:val="0"/>
          <w:kern w:val="0"/>
          <w:sz w:val="36"/>
          <w:szCs w:val="36"/>
          <w:highlight w:val="none"/>
        </w:rPr>
        <w:t>分项报价表</w:t>
      </w:r>
    </w:p>
    <w:p>
      <w:pPr>
        <w:pStyle w:val="24"/>
        <w:rPr>
          <w:rFonts w:hint="eastAsia" w:ascii="宋体" w:hAnsi="宋体" w:cs="宋体"/>
          <w:b/>
          <w:strike w:val="0"/>
          <w:kern w:val="0"/>
          <w:sz w:val="36"/>
          <w:szCs w:val="36"/>
          <w:highlight w:val="none"/>
        </w:rPr>
      </w:pPr>
    </w:p>
    <w:tbl>
      <w:tblPr>
        <w:tblStyle w:val="49"/>
        <w:tblW w:w="9052" w:type="dxa"/>
        <w:tblInd w:w="93" w:type="dxa"/>
        <w:tblLayout w:type="fixed"/>
        <w:tblCellMar>
          <w:top w:w="0" w:type="dxa"/>
          <w:left w:w="108" w:type="dxa"/>
          <w:bottom w:w="0" w:type="dxa"/>
          <w:right w:w="108" w:type="dxa"/>
        </w:tblCellMar>
      </w:tblPr>
      <w:tblGrid>
        <w:gridCol w:w="1080"/>
        <w:gridCol w:w="3046"/>
        <w:gridCol w:w="2126"/>
        <w:gridCol w:w="1405"/>
        <w:gridCol w:w="1395"/>
      </w:tblGrid>
      <w:tr>
        <w:tblPrEx>
          <w:tblCellMar>
            <w:top w:w="0" w:type="dxa"/>
            <w:left w:w="108" w:type="dxa"/>
            <w:bottom w:w="0" w:type="dxa"/>
            <w:right w:w="108" w:type="dxa"/>
          </w:tblCellMar>
        </w:tblPrEx>
        <w:trPr>
          <w:trHeight w:val="640" w:hRule="atLeast"/>
        </w:trPr>
        <w:tc>
          <w:tcPr>
            <w:tcW w:w="1080"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cs="Tahoma"/>
                <w:color w:val="000000"/>
                <w:kern w:val="0"/>
                <w:szCs w:val="21"/>
                <w:highlight w:val="none"/>
              </w:rPr>
            </w:pPr>
            <w:r>
              <w:rPr>
                <w:rFonts w:hint="eastAsia" w:ascii="宋体" w:hAnsi="宋体" w:cs="Tahoma"/>
                <w:color w:val="000000"/>
                <w:kern w:val="0"/>
                <w:szCs w:val="21"/>
                <w:highlight w:val="none"/>
              </w:rPr>
              <w:t>序号</w:t>
            </w:r>
          </w:p>
        </w:tc>
        <w:tc>
          <w:tcPr>
            <w:tcW w:w="3046" w:type="dxa"/>
            <w:tcBorders>
              <w:top w:val="single" w:color="auto" w:sz="4" w:space="0"/>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r>
              <w:rPr>
                <w:rFonts w:hint="eastAsia" w:ascii="宋体" w:hAnsi="宋体" w:cs="Tahoma"/>
                <w:color w:val="000000"/>
                <w:kern w:val="0"/>
                <w:szCs w:val="21"/>
                <w:highlight w:val="none"/>
              </w:rPr>
              <w:t>品种</w:t>
            </w:r>
          </w:p>
        </w:tc>
        <w:tc>
          <w:tcPr>
            <w:tcW w:w="2126" w:type="dxa"/>
            <w:tcBorders>
              <w:top w:val="single" w:color="auto" w:sz="4" w:space="0"/>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r>
              <w:rPr>
                <w:rFonts w:hint="eastAsia" w:ascii="宋体" w:hAnsi="宋体" w:cs="Tahoma"/>
                <w:color w:val="000000"/>
                <w:kern w:val="0"/>
                <w:szCs w:val="21"/>
                <w:highlight w:val="none"/>
              </w:rPr>
              <w:t>送洗件数</w:t>
            </w:r>
          </w:p>
        </w:tc>
        <w:tc>
          <w:tcPr>
            <w:tcW w:w="1405" w:type="dxa"/>
            <w:tcBorders>
              <w:top w:val="single" w:color="auto" w:sz="4" w:space="0"/>
              <w:left w:val="nil"/>
              <w:bottom w:val="single" w:color="auto" w:sz="4" w:space="0"/>
              <w:right w:val="single" w:color="auto" w:sz="4" w:space="0"/>
            </w:tcBorders>
            <w:noWrap/>
            <w:vAlign w:val="center"/>
          </w:tcPr>
          <w:p>
            <w:pPr>
              <w:spacing w:line="480" w:lineRule="exact"/>
              <w:jc w:val="left"/>
              <w:rPr>
                <w:rFonts w:hint="default" w:ascii="宋体" w:hAnsi="宋体" w:eastAsia="宋体"/>
                <w:color w:val="000000"/>
                <w:szCs w:val="21"/>
                <w:highlight w:val="none"/>
                <w:lang w:val="en-US" w:eastAsia="zh-CN"/>
              </w:rPr>
            </w:pPr>
            <w:r>
              <w:rPr>
                <w:rFonts w:hint="eastAsia" w:ascii="宋体" w:hAnsi="宋体"/>
                <w:color w:val="000000"/>
                <w:szCs w:val="21"/>
                <w:highlight w:val="none"/>
              </w:rPr>
              <w:t>单</w:t>
            </w:r>
            <w:r>
              <w:rPr>
                <w:rFonts w:hint="eastAsia" w:ascii="宋体" w:hAnsi="宋体"/>
                <w:color w:val="000000"/>
                <w:szCs w:val="21"/>
                <w:highlight w:val="none"/>
                <w:lang w:eastAsia="zh"/>
              </w:rPr>
              <w:t>价</w:t>
            </w:r>
            <w:r>
              <w:rPr>
                <w:rFonts w:hint="eastAsia" w:ascii="宋体" w:hAnsi="宋体"/>
                <w:color w:val="000000"/>
                <w:szCs w:val="21"/>
                <w:highlight w:val="none"/>
                <w:lang w:eastAsia="zh-CN"/>
              </w:rPr>
              <w:t>（</w:t>
            </w:r>
            <w:r>
              <w:rPr>
                <w:rFonts w:hint="eastAsia" w:ascii="宋体" w:hAnsi="宋体"/>
                <w:color w:val="000000"/>
                <w:szCs w:val="21"/>
                <w:highlight w:val="none"/>
              </w:rPr>
              <w:t>元</w:t>
            </w:r>
            <w:r>
              <w:rPr>
                <w:rFonts w:hint="eastAsia" w:ascii="宋体" w:hAnsi="宋体"/>
                <w:color w:val="000000"/>
                <w:szCs w:val="21"/>
                <w:highlight w:val="none"/>
                <w:lang w:val="en-US" w:eastAsia="zh-CN"/>
              </w:rPr>
              <w:t>/件）</w:t>
            </w:r>
          </w:p>
        </w:tc>
        <w:tc>
          <w:tcPr>
            <w:tcW w:w="1395" w:type="dxa"/>
            <w:tcBorders>
              <w:top w:val="single" w:color="auto" w:sz="4" w:space="0"/>
              <w:left w:val="nil"/>
              <w:bottom w:val="single" w:color="auto" w:sz="4" w:space="0"/>
              <w:right w:val="single" w:color="auto" w:sz="4" w:space="0"/>
            </w:tcBorders>
            <w:noWrap/>
            <w:vAlign w:val="center"/>
          </w:tcPr>
          <w:p>
            <w:pPr>
              <w:spacing w:line="480" w:lineRule="exact"/>
              <w:jc w:val="left"/>
              <w:rPr>
                <w:rFonts w:hint="default" w:ascii="宋体" w:hAnsi="宋体" w:eastAsia="宋体"/>
                <w:color w:val="000000"/>
                <w:szCs w:val="21"/>
                <w:highlight w:val="none"/>
                <w:lang w:val="en-US" w:eastAsia="zh-CN"/>
              </w:rPr>
            </w:pPr>
            <w:r>
              <w:rPr>
                <w:rFonts w:hint="eastAsia" w:ascii="宋体" w:hAnsi="宋体"/>
                <w:color w:val="000000"/>
                <w:szCs w:val="21"/>
                <w:highlight w:val="none"/>
              </w:rPr>
              <w:t>合计</w:t>
            </w:r>
            <w:r>
              <w:rPr>
                <w:rFonts w:hint="eastAsia" w:ascii="宋体" w:hAnsi="宋体"/>
                <w:color w:val="000000"/>
                <w:szCs w:val="21"/>
                <w:highlight w:val="none"/>
                <w:lang w:eastAsia="zh-CN"/>
              </w:rPr>
              <w:t>（</w:t>
            </w:r>
            <w:r>
              <w:rPr>
                <w:rFonts w:hint="eastAsia" w:ascii="宋体" w:hAnsi="宋体"/>
                <w:color w:val="000000"/>
                <w:szCs w:val="21"/>
                <w:highlight w:val="none"/>
                <w:lang w:val="en-US" w:eastAsia="zh-CN"/>
              </w:rPr>
              <w:t>元）</w:t>
            </w: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eastAsia="宋体" w:cs="Tahoma"/>
                <w:color w:val="000000"/>
                <w:kern w:val="0"/>
                <w:szCs w:val="21"/>
                <w:highlight w:val="none"/>
                <w:lang w:val="en-US" w:eastAsia="zh-CN"/>
              </w:rPr>
            </w:pPr>
            <w:r>
              <w:rPr>
                <w:rFonts w:hint="eastAsia" w:ascii="宋体" w:hAnsi="宋体" w:cs="宋体"/>
                <w:color w:val="000000"/>
                <w:kern w:val="0"/>
                <w:sz w:val="20"/>
                <w:szCs w:val="20"/>
                <w:highlight w:val="none"/>
              </w:rPr>
              <w:t>大单</w:t>
            </w:r>
            <w:r>
              <w:rPr>
                <w:rFonts w:hint="eastAsia" w:ascii="宋体" w:hAnsi="宋体" w:cs="宋体"/>
                <w:color w:val="000000"/>
                <w:kern w:val="0"/>
                <w:sz w:val="20"/>
                <w:szCs w:val="20"/>
                <w:highlight w:val="none"/>
                <w:lang w:val="en-US" w:eastAsia="zh-CN"/>
              </w:rPr>
              <w:t>/罩布（子）/蓝光罩</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default" w:ascii="宋体" w:eastAsia="宋体" w:cs="Tahoma"/>
                <w:color w:val="000000"/>
                <w:kern w:val="0"/>
                <w:szCs w:val="21"/>
                <w:highlight w:val="none"/>
                <w:lang w:val="en-US" w:eastAsia="zh-CN"/>
              </w:rPr>
            </w:pPr>
            <w:r>
              <w:rPr>
                <w:rFonts w:ascii="宋体" w:hAnsi="宋体" w:cs="宋体"/>
                <w:color w:val="000000"/>
                <w:kern w:val="0"/>
                <w:sz w:val="20"/>
                <w:szCs w:val="20"/>
                <w:highlight w:val="none"/>
              </w:rPr>
              <w:t>16</w:t>
            </w:r>
            <w:r>
              <w:rPr>
                <w:rFonts w:hint="eastAsia" w:ascii="宋体" w:hAnsi="宋体" w:cs="宋体"/>
                <w:color w:val="000000"/>
                <w:kern w:val="0"/>
                <w:sz w:val="20"/>
                <w:szCs w:val="20"/>
                <w:highlight w:val="none"/>
              </w:rPr>
              <w:t>7838</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被套</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161613</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枕套</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134748</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4</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中单</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109858</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5</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被胎</w:t>
            </w:r>
            <w:r>
              <w:rPr>
                <w:rFonts w:ascii="宋体" w:hAnsi="宋体" w:cs="宋体"/>
                <w:color w:val="000000"/>
                <w:kern w:val="0"/>
                <w:sz w:val="20"/>
                <w:szCs w:val="20"/>
                <w:highlight w:val="none"/>
              </w:rPr>
              <w:t>(</w:t>
            </w:r>
            <w:r>
              <w:rPr>
                <w:rFonts w:hint="eastAsia" w:ascii="宋体" w:hAnsi="宋体" w:cs="宋体"/>
                <w:color w:val="000000"/>
                <w:kern w:val="0"/>
                <w:sz w:val="20"/>
                <w:szCs w:val="20"/>
                <w:highlight w:val="none"/>
              </w:rPr>
              <w:t>大棉垫</w:t>
            </w:r>
            <w:r>
              <w:rPr>
                <w:rFonts w:ascii="宋体" w:hAnsi="宋体" w:cs="宋体"/>
                <w:color w:val="000000"/>
                <w:kern w:val="0"/>
                <w:sz w:val="20"/>
                <w:szCs w:val="20"/>
                <w:highlight w:val="none"/>
              </w:rPr>
              <w:t>)</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1205</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6</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垫胎（小棉垫）</w:t>
            </w:r>
          </w:p>
        </w:tc>
        <w:tc>
          <w:tcPr>
            <w:tcW w:w="2126" w:type="dxa"/>
            <w:tcBorders>
              <w:top w:val="nil"/>
              <w:left w:val="nil"/>
              <w:bottom w:val="single" w:color="auto" w:sz="4" w:space="0"/>
              <w:right w:val="single" w:color="auto" w:sz="4" w:space="0"/>
            </w:tcBorders>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3681</w:t>
            </w:r>
          </w:p>
        </w:tc>
        <w:tc>
          <w:tcPr>
            <w:tcW w:w="1405" w:type="dxa"/>
            <w:tcBorders>
              <w:top w:val="nil"/>
              <w:left w:val="nil"/>
              <w:bottom w:val="single" w:color="auto" w:sz="4" w:space="0"/>
              <w:right w:val="single" w:color="auto" w:sz="4" w:space="0"/>
            </w:tcBorders>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7</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窗帘</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370</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8</w:t>
            </w:r>
          </w:p>
        </w:tc>
        <w:tc>
          <w:tcPr>
            <w:tcW w:w="3046"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大隔帘</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661</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9</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lang w:eastAsia="zh-CN"/>
              </w:rPr>
              <w:t>大夹单</w:t>
            </w:r>
            <w:r>
              <w:rPr>
                <w:rFonts w:hint="eastAsia" w:ascii="宋体" w:hAnsi="宋体" w:cs="宋体"/>
                <w:color w:val="000000"/>
                <w:kern w:val="0"/>
                <w:sz w:val="20"/>
                <w:szCs w:val="20"/>
                <w:highlight w:val="none"/>
                <w:lang w:val="en-US" w:eastAsia="zh-CN"/>
              </w:rPr>
              <w:t>/</w:t>
            </w:r>
            <w:r>
              <w:rPr>
                <w:rFonts w:hint="eastAsia" w:ascii="宋体" w:hAnsi="宋体" w:cs="宋体"/>
                <w:color w:val="000000"/>
                <w:kern w:val="0"/>
                <w:sz w:val="20"/>
                <w:szCs w:val="20"/>
                <w:highlight w:val="none"/>
              </w:rPr>
              <w:t>包布</w:t>
            </w:r>
            <w:r>
              <w:rPr>
                <w:rFonts w:ascii="宋体" w:hAnsi="宋体" w:cs="宋体"/>
                <w:color w:val="000000"/>
                <w:kern w:val="0"/>
                <w:sz w:val="20"/>
                <w:szCs w:val="20"/>
                <w:highlight w:val="none"/>
              </w:rPr>
              <w:t>0.35-1.6</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301236</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10</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洞巾</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16797</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11</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手术衣（隔离衣）</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114533</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12</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洗手裤</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123107</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13</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短袖洗手衣</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102245</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14</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长袖洗手衣</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48416</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15</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剖腹单</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20286</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16</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台布（盖桌布）</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1449</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hint="eastAsia" w:ascii="宋体" w:eastAsia="宋体" w:cs="Tahoma"/>
                <w:color w:val="000000"/>
                <w:kern w:val="0"/>
                <w:szCs w:val="21"/>
                <w:highlight w:val="none"/>
                <w:lang w:eastAsia="zh-CN"/>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17</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hint="eastAsia" w:ascii="宋体" w:eastAsia="宋体" w:cs="Tahoma"/>
                <w:color w:val="000000"/>
                <w:kern w:val="0"/>
                <w:szCs w:val="21"/>
                <w:highlight w:val="none"/>
                <w:lang w:val="en-US" w:eastAsia="zh-CN"/>
              </w:rPr>
            </w:pPr>
            <w:r>
              <w:rPr>
                <w:rFonts w:hint="eastAsia" w:ascii="宋体" w:hAnsi="宋体" w:cs="宋体"/>
                <w:color w:val="000000"/>
                <w:kern w:val="0"/>
                <w:sz w:val="20"/>
                <w:szCs w:val="20"/>
                <w:highlight w:val="none"/>
              </w:rPr>
              <w:t>双层治疗巾</w:t>
            </w:r>
            <w:r>
              <w:rPr>
                <w:rFonts w:hint="eastAsia" w:ascii="宋体" w:hAnsi="宋体" w:cs="宋体"/>
                <w:color w:val="000000"/>
                <w:kern w:val="0"/>
                <w:sz w:val="20"/>
                <w:szCs w:val="20"/>
                <w:highlight w:val="none"/>
                <w:lang w:val="en-US" w:eastAsia="zh-CN"/>
              </w:rPr>
              <w:t>/打包布</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70426</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18</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单层治疗巾</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102491</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19</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长袖工作服</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69296</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20</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工作裤</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48337</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21</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短袖工作服</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6503</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22</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病员衣</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148868</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23</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病员裤</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126722</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24</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棉衣（羽绒服）</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146</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25</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毛衣</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114</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26</w:t>
            </w:r>
          </w:p>
        </w:tc>
        <w:tc>
          <w:tcPr>
            <w:tcW w:w="3046"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小被套（婴儿被套）</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5745</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27</w:t>
            </w:r>
          </w:p>
        </w:tc>
        <w:tc>
          <w:tcPr>
            <w:tcW w:w="3046"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婴儿大单</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7691</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28</w:t>
            </w:r>
          </w:p>
        </w:tc>
        <w:tc>
          <w:tcPr>
            <w:tcW w:w="304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婴儿毛衫</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458</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29</w:t>
            </w:r>
          </w:p>
        </w:tc>
        <w:tc>
          <w:tcPr>
            <w:tcW w:w="3046"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hint="eastAsia" w:ascii="宋体" w:eastAsia="宋体" w:cs="Tahoma"/>
                <w:color w:val="000000"/>
                <w:kern w:val="0"/>
                <w:szCs w:val="21"/>
                <w:highlight w:val="none"/>
                <w:lang w:val="en-US" w:eastAsia="zh-CN"/>
              </w:rPr>
            </w:pPr>
            <w:r>
              <w:rPr>
                <w:rFonts w:hint="eastAsia" w:ascii="宋体" w:hAnsi="宋体" w:cs="宋体"/>
                <w:color w:val="000000"/>
                <w:kern w:val="0"/>
                <w:sz w:val="20"/>
                <w:szCs w:val="20"/>
                <w:highlight w:val="none"/>
              </w:rPr>
              <w:t>脚套</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2776</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30</w:t>
            </w:r>
          </w:p>
        </w:tc>
        <w:tc>
          <w:tcPr>
            <w:tcW w:w="3046"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大毛巾</w:t>
            </w:r>
            <w:r>
              <w:rPr>
                <w:rFonts w:hint="eastAsia" w:ascii="宋体" w:hAnsi="宋体" w:cs="宋体"/>
                <w:color w:val="000000"/>
                <w:kern w:val="0"/>
                <w:sz w:val="20"/>
                <w:szCs w:val="20"/>
                <w:highlight w:val="none"/>
                <w:lang w:val="en-US" w:eastAsia="zh-CN"/>
              </w:rPr>
              <w:t>/浴巾</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2029</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31</w:t>
            </w:r>
          </w:p>
        </w:tc>
        <w:tc>
          <w:tcPr>
            <w:tcW w:w="3046"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hint="eastAsia" w:ascii="宋体" w:eastAsia="宋体" w:cs="Tahoma"/>
                <w:color w:val="000000"/>
                <w:kern w:val="0"/>
                <w:szCs w:val="21"/>
                <w:highlight w:val="none"/>
                <w:lang w:val="en-US" w:eastAsia="zh-CN"/>
              </w:rPr>
            </w:pPr>
            <w:r>
              <w:rPr>
                <w:rFonts w:hint="eastAsia" w:ascii="宋体" w:hAnsi="宋体" w:cs="宋体"/>
                <w:color w:val="000000"/>
                <w:kern w:val="0"/>
                <w:sz w:val="20"/>
                <w:szCs w:val="20"/>
                <w:highlight w:val="none"/>
              </w:rPr>
              <w:t>小毛巾</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46</w:t>
            </w:r>
          </w:p>
        </w:tc>
        <w:tc>
          <w:tcPr>
            <w:tcW w:w="1405"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32</w:t>
            </w:r>
          </w:p>
        </w:tc>
        <w:tc>
          <w:tcPr>
            <w:tcW w:w="3046"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枕芯</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653</w:t>
            </w:r>
          </w:p>
        </w:tc>
        <w:tc>
          <w:tcPr>
            <w:tcW w:w="1405" w:type="dxa"/>
            <w:tcBorders>
              <w:top w:val="nil"/>
              <w:left w:val="nil"/>
              <w:bottom w:val="single" w:color="auto" w:sz="4" w:space="0"/>
              <w:right w:val="single" w:color="auto" w:sz="4" w:space="0"/>
            </w:tcBorders>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33</w:t>
            </w:r>
          </w:p>
        </w:tc>
        <w:tc>
          <w:tcPr>
            <w:tcW w:w="3046"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人工肾加长床单</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8487</w:t>
            </w:r>
          </w:p>
        </w:tc>
        <w:tc>
          <w:tcPr>
            <w:tcW w:w="1405" w:type="dxa"/>
            <w:tcBorders>
              <w:top w:val="nil"/>
              <w:left w:val="nil"/>
              <w:bottom w:val="single" w:color="auto" w:sz="4" w:space="0"/>
              <w:right w:val="single" w:color="auto" w:sz="4" w:space="0"/>
            </w:tcBorders>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34</w:t>
            </w:r>
          </w:p>
        </w:tc>
        <w:tc>
          <w:tcPr>
            <w:tcW w:w="3046"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回收布袋（口袋）</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9092</w:t>
            </w:r>
          </w:p>
        </w:tc>
        <w:tc>
          <w:tcPr>
            <w:tcW w:w="1405" w:type="dxa"/>
            <w:tcBorders>
              <w:top w:val="nil"/>
              <w:left w:val="nil"/>
              <w:bottom w:val="single" w:color="auto" w:sz="4" w:space="0"/>
              <w:right w:val="single" w:color="auto" w:sz="4" w:space="0"/>
            </w:tcBorders>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35</w:t>
            </w:r>
          </w:p>
        </w:tc>
        <w:tc>
          <w:tcPr>
            <w:tcW w:w="3046"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污物袋</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16620</w:t>
            </w:r>
          </w:p>
        </w:tc>
        <w:tc>
          <w:tcPr>
            <w:tcW w:w="1405" w:type="dxa"/>
            <w:tcBorders>
              <w:top w:val="nil"/>
              <w:left w:val="nil"/>
              <w:bottom w:val="single" w:color="auto" w:sz="4" w:space="0"/>
              <w:right w:val="single" w:color="auto" w:sz="4" w:space="0"/>
            </w:tcBorders>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36</w:t>
            </w:r>
          </w:p>
        </w:tc>
        <w:tc>
          <w:tcPr>
            <w:tcW w:w="3046"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有脚洗手裤</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866</w:t>
            </w:r>
          </w:p>
        </w:tc>
        <w:tc>
          <w:tcPr>
            <w:tcW w:w="1405" w:type="dxa"/>
            <w:tcBorders>
              <w:top w:val="nil"/>
              <w:left w:val="nil"/>
              <w:bottom w:val="single" w:color="auto" w:sz="4" w:space="0"/>
              <w:right w:val="single" w:color="auto" w:sz="4" w:space="0"/>
            </w:tcBorders>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37</w:t>
            </w:r>
          </w:p>
        </w:tc>
        <w:tc>
          <w:tcPr>
            <w:tcW w:w="3046"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垫套</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243</w:t>
            </w:r>
          </w:p>
        </w:tc>
        <w:tc>
          <w:tcPr>
            <w:tcW w:w="1405" w:type="dxa"/>
            <w:tcBorders>
              <w:top w:val="nil"/>
              <w:left w:val="nil"/>
              <w:bottom w:val="single" w:color="auto" w:sz="4" w:space="0"/>
              <w:right w:val="single" w:color="auto" w:sz="4" w:space="0"/>
            </w:tcBorders>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38</w:t>
            </w:r>
          </w:p>
        </w:tc>
        <w:tc>
          <w:tcPr>
            <w:tcW w:w="3046"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沙发套</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55</w:t>
            </w:r>
          </w:p>
        </w:tc>
        <w:tc>
          <w:tcPr>
            <w:tcW w:w="1405" w:type="dxa"/>
            <w:tcBorders>
              <w:top w:val="nil"/>
              <w:left w:val="nil"/>
              <w:bottom w:val="single" w:color="auto" w:sz="4" w:space="0"/>
              <w:right w:val="single" w:color="auto" w:sz="4" w:space="0"/>
            </w:tcBorders>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39</w:t>
            </w:r>
          </w:p>
        </w:tc>
        <w:tc>
          <w:tcPr>
            <w:tcW w:w="3046" w:type="dxa"/>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宋体" w:cs="Tahoma"/>
                <w:color w:val="000000"/>
                <w:kern w:val="0"/>
                <w:szCs w:val="21"/>
                <w:highlight w:val="none"/>
              </w:rPr>
            </w:pPr>
            <w:r>
              <w:rPr>
                <w:rFonts w:hint="eastAsia" w:ascii="宋体" w:hAnsi="宋体" w:cs="宋体"/>
                <w:color w:val="000000"/>
                <w:kern w:val="0"/>
                <w:sz w:val="20"/>
                <w:szCs w:val="20"/>
                <w:highlight w:val="none"/>
              </w:rPr>
              <w:t>长带</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textAlignment w:val="center"/>
              <w:rPr>
                <w:rFonts w:ascii="宋体" w:cs="Tahoma"/>
                <w:color w:val="000000"/>
                <w:kern w:val="0"/>
                <w:szCs w:val="21"/>
                <w:highlight w:val="none"/>
              </w:rPr>
            </w:pPr>
            <w:r>
              <w:rPr>
                <w:rFonts w:ascii="宋体" w:hAnsi="宋体" w:cs="宋体"/>
                <w:color w:val="000000"/>
                <w:kern w:val="0"/>
                <w:sz w:val="20"/>
                <w:szCs w:val="20"/>
                <w:highlight w:val="none"/>
              </w:rPr>
              <w:t>630</w:t>
            </w:r>
          </w:p>
        </w:tc>
        <w:tc>
          <w:tcPr>
            <w:tcW w:w="1405" w:type="dxa"/>
            <w:tcBorders>
              <w:top w:val="nil"/>
              <w:left w:val="nil"/>
              <w:bottom w:val="single" w:color="auto" w:sz="4" w:space="0"/>
              <w:right w:val="single" w:color="auto" w:sz="4" w:space="0"/>
            </w:tcBorders>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ascii="宋体" w:hAnsi="宋体" w:cs="Tahoma"/>
                <w:color w:val="000000"/>
                <w:kern w:val="0"/>
                <w:szCs w:val="21"/>
                <w:highlight w:val="none"/>
              </w:rPr>
              <w:t>40</w:t>
            </w:r>
          </w:p>
        </w:tc>
        <w:tc>
          <w:tcPr>
            <w:tcW w:w="3046" w:type="dxa"/>
            <w:tcBorders>
              <w:top w:val="nil"/>
              <w:left w:val="nil"/>
              <w:bottom w:val="single" w:color="auto" w:sz="4" w:space="0"/>
              <w:right w:val="single" w:color="auto" w:sz="4" w:space="0"/>
            </w:tcBorders>
            <w:shd w:val="clear" w:color="auto" w:fill="auto"/>
            <w:noWrap/>
            <w:vAlign w:val="center"/>
          </w:tcPr>
          <w:p>
            <w:pPr>
              <w:widowControl/>
              <w:jc w:val="center"/>
              <w:rPr>
                <w:rFonts w:ascii="宋体" w:cs="Tahoma"/>
                <w:color w:val="000000"/>
                <w:kern w:val="0"/>
                <w:szCs w:val="21"/>
                <w:highlight w:val="none"/>
              </w:rPr>
            </w:pPr>
            <w:r>
              <w:rPr>
                <w:rFonts w:hint="eastAsia" w:ascii="宋体" w:hAnsi="宋体" w:cs="Tahoma"/>
                <w:color w:val="000000"/>
                <w:kern w:val="0"/>
                <w:sz w:val="20"/>
                <w:szCs w:val="20"/>
                <w:highlight w:val="none"/>
              </w:rPr>
              <w:t>拆装窗帘，隔帘</w:t>
            </w:r>
          </w:p>
        </w:tc>
        <w:tc>
          <w:tcPr>
            <w:tcW w:w="2126"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cs="Tahoma"/>
                <w:color w:val="000000"/>
                <w:kern w:val="0"/>
                <w:szCs w:val="21"/>
                <w:highlight w:val="none"/>
              </w:rPr>
            </w:pPr>
            <w:r>
              <w:rPr>
                <w:rFonts w:hint="eastAsia" w:ascii="宋体" w:hAnsi="宋体" w:cs="Tahoma"/>
                <w:color w:val="000000"/>
                <w:kern w:val="0"/>
                <w:sz w:val="20"/>
                <w:szCs w:val="20"/>
                <w:highlight w:val="none"/>
              </w:rPr>
              <w:t>1031</w:t>
            </w:r>
          </w:p>
        </w:tc>
        <w:tc>
          <w:tcPr>
            <w:tcW w:w="1405" w:type="dxa"/>
            <w:tcBorders>
              <w:top w:val="nil"/>
              <w:left w:val="nil"/>
              <w:bottom w:val="single" w:color="auto" w:sz="4" w:space="0"/>
              <w:right w:val="single" w:color="auto" w:sz="4" w:space="0"/>
            </w:tcBorders>
            <w:noWrap w:val="0"/>
            <w:vAlign w:val="center"/>
          </w:tcPr>
          <w:p>
            <w:pPr>
              <w:widowControl/>
              <w:jc w:val="center"/>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r>
        <w:tblPrEx>
          <w:tblCellMar>
            <w:top w:w="0" w:type="dxa"/>
            <w:left w:w="108" w:type="dxa"/>
            <w:bottom w:w="0" w:type="dxa"/>
            <w:right w:w="108" w:type="dxa"/>
          </w:tblCellMar>
        </w:tblPrEx>
        <w:trPr>
          <w:trHeight w:val="285" w:hRule="atLeast"/>
        </w:trPr>
        <w:tc>
          <w:tcPr>
            <w:tcW w:w="6252" w:type="dxa"/>
            <w:gridSpan w:val="3"/>
            <w:tcBorders>
              <w:top w:val="nil"/>
              <w:left w:val="single" w:color="auto" w:sz="4" w:space="0"/>
              <w:bottom w:val="single" w:color="auto" w:sz="4" w:space="0"/>
              <w:right w:val="single" w:color="auto" w:sz="4" w:space="0"/>
            </w:tcBorders>
            <w:noWrap/>
            <w:vAlign w:val="center"/>
          </w:tcPr>
          <w:p>
            <w:pPr>
              <w:widowControl/>
              <w:jc w:val="center"/>
              <w:rPr>
                <w:rFonts w:ascii="宋体" w:cs="Tahoma"/>
                <w:color w:val="000000"/>
                <w:kern w:val="0"/>
                <w:szCs w:val="21"/>
                <w:highlight w:val="none"/>
              </w:rPr>
            </w:pPr>
            <w:r>
              <w:rPr>
                <w:rFonts w:hint="eastAsia" w:ascii="宋体" w:hAnsi="宋体" w:cs="Tahoma"/>
                <w:color w:val="000000"/>
                <w:kern w:val="0"/>
                <w:szCs w:val="21"/>
                <w:highlight w:val="none"/>
              </w:rPr>
              <w:t>合计</w:t>
            </w:r>
          </w:p>
        </w:tc>
        <w:tc>
          <w:tcPr>
            <w:tcW w:w="1405" w:type="dxa"/>
            <w:tcBorders>
              <w:top w:val="nil"/>
              <w:left w:val="nil"/>
              <w:bottom w:val="single" w:color="auto" w:sz="4" w:space="0"/>
              <w:right w:val="single" w:color="auto" w:sz="4" w:space="0"/>
            </w:tcBorders>
            <w:noWrap/>
            <w:vAlign w:val="center"/>
          </w:tcPr>
          <w:p>
            <w:pPr>
              <w:widowControl/>
              <w:jc w:val="left"/>
              <w:rPr>
                <w:rFonts w:ascii="宋体" w:cs="Tahoma"/>
                <w:color w:val="000000"/>
                <w:kern w:val="0"/>
                <w:szCs w:val="21"/>
                <w:highlight w:val="none"/>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cs="Tahoma"/>
                <w:color w:val="000000"/>
                <w:kern w:val="0"/>
                <w:szCs w:val="21"/>
                <w:highlight w:val="none"/>
              </w:rPr>
            </w:pPr>
          </w:p>
        </w:tc>
      </w:tr>
    </w:tbl>
    <w:p>
      <w:pPr>
        <w:pStyle w:val="24"/>
        <w:ind w:left="0" w:leftChars="0"/>
        <w:rPr>
          <w:rFonts w:hint="eastAsia" w:ascii="宋体" w:hAnsi="宋体" w:cs="宋体"/>
          <w:b/>
          <w:strike w:val="0"/>
          <w:kern w:val="0"/>
          <w:sz w:val="36"/>
          <w:szCs w:val="36"/>
          <w:highlight w:val="none"/>
        </w:rPr>
      </w:pPr>
    </w:p>
    <w:p>
      <w:pPr>
        <w:widowControl/>
        <w:shd w:val="clear" w:color="auto" w:fill="FFFFFF"/>
        <w:jc w:val="left"/>
        <w:rPr>
          <w:rFonts w:ascii="宋体" w:hAnsi="宋体" w:cs="宋体"/>
          <w:strike w:val="0"/>
          <w:kern w:val="0"/>
          <w:szCs w:val="21"/>
          <w:highlight w:val="none"/>
        </w:rPr>
      </w:pPr>
    </w:p>
    <w:p>
      <w:pPr>
        <w:widowControl/>
        <w:shd w:val="clear" w:color="auto" w:fill="FFFFFF"/>
        <w:jc w:val="left"/>
        <w:rPr>
          <w:rFonts w:ascii="宋体" w:hAnsi="宋体" w:cs="宋体"/>
          <w:strike w:val="0"/>
          <w:kern w:val="0"/>
          <w:szCs w:val="21"/>
          <w:highlight w:val="none"/>
        </w:rPr>
      </w:pPr>
    </w:p>
    <w:p>
      <w:pPr>
        <w:widowControl/>
        <w:shd w:val="clear" w:color="auto" w:fill="FFFFFF"/>
        <w:jc w:val="left"/>
        <w:rPr>
          <w:rFonts w:ascii="宋体" w:hAnsi="宋体" w:cs="宋体"/>
          <w:strike w:val="0"/>
          <w:kern w:val="0"/>
          <w:szCs w:val="21"/>
          <w:highlight w:val="none"/>
        </w:rPr>
      </w:pPr>
    </w:p>
    <w:p>
      <w:pPr>
        <w:widowControl/>
        <w:shd w:val="clear" w:color="auto" w:fill="FFFFFF"/>
        <w:jc w:val="left"/>
        <w:rPr>
          <w:rFonts w:ascii="宋体" w:hAnsi="宋体" w:cs="宋体"/>
          <w:strike w:val="0"/>
          <w:kern w:val="0"/>
          <w:szCs w:val="21"/>
          <w:highlight w:val="none"/>
        </w:rPr>
      </w:pPr>
      <w:r>
        <w:rPr>
          <w:rFonts w:hint="eastAsia" w:ascii="宋体" w:hAnsi="宋体" w:cs="宋体"/>
          <w:strike w:val="0"/>
          <w:kern w:val="0"/>
          <w:szCs w:val="21"/>
          <w:highlight w:val="none"/>
        </w:rPr>
        <w:t>投标单位（盖章）：</w:t>
      </w:r>
    </w:p>
    <w:p>
      <w:pPr>
        <w:widowControl/>
        <w:shd w:val="clear" w:color="auto" w:fill="FFFFFF"/>
        <w:jc w:val="left"/>
        <w:rPr>
          <w:rFonts w:ascii="宋体" w:hAnsi="宋体" w:cs="宋体"/>
          <w:strike w:val="0"/>
          <w:kern w:val="0"/>
          <w:szCs w:val="21"/>
          <w:highlight w:val="none"/>
          <w:u w:val="single"/>
        </w:rPr>
      </w:pPr>
      <w:r>
        <w:rPr>
          <w:rFonts w:hint="eastAsia" w:ascii="宋体" w:hAnsi="宋体" w:cs="宋体"/>
          <w:strike w:val="0"/>
          <w:kern w:val="0"/>
          <w:szCs w:val="21"/>
          <w:highlight w:val="none"/>
        </w:rPr>
        <w:t>授权代表（签字）：</w:t>
      </w:r>
    </w:p>
    <w:p>
      <w:pPr>
        <w:widowControl/>
        <w:shd w:val="clear" w:color="auto" w:fill="FFFFFF"/>
        <w:jc w:val="left"/>
        <w:rPr>
          <w:rFonts w:ascii="宋体" w:hAnsi="宋体" w:cs="宋体"/>
          <w:strike w:val="0"/>
          <w:kern w:val="0"/>
          <w:szCs w:val="21"/>
          <w:highlight w:val="none"/>
        </w:rPr>
      </w:pPr>
    </w:p>
    <w:p>
      <w:pPr>
        <w:widowControl/>
        <w:shd w:val="clear" w:color="auto" w:fill="FFFFFF"/>
        <w:jc w:val="left"/>
        <w:rPr>
          <w:rFonts w:ascii="宋体" w:hAnsi="宋体" w:cs="宋体"/>
          <w:strike w:val="0"/>
          <w:kern w:val="0"/>
          <w:szCs w:val="21"/>
          <w:highlight w:val="none"/>
        </w:rPr>
      </w:pPr>
    </w:p>
    <w:p>
      <w:pPr>
        <w:widowControl/>
        <w:shd w:val="clear" w:color="auto" w:fill="FFFFFF"/>
        <w:jc w:val="left"/>
        <w:rPr>
          <w:rFonts w:ascii="宋体" w:hAnsi="宋体" w:cs="宋体"/>
          <w:strike w:val="0"/>
          <w:kern w:val="0"/>
          <w:szCs w:val="21"/>
          <w:highlight w:val="none"/>
        </w:rPr>
      </w:pPr>
    </w:p>
    <w:p>
      <w:pPr>
        <w:widowControl/>
        <w:shd w:val="clear" w:color="auto" w:fill="FFFFFF"/>
        <w:jc w:val="left"/>
        <w:rPr>
          <w:rFonts w:ascii="宋体" w:hAnsi="宋体" w:cs="宋体"/>
          <w:strike w:val="0"/>
          <w:kern w:val="0"/>
          <w:szCs w:val="21"/>
          <w:highlight w:val="none"/>
        </w:rPr>
      </w:pPr>
    </w:p>
    <w:p>
      <w:pPr>
        <w:widowControl/>
        <w:shd w:val="clear" w:color="auto" w:fill="FFFFFF"/>
        <w:jc w:val="left"/>
        <w:rPr>
          <w:rFonts w:ascii="宋体" w:hAnsi="宋体" w:cs="宋体"/>
          <w:strike w:val="0"/>
          <w:kern w:val="0"/>
          <w:szCs w:val="21"/>
          <w:highlight w:val="none"/>
        </w:rPr>
      </w:pPr>
    </w:p>
    <w:p>
      <w:pPr>
        <w:pStyle w:val="42"/>
        <w:rPr>
          <w:rFonts w:ascii="宋体" w:hAnsi="宋体" w:cs="宋体"/>
          <w:strike w:val="0"/>
          <w:szCs w:val="21"/>
          <w:highlight w:val="none"/>
        </w:rPr>
      </w:pPr>
    </w:p>
    <w:p>
      <w:pPr>
        <w:pStyle w:val="42"/>
        <w:rPr>
          <w:rFonts w:ascii="宋体" w:hAnsi="宋体" w:cs="宋体"/>
          <w:strike w:val="0"/>
          <w:szCs w:val="21"/>
          <w:highlight w:val="none"/>
        </w:rPr>
      </w:pPr>
    </w:p>
    <w:p>
      <w:pPr>
        <w:pStyle w:val="42"/>
        <w:rPr>
          <w:rFonts w:ascii="宋体" w:hAnsi="宋体" w:cs="宋体"/>
          <w:strike w:val="0"/>
          <w:szCs w:val="21"/>
          <w:highlight w:val="none"/>
        </w:rPr>
      </w:pPr>
    </w:p>
    <w:p>
      <w:pPr>
        <w:pStyle w:val="42"/>
        <w:rPr>
          <w:rFonts w:ascii="宋体" w:hAnsi="宋体" w:cs="宋体"/>
          <w:strike w:val="0"/>
          <w:szCs w:val="21"/>
          <w:highlight w:val="none"/>
        </w:rPr>
      </w:pPr>
    </w:p>
    <w:p>
      <w:pPr>
        <w:pStyle w:val="42"/>
        <w:rPr>
          <w:rFonts w:ascii="宋体" w:hAnsi="宋体" w:cs="宋体"/>
          <w:strike w:val="0"/>
          <w:szCs w:val="21"/>
          <w:highlight w:val="none"/>
        </w:rPr>
      </w:pPr>
    </w:p>
    <w:p>
      <w:pPr>
        <w:pStyle w:val="42"/>
        <w:rPr>
          <w:rFonts w:ascii="宋体" w:hAnsi="宋体" w:cs="宋体"/>
          <w:strike w:val="0"/>
          <w:szCs w:val="21"/>
          <w:highlight w:val="none"/>
        </w:rPr>
      </w:pPr>
    </w:p>
    <w:p>
      <w:pPr>
        <w:pStyle w:val="42"/>
        <w:rPr>
          <w:rFonts w:ascii="宋体" w:hAnsi="宋体" w:cs="宋体"/>
          <w:strike w:val="0"/>
          <w:szCs w:val="21"/>
          <w:highlight w:val="none"/>
        </w:rPr>
      </w:pPr>
    </w:p>
    <w:p>
      <w:pPr>
        <w:pStyle w:val="42"/>
        <w:rPr>
          <w:rFonts w:ascii="宋体" w:hAnsi="宋体" w:cs="宋体"/>
          <w:strike w:val="0"/>
          <w:szCs w:val="21"/>
          <w:highlight w:val="none"/>
        </w:rPr>
      </w:pPr>
    </w:p>
    <w:p>
      <w:pPr>
        <w:widowControl/>
        <w:jc w:val="left"/>
        <w:rPr>
          <w:rFonts w:ascii="宋体" w:hAnsi="宋体" w:cs="宋体"/>
          <w:strike w:val="0"/>
          <w:kern w:val="0"/>
          <w:szCs w:val="21"/>
          <w:highlight w:val="none"/>
        </w:rPr>
      </w:pPr>
    </w:p>
    <w:p>
      <w:pPr>
        <w:widowControl/>
        <w:shd w:val="clear" w:color="auto" w:fill="FFFFFF"/>
        <w:jc w:val="center"/>
        <w:rPr>
          <w:rFonts w:ascii="宋体" w:hAnsi="宋体" w:cs="宋体"/>
          <w:strike w:val="0"/>
          <w:kern w:val="0"/>
          <w:szCs w:val="21"/>
          <w:highlight w:val="none"/>
        </w:rPr>
      </w:pPr>
    </w:p>
    <w:p>
      <w:pPr>
        <w:widowControl/>
        <w:shd w:val="clear" w:color="auto" w:fill="FFFFFF"/>
        <w:jc w:val="center"/>
        <w:rPr>
          <w:rFonts w:ascii="宋体" w:hAnsi="宋体" w:cs="宋体"/>
          <w:strike w:val="0"/>
          <w:kern w:val="0"/>
          <w:szCs w:val="21"/>
          <w:highlight w:val="none"/>
        </w:rPr>
      </w:pPr>
    </w:p>
    <w:p>
      <w:pPr>
        <w:widowControl/>
        <w:shd w:val="clear" w:color="auto" w:fill="FFFFFF"/>
        <w:jc w:val="center"/>
        <w:rPr>
          <w:rFonts w:ascii="宋体" w:hAnsi="宋体" w:cs="宋体"/>
          <w:strike w:val="0"/>
          <w:kern w:val="0"/>
          <w:szCs w:val="21"/>
          <w:highlight w:val="none"/>
        </w:rPr>
      </w:pPr>
    </w:p>
    <w:p>
      <w:pPr>
        <w:pStyle w:val="24"/>
        <w:ind w:left="1260"/>
        <w:rPr>
          <w:rFonts w:ascii="宋体" w:hAnsi="宋体" w:cs="宋体"/>
          <w:strike w:val="0"/>
          <w:kern w:val="0"/>
          <w:szCs w:val="21"/>
          <w:highlight w:val="none"/>
        </w:rPr>
      </w:pPr>
    </w:p>
    <w:p>
      <w:pPr>
        <w:widowControl/>
        <w:shd w:val="clear" w:color="auto" w:fill="FFFFFF"/>
        <w:jc w:val="center"/>
        <w:rPr>
          <w:rFonts w:ascii="宋体" w:hAnsi="宋体" w:cs="宋体"/>
          <w:strike w:val="0"/>
          <w:kern w:val="0"/>
          <w:szCs w:val="21"/>
          <w:highlight w:val="none"/>
        </w:rPr>
      </w:pPr>
    </w:p>
    <w:p>
      <w:pPr>
        <w:rPr>
          <w:strike w:val="0"/>
          <w:highlight w:val="none"/>
        </w:rPr>
      </w:pPr>
      <w:r>
        <w:rPr>
          <w:rFonts w:hint="eastAsia"/>
          <w:strike w:val="0"/>
          <w:highlight w:val="none"/>
        </w:rPr>
        <w:br w:type="page"/>
      </w:r>
    </w:p>
    <w:p>
      <w:pPr>
        <w:widowControl/>
        <w:shd w:val="clear" w:color="auto" w:fill="FFFFFF"/>
        <w:rPr>
          <w:rFonts w:ascii="宋体" w:hAnsi="宋体" w:cs="宋体"/>
          <w:b/>
          <w:bCs/>
          <w:kern w:val="0"/>
          <w:sz w:val="32"/>
          <w:szCs w:val="21"/>
          <w:highlight w:val="none"/>
        </w:rPr>
      </w:pPr>
      <w:r>
        <w:rPr>
          <w:rFonts w:hint="eastAsia" w:ascii="宋体" w:hAnsi="宋体" w:cs="宋体"/>
          <w:b/>
          <w:bCs/>
          <w:kern w:val="0"/>
          <w:sz w:val="32"/>
          <w:szCs w:val="21"/>
          <w:highlight w:val="none"/>
        </w:rPr>
        <w:t>附件四、</w:t>
      </w:r>
      <w:r>
        <w:rPr>
          <w:rFonts w:hint="eastAsia" w:ascii="宋体" w:hAnsi="宋体" w:cs="宋体"/>
          <w:b/>
          <w:bCs/>
          <w:kern w:val="0"/>
          <w:sz w:val="32"/>
          <w:szCs w:val="21"/>
          <w:highlight w:val="none"/>
          <w:lang w:val="zh-CN"/>
        </w:rPr>
        <w:t>采购需求偏离表</w:t>
      </w:r>
      <w:r>
        <w:rPr>
          <w:rFonts w:hint="eastAsia" w:ascii="宋体" w:hAnsi="宋体" w:cs="宋体"/>
          <w:b/>
          <w:bCs/>
          <w:kern w:val="0"/>
          <w:sz w:val="32"/>
          <w:szCs w:val="21"/>
          <w:highlight w:val="none"/>
        </w:rPr>
        <w:t>表格</w:t>
      </w:r>
    </w:p>
    <w:p>
      <w:pPr>
        <w:pStyle w:val="42"/>
        <w:rPr>
          <w:rFonts w:ascii="宋体" w:hAnsi="宋体" w:cs="宋体"/>
          <w:highlight w:val="none"/>
        </w:rPr>
      </w:pPr>
    </w:p>
    <w:p>
      <w:pPr>
        <w:widowControl/>
        <w:shd w:val="clear" w:color="auto" w:fill="FFFFFF"/>
        <w:jc w:val="center"/>
        <w:rPr>
          <w:rFonts w:ascii="宋体" w:hAnsi="宋体" w:cs="宋体"/>
          <w:kern w:val="0"/>
          <w:szCs w:val="21"/>
          <w:highlight w:val="none"/>
        </w:rPr>
      </w:pPr>
      <w:r>
        <w:rPr>
          <w:rFonts w:hint="eastAsia" w:ascii="宋体" w:hAnsi="宋体" w:cs="宋体"/>
          <w:bCs/>
          <w:kern w:val="0"/>
          <w:sz w:val="36"/>
          <w:szCs w:val="36"/>
          <w:highlight w:val="none"/>
          <w:lang w:val="zh-CN"/>
        </w:rPr>
        <w:t>采购需求偏离表</w:t>
      </w:r>
    </w:p>
    <w:p>
      <w:pPr>
        <w:widowControl/>
        <w:tabs>
          <w:tab w:val="left" w:pos="5397"/>
        </w:tabs>
        <w:ind w:firstLine="84" w:firstLineChars="40"/>
        <w:jc w:val="left"/>
        <w:rPr>
          <w:rFonts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w:t>
      </w:r>
    </w:p>
    <w:tbl>
      <w:tblPr>
        <w:tblStyle w:val="49"/>
        <w:tblW w:w="9415"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675"/>
        <w:gridCol w:w="1135"/>
        <w:gridCol w:w="1843"/>
        <w:gridCol w:w="1843"/>
        <w:gridCol w:w="1843"/>
        <w:gridCol w:w="2076"/>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jc w:val="center"/>
        </w:trPr>
        <w:tc>
          <w:tcPr>
            <w:tcW w:w="675" w:type="dxa"/>
            <w:vMerge w:val="restart"/>
            <w:tcBorders>
              <w:top w:val="single" w:color="auto" w:sz="4" w:space="0"/>
              <w:right w:val="single" w:color="auto" w:sz="4" w:space="0"/>
            </w:tcBorders>
            <w:noWrap w:val="0"/>
            <w:vAlign w:val="center"/>
          </w:tcPr>
          <w:p>
            <w:pPr>
              <w:jc w:val="center"/>
              <w:rPr>
                <w:rFonts w:ascii="宋体" w:hAnsi="宋体" w:cs="宋体"/>
                <w:szCs w:val="21"/>
                <w:highlight w:val="none"/>
              </w:rPr>
            </w:pPr>
            <w:r>
              <w:rPr>
                <w:rFonts w:hint="eastAsia" w:ascii="宋体" w:hAnsi="宋体" w:cs="宋体"/>
                <w:highlight w:val="none"/>
              </w:rPr>
              <w:t>序号</w:t>
            </w:r>
          </w:p>
        </w:tc>
        <w:tc>
          <w:tcPr>
            <w:tcW w:w="2978" w:type="dxa"/>
            <w:gridSpan w:val="2"/>
            <w:tcBorders>
              <w:top w:val="single" w:color="auto" w:sz="4" w:space="0"/>
              <w:left w:val="nil"/>
              <w:bottom w:val="single" w:color="auto" w:sz="4" w:space="0"/>
              <w:right w:val="single" w:color="auto" w:sz="4" w:space="0"/>
            </w:tcBorders>
            <w:noWrap w:val="0"/>
            <w:vAlign w:val="center"/>
          </w:tcPr>
          <w:p>
            <w:pPr>
              <w:jc w:val="center"/>
              <w:rPr>
                <w:rFonts w:ascii="宋体" w:hAnsi="宋体" w:cs="宋体"/>
                <w:szCs w:val="21"/>
                <w:highlight w:val="none"/>
              </w:rPr>
            </w:pPr>
            <w:r>
              <w:rPr>
                <w:rFonts w:hint="eastAsia" w:ascii="宋体" w:hAnsi="宋体" w:cs="宋体"/>
                <w:highlight w:val="none"/>
              </w:rPr>
              <w:t>招标文件</w:t>
            </w:r>
          </w:p>
        </w:tc>
        <w:tc>
          <w:tcPr>
            <w:tcW w:w="1843" w:type="dxa"/>
            <w:tcBorders>
              <w:top w:val="single" w:color="auto" w:sz="4" w:space="0"/>
              <w:left w:val="nil"/>
              <w:bottom w:val="single" w:color="auto" w:sz="4" w:space="0"/>
              <w:right w:val="single" w:color="auto" w:sz="4" w:space="0"/>
            </w:tcBorders>
            <w:noWrap w:val="0"/>
            <w:vAlign w:val="center"/>
          </w:tcPr>
          <w:p>
            <w:pPr>
              <w:jc w:val="center"/>
              <w:rPr>
                <w:rFonts w:ascii="宋体" w:hAnsi="宋体" w:cs="宋体"/>
                <w:szCs w:val="21"/>
                <w:highlight w:val="none"/>
              </w:rPr>
            </w:pPr>
            <w:r>
              <w:rPr>
                <w:rFonts w:hint="eastAsia" w:ascii="宋体" w:hAnsi="宋体" w:cs="宋体"/>
                <w:highlight w:val="none"/>
              </w:rPr>
              <w:t>投标文件</w:t>
            </w:r>
          </w:p>
        </w:tc>
        <w:tc>
          <w:tcPr>
            <w:tcW w:w="1843" w:type="dxa"/>
            <w:vMerge w:val="restart"/>
            <w:tcBorders>
              <w:top w:val="single" w:color="auto" w:sz="4" w:space="0"/>
              <w:left w:val="nil"/>
              <w:right w:val="single" w:color="auto" w:sz="4" w:space="0"/>
            </w:tcBorders>
            <w:noWrap w:val="0"/>
            <w:vAlign w:val="center"/>
          </w:tcPr>
          <w:p>
            <w:pPr>
              <w:jc w:val="center"/>
              <w:rPr>
                <w:rFonts w:ascii="宋体" w:hAnsi="宋体" w:cs="宋体"/>
                <w:szCs w:val="21"/>
                <w:highlight w:val="none"/>
              </w:rPr>
            </w:pPr>
            <w:r>
              <w:rPr>
                <w:rFonts w:hint="eastAsia" w:ascii="宋体" w:hAnsi="宋体" w:cs="宋体"/>
                <w:highlight w:val="none"/>
              </w:rPr>
              <w:t>说明</w:t>
            </w:r>
          </w:p>
        </w:tc>
        <w:tc>
          <w:tcPr>
            <w:tcW w:w="2076" w:type="dxa"/>
            <w:vMerge w:val="restart"/>
            <w:tcBorders>
              <w:top w:val="single" w:color="auto" w:sz="4" w:space="0"/>
              <w:left w:val="nil"/>
            </w:tcBorders>
            <w:noWrap w:val="0"/>
            <w:vAlign w:val="top"/>
          </w:tcPr>
          <w:p>
            <w:pPr>
              <w:jc w:val="center"/>
              <w:rPr>
                <w:rFonts w:ascii="宋体" w:hAnsi="宋体" w:cs="宋体"/>
                <w:szCs w:val="21"/>
                <w:highlight w:val="none"/>
              </w:rPr>
            </w:pPr>
            <w:r>
              <w:rPr>
                <w:rFonts w:hint="eastAsia" w:ascii="宋体" w:hAnsi="宋体" w:cs="宋体"/>
                <w:highlight w:val="none"/>
              </w:rPr>
              <w:t>重要参数证明文件响应的具体位置</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jc w:val="center"/>
        </w:trPr>
        <w:tc>
          <w:tcPr>
            <w:tcW w:w="675" w:type="dxa"/>
            <w:vMerge w:val="continue"/>
            <w:tcBorders>
              <w:bottom w:val="single" w:color="auto" w:sz="4" w:space="0"/>
              <w:right w:val="single" w:color="auto" w:sz="4" w:space="0"/>
            </w:tcBorders>
            <w:noWrap w:val="0"/>
            <w:vAlign w:val="top"/>
          </w:tcPr>
          <w:p>
            <w:pPr>
              <w:rPr>
                <w:rFonts w:ascii="宋体" w:hAnsi="宋体" w:cs="宋体"/>
                <w:sz w:val="20"/>
                <w:szCs w:val="20"/>
                <w:highlight w:val="none"/>
              </w:rPr>
            </w:pPr>
          </w:p>
        </w:tc>
        <w:tc>
          <w:tcPr>
            <w:tcW w:w="1135" w:type="dxa"/>
            <w:tcBorders>
              <w:top w:val="single" w:color="auto" w:sz="4" w:space="0"/>
              <w:left w:val="nil"/>
              <w:bottom w:val="single" w:color="auto" w:sz="4" w:space="0"/>
              <w:right w:val="single" w:color="auto" w:sz="4" w:space="0"/>
            </w:tcBorders>
            <w:noWrap w:val="0"/>
            <w:vAlign w:val="top"/>
          </w:tcPr>
          <w:p>
            <w:pPr>
              <w:jc w:val="center"/>
              <w:rPr>
                <w:rFonts w:ascii="宋体" w:hAnsi="宋体" w:cs="宋体"/>
                <w:szCs w:val="21"/>
                <w:highlight w:val="none"/>
              </w:rPr>
            </w:pPr>
            <w:r>
              <w:rPr>
                <w:rFonts w:hint="eastAsia" w:ascii="宋体" w:hAnsi="宋体" w:cs="宋体"/>
                <w:highlight w:val="none"/>
              </w:rPr>
              <w:t>条目号</w:t>
            </w:r>
          </w:p>
        </w:tc>
        <w:tc>
          <w:tcPr>
            <w:tcW w:w="1843" w:type="dxa"/>
            <w:tcBorders>
              <w:top w:val="single" w:color="auto" w:sz="4" w:space="0"/>
              <w:left w:val="nil"/>
              <w:bottom w:val="single" w:color="auto" w:sz="4" w:space="0"/>
              <w:right w:val="single" w:color="auto" w:sz="4" w:space="0"/>
            </w:tcBorders>
            <w:noWrap w:val="0"/>
            <w:vAlign w:val="top"/>
          </w:tcPr>
          <w:p>
            <w:pPr>
              <w:jc w:val="center"/>
              <w:rPr>
                <w:rFonts w:ascii="宋体" w:hAnsi="宋体" w:cs="宋体"/>
                <w:szCs w:val="21"/>
                <w:highlight w:val="none"/>
              </w:rPr>
            </w:pPr>
            <w:r>
              <w:rPr>
                <w:rFonts w:hint="eastAsia" w:ascii="宋体" w:hAnsi="宋体" w:cs="宋体"/>
                <w:highlight w:val="none"/>
              </w:rPr>
              <w:t>采购要求规格</w:t>
            </w:r>
          </w:p>
        </w:tc>
        <w:tc>
          <w:tcPr>
            <w:tcW w:w="1843" w:type="dxa"/>
            <w:tcBorders>
              <w:top w:val="single" w:color="auto" w:sz="4" w:space="0"/>
              <w:left w:val="nil"/>
              <w:bottom w:val="single" w:color="auto" w:sz="4" w:space="0"/>
              <w:right w:val="single" w:color="auto" w:sz="4" w:space="0"/>
            </w:tcBorders>
            <w:noWrap w:val="0"/>
            <w:vAlign w:val="top"/>
          </w:tcPr>
          <w:p>
            <w:pPr>
              <w:jc w:val="center"/>
              <w:rPr>
                <w:rFonts w:ascii="宋体" w:hAnsi="宋体" w:cs="宋体"/>
                <w:szCs w:val="21"/>
                <w:highlight w:val="none"/>
              </w:rPr>
            </w:pPr>
            <w:r>
              <w:rPr>
                <w:rFonts w:hint="eastAsia" w:ascii="宋体" w:hAnsi="宋体" w:cs="宋体"/>
                <w:highlight w:val="none"/>
              </w:rPr>
              <w:t>响应具体情况</w:t>
            </w:r>
          </w:p>
        </w:tc>
        <w:tc>
          <w:tcPr>
            <w:tcW w:w="1843" w:type="dxa"/>
            <w:vMerge w:val="continue"/>
            <w:tcBorders>
              <w:left w:val="nil"/>
              <w:bottom w:val="single" w:color="auto" w:sz="4" w:space="0"/>
              <w:right w:val="single" w:color="auto" w:sz="4" w:space="0"/>
            </w:tcBorders>
            <w:noWrap w:val="0"/>
            <w:vAlign w:val="top"/>
          </w:tcPr>
          <w:p>
            <w:pPr>
              <w:rPr>
                <w:rFonts w:ascii="宋体" w:hAnsi="宋体" w:cs="宋体"/>
                <w:sz w:val="20"/>
                <w:szCs w:val="20"/>
                <w:highlight w:val="none"/>
              </w:rPr>
            </w:pPr>
          </w:p>
        </w:tc>
        <w:tc>
          <w:tcPr>
            <w:tcW w:w="2076" w:type="dxa"/>
            <w:vMerge w:val="continue"/>
            <w:tcBorders>
              <w:left w:val="nil"/>
              <w:bottom w:val="single" w:color="auto" w:sz="4" w:space="0"/>
            </w:tcBorders>
            <w:noWrap w:val="0"/>
            <w:vAlign w:val="top"/>
          </w:tcPr>
          <w:p>
            <w:pPr>
              <w:rPr>
                <w:rFonts w:ascii="宋体" w:hAnsi="宋体" w:cs="宋体"/>
                <w:sz w:val="20"/>
                <w:szCs w:val="20"/>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75" w:type="dxa"/>
            <w:tcBorders>
              <w:top w:val="single" w:color="auto" w:sz="4" w:space="0"/>
              <w:bottom w:val="single" w:color="auto" w:sz="4" w:space="0"/>
              <w:right w:val="single" w:color="auto" w:sz="4" w:space="0"/>
            </w:tcBorders>
            <w:noWrap w:val="0"/>
            <w:vAlign w:val="top"/>
          </w:tcPr>
          <w:p>
            <w:pPr>
              <w:rPr>
                <w:rFonts w:ascii="宋体" w:hAnsi="宋体" w:cs="宋体"/>
                <w:szCs w:val="21"/>
                <w:highlight w:val="none"/>
              </w:rPr>
            </w:pPr>
          </w:p>
        </w:tc>
        <w:tc>
          <w:tcPr>
            <w:tcW w:w="1135"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2076" w:type="dxa"/>
            <w:tcBorders>
              <w:top w:val="single" w:color="auto" w:sz="4" w:space="0"/>
              <w:left w:val="nil"/>
              <w:bottom w:val="single" w:color="auto" w:sz="4" w:space="0"/>
            </w:tcBorders>
            <w:noWrap w:val="0"/>
            <w:vAlign w:val="top"/>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75" w:type="dxa"/>
            <w:tcBorders>
              <w:top w:val="single" w:color="auto" w:sz="4" w:space="0"/>
              <w:bottom w:val="single" w:color="auto" w:sz="4" w:space="0"/>
              <w:right w:val="single" w:color="auto" w:sz="4" w:space="0"/>
            </w:tcBorders>
            <w:noWrap w:val="0"/>
            <w:vAlign w:val="top"/>
          </w:tcPr>
          <w:p>
            <w:pPr>
              <w:rPr>
                <w:rFonts w:ascii="宋体" w:hAnsi="宋体" w:cs="宋体"/>
                <w:szCs w:val="21"/>
                <w:highlight w:val="none"/>
              </w:rPr>
            </w:pPr>
          </w:p>
        </w:tc>
        <w:tc>
          <w:tcPr>
            <w:tcW w:w="1135"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2076" w:type="dxa"/>
            <w:tcBorders>
              <w:top w:val="single" w:color="auto" w:sz="4" w:space="0"/>
              <w:left w:val="nil"/>
              <w:bottom w:val="single" w:color="auto" w:sz="4" w:space="0"/>
            </w:tcBorders>
            <w:noWrap w:val="0"/>
            <w:vAlign w:val="top"/>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75" w:type="dxa"/>
            <w:tcBorders>
              <w:top w:val="single" w:color="auto" w:sz="4" w:space="0"/>
              <w:bottom w:val="single" w:color="auto" w:sz="4" w:space="0"/>
              <w:right w:val="single" w:color="auto" w:sz="4" w:space="0"/>
            </w:tcBorders>
            <w:noWrap w:val="0"/>
            <w:vAlign w:val="top"/>
          </w:tcPr>
          <w:p>
            <w:pPr>
              <w:rPr>
                <w:rFonts w:ascii="宋体" w:hAnsi="宋体" w:cs="宋体"/>
                <w:szCs w:val="21"/>
                <w:highlight w:val="none"/>
              </w:rPr>
            </w:pPr>
          </w:p>
        </w:tc>
        <w:tc>
          <w:tcPr>
            <w:tcW w:w="1135"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2076" w:type="dxa"/>
            <w:tcBorders>
              <w:top w:val="single" w:color="auto" w:sz="4" w:space="0"/>
              <w:left w:val="nil"/>
              <w:bottom w:val="single" w:color="auto" w:sz="4" w:space="0"/>
            </w:tcBorders>
            <w:noWrap w:val="0"/>
            <w:vAlign w:val="top"/>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75" w:type="dxa"/>
            <w:tcBorders>
              <w:top w:val="single" w:color="auto" w:sz="4" w:space="0"/>
              <w:bottom w:val="single" w:color="auto" w:sz="4" w:space="0"/>
              <w:right w:val="single" w:color="auto" w:sz="4" w:space="0"/>
            </w:tcBorders>
            <w:noWrap w:val="0"/>
            <w:vAlign w:val="top"/>
          </w:tcPr>
          <w:p>
            <w:pPr>
              <w:rPr>
                <w:rFonts w:ascii="宋体" w:hAnsi="宋体" w:cs="宋体"/>
                <w:szCs w:val="21"/>
                <w:highlight w:val="none"/>
              </w:rPr>
            </w:pPr>
          </w:p>
        </w:tc>
        <w:tc>
          <w:tcPr>
            <w:tcW w:w="1135"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2076" w:type="dxa"/>
            <w:tcBorders>
              <w:top w:val="single" w:color="auto" w:sz="4" w:space="0"/>
              <w:left w:val="nil"/>
              <w:bottom w:val="single" w:color="auto" w:sz="4" w:space="0"/>
            </w:tcBorders>
            <w:noWrap w:val="0"/>
            <w:vAlign w:val="top"/>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75" w:type="dxa"/>
            <w:tcBorders>
              <w:top w:val="single" w:color="auto" w:sz="4" w:space="0"/>
              <w:bottom w:val="single" w:color="auto" w:sz="4" w:space="0"/>
              <w:right w:val="single" w:color="auto" w:sz="4" w:space="0"/>
            </w:tcBorders>
            <w:noWrap w:val="0"/>
            <w:vAlign w:val="top"/>
          </w:tcPr>
          <w:p>
            <w:pPr>
              <w:rPr>
                <w:rFonts w:ascii="宋体" w:hAnsi="宋体" w:cs="宋体"/>
                <w:szCs w:val="21"/>
                <w:highlight w:val="none"/>
              </w:rPr>
            </w:pPr>
          </w:p>
        </w:tc>
        <w:tc>
          <w:tcPr>
            <w:tcW w:w="1135"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2076" w:type="dxa"/>
            <w:tcBorders>
              <w:top w:val="single" w:color="auto" w:sz="4" w:space="0"/>
              <w:left w:val="nil"/>
              <w:bottom w:val="single" w:color="auto" w:sz="4" w:space="0"/>
            </w:tcBorders>
            <w:noWrap w:val="0"/>
            <w:vAlign w:val="top"/>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75" w:type="dxa"/>
            <w:tcBorders>
              <w:top w:val="single" w:color="auto" w:sz="4" w:space="0"/>
              <w:bottom w:val="single" w:color="auto" w:sz="4" w:space="0"/>
              <w:right w:val="single" w:color="auto" w:sz="4" w:space="0"/>
            </w:tcBorders>
            <w:noWrap w:val="0"/>
            <w:vAlign w:val="top"/>
          </w:tcPr>
          <w:p>
            <w:pPr>
              <w:rPr>
                <w:rFonts w:ascii="宋体" w:hAnsi="宋体" w:cs="宋体"/>
                <w:szCs w:val="21"/>
                <w:highlight w:val="none"/>
              </w:rPr>
            </w:pPr>
          </w:p>
        </w:tc>
        <w:tc>
          <w:tcPr>
            <w:tcW w:w="1135"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2076" w:type="dxa"/>
            <w:tcBorders>
              <w:top w:val="single" w:color="auto" w:sz="4" w:space="0"/>
              <w:left w:val="nil"/>
              <w:bottom w:val="single" w:color="auto" w:sz="4" w:space="0"/>
            </w:tcBorders>
            <w:noWrap w:val="0"/>
            <w:vAlign w:val="top"/>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75" w:type="dxa"/>
            <w:tcBorders>
              <w:top w:val="single" w:color="auto" w:sz="4" w:space="0"/>
              <w:bottom w:val="single" w:color="auto" w:sz="4" w:space="0"/>
              <w:right w:val="single" w:color="auto" w:sz="4" w:space="0"/>
            </w:tcBorders>
            <w:noWrap w:val="0"/>
            <w:vAlign w:val="top"/>
          </w:tcPr>
          <w:p>
            <w:pPr>
              <w:rPr>
                <w:rFonts w:ascii="宋体" w:hAnsi="宋体" w:cs="宋体"/>
                <w:szCs w:val="21"/>
                <w:highlight w:val="none"/>
              </w:rPr>
            </w:pPr>
          </w:p>
        </w:tc>
        <w:tc>
          <w:tcPr>
            <w:tcW w:w="1135"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2076" w:type="dxa"/>
            <w:tcBorders>
              <w:top w:val="single" w:color="auto" w:sz="4" w:space="0"/>
              <w:left w:val="nil"/>
              <w:bottom w:val="single" w:color="auto" w:sz="4" w:space="0"/>
            </w:tcBorders>
            <w:noWrap w:val="0"/>
            <w:vAlign w:val="top"/>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75" w:type="dxa"/>
            <w:tcBorders>
              <w:top w:val="single" w:color="auto" w:sz="4" w:space="0"/>
              <w:bottom w:val="single" w:color="auto" w:sz="4" w:space="0"/>
              <w:right w:val="single" w:color="auto" w:sz="4" w:space="0"/>
            </w:tcBorders>
            <w:noWrap w:val="0"/>
            <w:vAlign w:val="top"/>
          </w:tcPr>
          <w:p>
            <w:pPr>
              <w:rPr>
                <w:rFonts w:ascii="宋体" w:hAnsi="宋体" w:cs="宋体"/>
                <w:szCs w:val="21"/>
                <w:highlight w:val="none"/>
              </w:rPr>
            </w:pPr>
          </w:p>
        </w:tc>
        <w:tc>
          <w:tcPr>
            <w:tcW w:w="1135"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2076" w:type="dxa"/>
            <w:tcBorders>
              <w:top w:val="single" w:color="auto" w:sz="4" w:space="0"/>
              <w:left w:val="nil"/>
              <w:bottom w:val="single" w:color="auto" w:sz="4" w:space="0"/>
            </w:tcBorders>
            <w:noWrap w:val="0"/>
            <w:vAlign w:val="top"/>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75" w:type="dxa"/>
            <w:tcBorders>
              <w:top w:val="single" w:color="auto" w:sz="4" w:space="0"/>
              <w:bottom w:val="single" w:color="auto" w:sz="4" w:space="0"/>
              <w:right w:val="single" w:color="auto" w:sz="4" w:space="0"/>
            </w:tcBorders>
            <w:noWrap w:val="0"/>
            <w:vAlign w:val="top"/>
          </w:tcPr>
          <w:p>
            <w:pPr>
              <w:rPr>
                <w:rFonts w:ascii="宋体" w:hAnsi="宋体" w:cs="宋体"/>
                <w:szCs w:val="21"/>
                <w:highlight w:val="none"/>
              </w:rPr>
            </w:pPr>
          </w:p>
        </w:tc>
        <w:tc>
          <w:tcPr>
            <w:tcW w:w="1135"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2076" w:type="dxa"/>
            <w:tcBorders>
              <w:top w:val="single" w:color="auto" w:sz="4" w:space="0"/>
              <w:left w:val="nil"/>
              <w:bottom w:val="single" w:color="auto" w:sz="4" w:space="0"/>
            </w:tcBorders>
            <w:noWrap w:val="0"/>
            <w:vAlign w:val="top"/>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75" w:type="dxa"/>
            <w:tcBorders>
              <w:top w:val="single" w:color="auto" w:sz="4" w:space="0"/>
              <w:bottom w:val="single" w:color="auto" w:sz="4" w:space="0"/>
              <w:right w:val="single" w:color="auto" w:sz="4" w:space="0"/>
            </w:tcBorders>
            <w:noWrap w:val="0"/>
            <w:vAlign w:val="top"/>
          </w:tcPr>
          <w:p>
            <w:pPr>
              <w:rPr>
                <w:rFonts w:ascii="宋体" w:hAnsi="宋体" w:cs="宋体"/>
                <w:szCs w:val="21"/>
                <w:highlight w:val="none"/>
              </w:rPr>
            </w:pPr>
          </w:p>
        </w:tc>
        <w:tc>
          <w:tcPr>
            <w:tcW w:w="1135"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2076" w:type="dxa"/>
            <w:tcBorders>
              <w:top w:val="single" w:color="auto" w:sz="4" w:space="0"/>
              <w:left w:val="nil"/>
              <w:bottom w:val="single" w:color="auto" w:sz="4" w:space="0"/>
            </w:tcBorders>
            <w:noWrap w:val="0"/>
            <w:vAlign w:val="top"/>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75" w:type="dxa"/>
            <w:tcBorders>
              <w:top w:val="single" w:color="auto" w:sz="4" w:space="0"/>
              <w:bottom w:val="single" w:color="auto" w:sz="4" w:space="0"/>
              <w:right w:val="single" w:color="auto" w:sz="4" w:space="0"/>
            </w:tcBorders>
            <w:noWrap w:val="0"/>
            <w:vAlign w:val="top"/>
          </w:tcPr>
          <w:p>
            <w:pPr>
              <w:rPr>
                <w:rFonts w:ascii="宋体" w:hAnsi="宋体" w:cs="宋体"/>
                <w:szCs w:val="21"/>
                <w:highlight w:val="none"/>
              </w:rPr>
            </w:pPr>
          </w:p>
        </w:tc>
        <w:tc>
          <w:tcPr>
            <w:tcW w:w="1135"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1843" w:type="dxa"/>
            <w:tcBorders>
              <w:top w:val="single" w:color="auto" w:sz="4" w:space="0"/>
              <w:left w:val="nil"/>
              <w:bottom w:val="single" w:color="auto" w:sz="4" w:space="0"/>
              <w:right w:val="single" w:color="auto" w:sz="4" w:space="0"/>
            </w:tcBorders>
            <w:noWrap w:val="0"/>
            <w:vAlign w:val="top"/>
          </w:tcPr>
          <w:p>
            <w:pPr>
              <w:rPr>
                <w:rFonts w:ascii="宋体" w:hAnsi="宋体" w:cs="宋体"/>
                <w:szCs w:val="21"/>
                <w:highlight w:val="none"/>
              </w:rPr>
            </w:pPr>
          </w:p>
        </w:tc>
        <w:tc>
          <w:tcPr>
            <w:tcW w:w="2076" w:type="dxa"/>
            <w:tcBorders>
              <w:top w:val="single" w:color="auto" w:sz="4" w:space="0"/>
              <w:left w:val="nil"/>
              <w:bottom w:val="single" w:color="auto" w:sz="4" w:space="0"/>
            </w:tcBorders>
            <w:noWrap w:val="0"/>
            <w:vAlign w:val="top"/>
          </w:tcPr>
          <w:p>
            <w:pPr>
              <w:rPr>
                <w:rFonts w:ascii="宋体" w:hAnsi="宋体" w:cs="宋体"/>
                <w:szCs w:val="21"/>
                <w:highlight w:val="none"/>
              </w:rPr>
            </w:pPr>
          </w:p>
        </w:tc>
      </w:tr>
    </w:tbl>
    <w:p>
      <w:pPr>
        <w:ind w:firstLine="420" w:firstLineChars="200"/>
        <w:rPr>
          <w:rFonts w:ascii="宋体" w:hAnsi="宋体" w:cs="宋体"/>
          <w:b/>
          <w:bCs/>
          <w:highlight w:val="none"/>
        </w:rPr>
      </w:pPr>
      <w:r>
        <w:rPr>
          <w:rFonts w:hint="eastAsia" w:ascii="宋体" w:hAnsi="宋体" w:cs="宋体"/>
          <w:highlight w:val="none"/>
        </w:rPr>
        <w:t>注：1、</w:t>
      </w:r>
      <w:r>
        <w:rPr>
          <w:rFonts w:hint="eastAsia" w:ascii="宋体" w:hAnsi="宋体" w:cs="宋体"/>
          <w:b/>
          <w:bCs/>
          <w:highlight w:val="none"/>
        </w:rPr>
        <w:t>供应商应对招标文件第四章采购需求的内容给予逐条响应，缺项漏项视为负偏离。</w:t>
      </w:r>
      <w:r>
        <w:rPr>
          <w:rFonts w:hint="eastAsia" w:ascii="宋体" w:hAnsi="宋体" w:cs="宋体"/>
          <w:highlight w:val="none"/>
        </w:rPr>
        <w:t>以投标服务所能达到的内容予以填写，而不应通过简单拷贝招标文件技术要求作为响应内容。</w:t>
      </w:r>
    </w:p>
    <w:p>
      <w:pPr>
        <w:ind w:firstLine="420" w:firstLineChars="200"/>
        <w:rPr>
          <w:rFonts w:ascii="宋体" w:hAnsi="宋体" w:cs="宋体"/>
          <w:highlight w:val="none"/>
        </w:rPr>
      </w:pPr>
      <w:r>
        <w:rPr>
          <w:rFonts w:hint="eastAsia" w:ascii="宋体" w:hAnsi="宋体" w:cs="宋体"/>
          <w:highlight w:val="none"/>
        </w:rPr>
        <w:t>2、投标文件“响应具体情况",指所投的应答情况。“说明”栏请注明“响应/正偏离/负偏离”，并且标注针对重要技术参数响应的证明文件在投标文件中的页码及具体位置。</w:t>
      </w:r>
    </w:p>
    <w:p>
      <w:pPr>
        <w:ind w:firstLine="420" w:firstLineChars="200"/>
        <w:rPr>
          <w:rFonts w:ascii="宋体" w:hAnsi="宋体" w:cs="宋体"/>
          <w:highlight w:val="none"/>
        </w:rPr>
      </w:pPr>
      <w:r>
        <w:rPr>
          <w:rFonts w:hint="eastAsia" w:ascii="宋体" w:hAnsi="宋体" w:cs="宋体"/>
          <w:highlight w:val="none"/>
          <w:lang w:val="en-US" w:eastAsia="zh-CN"/>
        </w:rPr>
        <w:t>3</w:t>
      </w:r>
      <w:r>
        <w:rPr>
          <w:rFonts w:hint="eastAsia" w:ascii="宋体" w:hAnsi="宋体" w:cs="宋体"/>
          <w:highlight w:val="none"/>
        </w:rPr>
        <w:t>、如果行数不够，请自行增加。</w:t>
      </w:r>
    </w:p>
    <w:p>
      <w:pPr>
        <w:widowControl/>
        <w:shd w:val="clear" w:color="auto" w:fill="FFFFFF"/>
        <w:jc w:val="left"/>
        <w:rPr>
          <w:rFonts w:ascii="宋体" w:hAnsi="宋体" w:cs="宋体"/>
          <w:kern w:val="0"/>
          <w:szCs w:val="21"/>
          <w:highlight w:val="none"/>
        </w:rPr>
      </w:pPr>
    </w:p>
    <w:p>
      <w:pPr>
        <w:widowControl/>
        <w:shd w:val="clear" w:color="auto" w:fill="FFFFFF"/>
        <w:jc w:val="left"/>
        <w:rPr>
          <w:rFonts w:ascii="宋体" w:hAnsi="宋体" w:cs="宋体"/>
          <w:kern w:val="0"/>
          <w:szCs w:val="21"/>
          <w:highlight w:val="none"/>
        </w:rPr>
      </w:pPr>
      <w:r>
        <w:rPr>
          <w:rFonts w:hint="eastAsia" w:ascii="宋体" w:hAnsi="宋体" w:cs="宋体"/>
          <w:kern w:val="0"/>
          <w:szCs w:val="21"/>
          <w:highlight w:val="none"/>
        </w:rPr>
        <w:t>投标单位（盖章）：</w:t>
      </w:r>
    </w:p>
    <w:p>
      <w:pPr>
        <w:widowControl/>
        <w:shd w:val="clear" w:color="auto" w:fill="FFFFFF"/>
        <w:jc w:val="left"/>
        <w:rPr>
          <w:rFonts w:ascii="宋体" w:hAnsi="宋体" w:cs="宋体"/>
          <w:kern w:val="0"/>
          <w:szCs w:val="21"/>
          <w:highlight w:val="none"/>
        </w:rPr>
      </w:pPr>
      <w:r>
        <w:rPr>
          <w:rFonts w:hint="eastAsia" w:ascii="宋体" w:hAnsi="宋体" w:cs="宋体"/>
          <w:kern w:val="0"/>
          <w:szCs w:val="21"/>
          <w:highlight w:val="none"/>
        </w:rPr>
        <w:t>授权代表（签字）：</w:t>
      </w:r>
    </w:p>
    <w:p>
      <w:pPr>
        <w:widowControl/>
        <w:shd w:val="clear" w:color="auto" w:fill="FFFFFF"/>
        <w:jc w:val="left"/>
        <w:rPr>
          <w:rFonts w:ascii="宋体" w:hAnsi="宋体" w:cs="宋体"/>
          <w:kern w:val="0"/>
          <w:szCs w:val="21"/>
          <w:highlight w:val="none"/>
        </w:rPr>
      </w:pPr>
    </w:p>
    <w:p>
      <w:pPr>
        <w:pStyle w:val="4"/>
        <w:rPr>
          <w:rFonts w:ascii="宋体" w:hAnsi="宋体" w:cs="宋体"/>
          <w:kern w:val="0"/>
          <w:szCs w:val="21"/>
          <w:highlight w:val="none"/>
        </w:rPr>
      </w:pPr>
      <w:r>
        <w:rPr>
          <w:rFonts w:hint="eastAsia" w:ascii="宋体" w:hAnsi="宋体" w:cs="宋体"/>
          <w:bCs/>
          <w:kern w:val="0"/>
          <w:szCs w:val="21"/>
          <w:highlight w:val="none"/>
        </w:rPr>
        <w:br w:type="page"/>
      </w:r>
      <w:r>
        <w:rPr>
          <w:rFonts w:hint="eastAsia" w:ascii="宋体" w:hAnsi="宋体" w:cs="宋体"/>
          <w:bCs/>
          <w:kern w:val="0"/>
          <w:szCs w:val="21"/>
          <w:highlight w:val="none"/>
        </w:rPr>
        <w:t>附件五、商务条款偏离表格式</w:t>
      </w:r>
    </w:p>
    <w:p>
      <w:pPr>
        <w:widowControl/>
        <w:shd w:val="clear" w:color="auto" w:fill="FFFFFF"/>
        <w:ind w:firstLine="420"/>
        <w:jc w:val="left"/>
        <w:rPr>
          <w:rFonts w:ascii="宋体" w:hAnsi="宋体" w:cs="宋体"/>
          <w:kern w:val="0"/>
          <w:szCs w:val="21"/>
          <w:highlight w:val="none"/>
        </w:rPr>
      </w:pPr>
    </w:p>
    <w:p>
      <w:pPr>
        <w:widowControl/>
        <w:shd w:val="clear" w:color="auto" w:fill="FFFFFF"/>
        <w:ind w:left="420"/>
        <w:jc w:val="center"/>
        <w:rPr>
          <w:rFonts w:ascii="宋体" w:hAnsi="宋体" w:cs="宋体"/>
          <w:b/>
          <w:kern w:val="0"/>
          <w:szCs w:val="21"/>
          <w:highlight w:val="none"/>
        </w:rPr>
      </w:pPr>
      <w:r>
        <w:rPr>
          <w:rFonts w:hint="eastAsia" w:ascii="宋体" w:hAnsi="宋体" w:cs="宋体"/>
          <w:b/>
          <w:kern w:val="0"/>
          <w:sz w:val="36"/>
          <w:szCs w:val="36"/>
          <w:highlight w:val="none"/>
        </w:rPr>
        <w:t>商务条款偏离表</w:t>
      </w:r>
    </w:p>
    <w:p>
      <w:pPr>
        <w:widowControl/>
        <w:shd w:val="clear" w:color="auto" w:fill="FFFFFF"/>
        <w:jc w:val="left"/>
        <w:rPr>
          <w:rFonts w:ascii="宋体" w:hAnsi="宋体" w:cs="宋体"/>
          <w:kern w:val="0"/>
          <w:szCs w:val="21"/>
          <w:highlight w:val="none"/>
        </w:rPr>
      </w:pPr>
    </w:p>
    <w:p>
      <w:pPr>
        <w:widowControl/>
        <w:tabs>
          <w:tab w:val="left" w:pos="5366"/>
        </w:tabs>
        <w:ind w:firstLine="96" w:firstLineChars="46"/>
        <w:jc w:val="left"/>
        <w:rPr>
          <w:rFonts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w:t>
      </w:r>
    </w:p>
    <w:tbl>
      <w:tblPr>
        <w:tblStyle w:val="4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pPr>
              <w:widowControl/>
              <w:jc w:val="center"/>
              <w:rPr>
                <w:rFonts w:ascii="宋体" w:hAnsi="宋体" w:cs="宋体"/>
                <w:b/>
                <w:kern w:val="0"/>
                <w:szCs w:val="21"/>
                <w:highlight w:val="none"/>
              </w:rPr>
            </w:pPr>
            <w:r>
              <w:rPr>
                <w:rFonts w:hint="eastAsia" w:ascii="宋体" w:hAnsi="宋体" w:cs="宋体"/>
                <w:b/>
                <w:kern w:val="0"/>
                <w:szCs w:val="21"/>
                <w:highlight w:val="none"/>
              </w:rPr>
              <w:t>序号</w:t>
            </w:r>
          </w:p>
        </w:tc>
        <w:tc>
          <w:tcPr>
            <w:tcW w:w="1679" w:type="dxa"/>
            <w:noWrap w:val="0"/>
            <w:tcMar>
              <w:top w:w="0" w:type="dxa"/>
              <w:left w:w="10" w:type="dxa"/>
              <w:bottom w:w="0" w:type="dxa"/>
              <w:right w:w="10" w:type="dxa"/>
            </w:tcMar>
            <w:vAlign w:val="center"/>
          </w:tcPr>
          <w:p>
            <w:pPr>
              <w:widowControl/>
              <w:jc w:val="center"/>
              <w:rPr>
                <w:rFonts w:ascii="宋体" w:hAnsi="宋体" w:cs="宋体"/>
                <w:b/>
                <w:kern w:val="0"/>
                <w:szCs w:val="21"/>
                <w:highlight w:val="none"/>
              </w:rPr>
            </w:pPr>
            <w:r>
              <w:rPr>
                <w:rFonts w:hint="eastAsia" w:ascii="宋体" w:hAnsi="宋体" w:cs="宋体"/>
                <w:b/>
                <w:kern w:val="0"/>
                <w:szCs w:val="21"/>
                <w:highlight w:val="none"/>
              </w:rPr>
              <w:t>招标文件条目号</w:t>
            </w:r>
          </w:p>
        </w:tc>
        <w:tc>
          <w:tcPr>
            <w:tcW w:w="2488" w:type="dxa"/>
            <w:noWrap w:val="0"/>
            <w:tcMar>
              <w:top w:w="0" w:type="dxa"/>
              <w:left w:w="10" w:type="dxa"/>
              <w:bottom w:w="0" w:type="dxa"/>
              <w:right w:w="10" w:type="dxa"/>
            </w:tcMar>
            <w:vAlign w:val="center"/>
          </w:tcPr>
          <w:p>
            <w:pPr>
              <w:widowControl/>
              <w:jc w:val="center"/>
              <w:rPr>
                <w:rFonts w:ascii="宋体" w:hAnsi="宋体" w:cs="宋体"/>
                <w:b/>
                <w:kern w:val="0"/>
                <w:szCs w:val="21"/>
                <w:highlight w:val="none"/>
              </w:rPr>
            </w:pPr>
            <w:r>
              <w:rPr>
                <w:rFonts w:hint="eastAsia" w:ascii="宋体" w:hAnsi="宋体" w:cs="宋体"/>
                <w:b/>
                <w:kern w:val="0"/>
                <w:szCs w:val="21"/>
                <w:highlight w:val="none"/>
              </w:rPr>
              <w:t>招标文件要求的商务条款</w:t>
            </w:r>
          </w:p>
        </w:tc>
        <w:tc>
          <w:tcPr>
            <w:tcW w:w="3004" w:type="dxa"/>
            <w:noWrap w:val="0"/>
            <w:tcMar>
              <w:top w:w="0" w:type="dxa"/>
              <w:left w:w="10" w:type="dxa"/>
              <w:bottom w:w="0" w:type="dxa"/>
              <w:right w:w="10" w:type="dxa"/>
            </w:tcMar>
            <w:vAlign w:val="center"/>
          </w:tcPr>
          <w:p>
            <w:pPr>
              <w:widowControl/>
              <w:jc w:val="center"/>
              <w:rPr>
                <w:rFonts w:ascii="宋体" w:hAnsi="宋体" w:cs="宋体"/>
                <w:b/>
                <w:kern w:val="0"/>
                <w:szCs w:val="21"/>
                <w:highlight w:val="none"/>
              </w:rPr>
            </w:pPr>
            <w:r>
              <w:rPr>
                <w:rFonts w:hint="eastAsia" w:ascii="宋体" w:hAnsi="宋体" w:cs="宋体"/>
                <w:b/>
                <w:kern w:val="0"/>
                <w:szCs w:val="21"/>
                <w:highlight w:val="none"/>
              </w:rPr>
              <w:t>投标响应</w:t>
            </w:r>
          </w:p>
        </w:tc>
        <w:tc>
          <w:tcPr>
            <w:tcW w:w="1201" w:type="dxa"/>
            <w:noWrap w:val="0"/>
            <w:tcMar>
              <w:top w:w="0" w:type="dxa"/>
              <w:left w:w="10" w:type="dxa"/>
              <w:bottom w:w="0" w:type="dxa"/>
              <w:right w:w="10" w:type="dxa"/>
            </w:tcMar>
            <w:vAlign w:val="center"/>
          </w:tcPr>
          <w:p>
            <w:pPr>
              <w:widowControl/>
              <w:jc w:val="center"/>
              <w:rPr>
                <w:rFonts w:ascii="宋体" w:hAnsi="宋体" w:cs="宋体"/>
                <w:b/>
                <w:kern w:val="0"/>
                <w:szCs w:val="21"/>
                <w:highlight w:val="none"/>
              </w:rPr>
            </w:pPr>
            <w:r>
              <w:rPr>
                <w:rFonts w:hint="eastAsia" w:ascii="宋体" w:hAnsi="宋体" w:cs="宋体"/>
                <w:b/>
                <w:kern w:val="0"/>
                <w:szCs w:val="21"/>
                <w:highlight w:val="none"/>
              </w:rPr>
              <w:t>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1679"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2488"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3004"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1201"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1679"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2488"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3004"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1201"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1679"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2488"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3004"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1201"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1679"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2488"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3004"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1201"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1679"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2488"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3004"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1201"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1679"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2488"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3004"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1201"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1679"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2488"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3004"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c>
          <w:tcPr>
            <w:tcW w:w="1201" w:type="dxa"/>
            <w:noWrap w:val="0"/>
            <w:tcMar>
              <w:top w:w="0" w:type="dxa"/>
              <w:left w:w="10" w:type="dxa"/>
              <w:bottom w:w="0" w:type="dxa"/>
              <w:right w:w="10" w:type="dxa"/>
            </w:tcMar>
            <w:vAlign w:val="center"/>
          </w:tcPr>
          <w:p>
            <w:pPr>
              <w:widowControl/>
              <w:jc w:val="center"/>
              <w:rPr>
                <w:rFonts w:ascii="宋体" w:hAnsi="宋体" w:cs="宋体"/>
                <w:kern w:val="0"/>
                <w:szCs w:val="21"/>
                <w:highlight w:val="none"/>
              </w:rPr>
            </w:pPr>
          </w:p>
        </w:tc>
      </w:tr>
    </w:tbl>
    <w:p>
      <w:pPr>
        <w:ind w:firstLine="420" w:firstLineChars="200"/>
        <w:rPr>
          <w:rFonts w:ascii="宋体" w:hAnsi="宋体" w:cs="宋体"/>
          <w:highlight w:val="none"/>
        </w:rPr>
      </w:pPr>
      <w:r>
        <w:rPr>
          <w:rFonts w:hint="eastAsia" w:ascii="宋体" w:hAnsi="宋体" w:cs="宋体"/>
          <w:highlight w:val="none"/>
        </w:rPr>
        <w:t>注：1、供应商如对包括</w:t>
      </w:r>
      <w:r>
        <w:rPr>
          <w:rFonts w:hint="eastAsia" w:ascii="宋体" w:hAnsi="宋体" w:cs="宋体"/>
          <w:b/>
          <w:bCs/>
          <w:highlight w:val="none"/>
          <w:lang w:val="en-US" w:eastAsia="zh-CN"/>
        </w:rPr>
        <w:t>服务</w:t>
      </w:r>
      <w:r>
        <w:rPr>
          <w:rFonts w:hint="eastAsia" w:ascii="宋体" w:hAnsi="宋体" w:cs="宋体"/>
          <w:b/>
          <w:bCs/>
          <w:highlight w:val="none"/>
        </w:rPr>
        <w:t>期、服务</w:t>
      </w:r>
      <w:r>
        <w:rPr>
          <w:rFonts w:hint="eastAsia" w:ascii="宋体" w:hAnsi="宋体" w:cs="宋体"/>
          <w:b/>
          <w:bCs/>
          <w:highlight w:val="none"/>
          <w:lang w:val="en-US" w:eastAsia="zh-CN"/>
        </w:rPr>
        <w:t>标准</w:t>
      </w:r>
      <w:r>
        <w:rPr>
          <w:rFonts w:hint="eastAsia" w:ascii="宋体" w:hAnsi="宋体" w:cs="宋体"/>
          <w:b/>
          <w:bCs/>
          <w:highlight w:val="none"/>
        </w:rPr>
        <w:t>、付款方式等</w:t>
      </w:r>
      <w:r>
        <w:rPr>
          <w:rFonts w:hint="eastAsia" w:ascii="宋体" w:hAnsi="宋体" w:cs="宋体"/>
          <w:highlight w:val="none"/>
        </w:rPr>
        <w:t>商务条款的响应有任何偏离，请在本表中详细填写；如不列出，则视为供应商完全同意招标文件的商务条款。</w:t>
      </w:r>
    </w:p>
    <w:p>
      <w:pPr>
        <w:ind w:left="420" w:leftChars="200"/>
        <w:rPr>
          <w:rFonts w:ascii="宋体" w:hAnsi="宋体" w:cs="宋体"/>
          <w:highlight w:val="none"/>
        </w:rPr>
      </w:pPr>
      <w:r>
        <w:rPr>
          <w:rFonts w:hint="eastAsia" w:ascii="宋体" w:hAnsi="宋体" w:cs="宋体"/>
          <w:highlight w:val="none"/>
        </w:rPr>
        <w:t>2、“供应商的承诺或说明”栏请注明“响应/正偏离/负偏离”，正偏离指供应商的响应高于招标文件要求，负偏离指供应商的响应低于招标文件要求。</w:t>
      </w:r>
    </w:p>
    <w:p>
      <w:pPr>
        <w:ind w:firstLine="420" w:firstLineChars="200"/>
        <w:rPr>
          <w:rFonts w:ascii="宋体" w:hAnsi="宋体" w:cs="宋体"/>
          <w:highlight w:val="none"/>
        </w:rPr>
      </w:pPr>
      <w:r>
        <w:rPr>
          <w:rFonts w:hint="eastAsia" w:ascii="宋体" w:hAnsi="宋体" w:cs="宋体"/>
          <w:highlight w:val="none"/>
        </w:rPr>
        <w:t>3、如果行数不够，请自行增加。</w:t>
      </w:r>
    </w:p>
    <w:p>
      <w:pPr>
        <w:widowControl/>
        <w:shd w:val="clear" w:color="auto" w:fill="FFFFFF"/>
        <w:jc w:val="left"/>
        <w:rPr>
          <w:rFonts w:ascii="宋体" w:hAnsi="宋体" w:cs="宋体"/>
          <w:kern w:val="0"/>
          <w:szCs w:val="21"/>
          <w:highlight w:val="none"/>
        </w:rPr>
      </w:pPr>
    </w:p>
    <w:p>
      <w:pPr>
        <w:widowControl/>
        <w:shd w:val="clear" w:color="auto" w:fill="FFFFFF"/>
        <w:jc w:val="left"/>
        <w:rPr>
          <w:rFonts w:ascii="宋体" w:hAnsi="宋体" w:cs="宋体"/>
          <w:kern w:val="0"/>
          <w:szCs w:val="21"/>
          <w:highlight w:val="none"/>
        </w:rPr>
      </w:pPr>
    </w:p>
    <w:p>
      <w:pPr>
        <w:widowControl/>
        <w:shd w:val="clear" w:color="auto" w:fill="FFFFFF"/>
        <w:jc w:val="left"/>
        <w:rPr>
          <w:rFonts w:ascii="宋体" w:hAnsi="宋体" w:cs="宋体"/>
          <w:kern w:val="0"/>
          <w:szCs w:val="21"/>
          <w:highlight w:val="none"/>
        </w:rPr>
      </w:pPr>
    </w:p>
    <w:p>
      <w:pPr>
        <w:widowControl/>
        <w:shd w:val="clear" w:color="auto" w:fill="FFFFFF"/>
        <w:jc w:val="left"/>
        <w:rPr>
          <w:rFonts w:ascii="宋体" w:hAnsi="宋体" w:cs="宋体"/>
          <w:kern w:val="0"/>
          <w:szCs w:val="21"/>
          <w:highlight w:val="none"/>
        </w:rPr>
      </w:pPr>
      <w:r>
        <w:rPr>
          <w:rFonts w:hint="eastAsia" w:ascii="宋体" w:hAnsi="宋体" w:cs="宋体"/>
          <w:kern w:val="0"/>
          <w:szCs w:val="21"/>
          <w:highlight w:val="none"/>
        </w:rPr>
        <w:t>投标单位（盖章）：</w:t>
      </w:r>
    </w:p>
    <w:p>
      <w:pPr>
        <w:widowControl/>
        <w:shd w:val="clear" w:color="auto" w:fill="FFFFFF"/>
        <w:jc w:val="left"/>
        <w:rPr>
          <w:rFonts w:ascii="宋体" w:hAnsi="宋体" w:cs="宋体"/>
          <w:kern w:val="0"/>
          <w:szCs w:val="21"/>
          <w:highlight w:val="none"/>
          <w:u w:val="single"/>
        </w:rPr>
      </w:pPr>
      <w:r>
        <w:rPr>
          <w:rFonts w:hint="eastAsia" w:ascii="宋体" w:hAnsi="宋体" w:cs="宋体"/>
          <w:kern w:val="0"/>
          <w:szCs w:val="21"/>
          <w:highlight w:val="none"/>
        </w:rPr>
        <w:t>授权代表（签字）：</w:t>
      </w:r>
    </w:p>
    <w:p>
      <w:pPr>
        <w:widowControl/>
        <w:shd w:val="clear" w:color="auto" w:fill="FFFFFF"/>
        <w:jc w:val="left"/>
        <w:rPr>
          <w:rFonts w:ascii="宋体" w:hAnsi="宋体" w:cs="宋体"/>
          <w:kern w:val="0"/>
          <w:szCs w:val="21"/>
          <w:highlight w:val="none"/>
        </w:rPr>
      </w:pPr>
    </w:p>
    <w:p>
      <w:pPr>
        <w:widowControl/>
        <w:shd w:val="clear" w:color="auto" w:fill="FFFFFF"/>
        <w:jc w:val="left"/>
        <w:rPr>
          <w:rFonts w:ascii="宋体" w:hAnsi="宋体" w:cs="宋体"/>
          <w:strike w:val="0"/>
          <w:kern w:val="0"/>
          <w:szCs w:val="21"/>
          <w:highlight w:val="none"/>
        </w:rPr>
      </w:pPr>
    </w:p>
    <w:p>
      <w:pPr>
        <w:widowControl/>
        <w:shd w:val="clear" w:color="auto" w:fill="FFFFFF"/>
        <w:jc w:val="left"/>
        <w:rPr>
          <w:rFonts w:ascii="宋体" w:hAnsi="宋体" w:cs="宋体"/>
          <w:strike w:val="0"/>
          <w:kern w:val="0"/>
          <w:szCs w:val="21"/>
          <w:highlight w:val="none"/>
        </w:rPr>
      </w:pPr>
    </w:p>
    <w:p>
      <w:pPr>
        <w:widowControl/>
        <w:shd w:val="clear" w:color="auto" w:fill="FFFFFF"/>
        <w:jc w:val="left"/>
        <w:rPr>
          <w:rFonts w:ascii="宋体" w:hAnsi="宋体" w:cs="宋体"/>
          <w:strike w:val="0"/>
          <w:kern w:val="0"/>
          <w:szCs w:val="21"/>
          <w:highlight w:val="none"/>
        </w:rPr>
      </w:pPr>
    </w:p>
    <w:p>
      <w:pPr>
        <w:widowControl/>
        <w:shd w:val="clear" w:color="auto" w:fill="FFFFFF"/>
        <w:jc w:val="left"/>
        <w:rPr>
          <w:rFonts w:ascii="宋体" w:hAnsi="宋体" w:cs="宋体"/>
          <w:strike w:val="0"/>
          <w:kern w:val="0"/>
          <w:szCs w:val="21"/>
          <w:highlight w:val="none"/>
        </w:rPr>
      </w:pPr>
    </w:p>
    <w:p>
      <w:pPr>
        <w:widowControl/>
        <w:shd w:val="clear" w:color="auto" w:fill="FFFFFF"/>
        <w:jc w:val="left"/>
        <w:rPr>
          <w:rFonts w:ascii="宋体" w:hAnsi="宋体" w:cs="宋体"/>
          <w:strike w:val="0"/>
          <w:kern w:val="0"/>
          <w:szCs w:val="21"/>
          <w:highlight w:val="none"/>
        </w:rPr>
      </w:pPr>
      <w:r>
        <w:rPr>
          <w:rFonts w:hint="eastAsia" w:ascii="宋体" w:hAnsi="宋体" w:cs="宋体"/>
          <w:bCs/>
          <w:strike w:val="0"/>
          <w:kern w:val="0"/>
          <w:szCs w:val="21"/>
          <w:highlight w:val="none"/>
        </w:rPr>
        <w:br w:type="page"/>
      </w:r>
    </w:p>
    <w:p>
      <w:pPr>
        <w:pStyle w:val="4"/>
        <w:numPr>
          <w:ilvl w:val="-1"/>
          <w:numId w:val="0"/>
        </w:numPr>
        <w:rPr>
          <w:rFonts w:ascii="宋体" w:hAnsi="宋体" w:cs="宋体"/>
          <w:bCs/>
          <w:strike w:val="0"/>
          <w:kern w:val="0"/>
          <w:sz w:val="24"/>
          <w:highlight w:val="none"/>
        </w:rPr>
      </w:pPr>
      <w:bookmarkStart w:id="81" w:name="_Toc32563"/>
      <w:r>
        <w:rPr>
          <w:rFonts w:hint="eastAsia" w:ascii="宋体" w:hAnsi="宋体" w:cs="宋体"/>
          <w:bCs/>
          <w:strike w:val="0"/>
          <w:kern w:val="0"/>
          <w:sz w:val="24"/>
          <w:highlight w:val="none"/>
        </w:rPr>
        <w:t>附件</w:t>
      </w:r>
      <w:r>
        <w:rPr>
          <w:rFonts w:hint="eastAsia" w:ascii="宋体" w:hAnsi="宋体" w:cs="宋体"/>
          <w:bCs/>
          <w:strike w:val="0"/>
          <w:kern w:val="0"/>
          <w:sz w:val="24"/>
          <w:highlight w:val="none"/>
          <w:lang w:val="en-US" w:eastAsia="zh-CN"/>
        </w:rPr>
        <w:t>六</w:t>
      </w:r>
      <w:r>
        <w:rPr>
          <w:rFonts w:hint="eastAsia" w:ascii="宋体" w:hAnsi="宋体" w:cs="宋体"/>
          <w:bCs/>
          <w:strike w:val="0"/>
          <w:kern w:val="0"/>
          <w:sz w:val="24"/>
          <w:highlight w:val="none"/>
        </w:rPr>
        <w:t>、拟参与本项目服务人员一览表</w:t>
      </w:r>
      <w:bookmarkEnd w:id="81"/>
    </w:p>
    <w:p>
      <w:pPr>
        <w:widowControl/>
        <w:adjustRightInd w:val="0"/>
        <w:spacing w:line="460" w:lineRule="atLeast"/>
        <w:rPr>
          <w:rFonts w:ascii="宋体" w:hAnsi="宋体" w:cs="宋体"/>
          <w:b/>
          <w:bCs/>
          <w:strike w:val="0"/>
          <w:kern w:val="0"/>
          <w:sz w:val="24"/>
          <w:highlight w:val="none"/>
        </w:rPr>
      </w:pPr>
    </w:p>
    <w:p>
      <w:pPr>
        <w:widowControl/>
        <w:adjustRightInd w:val="0"/>
        <w:jc w:val="center"/>
        <w:rPr>
          <w:rFonts w:ascii="宋体" w:hAnsi="宋体" w:cs="宋体"/>
          <w:b/>
          <w:bCs/>
          <w:strike w:val="0"/>
          <w:kern w:val="0"/>
          <w:sz w:val="24"/>
          <w:highlight w:val="none"/>
        </w:rPr>
      </w:pPr>
      <w:r>
        <w:rPr>
          <w:rFonts w:hint="eastAsia" w:ascii="宋体" w:hAnsi="宋体" w:cs="宋体"/>
          <w:b/>
          <w:bCs/>
          <w:strike w:val="0"/>
          <w:kern w:val="0"/>
          <w:sz w:val="24"/>
          <w:highlight w:val="none"/>
        </w:rPr>
        <w:t>拟参与本项目服务人员一览表</w:t>
      </w:r>
    </w:p>
    <w:p>
      <w:pPr>
        <w:widowControl/>
        <w:adjustRightInd w:val="0"/>
        <w:jc w:val="center"/>
        <w:rPr>
          <w:rFonts w:ascii="宋体" w:hAnsi="宋体" w:cs="宋体"/>
          <w:b/>
          <w:bCs/>
          <w:strike w:val="0"/>
          <w:kern w:val="0"/>
          <w:sz w:val="24"/>
          <w:highlight w:val="none"/>
        </w:rPr>
      </w:pPr>
    </w:p>
    <w:p>
      <w:pPr>
        <w:widowControl/>
        <w:adjustRightInd w:val="0"/>
        <w:rPr>
          <w:rFonts w:ascii="宋体" w:hAnsi="宋体" w:cs="宋体"/>
          <w:strike w:val="0"/>
          <w:kern w:val="0"/>
          <w:szCs w:val="21"/>
          <w:highlight w:val="none"/>
        </w:rPr>
      </w:pPr>
      <w:r>
        <w:rPr>
          <w:rFonts w:hint="eastAsia" w:ascii="宋体" w:hAnsi="宋体" w:cs="宋体"/>
          <w:strike w:val="0"/>
          <w:kern w:val="0"/>
          <w:szCs w:val="21"/>
          <w:highlight w:val="none"/>
        </w:rPr>
        <w:t>项目名称：项目编号：</w:t>
      </w:r>
    </w:p>
    <w:tbl>
      <w:tblPr>
        <w:tblStyle w:val="49"/>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pPr>
              <w:widowControl/>
              <w:adjustRightInd w:val="0"/>
              <w:jc w:val="center"/>
              <w:rPr>
                <w:rFonts w:ascii="宋体" w:hAnsi="宋体" w:cs="宋体"/>
                <w:b/>
                <w:bCs/>
                <w:strike w:val="0"/>
                <w:kern w:val="0"/>
                <w:szCs w:val="21"/>
                <w:highlight w:val="none"/>
              </w:rPr>
            </w:pPr>
            <w:r>
              <w:rPr>
                <w:rFonts w:hint="eastAsia" w:ascii="宋体" w:hAnsi="宋体" w:cs="宋体"/>
                <w:b/>
                <w:bCs/>
                <w:strike w:val="0"/>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b/>
                <w:bCs/>
                <w:strike w:val="0"/>
                <w:kern w:val="0"/>
                <w:szCs w:val="21"/>
                <w:highlight w:val="none"/>
              </w:rPr>
            </w:pPr>
            <w:r>
              <w:rPr>
                <w:rFonts w:hint="eastAsia" w:ascii="宋体" w:hAnsi="宋体" w:cs="宋体"/>
                <w:b/>
                <w:bCs/>
                <w:strike w:val="0"/>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b/>
                <w:bCs/>
                <w:strike w:val="0"/>
                <w:kern w:val="0"/>
                <w:szCs w:val="21"/>
                <w:highlight w:val="none"/>
              </w:rPr>
            </w:pPr>
            <w:r>
              <w:rPr>
                <w:rFonts w:hint="eastAsia" w:ascii="宋体" w:hAnsi="宋体" w:cs="宋体"/>
                <w:b/>
                <w:bCs/>
                <w:strike w:val="0"/>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b/>
                <w:bCs/>
                <w:strike w:val="0"/>
                <w:kern w:val="0"/>
                <w:szCs w:val="21"/>
                <w:highlight w:val="none"/>
              </w:rPr>
            </w:pPr>
            <w:r>
              <w:rPr>
                <w:rFonts w:hint="eastAsia" w:ascii="宋体" w:hAnsi="宋体" w:cs="宋体"/>
                <w:b/>
                <w:bCs/>
                <w:strike w:val="0"/>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b/>
                <w:bCs/>
                <w:strike w:val="0"/>
                <w:kern w:val="0"/>
                <w:szCs w:val="21"/>
                <w:highlight w:val="none"/>
              </w:rPr>
            </w:pPr>
            <w:r>
              <w:rPr>
                <w:rFonts w:hint="eastAsia" w:ascii="宋体" w:hAnsi="宋体" w:cs="宋体"/>
                <w:b/>
                <w:bCs/>
                <w:strike w:val="0"/>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b/>
                <w:bCs/>
                <w:strike w:val="0"/>
                <w:kern w:val="0"/>
                <w:szCs w:val="21"/>
                <w:highlight w:val="none"/>
              </w:rPr>
            </w:pPr>
            <w:r>
              <w:rPr>
                <w:rFonts w:hint="eastAsia" w:ascii="宋体" w:hAnsi="宋体" w:cs="宋体"/>
                <w:b/>
                <w:bCs/>
                <w:strike w:val="0"/>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b/>
                <w:bCs/>
                <w:strike w:val="0"/>
                <w:kern w:val="0"/>
                <w:szCs w:val="21"/>
                <w:highlight w:val="none"/>
              </w:rPr>
            </w:pPr>
            <w:r>
              <w:rPr>
                <w:rFonts w:hint="eastAsia" w:ascii="宋体" w:hAnsi="宋体" w:cs="宋体"/>
                <w:b/>
                <w:bCs/>
                <w:strike w:val="0"/>
                <w:kern w:val="0"/>
                <w:szCs w:val="21"/>
                <w:highlight w:val="none"/>
              </w:rPr>
              <w:t>执业</w:t>
            </w:r>
          </w:p>
          <w:p>
            <w:pPr>
              <w:widowControl/>
              <w:adjustRightInd w:val="0"/>
              <w:jc w:val="center"/>
              <w:rPr>
                <w:rFonts w:ascii="宋体" w:hAnsi="宋体" w:cs="宋体"/>
                <w:b/>
                <w:bCs/>
                <w:strike w:val="0"/>
                <w:kern w:val="0"/>
                <w:szCs w:val="21"/>
                <w:highlight w:val="none"/>
              </w:rPr>
            </w:pPr>
            <w:r>
              <w:rPr>
                <w:rFonts w:hint="eastAsia" w:ascii="宋体" w:hAnsi="宋体" w:cs="宋体"/>
                <w:b/>
                <w:bCs/>
                <w:strike w:val="0"/>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b/>
                <w:bCs/>
                <w:strike w:val="0"/>
                <w:kern w:val="0"/>
                <w:szCs w:val="21"/>
                <w:highlight w:val="none"/>
              </w:rPr>
            </w:pPr>
            <w:r>
              <w:rPr>
                <w:rFonts w:hint="eastAsia" w:ascii="宋体" w:hAnsi="宋体" w:cs="宋体"/>
                <w:b/>
                <w:bCs/>
                <w:strike w:val="0"/>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b/>
                <w:bCs/>
                <w:strike w:val="0"/>
                <w:kern w:val="0"/>
                <w:szCs w:val="21"/>
                <w:highlight w:val="none"/>
              </w:rPr>
            </w:pPr>
            <w:r>
              <w:rPr>
                <w:rFonts w:hint="eastAsia" w:ascii="宋体" w:hAnsi="宋体" w:cs="宋体"/>
                <w:b/>
                <w:bCs/>
                <w:strike w:val="0"/>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b/>
                <w:bCs/>
                <w:strike w:val="0"/>
                <w:kern w:val="0"/>
                <w:szCs w:val="21"/>
                <w:highlight w:val="none"/>
              </w:rPr>
            </w:pPr>
            <w:r>
              <w:rPr>
                <w:rFonts w:hint="eastAsia" w:ascii="宋体" w:hAnsi="宋体" w:cs="宋体"/>
                <w:b/>
                <w:bCs/>
                <w:strike w:val="0"/>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b/>
                <w:bCs/>
                <w:strike w:val="0"/>
                <w:kern w:val="0"/>
                <w:szCs w:val="21"/>
                <w:highlight w:val="none"/>
              </w:rPr>
            </w:pPr>
            <w:r>
              <w:rPr>
                <w:rFonts w:hint="eastAsia" w:ascii="宋体" w:hAnsi="宋体" w:cs="宋体"/>
                <w:b/>
                <w:bCs/>
                <w:strike w:val="0"/>
                <w:kern w:val="0"/>
                <w:szCs w:val="21"/>
                <w:highlight w:val="none"/>
              </w:rPr>
              <w:t>备注</w:t>
            </w: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宋体" w:hAnsi="宋体" w:cs="宋体"/>
                <w:strike w:val="0"/>
                <w:kern w:val="0"/>
                <w:szCs w:val="21"/>
                <w:highlight w:val="none"/>
              </w:rPr>
            </w:pPr>
          </w:p>
        </w:tc>
      </w:tr>
    </w:tbl>
    <w:p>
      <w:pPr>
        <w:widowControl/>
        <w:shd w:val="clear" w:color="auto" w:fill="FFFFFF"/>
        <w:jc w:val="left"/>
        <w:rPr>
          <w:rFonts w:ascii="宋体" w:hAnsi="宋体" w:cs="宋体"/>
          <w:strike w:val="0"/>
          <w:kern w:val="0"/>
          <w:szCs w:val="21"/>
          <w:highlight w:val="none"/>
        </w:rPr>
      </w:pPr>
      <w:r>
        <w:rPr>
          <w:rFonts w:hint="eastAsia" w:ascii="宋体" w:hAnsi="宋体" w:cs="宋体"/>
          <w:strike w:val="0"/>
          <w:kern w:val="0"/>
          <w:szCs w:val="21"/>
          <w:highlight w:val="none"/>
        </w:rPr>
        <w:t>投标单位（盖章）：</w:t>
      </w:r>
    </w:p>
    <w:p>
      <w:pPr>
        <w:widowControl/>
        <w:shd w:val="clear" w:color="auto" w:fill="FFFFFF"/>
        <w:jc w:val="left"/>
        <w:rPr>
          <w:rFonts w:ascii="宋体" w:hAnsi="宋体" w:cs="宋体"/>
          <w:strike w:val="0"/>
          <w:kern w:val="0"/>
          <w:szCs w:val="21"/>
          <w:highlight w:val="none"/>
          <w:u w:val="single"/>
        </w:rPr>
      </w:pPr>
      <w:r>
        <w:rPr>
          <w:rFonts w:hint="eastAsia" w:ascii="宋体" w:hAnsi="宋体" w:cs="宋体"/>
          <w:strike w:val="0"/>
          <w:kern w:val="0"/>
          <w:szCs w:val="21"/>
          <w:highlight w:val="none"/>
        </w:rPr>
        <w:t>授权代表（签字）：</w:t>
      </w:r>
    </w:p>
    <w:p>
      <w:pPr>
        <w:widowControl/>
        <w:adjustRightInd w:val="0"/>
        <w:rPr>
          <w:rFonts w:ascii="宋体" w:hAnsi="宋体" w:cs="宋体"/>
          <w:strike w:val="0"/>
          <w:kern w:val="0"/>
          <w:szCs w:val="21"/>
          <w:highlight w:val="none"/>
        </w:rPr>
      </w:pPr>
    </w:p>
    <w:p>
      <w:pPr>
        <w:widowControl/>
        <w:adjustRightInd w:val="0"/>
        <w:rPr>
          <w:rFonts w:ascii="宋体" w:hAnsi="宋体" w:cs="宋体"/>
          <w:b/>
          <w:bCs/>
          <w:strike w:val="0"/>
          <w:kern w:val="0"/>
          <w:szCs w:val="21"/>
          <w:highlight w:val="none"/>
        </w:rPr>
      </w:pPr>
    </w:p>
    <w:p>
      <w:pPr>
        <w:pStyle w:val="4"/>
        <w:rPr>
          <w:rFonts w:ascii="宋体" w:hAnsi="宋体" w:cs="宋体"/>
          <w:bCs/>
          <w:strike w:val="0"/>
          <w:kern w:val="0"/>
          <w:sz w:val="24"/>
          <w:highlight w:val="none"/>
        </w:rPr>
      </w:pPr>
      <w:r>
        <w:rPr>
          <w:rFonts w:hint="eastAsia" w:ascii="宋体" w:hAnsi="宋体" w:cs="宋体"/>
          <w:bCs/>
          <w:strike w:val="0"/>
          <w:kern w:val="0"/>
          <w:sz w:val="24"/>
          <w:highlight w:val="none"/>
        </w:rPr>
        <w:br w:type="page"/>
      </w:r>
      <w:bookmarkStart w:id="82" w:name="_Toc8410"/>
      <w:r>
        <w:rPr>
          <w:rFonts w:hint="eastAsia" w:ascii="宋体" w:hAnsi="宋体" w:cs="宋体"/>
          <w:bCs/>
          <w:strike w:val="0"/>
          <w:kern w:val="0"/>
          <w:sz w:val="24"/>
          <w:highlight w:val="none"/>
        </w:rPr>
        <w:t>附件</w:t>
      </w:r>
      <w:r>
        <w:rPr>
          <w:rFonts w:hint="eastAsia" w:ascii="宋体" w:hAnsi="宋体" w:cs="宋体"/>
          <w:bCs/>
          <w:strike w:val="0"/>
          <w:kern w:val="0"/>
          <w:sz w:val="24"/>
          <w:highlight w:val="none"/>
          <w:lang w:val="en-US" w:eastAsia="zh-CN"/>
        </w:rPr>
        <w:t>七</w:t>
      </w:r>
      <w:r>
        <w:rPr>
          <w:rFonts w:hint="eastAsia" w:ascii="宋体" w:hAnsi="宋体" w:cs="宋体"/>
          <w:bCs/>
          <w:strike w:val="0"/>
          <w:kern w:val="0"/>
          <w:sz w:val="24"/>
          <w:highlight w:val="none"/>
        </w:rPr>
        <w:t>、供应商类似业绩情况表</w:t>
      </w:r>
      <w:bookmarkEnd w:id="82"/>
    </w:p>
    <w:p>
      <w:pPr>
        <w:widowControl/>
        <w:adjustRightInd w:val="0"/>
        <w:jc w:val="center"/>
        <w:rPr>
          <w:rFonts w:ascii="宋体" w:hAnsi="宋体" w:cs="宋体"/>
          <w:b/>
          <w:bCs/>
          <w:strike w:val="0"/>
          <w:kern w:val="0"/>
          <w:sz w:val="24"/>
          <w:highlight w:val="none"/>
        </w:rPr>
      </w:pPr>
    </w:p>
    <w:p>
      <w:pPr>
        <w:widowControl/>
        <w:adjustRightInd w:val="0"/>
        <w:jc w:val="center"/>
        <w:rPr>
          <w:rFonts w:ascii="宋体" w:hAnsi="宋体" w:cs="宋体"/>
          <w:b/>
          <w:bCs/>
          <w:strike w:val="0"/>
          <w:kern w:val="0"/>
          <w:sz w:val="24"/>
          <w:highlight w:val="none"/>
        </w:rPr>
      </w:pPr>
      <w:r>
        <w:rPr>
          <w:rFonts w:hint="eastAsia" w:ascii="宋体" w:hAnsi="宋体" w:cs="宋体"/>
          <w:b/>
          <w:bCs/>
          <w:strike w:val="0"/>
          <w:kern w:val="0"/>
          <w:sz w:val="24"/>
          <w:highlight w:val="none"/>
        </w:rPr>
        <w:t>供应商近三年类似业绩情况表</w:t>
      </w:r>
    </w:p>
    <w:tbl>
      <w:tblPr>
        <w:tblStyle w:val="49"/>
        <w:tblW w:w="7927" w:type="dxa"/>
        <w:jc w:val="center"/>
        <w:tblLayout w:type="fixed"/>
        <w:tblCellMar>
          <w:top w:w="0" w:type="dxa"/>
          <w:left w:w="108" w:type="dxa"/>
          <w:bottom w:w="0" w:type="dxa"/>
          <w:right w:w="108" w:type="dxa"/>
        </w:tblCellMar>
      </w:tblPr>
      <w:tblGrid>
        <w:gridCol w:w="1021"/>
        <w:gridCol w:w="1703"/>
        <w:gridCol w:w="1418"/>
        <w:gridCol w:w="1517"/>
        <w:gridCol w:w="1134"/>
        <w:gridCol w:w="1134"/>
      </w:tblGrid>
      <w:tr>
        <w:tblPrEx>
          <w:tblCellMar>
            <w:top w:w="0" w:type="dxa"/>
            <w:left w:w="108" w:type="dxa"/>
            <w:bottom w:w="0" w:type="dxa"/>
            <w:right w:w="108" w:type="dxa"/>
          </w:tblCellMar>
        </w:tblPrEx>
        <w:trPr>
          <w:jc w:val="center"/>
        </w:trPr>
        <w:tc>
          <w:tcPr>
            <w:tcW w:w="1021"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r>
              <w:rPr>
                <w:rFonts w:hint="eastAsia" w:ascii="宋体" w:hAnsi="宋体" w:cs="宋体"/>
                <w:strike w:val="0"/>
                <w:kern w:val="0"/>
                <w:szCs w:val="21"/>
                <w:highlight w:val="none"/>
              </w:rPr>
              <w:t>序号</w:t>
            </w:r>
          </w:p>
        </w:tc>
        <w:tc>
          <w:tcPr>
            <w:tcW w:w="1703" w:type="dxa"/>
            <w:tcBorders>
              <w:top w:val="single" w:color="000000" w:sz="4" w:space="0"/>
              <w:left w:val="nil"/>
              <w:bottom w:val="single" w:color="000000" w:sz="4" w:space="0"/>
              <w:right w:val="single" w:color="000000" w:sz="4" w:space="0"/>
            </w:tcBorders>
            <w:vAlign w:val="center"/>
          </w:tcPr>
          <w:p>
            <w:pPr>
              <w:widowControl/>
              <w:spacing w:line="400" w:lineRule="atLeast"/>
              <w:jc w:val="center"/>
              <w:rPr>
                <w:rFonts w:ascii="宋体" w:hAnsi="宋体" w:cs="宋体"/>
                <w:strike w:val="0"/>
                <w:kern w:val="0"/>
                <w:szCs w:val="21"/>
                <w:highlight w:val="none"/>
              </w:rPr>
            </w:pPr>
            <w:r>
              <w:rPr>
                <w:rFonts w:hint="eastAsia" w:ascii="宋体" w:hAnsi="宋体" w:cs="宋体"/>
                <w:strike w:val="0"/>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pPr>
              <w:widowControl/>
              <w:spacing w:line="400" w:lineRule="atLeast"/>
              <w:jc w:val="center"/>
              <w:rPr>
                <w:rFonts w:ascii="宋体" w:hAnsi="宋体" w:cs="宋体"/>
                <w:strike w:val="0"/>
                <w:kern w:val="0"/>
                <w:szCs w:val="21"/>
                <w:highlight w:val="none"/>
              </w:rPr>
            </w:pPr>
            <w:r>
              <w:rPr>
                <w:rFonts w:hint="eastAsia" w:ascii="宋体" w:hAnsi="宋体" w:cs="宋体"/>
                <w:strike w:val="0"/>
                <w:kern w:val="0"/>
                <w:szCs w:val="21"/>
                <w:highlight w:val="none"/>
              </w:rPr>
              <w:t>业主单位</w:t>
            </w: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r>
              <w:rPr>
                <w:rFonts w:hint="eastAsia" w:ascii="宋体" w:hAnsi="宋体" w:cs="宋体"/>
                <w:strike w:val="0"/>
                <w:kern w:val="0"/>
                <w:szCs w:val="21"/>
                <w:highlight w:val="none"/>
              </w:rPr>
              <w:t>签约及服务</w:t>
            </w:r>
          </w:p>
          <w:p>
            <w:pPr>
              <w:widowControl/>
              <w:spacing w:line="400" w:lineRule="atLeast"/>
              <w:jc w:val="center"/>
              <w:rPr>
                <w:rFonts w:ascii="宋体" w:hAnsi="宋体" w:cs="宋体"/>
                <w:strike w:val="0"/>
                <w:kern w:val="0"/>
                <w:szCs w:val="21"/>
                <w:highlight w:val="none"/>
              </w:rPr>
            </w:pPr>
            <w:r>
              <w:rPr>
                <w:rFonts w:hint="eastAsia" w:ascii="宋体" w:hAnsi="宋体" w:cs="宋体"/>
                <w:strike w:val="0"/>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r>
              <w:rPr>
                <w:rFonts w:hint="eastAsia" w:ascii="宋体" w:hAnsi="宋体" w:cs="宋体"/>
                <w:strike w:val="0"/>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r>
              <w:rPr>
                <w:rFonts w:hint="eastAsia" w:ascii="宋体" w:hAnsi="宋体" w:cs="宋体"/>
                <w:strike w:val="0"/>
                <w:kern w:val="0"/>
                <w:szCs w:val="21"/>
                <w:highlight w:val="none"/>
              </w:rPr>
              <w:t>备注</w:t>
            </w:r>
          </w:p>
        </w:tc>
      </w:tr>
      <w:tr>
        <w:trPr>
          <w:jc w:val="center"/>
        </w:trPr>
        <w:tc>
          <w:tcPr>
            <w:tcW w:w="1021"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703"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ind w:firstLine="120"/>
              <w:rPr>
                <w:rFonts w:ascii="宋体" w:hAnsi="宋体" w:cs="宋体"/>
                <w:strike w:val="0"/>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r>
      <w:tr>
        <w:tblPrEx>
          <w:tblCellMar>
            <w:top w:w="0" w:type="dxa"/>
            <w:left w:w="108" w:type="dxa"/>
            <w:bottom w:w="0" w:type="dxa"/>
            <w:right w:w="108" w:type="dxa"/>
          </w:tblCellMar>
        </w:tblPrEx>
        <w:trPr>
          <w:jc w:val="center"/>
        </w:trPr>
        <w:tc>
          <w:tcPr>
            <w:tcW w:w="1021"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703"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r>
      <w:tr>
        <w:tblPrEx>
          <w:tblCellMar>
            <w:top w:w="0" w:type="dxa"/>
            <w:left w:w="108" w:type="dxa"/>
            <w:bottom w:w="0" w:type="dxa"/>
            <w:right w:w="108" w:type="dxa"/>
          </w:tblCellMar>
        </w:tblPrEx>
        <w:trPr>
          <w:jc w:val="center"/>
        </w:trPr>
        <w:tc>
          <w:tcPr>
            <w:tcW w:w="1021"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703"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r>
      <w:tr>
        <w:trPr>
          <w:jc w:val="center"/>
        </w:trPr>
        <w:tc>
          <w:tcPr>
            <w:tcW w:w="1021"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703"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r>
      <w:tr>
        <w:trPr>
          <w:jc w:val="center"/>
        </w:trPr>
        <w:tc>
          <w:tcPr>
            <w:tcW w:w="1021"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703"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r>
      <w:tr>
        <w:trPr>
          <w:jc w:val="center"/>
        </w:trPr>
        <w:tc>
          <w:tcPr>
            <w:tcW w:w="1021"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703"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r>
      <w:tr>
        <w:tblPrEx>
          <w:tblCellMar>
            <w:top w:w="0" w:type="dxa"/>
            <w:left w:w="108" w:type="dxa"/>
            <w:bottom w:w="0" w:type="dxa"/>
            <w:right w:w="108" w:type="dxa"/>
          </w:tblCellMar>
        </w:tblPrEx>
        <w:trPr>
          <w:jc w:val="center"/>
        </w:trPr>
        <w:tc>
          <w:tcPr>
            <w:tcW w:w="1021"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703"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r>
      <w:tr>
        <w:trPr>
          <w:jc w:val="center"/>
        </w:trPr>
        <w:tc>
          <w:tcPr>
            <w:tcW w:w="1021"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703"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宋体" w:hAnsi="宋体" w:cs="宋体"/>
                <w:strike w:val="0"/>
                <w:kern w:val="0"/>
                <w:szCs w:val="21"/>
                <w:highlight w:val="none"/>
              </w:rPr>
            </w:pPr>
          </w:p>
        </w:tc>
      </w:tr>
    </w:tbl>
    <w:p>
      <w:pPr>
        <w:widowControl/>
        <w:shd w:val="clear" w:color="auto" w:fill="FFFFFF"/>
        <w:jc w:val="left"/>
        <w:rPr>
          <w:rFonts w:ascii="宋体" w:hAnsi="宋体" w:cs="宋体"/>
          <w:strike w:val="0"/>
          <w:kern w:val="0"/>
          <w:szCs w:val="21"/>
          <w:highlight w:val="none"/>
        </w:rPr>
      </w:pPr>
      <w:r>
        <w:rPr>
          <w:rFonts w:hint="eastAsia" w:ascii="宋体" w:hAnsi="宋体" w:cs="宋体"/>
          <w:strike w:val="0"/>
          <w:kern w:val="0"/>
          <w:szCs w:val="21"/>
          <w:highlight w:val="none"/>
        </w:rPr>
        <w:t>投标单位（盖章）：</w:t>
      </w:r>
    </w:p>
    <w:p>
      <w:pPr>
        <w:widowControl/>
        <w:shd w:val="clear" w:color="auto" w:fill="FFFFFF"/>
        <w:jc w:val="left"/>
        <w:rPr>
          <w:rFonts w:ascii="宋体" w:hAnsi="宋体" w:cs="宋体"/>
          <w:strike w:val="0"/>
          <w:kern w:val="0"/>
          <w:szCs w:val="21"/>
          <w:highlight w:val="none"/>
          <w:u w:val="single"/>
        </w:rPr>
      </w:pPr>
      <w:r>
        <w:rPr>
          <w:rFonts w:hint="eastAsia" w:ascii="宋体" w:hAnsi="宋体" w:cs="宋体"/>
          <w:strike w:val="0"/>
          <w:kern w:val="0"/>
          <w:szCs w:val="21"/>
          <w:highlight w:val="none"/>
        </w:rPr>
        <w:t>授权代表（签字）：</w:t>
      </w:r>
    </w:p>
    <w:p>
      <w:pPr>
        <w:widowControl/>
        <w:adjustRightInd w:val="0"/>
        <w:rPr>
          <w:rFonts w:ascii="宋体" w:hAnsi="宋体" w:cs="宋体"/>
          <w:b/>
          <w:bCs/>
          <w:strike w:val="0"/>
          <w:kern w:val="0"/>
          <w:szCs w:val="21"/>
          <w:highlight w:val="none"/>
        </w:rPr>
      </w:pPr>
    </w:p>
    <w:p>
      <w:pPr>
        <w:widowControl/>
        <w:adjustRightInd w:val="0"/>
        <w:rPr>
          <w:rFonts w:ascii="宋体" w:hAnsi="宋体" w:cs="宋体"/>
          <w:b/>
          <w:bCs/>
          <w:strike w:val="0"/>
          <w:kern w:val="0"/>
          <w:szCs w:val="21"/>
          <w:highlight w:val="none"/>
        </w:rPr>
      </w:pPr>
    </w:p>
    <w:p>
      <w:pPr>
        <w:rPr>
          <w:rFonts w:ascii="宋体" w:hAnsi="宋体" w:cs="宋体"/>
          <w:strike w:val="0"/>
          <w:highlight w:val="none"/>
        </w:rPr>
      </w:pPr>
    </w:p>
    <w:p>
      <w:pPr>
        <w:pStyle w:val="4"/>
        <w:rPr>
          <w:rFonts w:ascii="宋体" w:hAnsi="宋体" w:cs="宋体"/>
          <w:bCs/>
          <w:strike w:val="0"/>
          <w:highlight w:val="none"/>
        </w:rPr>
      </w:pPr>
      <w:r>
        <w:rPr>
          <w:rFonts w:hint="eastAsia" w:ascii="宋体" w:hAnsi="宋体" w:cs="宋体"/>
          <w:strike w:val="0"/>
          <w:highlight w:val="none"/>
        </w:rPr>
        <w:br w:type="page"/>
      </w:r>
      <w:bookmarkStart w:id="83" w:name="_Toc20467"/>
      <w:r>
        <w:rPr>
          <w:rFonts w:hint="eastAsia" w:ascii="宋体" w:hAnsi="宋体" w:cs="宋体"/>
          <w:bCs/>
          <w:strike w:val="0"/>
          <w:kern w:val="0"/>
          <w:sz w:val="24"/>
          <w:highlight w:val="none"/>
        </w:rPr>
        <w:t>附件</w:t>
      </w:r>
      <w:r>
        <w:rPr>
          <w:rFonts w:hint="eastAsia" w:ascii="宋体" w:hAnsi="宋体" w:cs="宋体"/>
          <w:bCs/>
          <w:strike w:val="0"/>
          <w:kern w:val="0"/>
          <w:sz w:val="24"/>
          <w:highlight w:val="none"/>
          <w:lang w:val="en-US" w:eastAsia="zh-CN"/>
        </w:rPr>
        <w:t>八</w:t>
      </w:r>
      <w:r>
        <w:rPr>
          <w:rFonts w:hint="eastAsia" w:ascii="宋体" w:hAnsi="宋体" w:cs="宋体"/>
          <w:bCs/>
          <w:strike w:val="0"/>
          <w:kern w:val="0"/>
          <w:sz w:val="24"/>
          <w:highlight w:val="none"/>
        </w:rPr>
        <w:t>、服务</w:t>
      </w:r>
      <w:r>
        <w:rPr>
          <w:rFonts w:hint="eastAsia" w:ascii="宋体" w:hAnsi="宋体" w:cs="宋体"/>
          <w:bCs/>
          <w:strike w:val="0"/>
          <w:kern w:val="0"/>
          <w:sz w:val="24"/>
          <w:highlight w:val="none"/>
          <w:lang w:val="en-US" w:eastAsia="zh-CN"/>
        </w:rPr>
        <w:t>方案</w:t>
      </w:r>
    </w:p>
    <w:p>
      <w:pPr>
        <w:rPr>
          <w:rFonts w:ascii="宋体" w:hAnsi="宋体" w:cs="宋体"/>
          <w:bCs/>
          <w:strike w:val="0"/>
          <w:kern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2"/>
        <w:rPr>
          <w:rFonts w:ascii="宋体" w:hAnsi="宋体" w:cs="宋体"/>
          <w:bCs/>
          <w:strike w:val="0"/>
          <w:sz w:val="24"/>
          <w:highlight w:val="none"/>
        </w:rPr>
      </w:pPr>
    </w:p>
    <w:p>
      <w:pPr>
        <w:pStyle w:val="4"/>
        <w:rPr>
          <w:rFonts w:ascii="宋体" w:hAnsi="宋体" w:cs="宋体"/>
          <w:bCs/>
          <w:strike w:val="0"/>
          <w:highlight w:val="none"/>
        </w:rPr>
      </w:pPr>
      <w:r>
        <w:rPr>
          <w:rFonts w:hint="eastAsia" w:ascii="宋体" w:hAnsi="宋体" w:cs="宋体"/>
          <w:strike w:val="0"/>
          <w:highlight w:val="none"/>
        </w:rPr>
        <w:t>附件</w:t>
      </w:r>
      <w:r>
        <w:rPr>
          <w:rFonts w:hint="eastAsia" w:ascii="宋体" w:hAnsi="宋体" w:cs="宋体"/>
          <w:strike w:val="0"/>
          <w:highlight w:val="none"/>
          <w:lang w:val="en-US" w:eastAsia="zh-CN"/>
        </w:rPr>
        <w:t>九</w:t>
      </w:r>
      <w:r>
        <w:rPr>
          <w:rFonts w:hint="eastAsia" w:ascii="宋体" w:hAnsi="宋体" w:cs="宋体"/>
          <w:bCs/>
          <w:strike w:val="0"/>
          <w:highlight w:val="none"/>
        </w:rPr>
        <w:t>：企业声明函格式</w:t>
      </w:r>
      <w:bookmarkEnd w:id="83"/>
    </w:p>
    <w:p>
      <w:pPr>
        <w:widowControl/>
        <w:shd w:val="clear" w:color="auto" w:fill="FFFFFF"/>
        <w:spacing w:before="240" w:beforeLines="100" w:line="360" w:lineRule="auto"/>
        <w:jc w:val="center"/>
        <w:rPr>
          <w:rFonts w:ascii="宋体" w:hAnsi="宋体"/>
          <w:b/>
          <w:kern w:val="0"/>
          <w:sz w:val="36"/>
          <w:szCs w:val="36"/>
          <w:highlight w:val="none"/>
        </w:rPr>
      </w:pPr>
      <w:bookmarkStart w:id="84" w:name="_Toc161"/>
      <w:bookmarkStart w:id="85" w:name="_Toc17378"/>
      <w:bookmarkStart w:id="86" w:name="_Toc1130"/>
      <w:bookmarkStart w:id="87" w:name="_Toc21033"/>
      <w:bookmarkStart w:id="88" w:name="_Toc28111"/>
      <w:bookmarkStart w:id="89" w:name="_Toc469"/>
      <w:bookmarkStart w:id="90" w:name="OLE_LINK13"/>
      <w:bookmarkStart w:id="91" w:name="OLE_LINK14"/>
      <w:r>
        <w:rPr>
          <w:rFonts w:ascii="宋体" w:hAnsi="宋体"/>
          <w:b/>
          <w:kern w:val="0"/>
          <w:sz w:val="36"/>
          <w:szCs w:val="36"/>
          <w:highlight w:val="none"/>
        </w:rPr>
        <w:t>中小企业声明函（服务）</w:t>
      </w:r>
      <w:bookmarkEnd w:id="84"/>
      <w:bookmarkEnd w:id="85"/>
    </w:p>
    <w:p>
      <w:pPr>
        <w:pStyle w:val="20"/>
        <w:spacing w:before="2"/>
        <w:rPr>
          <w:rFonts w:ascii="宋体"/>
          <w:b/>
          <w:sz w:val="47"/>
          <w:highlight w:val="none"/>
        </w:rPr>
      </w:pPr>
    </w:p>
    <w:p>
      <w:pPr>
        <w:pStyle w:val="20"/>
        <w:spacing w:before="13" w:line="297" w:lineRule="auto"/>
        <w:ind w:right="295"/>
        <w:jc w:val="left"/>
        <w:rPr>
          <w:spacing w:val="-3"/>
          <w:highlight w:val="none"/>
        </w:rPr>
      </w:pPr>
      <w:r>
        <w:rPr>
          <w:rFonts w:hint="eastAsia"/>
          <w:spacing w:val="-2"/>
          <w:highlight w:val="none"/>
        </w:rPr>
        <w:t xml:space="preserve">     </w:t>
      </w:r>
      <w:r>
        <w:rPr>
          <w:spacing w:val="-2"/>
          <w:highlight w:val="none"/>
        </w:rPr>
        <w:t>本公司</w:t>
      </w:r>
      <w:r>
        <w:rPr>
          <w:highlight w:val="none"/>
        </w:rPr>
        <w:t>（联合体</w:t>
      </w:r>
      <w:r>
        <w:rPr>
          <w:spacing w:val="-5"/>
          <w:highlight w:val="none"/>
        </w:rPr>
        <w:t>）</w:t>
      </w:r>
      <w:r>
        <w:rPr>
          <w:spacing w:val="-2"/>
          <w:highlight w:val="none"/>
        </w:rPr>
        <w:t>郑重声明，根据《政府采购促进中小</w:t>
      </w:r>
      <w:r>
        <w:rPr>
          <w:spacing w:val="-18"/>
          <w:highlight w:val="none"/>
        </w:rPr>
        <w:t>企业发展管理办法》</w:t>
      </w:r>
      <w:r>
        <w:rPr>
          <w:highlight w:val="none"/>
        </w:rPr>
        <w:t>（</w:t>
      </w:r>
      <w:r>
        <w:rPr>
          <w:spacing w:val="5"/>
          <w:highlight w:val="none"/>
        </w:rPr>
        <w:t>财库</w:t>
      </w:r>
      <w:r>
        <w:rPr>
          <w:rFonts w:hint="eastAsia" w:ascii="宋体"/>
          <w:highlight w:val="none"/>
        </w:rPr>
        <w:t>﹝</w:t>
      </w:r>
      <w:r>
        <w:rPr>
          <w:highlight w:val="none"/>
        </w:rPr>
        <w:t>2020</w:t>
      </w:r>
      <w:r>
        <w:rPr>
          <w:rFonts w:hint="eastAsia" w:ascii="宋体"/>
          <w:highlight w:val="none"/>
        </w:rPr>
        <w:t>﹞</w:t>
      </w:r>
      <w:r>
        <w:rPr>
          <w:highlight w:val="none"/>
        </w:rPr>
        <w:t>46</w:t>
      </w:r>
      <w:r>
        <w:rPr>
          <w:spacing w:val="-38"/>
          <w:highlight w:val="none"/>
        </w:rPr>
        <w:t xml:space="preserve"> 号</w:t>
      </w:r>
      <w:r>
        <w:rPr>
          <w:spacing w:val="5"/>
          <w:highlight w:val="none"/>
        </w:rPr>
        <w:t>）</w:t>
      </w:r>
      <w:r>
        <w:rPr>
          <w:highlight w:val="none"/>
        </w:rPr>
        <w:t>的规定，本公</w:t>
      </w:r>
      <w:r>
        <w:rPr>
          <w:spacing w:val="-3"/>
          <w:highlight w:val="none"/>
        </w:rPr>
        <w:t>司（联合体）参加（单位名称）的（项目名称）采购活动，服务全部由符合政策要求的中小企业承接。相关企业（含联合体中的中小企业、签订分包意向协议的中小企业）的具体情况如下：</w:t>
      </w:r>
    </w:p>
    <w:p>
      <w:pPr>
        <w:pStyle w:val="20"/>
        <w:spacing w:before="13" w:line="297" w:lineRule="auto"/>
        <w:ind w:right="295"/>
        <w:jc w:val="left"/>
        <w:rPr>
          <w:spacing w:val="-3"/>
          <w:highlight w:val="none"/>
        </w:rPr>
      </w:pPr>
      <w:r>
        <w:rPr>
          <w:rFonts w:hint="eastAsia"/>
          <w:spacing w:val="-3"/>
          <w:highlight w:val="none"/>
        </w:rPr>
        <w:t xml:space="preserve">     1.</w:t>
      </w:r>
      <w:r>
        <w:rPr>
          <w:spacing w:val="-3"/>
          <w:highlight w:val="none"/>
          <w:u w:val="single"/>
        </w:rPr>
        <w:t>（标的名称）</w:t>
      </w:r>
      <w:r>
        <w:rPr>
          <w:spacing w:val="-3"/>
          <w:highlight w:val="none"/>
        </w:rPr>
        <w:t>，属于</w:t>
      </w:r>
      <w:r>
        <w:rPr>
          <w:spacing w:val="-3"/>
          <w:highlight w:val="none"/>
          <w:u w:val="single"/>
        </w:rPr>
        <w:t>（采购文件中明确的所属行业）</w:t>
      </w:r>
      <w:r>
        <w:rPr>
          <w:spacing w:val="-3"/>
          <w:highlight w:val="none"/>
        </w:rPr>
        <w:t>；承建（承接）企业为</w:t>
      </w:r>
      <w:r>
        <w:rPr>
          <w:spacing w:val="-3"/>
          <w:highlight w:val="none"/>
          <w:u w:val="single"/>
        </w:rPr>
        <w:t>（企业名称）</w:t>
      </w:r>
      <w:r>
        <w:rPr>
          <w:spacing w:val="-3"/>
          <w:highlight w:val="none"/>
        </w:rPr>
        <w:t xml:space="preserve">，从业人员 </w:t>
      </w:r>
      <w:r>
        <w:rPr>
          <w:spacing w:val="-3"/>
          <w:highlight w:val="none"/>
          <w:u w:val="single"/>
        </w:rPr>
        <w:tab/>
      </w:r>
      <w:r>
        <w:rPr>
          <w:spacing w:val="-3"/>
          <w:highlight w:val="none"/>
        </w:rPr>
        <w:t xml:space="preserve">人，营业收入为 </w:t>
      </w:r>
      <w:r>
        <w:rPr>
          <w:spacing w:val="-3"/>
          <w:highlight w:val="none"/>
          <w:u w:val="single"/>
        </w:rPr>
        <w:tab/>
      </w:r>
      <w:r>
        <w:rPr>
          <w:spacing w:val="-3"/>
          <w:highlight w:val="none"/>
        </w:rPr>
        <w:t>万元，资产总额为</w:t>
      </w:r>
      <w:r>
        <w:rPr>
          <w:spacing w:val="-3"/>
          <w:highlight w:val="none"/>
          <w:u w:val="single"/>
        </w:rPr>
        <w:t xml:space="preserve"> </w:t>
      </w:r>
      <w:r>
        <w:rPr>
          <w:spacing w:val="-3"/>
          <w:highlight w:val="none"/>
          <w:u w:val="single"/>
        </w:rPr>
        <w:tab/>
      </w:r>
      <w:r>
        <w:rPr>
          <w:rFonts w:hint="eastAsia"/>
          <w:spacing w:val="-3"/>
          <w:highlight w:val="none"/>
          <w:u w:val="single"/>
        </w:rPr>
        <w:t xml:space="preserve">   </w:t>
      </w:r>
      <w:r>
        <w:rPr>
          <w:spacing w:val="-3"/>
          <w:highlight w:val="none"/>
        </w:rPr>
        <w:t>万元</w:t>
      </w:r>
      <w:r>
        <w:rPr>
          <w:spacing w:val="-3"/>
          <w:highlight w:val="none"/>
        </w:rPr>
        <w:fldChar w:fldCharType="begin"/>
      </w:r>
      <w:r>
        <w:rPr>
          <w:spacing w:val="-3"/>
          <w:highlight w:val="none"/>
        </w:rPr>
        <w:instrText xml:space="preserve"> HYPERLINK \l "_bookmark1" </w:instrText>
      </w:r>
      <w:r>
        <w:rPr>
          <w:spacing w:val="-3"/>
          <w:highlight w:val="none"/>
        </w:rPr>
        <w:fldChar w:fldCharType="separate"/>
      </w:r>
      <w:r>
        <w:rPr>
          <w:spacing w:val="-3"/>
          <w:highlight w:val="none"/>
        </w:rPr>
        <w:t>1</w:t>
      </w:r>
      <w:r>
        <w:rPr>
          <w:spacing w:val="-3"/>
          <w:highlight w:val="none"/>
        </w:rPr>
        <w:fldChar w:fldCharType="end"/>
      </w:r>
      <w:r>
        <w:rPr>
          <w:spacing w:val="-3"/>
          <w:highlight w:val="none"/>
        </w:rPr>
        <w:t>，属于（中型企业、小型企业、微型企业）；</w:t>
      </w:r>
    </w:p>
    <w:p>
      <w:pPr>
        <w:pStyle w:val="20"/>
        <w:spacing w:before="34"/>
        <w:ind w:firstLine="376"/>
        <w:jc w:val="left"/>
        <w:rPr>
          <w:spacing w:val="-3"/>
          <w:highlight w:val="none"/>
        </w:rPr>
      </w:pPr>
      <w:r>
        <w:rPr>
          <w:rFonts w:hint="eastAsia"/>
          <w:spacing w:val="-3"/>
          <w:highlight w:val="none"/>
        </w:rPr>
        <w:t xml:space="preserve"> 2.</w:t>
      </w:r>
      <w:r>
        <w:rPr>
          <w:spacing w:val="-3"/>
          <w:highlight w:val="none"/>
          <w:u w:val="single"/>
        </w:rPr>
        <w:t>（标的名称）</w:t>
      </w:r>
      <w:r>
        <w:rPr>
          <w:spacing w:val="-3"/>
          <w:highlight w:val="none"/>
        </w:rPr>
        <w:t>，属于</w:t>
      </w:r>
      <w:r>
        <w:rPr>
          <w:spacing w:val="-3"/>
          <w:highlight w:val="none"/>
          <w:u w:val="single"/>
        </w:rPr>
        <w:t>（采购文件中明确的所属行业）</w:t>
      </w:r>
      <w:r>
        <w:rPr>
          <w:spacing w:val="-3"/>
          <w:highlight w:val="none"/>
        </w:rPr>
        <w:t>；承建（承接）企业为</w:t>
      </w:r>
      <w:r>
        <w:rPr>
          <w:spacing w:val="-3"/>
          <w:highlight w:val="none"/>
          <w:u w:val="single"/>
        </w:rPr>
        <w:t>（企业名称）</w:t>
      </w:r>
      <w:r>
        <w:rPr>
          <w:spacing w:val="-3"/>
          <w:highlight w:val="none"/>
        </w:rPr>
        <w:t xml:space="preserve">，从业人员 </w:t>
      </w:r>
      <w:r>
        <w:rPr>
          <w:spacing w:val="-3"/>
          <w:highlight w:val="none"/>
          <w:u w:val="single"/>
        </w:rPr>
        <w:tab/>
      </w:r>
      <w:r>
        <w:rPr>
          <w:rFonts w:hint="eastAsia"/>
          <w:spacing w:val="-3"/>
          <w:highlight w:val="none"/>
          <w:u w:val="single"/>
        </w:rPr>
        <w:t xml:space="preserve">  </w:t>
      </w:r>
      <w:r>
        <w:rPr>
          <w:spacing w:val="-3"/>
          <w:highlight w:val="none"/>
        </w:rPr>
        <w:t xml:space="preserve">人，营业收入为 </w:t>
      </w:r>
      <w:r>
        <w:rPr>
          <w:spacing w:val="-3"/>
          <w:highlight w:val="none"/>
          <w:u w:val="single"/>
        </w:rPr>
        <w:tab/>
      </w:r>
      <w:r>
        <w:rPr>
          <w:spacing w:val="-3"/>
          <w:highlight w:val="none"/>
        </w:rPr>
        <w:t>万元，资产总额为</w:t>
      </w:r>
      <w:r>
        <w:rPr>
          <w:spacing w:val="-3"/>
          <w:highlight w:val="none"/>
          <w:u w:val="single"/>
        </w:rPr>
        <w:t xml:space="preserve"> </w:t>
      </w:r>
      <w:r>
        <w:rPr>
          <w:spacing w:val="-3"/>
          <w:highlight w:val="none"/>
          <w:u w:val="single"/>
        </w:rPr>
        <w:tab/>
      </w:r>
      <w:r>
        <w:rPr>
          <w:rFonts w:hint="eastAsia"/>
          <w:spacing w:val="-3"/>
          <w:highlight w:val="none"/>
          <w:u w:val="single"/>
        </w:rPr>
        <w:t xml:space="preserve">   </w:t>
      </w:r>
      <w:r>
        <w:rPr>
          <w:spacing w:val="-3"/>
          <w:highlight w:val="none"/>
        </w:rPr>
        <w:t>万元</w:t>
      </w:r>
      <w:r>
        <w:rPr>
          <w:spacing w:val="-3"/>
          <w:highlight w:val="none"/>
        </w:rPr>
        <w:fldChar w:fldCharType="begin"/>
      </w:r>
      <w:r>
        <w:rPr>
          <w:spacing w:val="-3"/>
          <w:highlight w:val="none"/>
        </w:rPr>
        <w:instrText xml:space="preserve"> HYPERLINK \l "_bookmark1" </w:instrText>
      </w:r>
      <w:r>
        <w:rPr>
          <w:spacing w:val="-3"/>
          <w:highlight w:val="none"/>
        </w:rPr>
        <w:fldChar w:fldCharType="separate"/>
      </w:r>
      <w:r>
        <w:rPr>
          <w:spacing w:val="-3"/>
          <w:highlight w:val="none"/>
        </w:rPr>
        <w:t>1</w:t>
      </w:r>
      <w:r>
        <w:rPr>
          <w:spacing w:val="-3"/>
          <w:highlight w:val="none"/>
        </w:rPr>
        <w:fldChar w:fldCharType="end"/>
      </w:r>
      <w:r>
        <w:rPr>
          <w:spacing w:val="-3"/>
          <w:highlight w:val="none"/>
        </w:rPr>
        <w:t>，属于（中型企业、小型企业、微型企业）；</w:t>
      </w:r>
    </w:p>
    <w:p>
      <w:pPr>
        <w:pStyle w:val="20"/>
        <w:spacing w:before="34"/>
        <w:ind w:firstLine="376"/>
        <w:jc w:val="left"/>
        <w:rPr>
          <w:highlight w:val="none"/>
        </w:rPr>
      </w:pPr>
      <w:r>
        <w:rPr>
          <w:highlight w:val="none"/>
        </w:rPr>
        <w:t>……</w:t>
      </w:r>
    </w:p>
    <w:p>
      <w:pPr>
        <w:pStyle w:val="20"/>
        <w:spacing w:before="99" w:line="297" w:lineRule="auto"/>
        <w:ind w:right="297"/>
        <w:jc w:val="left"/>
        <w:rPr>
          <w:spacing w:val="-3"/>
          <w:highlight w:val="none"/>
        </w:rPr>
      </w:pPr>
      <w:r>
        <w:rPr>
          <w:rFonts w:hint="eastAsia"/>
          <w:spacing w:val="-3"/>
          <w:highlight w:val="none"/>
        </w:rPr>
        <w:t xml:space="preserve">    </w:t>
      </w:r>
      <w:r>
        <w:rPr>
          <w:spacing w:val="-3"/>
          <w:highlight w:val="none"/>
        </w:rPr>
        <w:t>以上企业，不属于大企业的分支机构，不存在控股股东为大企业的情形，也不存在与大企业的负责人为同一人的情形。</w:t>
      </w:r>
    </w:p>
    <w:p>
      <w:pPr>
        <w:pStyle w:val="20"/>
        <w:spacing w:before="99" w:line="297" w:lineRule="auto"/>
        <w:ind w:right="297"/>
        <w:jc w:val="left"/>
        <w:rPr>
          <w:spacing w:val="-3"/>
          <w:highlight w:val="none"/>
        </w:rPr>
      </w:pPr>
      <w:r>
        <w:rPr>
          <w:spacing w:val="-3"/>
          <w:highlight w:val="none"/>
        </w:rPr>
        <w:t>本企业对上述声明内容的真实性负责。如有虚假，将依法承担相应责任。</w:t>
      </w:r>
    </w:p>
    <w:p>
      <w:pPr>
        <w:pStyle w:val="20"/>
        <w:spacing w:before="99" w:line="297" w:lineRule="auto"/>
        <w:ind w:right="297"/>
        <w:jc w:val="right"/>
        <w:rPr>
          <w:spacing w:val="-3"/>
          <w:highlight w:val="none"/>
        </w:rPr>
      </w:pPr>
      <w:r>
        <w:rPr>
          <w:spacing w:val="-3"/>
          <w:highlight w:val="none"/>
        </w:rPr>
        <w:t>企业名称（盖章）</w:t>
      </w:r>
      <w:r>
        <w:rPr>
          <w:rFonts w:hint="eastAsia"/>
          <w:spacing w:val="-3"/>
          <w:highlight w:val="none"/>
        </w:rPr>
        <w:t>：</w:t>
      </w:r>
    </w:p>
    <w:p>
      <w:pPr>
        <w:pStyle w:val="20"/>
        <w:spacing w:before="99" w:line="297" w:lineRule="auto"/>
        <w:ind w:right="297"/>
        <w:jc w:val="right"/>
        <w:rPr>
          <w:spacing w:val="-3"/>
          <w:highlight w:val="none"/>
        </w:rPr>
      </w:pPr>
      <w:r>
        <w:rPr>
          <w:spacing w:val="-3"/>
          <w:highlight w:val="none"/>
        </w:rPr>
        <w:t>日 期</w:t>
      </w:r>
      <w:r>
        <w:rPr>
          <w:rFonts w:hint="eastAsia"/>
          <w:spacing w:val="-3"/>
          <w:highlight w:val="none"/>
        </w:rPr>
        <w:t xml:space="preserve"> ：</w:t>
      </w:r>
    </w:p>
    <w:p>
      <w:pPr>
        <w:rPr>
          <w:rFonts w:hint="eastAsia"/>
          <w:highlight w:val="none"/>
        </w:rPr>
      </w:pPr>
    </w:p>
    <w:p>
      <w:pPr>
        <w:jc w:val="center"/>
        <w:rPr>
          <w:rFonts w:hint="eastAsia" w:ascii="宋体" w:cs="宋体"/>
          <w:b/>
          <w:sz w:val="28"/>
          <w:szCs w:val="24"/>
          <w:highlight w:val="none"/>
        </w:rPr>
      </w:pPr>
    </w:p>
    <w:p>
      <w:pPr>
        <w:spacing w:line="200" w:lineRule="exact"/>
        <w:ind w:left="20"/>
        <w:jc w:val="left"/>
        <w:rPr>
          <w:rFonts w:hint="eastAsia" w:ascii="宋体"/>
          <w:sz w:val="18"/>
          <w:highlight w:val="none"/>
        </w:rPr>
      </w:pPr>
    </w:p>
    <w:p>
      <w:pPr>
        <w:spacing w:line="200" w:lineRule="exact"/>
        <w:ind w:left="20"/>
        <w:jc w:val="left"/>
        <w:rPr>
          <w:rFonts w:hint="eastAsia" w:ascii="宋体"/>
          <w:sz w:val="18"/>
          <w:highlight w:val="none"/>
        </w:rPr>
      </w:pPr>
      <w:r>
        <w:rPr>
          <w:rFonts w:hint="eastAsia" w:ascii="宋体"/>
          <w:sz w:val="18"/>
          <w:highlight w:val="none"/>
        </w:rPr>
        <w:t>1:从业人员、营业收入、资产总额填报上一年度数据，无上一年度数据的新成立企业可不填报。</w:t>
      </w:r>
    </w:p>
    <w:p>
      <w:pPr>
        <w:widowControl/>
        <w:shd w:val="clear" w:color="auto" w:fill="FFFFFF"/>
        <w:spacing w:line="360" w:lineRule="auto"/>
        <w:ind w:firstLine="4200"/>
        <w:rPr>
          <w:rFonts w:hint="eastAsia" w:ascii="宋体" w:hAnsi="宋体" w:cs="宋体"/>
          <w:kern w:val="0"/>
          <w:szCs w:val="21"/>
          <w:highlight w:val="none"/>
        </w:rPr>
      </w:pPr>
    </w:p>
    <w:bookmarkEnd w:id="86"/>
    <w:bookmarkEnd w:id="87"/>
    <w:bookmarkEnd w:id="88"/>
    <w:bookmarkEnd w:id="89"/>
    <w:p>
      <w:pPr>
        <w:pStyle w:val="20"/>
        <w:spacing w:line="360" w:lineRule="auto"/>
        <w:ind w:right="297"/>
        <w:jc w:val="left"/>
        <w:rPr>
          <w:rFonts w:ascii="宋体" w:hAnsi="宋体" w:eastAsia="宋体" w:cs="宋体"/>
          <w:b w:val="0"/>
          <w:bCs/>
          <w:strike w:val="0"/>
          <w:sz w:val="21"/>
          <w:szCs w:val="21"/>
          <w:highlight w:val="none"/>
        </w:rPr>
      </w:pPr>
    </w:p>
    <w:p>
      <w:pPr>
        <w:pStyle w:val="20"/>
        <w:spacing w:line="360" w:lineRule="auto"/>
        <w:ind w:right="297" w:firstLine="645"/>
        <w:jc w:val="left"/>
        <w:rPr>
          <w:rFonts w:ascii="宋体" w:hAnsi="宋体" w:eastAsia="宋体" w:cs="宋体"/>
          <w:b w:val="0"/>
          <w:bCs/>
          <w:strike w:val="0"/>
          <w:sz w:val="21"/>
          <w:szCs w:val="21"/>
          <w:highlight w:val="none"/>
        </w:rPr>
      </w:pPr>
    </w:p>
    <w:p>
      <w:pPr>
        <w:pStyle w:val="20"/>
        <w:spacing w:line="360" w:lineRule="auto"/>
        <w:ind w:right="297" w:firstLine="645"/>
        <w:jc w:val="left"/>
        <w:rPr>
          <w:rFonts w:ascii="宋体" w:hAnsi="宋体" w:eastAsia="宋体" w:cs="宋体"/>
          <w:b w:val="0"/>
          <w:bCs/>
          <w:strike w:val="0"/>
          <w:sz w:val="21"/>
          <w:szCs w:val="21"/>
          <w:highlight w:val="none"/>
        </w:rPr>
      </w:pPr>
    </w:p>
    <w:p>
      <w:pPr>
        <w:rPr>
          <w:rFonts w:ascii="宋体" w:hAnsi="宋体" w:cs="宋体"/>
          <w:bCs/>
          <w:strike w:val="0"/>
          <w:szCs w:val="21"/>
          <w:highlight w:val="none"/>
        </w:rPr>
      </w:pPr>
      <w:r>
        <w:rPr>
          <w:rFonts w:hint="eastAsia" w:ascii="宋体" w:hAnsi="宋体" w:cs="宋体"/>
          <w:bCs/>
          <w:strike w:val="0"/>
          <w:szCs w:val="21"/>
          <w:highlight w:val="none"/>
        </w:rPr>
        <w:br w:type="page"/>
      </w:r>
    </w:p>
    <w:p>
      <w:pPr>
        <w:overflowPunct w:val="0"/>
        <w:topLinePunct/>
        <w:spacing w:before="296" w:line="228" w:lineRule="auto"/>
        <w:ind w:left="563"/>
        <w:rPr>
          <w:rFonts w:ascii="宋体" w:hAnsi="宋体" w:cs="宋体"/>
          <w:strike w:val="0"/>
          <w:kern w:val="0"/>
          <w:highlight w:val="none"/>
        </w:rPr>
      </w:pPr>
      <w:r>
        <w:rPr>
          <w:rFonts w:hint="eastAsia" w:ascii="宋体" w:hAnsi="宋体" w:cs="宋体"/>
          <w:strike w:val="0"/>
          <w:kern w:val="0"/>
          <w:highlight w:val="none"/>
        </w:rPr>
        <w:t>中小微企业划型标准如下：</w:t>
      </w:r>
    </w:p>
    <w:p>
      <w:pPr>
        <w:overflowPunct w:val="0"/>
        <w:topLinePunct/>
        <w:spacing w:line="91" w:lineRule="exact"/>
        <w:rPr>
          <w:rFonts w:ascii="宋体" w:hAnsi="宋体" w:cs="宋体"/>
          <w:strike w:val="0"/>
          <w:kern w:val="0"/>
          <w:highlight w:val="none"/>
        </w:rPr>
      </w:pPr>
    </w:p>
    <w:tbl>
      <w:tblPr>
        <w:tblStyle w:val="242"/>
        <w:tblW w:w="92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51"/>
        <w:gridCol w:w="1638"/>
        <w:gridCol w:w="1083"/>
        <w:gridCol w:w="1921"/>
        <w:gridCol w:w="1710"/>
        <w:gridCol w:w="110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行业名称</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指标名称</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计量</w:t>
            </w:r>
          </w:p>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单位</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中型</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小型</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微型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农、林、牧、渔</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营业收入 （Y）</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500≤Y＜20000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50≤Y＜500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Y＜50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工业</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从业人员 （X）</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人</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300≤X＜1000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20≤X＜300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X＜20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pPr>
              <w:overflowPunct w:val="0"/>
              <w:topLinePunct/>
              <w:spacing w:before="31" w:line="228" w:lineRule="auto"/>
              <w:ind w:left="147"/>
              <w:jc w:val="center"/>
              <w:rPr>
                <w:rFonts w:ascii="宋体" w:hAnsi="宋体" w:cs="宋体"/>
                <w:strike w:val="0"/>
                <w:kern w:val="0"/>
                <w:highlight w:val="none"/>
              </w:rPr>
            </w:pP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营业收入 （Y）</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2000≤Y＜40000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300≤Y＜2000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Y＜300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建筑业</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营业收入 （Y）</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6000≤Y＜80000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300≤Y＜6000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Y＜300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pPr>
              <w:overflowPunct w:val="0"/>
              <w:topLinePunct/>
              <w:spacing w:before="31" w:line="228" w:lineRule="auto"/>
              <w:ind w:left="147"/>
              <w:jc w:val="center"/>
              <w:rPr>
                <w:rFonts w:ascii="宋体" w:hAnsi="宋体" w:cs="宋体"/>
                <w:strike w:val="0"/>
                <w:kern w:val="0"/>
                <w:highlight w:val="none"/>
              </w:rPr>
            </w:pP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资产总额 （Z）</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5000≤Z＜80000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300≤Z＜5000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Z＜300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批发业</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从业人员 （X）</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人</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20≤X＜200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5≤X＜20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X＜5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pPr>
              <w:overflowPunct w:val="0"/>
              <w:topLinePunct/>
              <w:spacing w:before="31" w:line="228" w:lineRule="auto"/>
              <w:ind w:left="147"/>
              <w:jc w:val="center"/>
              <w:rPr>
                <w:rFonts w:ascii="宋体" w:hAnsi="宋体" w:cs="宋体"/>
                <w:strike w:val="0"/>
                <w:kern w:val="0"/>
                <w:highlight w:val="none"/>
              </w:rPr>
            </w:pP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营业收入 （Y）</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5000≤Y＜40000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1000≤Y＜5000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Y＜1000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零售业</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从业人员 （X）</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人</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50≤X＜300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10≤X＜50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X＜10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pPr>
              <w:overflowPunct w:val="0"/>
              <w:topLinePunct/>
              <w:spacing w:before="31" w:line="228" w:lineRule="auto"/>
              <w:ind w:left="147"/>
              <w:jc w:val="center"/>
              <w:rPr>
                <w:rFonts w:ascii="宋体" w:hAnsi="宋体" w:cs="宋体"/>
                <w:strike w:val="0"/>
                <w:kern w:val="0"/>
                <w:highlight w:val="none"/>
              </w:rPr>
            </w:pP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营业收入 （Y）</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500≤Y＜20000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100≤Y＜500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Y＜100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交通运输业</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从业人员 （X）</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人</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300≤X＜1000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20≤X＜300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X＜20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pPr>
              <w:overflowPunct w:val="0"/>
              <w:topLinePunct/>
              <w:spacing w:before="31" w:line="228" w:lineRule="auto"/>
              <w:ind w:left="147"/>
              <w:jc w:val="center"/>
              <w:rPr>
                <w:rFonts w:ascii="宋体" w:hAnsi="宋体" w:cs="宋体"/>
                <w:strike w:val="0"/>
                <w:kern w:val="0"/>
                <w:highlight w:val="none"/>
              </w:rPr>
            </w:pP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营业收入 （Y）</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3000≤Y＜30000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200≤Y＜3000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Y＜200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仓储业</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从业人员 （X）</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人</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100≤X＜200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20≤X＜100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X＜20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pPr>
              <w:overflowPunct w:val="0"/>
              <w:topLinePunct/>
              <w:spacing w:before="31" w:line="228" w:lineRule="auto"/>
              <w:ind w:left="147"/>
              <w:jc w:val="center"/>
              <w:rPr>
                <w:rFonts w:ascii="宋体" w:hAnsi="宋体" w:cs="宋体"/>
                <w:strike w:val="0"/>
                <w:kern w:val="0"/>
                <w:highlight w:val="none"/>
              </w:rPr>
            </w:pP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营业收入 （Y）</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1000≤Y＜30000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100≤Y＜1000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Y＜100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邮政业</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从业人员 （X）</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人</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300≤X＜1000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20≤X＜300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X＜20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pPr>
              <w:overflowPunct w:val="0"/>
              <w:topLinePunct/>
              <w:spacing w:before="31" w:line="228" w:lineRule="auto"/>
              <w:ind w:left="147"/>
              <w:jc w:val="center"/>
              <w:rPr>
                <w:rFonts w:ascii="宋体" w:hAnsi="宋体" w:cs="宋体"/>
                <w:strike w:val="0"/>
                <w:kern w:val="0"/>
                <w:highlight w:val="none"/>
              </w:rPr>
            </w:pP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营业收入 （Y）</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2000≤Y＜30000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100≤Y＜2000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Y＜100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住宿业</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从业人员 （X）</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人</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100≤X＜300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10≤X＜100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X＜10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pPr>
              <w:overflowPunct w:val="0"/>
              <w:topLinePunct/>
              <w:spacing w:before="31" w:line="228" w:lineRule="auto"/>
              <w:ind w:left="147"/>
              <w:jc w:val="center"/>
              <w:rPr>
                <w:rFonts w:ascii="宋体" w:hAnsi="宋体" w:cs="宋体"/>
                <w:strike w:val="0"/>
                <w:kern w:val="0"/>
                <w:highlight w:val="none"/>
              </w:rPr>
            </w:pP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营业收入 （Y）</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2000≤Y＜10000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100≤Y＜2000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Y＜100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餐饮业</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从业人员 （X）</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人</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100≤X＜300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10≤X＜100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X＜10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pPr>
              <w:overflowPunct w:val="0"/>
              <w:topLinePunct/>
              <w:spacing w:before="31" w:line="228" w:lineRule="auto"/>
              <w:ind w:left="147"/>
              <w:jc w:val="center"/>
              <w:rPr>
                <w:rFonts w:ascii="宋体" w:hAnsi="宋体" w:cs="宋体"/>
                <w:strike w:val="0"/>
                <w:kern w:val="0"/>
                <w:highlight w:val="none"/>
              </w:rPr>
            </w:pP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营业收入 （Y）</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2000≤Y＜10000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100≤Y＜2000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Y＜100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信息传输业</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从业人员 （X）</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人</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100≤X＜2000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10≤X＜100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X＜10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pPr>
              <w:overflowPunct w:val="0"/>
              <w:topLinePunct/>
              <w:spacing w:before="31" w:line="228" w:lineRule="auto"/>
              <w:ind w:left="147"/>
              <w:jc w:val="center"/>
              <w:rPr>
                <w:rFonts w:ascii="宋体" w:hAnsi="宋体" w:cs="宋体"/>
                <w:strike w:val="0"/>
                <w:kern w:val="0"/>
                <w:highlight w:val="none"/>
              </w:rPr>
            </w:pP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营业收入 （Y）</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1000≤Y＜100000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100≤Y＜1000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Y＜100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软件和信息技术服务业</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从业人员 （X）</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人</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100≤X＜300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10≤X＜100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X＜10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pPr>
              <w:overflowPunct w:val="0"/>
              <w:topLinePunct/>
              <w:spacing w:before="31" w:line="228" w:lineRule="auto"/>
              <w:ind w:left="147"/>
              <w:jc w:val="center"/>
              <w:rPr>
                <w:rFonts w:ascii="宋体" w:hAnsi="宋体" w:cs="宋体"/>
                <w:strike w:val="0"/>
                <w:kern w:val="0"/>
                <w:highlight w:val="none"/>
              </w:rPr>
            </w:pP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营业收入 （Y）</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1000≤Y＜10000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50≤Y＜1000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Y＜50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房地产开发经营</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营业收入 （Y）</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1000≤Y＜200000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100≤X＜1000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X＜100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pPr>
              <w:overflowPunct w:val="0"/>
              <w:topLinePunct/>
              <w:spacing w:before="31" w:line="228" w:lineRule="auto"/>
              <w:ind w:left="147"/>
              <w:jc w:val="center"/>
              <w:rPr>
                <w:rFonts w:ascii="宋体" w:hAnsi="宋体" w:cs="宋体"/>
                <w:strike w:val="0"/>
                <w:kern w:val="0"/>
                <w:highlight w:val="none"/>
              </w:rPr>
            </w:pP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资产总额 （Z）</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5000≤Z＜10000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2000≤Y＜5000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Y＜2000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物业管理</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从业人员 （X）</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人</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300≤X＜1000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100≤X＜300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X＜100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pPr>
              <w:overflowPunct w:val="0"/>
              <w:topLinePunct/>
              <w:spacing w:before="31" w:line="228" w:lineRule="auto"/>
              <w:ind w:left="147"/>
              <w:jc w:val="center"/>
              <w:rPr>
                <w:rFonts w:ascii="宋体" w:hAnsi="宋体" w:cs="宋体"/>
                <w:strike w:val="0"/>
                <w:kern w:val="0"/>
                <w:highlight w:val="none"/>
              </w:rPr>
            </w:pP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营业收入 （Y）</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1000≤Y＜5000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500≤Y＜1000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Y＜500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租赁和商务服务业</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从业人员 （X）</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人</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100≤X＜300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10≤X＜100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X＜10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pPr>
              <w:overflowPunct w:val="0"/>
              <w:topLinePunct/>
              <w:spacing w:before="31" w:line="228" w:lineRule="auto"/>
              <w:ind w:left="147"/>
              <w:jc w:val="center"/>
              <w:rPr>
                <w:rFonts w:ascii="宋体" w:hAnsi="宋体" w:cs="宋体"/>
                <w:strike w:val="0"/>
                <w:kern w:val="0"/>
                <w:highlight w:val="none"/>
              </w:rPr>
            </w:pP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资产总额 （Z）</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万元</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8000≤Z＜120000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100≤Z＜8000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Y＜100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工业</w:t>
            </w:r>
          </w:p>
        </w:tc>
        <w:tc>
          <w:tcPr>
            <w:tcW w:w="1638"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从业人员 （X）</w:t>
            </w:r>
          </w:p>
        </w:tc>
        <w:tc>
          <w:tcPr>
            <w:tcW w:w="1083"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人</w:t>
            </w:r>
          </w:p>
        </w:tc>
        <w:tc>
          <w:tcPr>
            <w:tcW w:w="1921"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100≤X＜300</w:t>
            </w:r>
          </w:p>
        </w:tc>
        <w:tc>
          <w:tcPr>
            <w:tcW w:w="1710"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10≤X＜100</w:t>
            </w:r>
          </w:p>
        </w:tc>
        <w:tc>
          <w:tcPr>
            <w:tcW w:w="1104" w:type="dxa"/>
            <w:vAlign w:val="center"/>
          </w:tcPr>
          <w:p>
            <w:pPr>
              <w:overflowPunct w:val="0"/>
              <w:topLinePunct/>
              <w:spacing w:before="31" w:line="228" w:lineRule="auto"/>
              <w:ind w:left="147"/>
              <w:jc w:val="center"/>
              <w:rPr>
                <w:rFonts w:ascii="宋体" w:hAnsi="宋体" w:cs="宋体"/>
                <w:strike w:val="0"/>
                <w:kern w:val="0"/>
                <w:highlight w:val="none"/>
              </w:rPr>
            </w:pPr>
            <w:r>
              <w:rPr>
                <w:rFonts w:hint="eastAsia" w:ascii="宋体" w:hAnsi="宋体" w:cs="宋体"/>
                <w:strike w:val="0"/>
                <w:kern w:val="0"/>
                <w:highlight w:val="none"/>
              </w:rPr>
              <w:t>X＜10</w:t>
            </w:r>
          </w:p>
        </w:tc>
      </w:tr>
    </w:tbl>
    <w:p>
      <w:pPr>
        <w:overflowPunct w:val="0"/>
        <w:topLinePunct/>
        <w:rPr>
          <w:rFonts w:ascii="宋体" w:hAnsi="宋体" w:cs="宋体"/>
          <w:strike w:val="0"/>
          <w:kern w:val="0"/>
          <w:highlight w:val="none"/>
        </w:rPr>
      </w:pPr>
    </w:p>
    <w:p>
      <w:pPr>
        <w:overflowPunct w:val="0"/>
        <w:topLinePunct/>
        <w:spacing w:line="360" w:lineRule="auto"/>
        <w:ind w:left="11" w:firstLine="420" w:firstLineChars="200"/>
        <w:rPr>
          <w:rFonts w:ascii="宋体" w:hAnsi="宋体" w:cs="宋体"/>
          <w:strike w:val="0"/>
          <w:kern w:val="0"/>
          <w:highlight w:val="none"/>
        </w:rPr>
      </w:pPr>
      <w:r>
        <w:rPr>
          <w:rFonts w:hint="eastAsia" w:ascii="宋体" w:hAnsi="宋体" w:cs="宋体"/>
          <w:strike w:val="0"/>
          <w:kern w:val="0"/>
          <w:highlight w:val="none"/>
        </w:rPr>
        <w:t>说明：上述标准参照《关于印发中小企业划型标准规定的通知》（工信部联企业〔2011〕300 号），大型、中型和</w:t>
      </w:r>
      <w:bookmarkStart w:id="92" w:name="_Toc27977"/>
      <w:r>
        <w:rPr>
          <w:rFonts w:hint="eastAsia" w:ascii="宋体" w:hAnsi="宋体" w:cs="宋体"/>
          <w:strike w:val="0"/>
          <w:kern w:val="0"/>
          <w:highlight w:val="none"/>
        </w:rPr>
        <w:t>小型企业须同时满足所列指标的下限，否则下划一档；微型企业只须满足所列指标中的一项即可。</w:t>
      </w:r>
      <w:bookmarkEnd w:id="92"/>
    </w:p>
    <w:p>
      <w:pPr>
        <w:overflowPunct w:val="0"/>
        <w:topLinePunct/>
        <w:rPr>
          <w:rFonts w:ascii="宋体" w:hAnsi="宋体" w:cs="宋体"/>
          <w:strike w:val="0"/>
          <w:kern w:val="0"/>
          <w:highlight w:val="none"/>
        </w:rPr>
        <w:sectPr>
          <w:headerReference r:id="rId3" w:type="default"/>
          <w:footerReference r:id="rId4" w:type="default"/>
          <w:pgSz w:w="11906" w:h="16838"/>
          <w:pgMar w:top="1701" w:right="1191" w:bottom="1701" w:left="1134" w:header="850" w:footer="998" w:gutter="0"/>
          <w:cols w:space="0" w:num="1"/>
          <w:rtlGutter w:val="0"/>
          <w:docGrid w:linePitch="0" w:charSpace="0"/>
        </w:sectPr>
      </w:pPr>
    </w:p>
    <w:p>
      <w:pPr>
        <w:pStyle w:val="5"/>
        <w:jc w:val="center"/>
        <w:rPr>
          <w:rFonts w:ascii="宋体" w:hAnsi="宋体" w:cs="宋体"/>
          <w:strike w:val="0"/>
          <w:highlight w:val="none"/>
        </w:rPr>
      </w:pPr>
      <w:bookmarkStart w:id="93" w:name="_Toc24553"/>
      <w:r>
        <w:rPr>
          <w:rFonts w:hint="eastAsia" w:ascii="宋体" w:hAnsi="宋体" w:cs="宋体"/>
          <w:strike w:val="0"/>
          <w:highlight w:val="none"/>
        </w:rPr>
        <w:t>2、残疾人福利性单位声明函</w:t>
      </w:r>
      <w:bookmarkEnd w:id="93"/>
    </w:p>
    <w:bookmarkEnd w:id="90"/>
    <w:bookmarkEnd w:id="91"/>
    <w:p>
      <w:pPr>
        <w:widowControl/>
        <w:spacing w:line="440" w:lineRule="exact"/>
        <w:ind w:firstLine="420" w:firstLineChars="200"/>
        <w:jc w:val="left"/>
        <w:rPr>
          <w:rFonts w:ascii="宋体" w:hAnsi="宋体" w:cs="宋体"/>
          <w:strike w:val="0"/>
          <w:snapToGrid w:val="0"/>
          <w:kern w:val="0"/>
          <w:szCs w:val="21"/>
          <w:highlight w:val="none"/>
        </w:rPr>
      </w:pPr>
      <w:r>
        <w:rPr>
          <w:rFonts w:hint="eastAsia" w:ascii="宋体" w:hAnsi="宋体" w:cs="宋体"/>
          <w:strike w:val="0"/>
          <w:snapToGrid w:val="0"/>
          <w:kern w:val="0"/>
          <w:szCs w:val="21"/>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spacing w:line="440" w:lineRule="exact"/>
        <w:ind w:firstLine="420" w:firstLineChars="200"/>
        <w:jc w:val="left"/>
        <w:rPr>
          <w:rFonts w:ascii="宋体" w:hAnsi="宋体" w:cs="宋体"/>
          <w:strike w:val="0"/>
          <w:snapToGrid w:val="0"/>
          <w:kern w:val="0"/>
          <w:szCs w:val="21"/>
          <w:highlight w:val="none"/>
        </w:rPr>
      </w:pPr>
      <w:r>
        <w:rPr>
          <w:rFonts w:hint="eastAsia" w:ascii="宋体" w:hAnsi="宋体" w:cs="宋体"/>
          <w:strike w:val="0"/>
          <w:snapToGrid w:val="0"/>
          <w:kern w:val="0"/>
          <w:szCs w:val="21"/>
          <w:highlight w:val="none"/>
        </w:rPr>
        <w:t>本单位对上述声明的真实性负责。如有虚假，将依法承担相应责任。</w:t>
      </w:r>
    </w:p>
    <w:p>
      <w:pPr>
        <w:widowControl/>
        <w:spacing w:line="440" w:lineRule="exact"/>
        <w:ind w:firstLine="5040" w:firstLineChars="2400"/>
        <w:jc w:val="left"/>
        <w:rPr>
          <w:rFonts w:ascii="宋体" w:hAnsi="宋体" w:cs="宋体"/>
          <w:strike w:val="0"/>
          <w:snapToGrid w:val="0"/>
          <w:kern w:val="0"/>
          <w:szCs w:val="21"/>
          <w:highlight w:val="none"/>
        </w:rPr>
      </w:pPr>
      <w:r>
        <w:rPr>
          <w:rFonts w:hint="eastAsia" w:ascii="宋体" w:hAnsi="宋体" w:cs="宋体"/>
          <w:strike w:val="0"/>
          <w:snapToGrid w:val="0"/>
          <w:kern w:val="0"/>
          <w:szCs w:val="21"/>
          <w:highlight w:val="none"/>
        </w:rPr>
        <w:t>单位名称（盖章）：</w:t>
      </w:r>
    </w:p>
    <w:p>
      <w:pPr>
        <w:widowControl/>
        <w:spacing w:line="440" w:lineRule="exact"/>
        <w:ind w:firstLine="5040" w:firstLineChars="2400"/>
        <w:jc w:val="left"/>
        <w:rPr>
          <w:rFonts w:ascii="宋体" w:hAnsi="宋体" w:cs="宋体"/>
          <w:strike w:val="0"/>
          <w:snapToGrid w:val="0"/>
          <w:kern w:val="0"/>
          <w:szCs w:val="21"/>
          <w:highlight w:val="none"/>
        </w:rPr>
      </w:pPr>
      <w:r>
        <w:rPr>
          <w:rFonts w:hint="eastAsia" w:ascii="宋体" w:hAnsi="宋体" w:cs="宋体"/>
          <w:strike w:val="0"/>
          <w:snapToGrid w:val="0"/>
          <w:kern w:val="0"/>
          <w:szCs w:val="21"/>
          <w:highlight w:val="none"/>
        </w:rPr>
        <w:t>日期：</w:t>
      </w:r>
    </w:p>
    <w:p>
      <w:pPr>
        <w:rPr>
          <w:rFonts w:ascii="宋体" w:hAnsi="宋体" w:cs="宋体"/>
          <w:b/>
          <w:bCs/>
          <w:strike w:val="0"/>
          <w:highlight w:val="none"/>
        </w:rPr>
      </w:pPr>
    </w:p>
    <w:p>
      <w:pPr>
        <w:rPr>
          <w:rFonts w:ascii="宋体" w:hAnsi="宋体" w:cs="宋体"/>
          <w:b/>
          <w:bCs/>
          <w:strike w:val="0"/>
          <w:highlight w:val="none"/>
        </w:rPr>
      </w:pPr>
    </w:p>
    <w:p>
      <w:pPr>
        <w:rPr>
          <w:rFonts w:ascii="宋体" w:hAnsi="宋体" w:cs="宋体"/>
          <w:b/>
          <w:bCs/>
          <w:strike w:val="0"/>
          <w:highlight w:val="none"/>
        </w:rPr>
      </w:pPr>
    </w:p>
    <w:p>
      <w:pPr>
        <w:pStyle w:val="5"/>
        <w:jc w:val="center"/>
        <w:rPr>
          <w:rFonts w:ascii="宋体" w:hAnsi="宋体" w:cs="宋体"/>
          <w:strike w:val="0"/>
          <w:highlight w:val="none"/>
        </w:rPr>
      </w:pPr>
      <w:bookmarkStart w:id="94" w:name="_Toc30252"/>
      <w:r>
        <w:rPr>
          <w:rFonts w:hint="eastAsia" w:ascii="宋体" w:hAnsi="宋体" w:cs="宋体"/>
          <w:strike w:val="0"/>
          <w:highlight w:val="none"/>
        </w:rPr>
        <w:t>3、属于监狱企业的证明文件</w:t>
      </w:r>
      <w:bookmarkEnd w:id="94"/>
    </w:p>
    <w:p>
      <w:pPr>
        <w:rPr>
          <w:rFonts w:ascii="宋体" w:hAnsi="宋体" w:cs="宋体"/>
          <w:strike w:val="0"/>
          <w:highlight w:val="none"/>
        </w:rPr>
      </w:pPr>
      <w:r>
        <w:rPr>
          <w:rFonts w:hint="eastAsia" w:ascii="宋体" w:hAnsi="宋体" w:cs="宋体"/>
          <w:strike w:val="0"/>
          <w:highlight w:val="none"/>
        </w:rPr>
        <w:t>（提供由省级以上监狱管理局、戒毒管理局(含新疆生产建设兵团)出具的属于监狱企业的证明文件）</w:t>
      </w:r>
    </w:p>
    <w:p>
      <w:pPr>
        <w:rPr>
          <w:rFonts w:ascii="宋体" w:hAnsi="宋体" w:cs="宋体"/>
          <w:b/>
          <w:bCs/>
          <w:strike w:val="0"/>
          <w:highlight w:val="none"/>
        </w:rPr>
      </w:pPr>
    </w:p>
    <w:p>
      <w:pPr>
        <w:rPr>
          <w:rFonts w:ascii="宋体" w:hAnsi="宋体" w:cs="宋体"/>
          <w:b/>
          <w:bCs/>
          <w:strike w:val="0"/>
          <w:highlight w:val="none"/>
        </w:rPr>
      </w:pPr>
    </w:p>
    <w:p>
      <w:pPr>
        <w:rPr>
          <w:rFonts w:ascii="宋体" w:hAnsi="宋体" w:cs="宋体"/>
          <w:b/>
          <w:bCs/>
          <w:strike w:val="0"/>
          <w:highlight w:val="none"/>
        </w:rPr>
      </w:pPr>
    </w:p>
    <w:p>
      <w:pPr>
        <w:rPr>
          <w:rFonts w:ascii="宋体" w:hAnsi="宋体" w:cs="宋体"/>
          <w:b/>
          <w:bCs/>
          <w:strike w:val="0"/>
          <w:highlight w:val="none"/>
        </w:rPr>
      </w:pPr>
    </w:p>
    <w:p>
      <w:pPr>
        <w:rPr>
          <w:rFonts w:ascii="宋体" w:hAnsi="宋体" w:cs="宋体"/>
          <w:b/>
          <w:bCs/>
          <w:strike w:val="0"/>
          <w:highlight w:val="none"/>
        </w:rPr>
      </w:pPr>
    </w:p>
    <w:p>
      <w:pPr>
        <w:rPr>
          <w:rFonts w:ascii="宋体" w:hAnsi="宋体" w:cs="宋体"/>
          <w:strike w:val="0"/>
          <w:highlight w:val="none"/>
          <w:lang w:val="zh-CN"/>
        </w:rPr>
      </w:pPr>
    </w:p>
    <w:p>
      <w:pPr>
        <w:jc w:val="right"/>
        <w:rPr>
          <w:rFonts w:ascii="宋体" w:hAnsi="宋体" w:cs="宋体"/>
          <w:b/>
          <w:strike w:val="0"/>
          <w:szCs w:val="21"/>
          <w:highlight w:val="none"/>
          <w:lang w:val="zh-CN"/>
        </w:rPr>
      </w:pPr>
      <w:r>
        <w:rPr>
          <w:rFonts w:hint="eastAsia" w:ascii="宋体" w:hAnsi="宋体" w:cs="宋体"/>
          <w:b/>
          <w:strike w:val="0"/>
          <w:szCs w:val="21"/>
          <w:highlight w:val="none"/>
          <w:lang w:val="zh-CN"/>
        </w:rPr>
        <w:br w:type="page"/>
      </w:r>
    </w:p>
    <w:p>
      <w:pPr>
        <w:pStyle w:val="4"/>
        <w:rPr>
          <w:rFonts w:ascii="宋体" w:hAnsi="宋体" w:cs="宋体"/>
          <w:strike w:val="0"/>
          <w:highlight w:val="none"/>
        </w:rPr>
      </w:pPr>
      <w:bookmarkStart w:id="95" w:name="_Toc30860"/>
      <w:r>
        <w:rPr>
          <w:rFonts w:hint="eastAsia" w:ascii="宋体" w:hAnsi="宋体" w:cs="宋体"/>
          <w:strike w:val="0"/>
          <w:highlight w:val="none"/>
        </w:rPr>
        <w:t>附件十、资格资信证明文件</w:t>
      </w:r>
      <w:bookmarkEnd w:id="95"/>
    </w:p>
    <w:p>
      <w:pPr>
        <w:pStyle w:val="24"/>
        <w:ind w:left="0" w:leftChars="0"/>
        <w:rPr>
          <w:rFonts w:ascii="宋体" w:hAnsi="宋体" w:cs="宋体"/>
          <w:strike w:val="0"/>
          <w:highlight w:val="none"/>
        </w:rPr>
      </w:pPr>
    </w:p>
    <w:p>
      <w:pPr>
        <w:widowControl/>
        <w:jc w:val="left"/>
        <w:outlineLvl w:val="2"/>
        <w:rPr>
          <w:rFonts w:ascii="宋体" w:hAnsi="宋体" w:cs="宋体"/>
          <w:b/>
          <w:bCs/>
          <w:strike w:val="0"/>
          <w:highlight w:val="none"/>
        </w:rPr>
      </w:pPr>
      <w:bookmarkStart w:id="96" w:name="_Toc4890"/>
      <w:r>
        <w:rPr>
          <w:rFonts w:hint="eastAsia" w:ascii="宋体" w:hAnsi="宋体" w:cs="宋体"/>
          <w:b/>
          <w:bCs/>
          <w:strike w:val="0"/>
          <w:highlight w:val="none"/>
        </w:rPr>
        <w:t>1、</w:t>
      </w:r>
      <w:bookmarkEnd w:id="96"/>
      <w:r>
        <w:rPr>
          <w:rFonts w:hint="eastAsia" w:ascii="宋体" w:hAnsi="宋体" w:cs="宋体"/>
          <w:b/>
          <w:bCs/>
          <w:strike w:val="0"/>
          <w:highlight w:val="none"/>
        </w:rPr>
        <w:t>具有独立承担民事责任的能力（提供法人或者其他组织的营业执照等证明文件，复印件加盖公章）；</w:t>
      </w:r>
    </w:p>
    <w:p>
      <w:pPr>
        <w:jc w:val="left"/>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sectPr>
          <w:footerReference r:id="rId5" w:type="default"/>
          <w:pgSz w:w="11906" w:h="16838"/>
          <w:pgMar w:top="1135" w:right="1135" w:bottom="1135" w:left="1135" w:header="720" w:footer="720" w:gutter="0"/>
          <w:cols w:space="720" w:num="1"/>
          <w:docGrid w:type="lines" w:linePitch="312" w:charSpace="0"/>
        </w:sectPr>
      </w:pPr>
    </w:p>
    <w:p>
      <w:pPr>
        <w:jc w:val="left"/>
        <w:outlineLvl w:val="2"/>
        <w:rPr>
          <w:rFonts w:ascii="宋体" w:hAnsi="宋体" w:cs="宋体"/>
          <w:b/>
          <w:strike w:val="0"/>
          <w:highlight w:val="none"/>
        </w:rPr>
      </w:pPr>
      <w:bookmarkStart w:id="97" w:name="_Toc24411"/>
      <w:r>
        <w:rPr>
          <w:rFonts w:hint="eastAsia" w:ascii="宋体" w:hAnsi="宋体" w:cs="宋体"/>
          <w:b/>
          <w:bCs/>
          <w:strike w:val="0"/>
          <w:highlight w:val="none"/>
        </w:rPr>
        <w:t>2、</w:t>
      </w:r>
      <w:r>
        <w:rPr>
          <w:rFonts w:hint="eastAsia" w:ascii="宋体" w:hAnsi="宋体" w:cs="宋体"/>
          <w:bCs/>
          <w:strike w:val="0"/>
          <w:szCs w:val="21"/>
          <w:highlight w:val="none"/>
        </w:rPr>
        <w:t>供应商须提供法人代表授权书（原件），法定代表人、授权代表身份证复印件及供应商</w:t>
      </w:r>
      <w:r>
        <w:rPr>
          <w:rFonts w:hint="eastAsia" w:ascii="宋体" w:hAnsi="宋体" w:cs="宋体"/>
          <w:bCs/>
          <w:strike w:val="0"/>
          <w:szCs w:val="21"/>
          <w:highlight w:val="none"/>
          <w:lang w:eastAsia="zh-CN"/>
        </w:rPr>
        <w:t>2024年10月-2025年3月</w:t>
      </w:r>
      <w:r>
        <w:rPr>
          <w:rFonts w:hint="eastAsia" w:ascii="宋体" w:hAnsi="宋体" w:cs="宋体"/>
          <w:bCs/>
          <w:strike w:val="0"/>
          <w:szCs w:val="21"/>
          <w:highlight w:val="none"/>
        </w:rPr>
        <w:t>任意一个月为其缴纳社保的证明材料。（如果是法定代表人直接参与投标的可以不提供授权书及社保证明材料）</w:t>
      </w:r>
      <w:r>
        <w:rPr>
          <w:rFonts w:hint="eastAsia" w:ascii="宋体" w:hAnsi="宋体" w:cs="宋体"/>
          <w:b/>
          <w:strike w:val="0"/>
          <w:szCs w:val="21"/>
          <w:highlight w:val="none"/>
        </w:rPr>
        <w:t>；</w:t>
      </w:r>
    </w:p>
    <w:p>
      <w:pPr>
        <w:rPr>
          <w:rFonts w:ascii="宋体" w:hAnsi="宋体" w:cs="宋体"/>
          <w:strike w:val="0"/>
          <w:highlight w:val="none"/>
        </w:rPr>
      </w:pPr>
    </w:p>
    <w:p>
      <w:pPr>
        <w:pStyle w:val="4"/>
        <w:rPr>
          <w:rFonts w:ascii="宋体" w:hAnsi="宋体" w:cs="宋体"/>
          <w:strike w:val="0"/>
          <w:kern w:val="0"/>
          <w:szCs w:val="21"/>
          <w:highlight w:val="none"/>
        </w:rPr>
      </w:pPr>
      <w:r>
        <w:rPr>
          <w:rFonts w:hint="eastAsia" w:ascii="宋体" w:hAnsi="宋体" w:cs="宋体"/>
          <w:bCs/>
          <w:strike w:val="0"/>
          <w:kern w:val="0"/>
          <w:szCs w:val="21"/>
          <w:highlight w:val="none"/>
        </w:rPr>
        <w:t>法定代表人授权委托书（各供应商根据实际情况填写）</w:t>
      </w:r>
    </w:p>
    <w:p>
      <w:pPr>
        <w:widowControl/>
        <w:shd w:val="clear" w:color="auto" w:fill="FFFFFF"/>
        <w:ind w:firstLine="720"/>
        <w:jc w:val="center"/>
        <w:rPr>
          <w:rFonts w:ascii="宋体" w:hAnsi="宋体" w:cs="宋体"/>
          <w:strike w:val="0"/>
          <w:kern w:val="0"/>
          <w:sz w:val="36"/>
          <w:szCs w:val="36"/>
          <w:highlight w:val="none"/>
        </w:rPr>
      </w:pPr>
    </w:p>
    <w:p>
      <w:pPr>
        <w:widowControl/>
        <w:shd w:val="clear" w:color="auto" w:fill="FFFFFF"/>
        <w:ind w:firstLine="720"/>
        <w:jc w:val="center"/>
        <w:rPr>
          <w:rFonts w:ascii="宋体" w:hAnsi="宋体" w:cs="宋体"/>
          <w:b/>
          <w:strike w:val="0"/>
          <w:kern w:val="0"/>
          <w:szCs w:val="21"/>
          <w:highlight w:val="none"/>
        </w:rPr>
      </w:pPr>
      <w:r>
        <w:rPr>
          <w:rFonts w:hint="eastAsia" w:ascii="宋体" w:hAnsi="宋体" w:cs="宋体"/>
          <w:b/>
          <w:strike w:val="0"/>
          <w:kern w:val="0"/>
          <w:sz w:val="36"/>
          <w:szCs w:val="36"/>
          <w:highlight w:val="none"/>
        </w:rPr>
        <w:t>法定代表人授权委托书</w:t>
      </w:r>
    </w:p>
    <w:p>
      <w:pPr>
        <w:widowControl/>
        <w:shd w:val="clear" w:color="auto" w:fill="FFFFFF"/>
        <w:jc w:val="left"/>
        <w:rPr>
          <w:rFonts w:ascii="宋体" w:hAnsi="宋体" w:cs="宋体"/>
          <w:strike w:val="0"/>
          <w:kern w:val="0"/>
          <w:szCs w:val="21"/>
          <w:highlight w:val="none"/>
        </w:rPr>
      </w:pPr>
    </w:p>
    <w:p>
      <w:pPr>
        <w:widowControl/>
        <w:shd w:val="clear" w:color="auto" w:fill="FFFFFF"/>
        <w:spacing w:line="360" w:lineRule="auto"/>
        <w:jc w:val="left"/>
        <w:rPr>
          <w:rFonts w:ascii="宋体" w:hAnsi="宋体" w:cs="宋体"/>
          <w:strike w:val="0"/>
          <w:kern w:val="0"/>
          <w:szCs w:val="21"/>
          <w:highlight w:val="none"/>
        </w:rPr>
      </w:pPr>
      <w:r>
        <w:rPr>
          <w:rFonts w:hint="eastAsia" w:ascii="宋体" w:hAnsi="宋体" w:cs="宋体"/>
          <w:strike w:val="0"/>
          <w:kern w:val="0"/>
          <w:szCs w:val="21"/>
          <w:highlight w:val="none"/>
        </w:rPr>
        <w:t>致：江苏省设备成套股份有限公司</w:t>
      </w:r>
    </w:p>
    <w:p>
      <w:pPr>
        <w:widowControl/>
        <w:shd w:val="clear" w:color="auto" w:fill="FFFFFF"/>
        <w:spacing w:line="360" w:lineRule="auto"/>
        <w:ind w:firstLine="420"/>
        <w:jc w:val="left"/>
        <w:rPr>
          <w:rFonts w:hint="eastAsia" w:ascii="宋体" w:hAnsi="宋体" w:cs="宋体"/>
          <w:strike w:val="0"/>
          <w:kern w:val="0"/>
          <w:szCs w:val="21"/>
          <w:highlight w:val="none"/>
        </w:rPr>
      </w:pPr>
      <w:r>
        <w:rPr>
          <w:rFonts w:hint="eastAsia" w:ascii="宋体" w:hAnsi="宋体" w:cs="宋体"/>
          <w:strike w:val="0"/>
          <w:kern w:val="0"/>
          <w:szCs w:val="21"/>
          <w:highlight w:val="none"/>
        </w:rPr>
        <w:t>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p>
    <w:p>
      <w:pPr>
        <w:pStyle w:val="24"/>
        <w:rPr>
          <w:rFonts w:hint="eastAsia" w:ascii="宋体" w:hAnsi="宋体" w:cs="宋体"/>
          <w:strike w:val="0"/>
          <w:kern w:val="0"/>
          <w:szCs w:val="21"/>
          <w:highlight w:val="none"/>
        </w:rPr>
      </w:pPr>
    </w:p>
    <w:p>
      <w:pPr>
        <w:rPr>
          <w:rFonts w:hint="eastAsia" w:ascii="宋体" w:hAnsi="宋体" w:cs="宋体"/>
          <w:strike w:val="0"/>
          <w:kern w:val="0"/>
          <w:szCs w:val="21"/>
          <w:highlight w:val="none"/>
        </w:rPr>
      </w:pPr>
    </w:p>
    <w:p>
      <w:pPr>
        <w:pStyle w:val="171"/>
        <w:tabs>
          <w:tab w:val="left" w:pos="360"/>
        </w:tabs>
        <w:adjustRightInd w:val="0"/>
        <w:snapToGrid w:val="0"/>
        <w:spacing w:before="85" w:beforeLines="30" w:line="480" w:lineRule="auto"/>
        <w:ind w:firstLine="480"/>
        <w:rPr>
          <w:rFonts w:ascii="宋体" w:hAnsi="宋体"/>
          <w:b/>
          <w:bCs/>
          <w:highlight w:val="none"/>
        </w:rPr>
      </w:pPr>
      <w:r>
        <w:rPr>
          <w:rFonts w:hint="eastAsia" w:ascii="宋体" w:hAnsi="宋体"/>
          <w:b/>
          <w:bCs/>
          <w:highlight w:val="none"/>
          <w:u w:val="none"/>
        </w:rPr>
        <w:t>我单位委托进行</w:t>
      </w:r>
      <w:r>
        <w:rPr>
          <w:rFonts w:hint="eastAsia" w:ascii="宋体" w:hAnsi="宋体" w:cs="宋体"/>
          <w:b/>
          <w:bCs/>
          <w:kern w:val="2"/>
          <w:sz w:val="21"/>
          <w:szCs w:val="21"/>
          <w:highlight w:val="none"/>
        </w:rPr>
        <w:t>现场书面答辩</w:t>
      </w:r>
      <w:r>
        <w:rPr>
          <w:rFonts w:hint="eastAsia" w:ascii="宋体" w:hAnsi="宋体"/>
          <w:b/>
          <w:bCs/>
          <w:highlight w:val="none"/>
          <w:u w:val="none"/>
        </w:rPr>
        <w:t>的人员为</w:t>
      </w:r>
      <w:r>
        <w:rPr>
          <w:rFonts w:ascii="宋体" w:hAnsi="宋体"/>
          <w:b/>
          <w:bCs/>
          <w:highlight w:val="none"/>
        </w:rPr>
        <w:t>[</w:t>
      </w:r>
      <w:r>
        <w:rPr>
          <w:rFonts w:hint="eastAsia" w:ascii="宋体" w:hAnsi="宋体"/>
          <w:b/>
          <w:bCs/>
          <w:highlight w:val="none"/>
        </w:rPr>
        <w:t>姓名</w:t>
      </w:r>
      <w:r>
        <w:rPr>
          <w:rFonts w:ascii="宋体" w:hAnsi="宋体"/>
          <w:b/>
          <w:bCs/>
          <w:highlight w:val="none"/>
        </w:rPr>
        <w:t>]</w:t>
      </w:r>
      <w:r>
        <w:rPr>
          <w:rFonts w:hint="eastAsia" w:ascii="宋体" w:hAnsi="宋体"/>
          <w:b/>
          <w:bCs/>
          <w:highlight w:val="none"/>
          <w:lang w:val="en-US" w:eastAsia="zh-CN"/>
        </w:rPr>
        <w:t xml:space="preserve">    </w:t>
      </w:r>
      <w:r>
        <w:rPr>
          <w:rFonts w:hint="eastAsia" w:ascii="宋体" w:hAnsi="宋体"/>
          <w:b/>
          <w:bCs/>
          <w:highlight w:val="none"/>
        </w:rPr>
        <w:t>（身份证号：</w:t>
      </w:r>
      <w:r>
        <w:rPr>
          <w:rFonts w:hint="eastAsia" w:ascii="宋体" w:hAnsi="宋体"/>
          <w:b/>
          <w:bCs/>
          <w:highlight w:val="none"/>
          <w:lang w:val="en-US" w:eastAsia="zh-CN"/>
        </w:rPr>
        <w:t xml:space="preserve">                       </w:t>
      </w:r>
      <w:r>
        <w:rPr>
          <w:rFonts w:hint="eastAsia" w:ascii="宋体" w:hAnsi="宋体"/>
          <w:b/>
          <w:bCs/>
          <w:highlight w:val="none"/>
        </w:rPr>
        <w:t>）</w:t>
      </w:r>
    </w:p>
    <w:p>
      <w:pPr>
        <w:pStyle w:val="24"/>
        <w:rPr>
          <w:highlight w:val="none"/>
        </w:rPr>
      </w:pPr>
    </w:p>
    <w:p>
      <w:pPr>
        <w:widowControl/>
        <w:shd w:val="clear" w:color="auto" w:fill="FFFFFF"/>
        <w:spacing w:line="360" w:lineRule="auto"/>
        <w:jc w:val="left"/>
        <w:rPr>
          <w:rFonts w:ascii="宋体" w:hAnsi="宋体" w:cs="宋体"/>
          <w:strike w:val="0"/>
          <w:kern w:val="0"/>
          <w:szCs w:val="21"/>
          <w:highlight w:val="none"/>
        </w:rPr>
      </w:pPr>
      <w:r>
        <w:rPr>
          <w:rFonts w:hint="eastAsia" w:ascii="宋体" w:hAnsi="宋体" w:cs="宋体"/>
          <w:strike w:val="0"/>
          <w:kern w:val="0"/>
          <w:szCs w:val="21"/>
          <w:highlight w:val="none"/>
        </w:rPr>
        <w:t>本授权书于年月日生效，特此声明。</w:t>
      </w:r>
    </w:p>
    <w:p>
      <w:pPr>
        <w:widowControl/>
        <w:shd w:val="clear" w:color="auto" w:fill="FFFFFF"/>
        <w:spacing w:line="360" w:lineRule="auto"/>
        <w:jc w:val="left"/>
        <w:rPr>
          <w:rFonts w:ascii="宋体" w:hAnsi="宋体" w:cs="宋体"/>
          <w:strike w:val="0"/>
          <w:kern w:val="0"/>
          <w:szCs w:val="21"/>
          <w:highlight w:val="none"/>
        </w:rPr>
      </w:pPr>
      <w:r>
        <w:rPr>
          <w:rFonts w:hint="eastAsia" w:ascii="宋体" w:hAnsi="宋体" w:cs="宋体"/>
          <w:strike w:val="0"/>
          <w:kern w:val="0"/>
          <w:szCs w:val="21"/>
          <w:highlight w:val="none"/>
        </w:rPr>
        <w:t>法定代表人签字</w:t>
      </w:r>
      <w:r>
        <w:rPr>
          <w:rFonts w:hint="eastAsia" w:ascii="宋体" w:hAnsi="宋体" w:cs="宋体"/>
          <w:strike w:val="0"/>
          <w:kern w:val="0"/>
          <w:szCs w:val="21"/>
          <w:highlight w:val="none"/>
          <w:lang w:val="en-US" w:eastAsia="zh-CN"/>
        </w:rPr>
        <w:t>或盖章</w:t>
      </w:r>
      <w:r>
        <w:rPr>
          <w:rFonts w:hint="eastAsia" w:ascii="宋体" w:hAnsi="宋体" w:cs="宋体"/>
          <w:strike w:val="0"/>
          <w:kern w:val="0"/>
          <w:szCs w:val="21"/>
          <w:highlight w:val="none"/>
        </w:rPr>
        <w:t>：</w:t>
      </w:r>
    </w:p>
    <w:p>
      <w:pPr>
        <w:widowControl/>
        <w:shd w:val="clear" w:color="auto" w:fill="FFFFFF"/>
        <w:spacing w:line="360" w:lineRule="auto"/>
        <w:jc w:val="left"/>
        <w:rPr>
          <w:rFonts w:ascii="宋体" w:hAnsi="宋体" w:cs="宋体"/>
          <w:strike w:val="0"/>
          <w:kern w:val="0"/>
          <w:szCs w:val="21"/>
          <w:highlight w:val="none"/>
        </w:rPr>
      </w:pPr>
      <w:r>
        <w:rPr>
          <w:rFonts w:hint="eastAsia" w:ascii="宋体" w:hAnsi="宋体" w:cs="宋体"/>
          <w:strike w:val="0"/>
          <w:kern w:val="0"/>
          <w:szCs w:val="21"/>
          <w:highlight w:val="none"/>
        </w:rPr>
        <w:t>授权委托人签字：</w:t>
      </w:r>
    </w:p>
    <w:p>
      <w:pPr>
        <w:widowControl/>
        <w:shd w:val="clear" w:color="auto" w:fill="FFFFFF"/>
        <w:spacing w:line="360" w:lineRule="auto"/>
        <w:jc w:val="left"/>
        <w:rPr>
          <w:rFonts w:ascii="宋体" w:hAnsi="宋体" w:cs="宋体"/>
          <w:strike w:val="0"/>
          <w:kern w:val="0"/>
          <w:szCs w:val="21"/>
          <w:highlight w:val="none"/>
        </w:rPr>
      </w:pPr>
      <w:r>
        <w:rPr>
          <w:rFonts w:hint="eastAsia" w:ascii="宋体" w:hAnsi="宋体" w:cs="宋体"/>
          <w:strike w:val="0"/>
          <w:kern w:val="0"/>
          <w:szCs w:val="21"/>
          <w:highlight w:val="none"/>
        </w:rPr>
        <w:t>日期：年月日</w:t>
      </w:r>
    </w:p>
    <w:p>
      <w:pPr>
        <w:widowControl/>
        <w:shd w:val="clear" w:color="auto" w:fill="FFFFFF"/>
        <w:spacing w:line="360" w:lineRule="auto"/>
        <w:ind w:firstLine="840" w:firstLineChars="400"/>
        <w:jc w:val="left"/>
        <w:rPr>
          <w:rFonts w:ascii="宋体" w:hAnsi="宋体" w:cs="宋体"/>
          <w:strike w:val="0"/>
          <w:kern w:val="0"/>
          <w:szCs w:val="21"/>
          <w:highlight w:val="none"/>
        </w:rPr>
      </w:pPr>
    </w:p>
    <w:p>
      <w:pPr>
        <w:widowControl/>
        <w:shd w:val="clear" w:color="auto" w:fill="FFFFFF"/>
        <w:spacing w:line="360" w:lineRule="auto"/>
        <w:jc w:val="left"/>
        <w:rPr>
          <w:rFonts w:ascii="宋体" w:hAnsi="宋体" w:cs="宋体"/>
          <w:strike w:val="0"/>
          <w:kern w:val="0"/>
          <w:szCs w:val="21"/>
          <w:highlight w:val="none"/>
        </w:rPr>
      </w:pPr>
      <w:r>
        <w:rPr>
          <w:rFonts w:hint="eastAsia" w:ascii="宋体" w:hAnsi="宋体" w:cs="宋体"/>
          <w:strike w:val="0"/>
          <w:highlight w:val="none"/>
        </w:rPr>
        <w:t>法定代表人、委托代理人身份证复印件</w:t>
      </w:r>
      <w:r>
        <w:rPr>
          <w:rFonts w:hint="eastAsia" w:ascii="宋体" w:hAnsi="宋体" w:cs="宋体"/>
          <w:strike w:val="0"/>
          <w:kern w:val="0"/>
          <w:szCs w:val="21"/>
          <w:highlight w:val="none"/>
        </w:rPr>
        <w:t>：</w:t>
      </w: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jc w:val="left"/>
        <w:outlineLvl w:val="2"/>
        <w:rPr>
          <w:rFonts w:ascii="宋体" w:hAnsi="宋体" w:cs="宋体"/>
          <w:b/>
          <w:strike w:val="0"/>
          <w:kern w:val="0"/>
          <w:szCs w:val="21"/>
          <w:highlight w:val="none"/>
        </w:rPr>
      </w:pPr>
      <w:r>
        <w:rPr>
          <w:rFonts w:hint="eastAsia" w:ascii="宋体" w:hAnsi="宋体" w:cs="宋体"/>
          <w:b/>
          <w:bCs/>
          <w:strike w:val="0"/>
          <w:highlight w:val="none"/>
        </w:rPr>
        <w:t>3、</w:t>
      </w:r>
      <w:bookmarkEnd w:id="97"/>
      <w:r>
        <w:rPr>
          <w:rFonts w:hint="eastAsia" w:ascii="宋体" w:hAnsi="宋体" w:cs="宋体"/>
          <w:strike w:val="0"/>
          <w:kern w:val="0"/>
          <w:szCs w:val="21"/>
          <w:highlight w:val="none"/>
        </w:rPr>
        <w:t>具有良好的商业信誉和健全的财务会计制度，提供距开标时间一年内（</w:t>
      </w:r>
      <w:r>
        <w:rPr>
          <w:rFonts w:hint="eastAsia" w:ascii="宋体" w:hAnsi="宋体" w:cs="宋体"/>
          <w:strike w:val="0"/>
          <w:kern w:val="0"/>
          <w:szCs w:val="21"/>
          <w:highlight w:val="none"/>
          <w:lang w:eastAsia="zh-CN"/>
        </w:rPr>
        <w:t>2024年4月-2025年3月</w:t>
      </w:r>
      <w:r>
        <w:rPr>
          <w:rFonts w:hint="eastAsia" w:ascii="宋体" w:hAnsi="宋体" w:cs="宋体"/>
          <w:strike w:val="0"/>
          <w:kern w:val="0"/>
          <w:szCs w:val="21"/>
          <w:highlight w:val="none"/>
        </w:rPr>
        <w:t>）任意一月份的财务状况报</w:t>
      </w:r>
      <w:r>
        <w:rPr>
          <w:rFonts w:hint="eastAsia" w:ascii="宋体" w:hAnsi="宋体" w:cs="宋体"/>
          <w:bCs/>
          <w:strike w:val="0"/>
          <w:szCs w:val="21"/>
          <w:highlight w:val="none"/>
        </w:rPr>
        <w:t>告（至少包括资产负债表和利润表）（法人</w:t>
      </w:r>
      <w:r>
        <w:rPr>
          <w:rFonts w:hint="eastAsia" w:ascii="宋体" w:hAnsi="宋体" w:cs="宋体"/>
          <w:strike w:val="0"/>
          <w:kern w:val="0"/>
          <w:szCs w:val="21"/>
          <w:highlight w:val="none"/>
        </w:rPr>
        <w:t>或者其他组织成立未满三个月的可以不提供），或其银行出具的资信证书（复印件）（开标前一年内（</w:t>
      </w:r>
      <w:r>
        <w:rPr>
          <w:rFonts w:hint="eastAsia" w:ascii="宋体" w:hAnsi="宋体" w:cs="宋体"/>
          <w:strike w:val="0"/>
          <w:kern w:val="0"/>
          <w:szCs w:val="21"/>
          <w:highlight w:val="none"/>
          <w:lang w:eastAsia="zh-CN"/>
        </w:rPr>
        <w:t>2024年4月-2025年3月</w:t>
      </w:r>
      <w:r>
        <w:rPr>
          <w:rFonts w:hint="eastAsia" w:ascii="宋体" w:hAnsi="宋体" w:cs="宋体"/>
          <w:strike w:val="0"/>
          <w:kern w:val="0"/>
          <w:szCs w:val="21"/>
          <w:highlight w:val="none"/>
        </w:rPr>
        <w:t>）），或其</w:t>
      </w:r>
      <w:r>
        <w:rPr>
          <w:rFonts w:hint="eastAsia" w:ascii="宋体" w:hAnsi="宋体" w:cs="宋体"/>
          <w:strike w:val="0"/>
          <w:kern w:val="0"/>
          <w:szCs w:val="21"/>
          <w:highlight w:val="none"/>
          <w:lang w:eastAsia="zh-CN"/>
        </w:rPr>
        <w:t>2023年度或2024年度经审计</w:t>
      </w:r>
      <w:r>
        <w:rPr>
          <w:rFonts w:hint="eastAsia" w:ascii="宋体" w:hAnsi="宋体" w:cs="宋体"/>
          <w:strike w:val="0"/>
          <w:kern w:val="0"/>
          <w:szCs w:val="21"/>
          <w:highlight w:val="none"/>
        </w:rPr>
        <w:t>的财务报告复印件加盖公章</w:t>
      </w:r>
      <w:r>
        <w:rPr>
          <w:rFonts w:hint="eastAsia" w:ascii="宋体" w:hAnsi="宋体" w:cs="宋体"/>
          <w:b/>
          <w:strike w:val="0"/>
          <w:kern w:val="0"/>
          <w:szCs w:val="21"/>
          <w:highlight w:val="none"/>
        </w:rPr>
        <w:t>；</w:t>
      </w:r>
    </w:p>
    <w:p>
      <w:pPr>
        <w:pStyle w:val="24"/>
        <w:ind w:left="1260"/>
        <w:rPr>
          <w:rFonts w:ascii="宋体" w:hAnsi="宋体" w:cs="宋体"/>
          <w:strike w:val="0"/>
          <w:highlight w:val="none"/>
        </w:rPr>
      </w:pPr>
    </w:p>
    <w:p>
      <w:pPr>
        <w:autoSpaceDE w:val="0"/>
        <w:autoSpaceDN w:val="0"/>
        <w:ind w:left="-2" w:right="-5"/>
        <w:textAlignment w:val="bottom"/>
        <w:rPr>
          <w:rFonts w:ascii="宋体" w:hAnsi="宋体" w:cs="宋体"/>
          <w:strike w:val="0"/>
          <w:highlight w:val="none"/>
        </w:rPr>
      </w:pPr>
    </w:p>
    <w:p>
      <w:pPr>
        <w:autoSpaceDE w:val="0"/>
        <w:autoSpaceDN w:val="0"/>
        <w:ind w:left="-2" w:right="-5"/>
        <w:textAlignment w:val="bottom"/>
        <w:rPr>
          <w:rFonts w:ascii="宋体" w:hAnsi="宋体" w:cs="宋体"/>
          <w:strike w:val="0"/>
          <w:highlight w:val="none"/>
        </w:rPr>
      </w:pPr>
    </w:p>
    <w:p>
      <w:pPr>
        <w:autoSpaceDE w:val="0"/>
        <w:autoSpaceDN w:val="0"/>
        <w:ind w:left="-2" w:right="-5"/>
        <w:textAlignment w:val="bottom"/>
        <w:rPr>
          <w:rFonts w:ascii="宋体" w:hAnsi="宋体" w:cs="宋体"/>
          <w:strike w:val="0"/>
          <w:highlight w:val="none"/>
        </w:rPr>
      </w:pPr>
    </w:p>
    <w:p>
      <w:pPr>
        <w:autoSpaceDE w:val="0"/>
        <w:autoSpaceDN w:val="0"/>
        <w:ind w:left="-2" w:right="-5"/>
        <w:textAlignment w:val="bottom"/>
        <w:rPr>
          <w:rFonts w:ascii="宋体" w:hAnsi="宋体" w:cs="宋体"/>
          <w:strike w:val="0"/>
          <w:highlight w:val="none"/>
        </w:rPr>
      </w:pPr>
    </w:p>
    <w:p>
      <w:pPr>
        <w:autoSpaceDE w:val="0"/>
        <w:autoSpaceDN w:val="0"/>
        <w:ind w:left="-2" w:right="-5"/>
        <w:textAlignment w:val="bottom"/>
        <w:rPr>
          <w:rFonts w:ascii="宋体" w:hAnsi="宋体" w:cs="宋体"/>
          <w:strike w:val="0"/>
          <w:highlight w:val="none"/>
        </w:rPr>
      </w:pPr>
    </w:p>
    <w:p>
      <w:pPr>
        <w:autoSpaceDE w:val="0"/>
        <w:autoSpaceDN w:val="0"/>
        <w:ind w:left="-2" w:right="-5"/>
        <w:textAlignment w:val="bottom"/>
        <w:rPr>
          <w:rFonts w:ascii="宋体" w:hAnsi="宋体" w:cs="宋体"/>
          <w:strike w:val="0"/>
          <w:highlight w:val="none"/>
        </w:rPr>
      </w:pPr>
    </w:p>
    <w:p>
      <w:pPr>
        <w:autoSpaceDE w:val="0"/>
        <w:autoSpaceDN w:val="0"/>
        <w:ind w:left="-2" w:right="-5"/>
        <w:textAlignment w:val="bottom"/>
        <w:rPr>
          <w:rFonts w:ascii="宋体" w:hAnsi="宋体" w:cs="宋体"/>
          <w:strike w:val="0"/>
          <w:highlight w:val="none"/>
        </w:rPr>
      </w:pPr>
    </w:p>
    <w:p>
      <w:pPr>
        <w:autoSpaceDE w:val="0"/>
        <w:autoSpaceDN w:val="0"/>
        <w:ind w:left="-2" w:right="-5"/>
        <w:textAlignment w:val="bottom"/>
        <w:rPr>
          <w:rFonts w:ascii="宋体" w:hAnsi="宋体" w:cs="宋体"/>
          <w:strike w:val="0"/>
          <w:highlight w:val="none"/>
        </w:rPr>
      </w:pPr>
    </w:p>
    <w:p>
      <w:pPr>
        <w:autoSpaceDE w:val="0"/>
        <w:autoSpaceDN w:val="0"/>
        <w:ind w:left="-2" w:right="-5"/>
        <w:textAlignment w:val="bottom"/>
        <w:rPr>
          <w:rFonts w:ascii="宋体" w:hAnsi="宋体" w:cs="宋体"/>
          <w:strike w:val="0"/>
          <w:highlight w:val="none"/>
        </w:rPr>
      </w:pPr>
    </w:p>
    <w:p>
      <w:pPr>
        <w:autoSpaceDE w:val="0"/>
        <w:autoSpaceDN w:val="0"/>
        <w:ind w:left="-2" w:right="-5"/>
        <w:textAlignment w:val="bottom"/>
        <w:rPr>
          <w:rFonts w:ascii="宋体" w:hAnsi="宋体" w:cs="宋体"/>
          <w:strike w:val="0"/>
          <w:highlight w:val="none"/>
        </w:rPr>
      </w:pPr>
    </w:p>
    <w:p>
      <w:pPr>
        <w:autoSpaceDE w:val="0"/>
        <w:autoSpaceDN w:val="0"/>
        <w:ind w:left="-2" w:right="-5"/>
        <w:textAlignment w:val="bottom"/>
        <w:rPr>
          <w:rFonts w:ascii="宋体" w:hAnsi="宋体" w:cs="宋体"/>
          <w:strike w:val="0"/>
          <w:highlight w:val="none"/>
        </w:rPr>
      </w:pPr>
    </w:p>
    <w:p>
      <w:pPr>
        <w:autoSpaceDE w:val="0"/>
        <w:autoSpaceDN w:val="0"/>
        <w:ind w:left="-2" w:right="-5"/>
        <w:textAlignment w:val="bottom"/>
        <w:rPr>
          <w:rFonts w:ascii="宋体" w:hAnsi="宋体" w:cs="宋体"/>
          <w:strike w:val="0"/>
          <w:highlight w:val="none"/>
        </w:rPr>
      </w:pPr>
    </w:p>
    <w:p>
      <w:pPr>
        <w:autoSpaceDE w:val="0"/>
        <w:autoSpaceDN w:val="0"/>
        <w:ind w:left="-2" w:right="-5"/>
        <w:textAlignment w:val="bottom"/>
        <w:rPr>
          <w:rFonts w:ascii="宋体" w:hAnsi="宋体" w:cs="宋体"/>
          <w:strike w:val="0"/>
          <w:highlight w:val="none"/>
        </w:rPr>
      </w:pPr>
    </w:p>
    <w:p>
      <w:pPr>
        <w:autoSpaceDE w:val="0"/>
        <w:autoSpaceDN w:val="0"/>
        <w:ind w:right="-5"/>
        <w:textAlignment w:val="bottom"/>
        <w:rPr>
          <w:rFonts w:ascii="宋体" w:hAnsi="宋体" w:cs="宋体"/>
          <w:strike w:val="0"/>
          <w:highlight w:val="none"/>
        </w:rPr>
      </w:pPr>
    </w:p>
    <w:p>
      <w:pPr>
        <w:autoSpaceDE w:val="0"/>
        <w:autoSpaceDN w:val="0"/>
        <w:ind w:right="-5"/>
        <w:textAlignment w:val="bottom"/>
        <w:rPr>
          <w:rFonts w:ascii="宋体" w:hAnsi="宋体" w:cs="宋体"/>
          <w:strike w:val="0"/>
          <w:highlight w:val="none"/>
        </w:rPr>
      </w:pPr>
    </w:p>
    <w:p>
      <w:pPr>
        <w:widowControl/>
        <w:jc w:val="left"/>
        <w:rPr>
          <w:rFonts w:ascii="宋体" w:hAnsi="宋体" w:cs="宋体"/>
          <w:b/>
          <w:bCs/>
          <w:strike w:val="0"/>
          <w:highlight w:val="none"/>
        </w:rPr>
        <w:sectPr>
          <w:pgSz w:w="11906" w:h="16838"/>
          <w:pgMar w:top="1135" w:right="1135" w:bottom="1135" w:left="1135" w:header="720" w:footer="720" w:gutter="0"/>
          <w:cols w:space="720" w:num="1"/>
          <w:docGrid w:type="lines" w:linePitch="312" w:charSpace="0"/>
        </w:sectPr>
      </w:pPr>
    </w:p>
    <w:p>
      <w:pPr>
        <w:jc w:val="left"/>
        <w:outlineLvl w:val="2"/>
        <w:rPr>
          <w:rFonts w:ascii="宋体" w:hAnsi="宋体" w:cs="宋体"/>
          <w:b/>
          <w:strike w:val="0"/>
          <w:highlight w:val="none"/>
        </w:rPr>
      </w:pPr>
      <w:bookmarkStart w:id="98" w:name="_Toc20874"/>
      <w:r>
        <w:rPr>
          <w:rFonts w:hint="eastAsia" w:ascii="宋体" w:hAnsi="宋体" w:cs="宋体"/>
          <w:b/>
          <w:bCs/>
          <w:strike w:val="0"/>
          <w:highlight w:val="none"/>
        </w:rPr>
        <w:t>4、</w:t>
      </w:r>
      <w:bookmarkEnd w:id="98"/>
      <w:r>
        <w:rPr>
          <w:rFonts w:hint="eastAsia" w:ascii="宋体" w:hAnsi="宋体" w:cs="宋体"/>
          <w:b/>
          <w:bCs/>
          <w:strike w:val="0"/>
          <w:szCs w:val="21"/>
          <w:highlight w:val="none"/>
        </w:rPr>
        <w:t>具有履行合同所必需的设备和专业技术能力（供应商根据履行采购项目合同需要，提供履行合同所必需的设备和专业技术能力的证明材料）；</w:t>
      </w:r>
    </w:p>
    <w:p>
      <w:pPr>
        <w:autoSpaceDE w:val="0"/>
        <w:autoSpaceDN w:val="0"/>
        <w:adjustRightInd w:val="0"/>
        <w:jc w:val="left"/>
        <w:rPr>
          <w:rFonts w:ascii="宋体" w:hAnsi="宋体" w:cs="宋体"/>
          <w:strike w:val="0"/>
          <w:highlight w:val="none"/>
        </w:rPr>
      </w:pPr>
    </w:p>
    <w:p>
      <w:pPr>
        <w:autoSpaceDE w:val="0"/>
        <w:autoSpaceDN w:val="0"/>
        <w:adjustRightInd w:val="0"/>
        <w:jc w:val="left"/>
        <w:rPr>
          <w:rFonts w:ascii="宋体" w:hAnsi="宋体" w:cs="宋体"/>
          <w:strike w:val="0"/>
          <w:highlight w:val="none"/>
        </w:rPr>
      </w:pPr>
    </w:p>
    <w:p>
      <w:pPr>
        <w:autoSpaceDE w:val="0"/>
        <w:autoSpaceDN w:val="0"/>
        <w:adjustRightInd w:val="0"/>
        <w:jc w:val="left"/>
        <w:rPr>
          <w:rFonts w:ascii="宋体" w:hAnsi="宋体" w:cs="宋体"/>
          <w:strike w:val="0"/>
          <w:highlight w:val="none"/>
        </w:rPr>
      </w:pPr>
    </w:p>
    <w:p>
      <w:pPr>
        <w:autoSpaceDE w:val="0"/>
        <w:autoSpaceDN w:val="0"/>
        <w:adjustRightInd w:val="0"/>
        <w:jc w:val="left"/>
        <w:rPr>
          <w:rFonts w:ascii="宋体" w:hAnsi="宋体" w:cs="宋体"/>
          <w:strike w:val="0"/>
          <w:highlight w:val="none"/>
        </w:rPr>
      </w:pPr>
    </w:p>
    <w:p>
      <w:pPr>
        <w:autoSpaceDE w:val="0"/>
        <w:autoSpaceDN w:val="0"/>
        <w:adjustRightInd w:val="0"/>
        <w:jc w:val="left"/>
        <w:rPr>
          <w:rFonts w:ascii="宋体" w:hAnsi="宋体" w:cs="宋体"/>
          <w:strike w:val="0"/>
          <w:highlight w:val="none"/>
        </w:rPr>
      </w:pPr>
    </w:p>
    <w:p>
      <w:pPr>
        <w:autoSpaceDE w:val="0"/>
        <w:autoSpaceDN w:val="0"/>
        <w:adjustRightInd w:val="0"/>
        <w:jc w:val="left"/>
        <w:rPr>
          <w:rFonts w:ascii="宋体" w:hAnsi="宋体" w:cs="宋体"/>
          <w:strike w:val="0"/>
          <w:highlight w:val="none"/>
        </w:rPr>
      </w:pPr>
    </w:p>
    <w:p>
      <w:pPr>
        <w:widowControl/>
        <w:jc w:val="left"/>
        <w:rPr>
          <w:rFonts w:ascii="宋体" w:hAnsi="宋体" w:cs="宋体"/>
          <w:b/>
          <w:bCs/>
          <w:strike w:val="0"/>
          <w:highlight w:val="none"/>
        </w:rPr>
        <w:sectPr>
          <w:pgSz w:w="11906" w:h="16838"/>
          <w:pgMar w:top="1135" w:right="1135" w:bottom="1135" w:left="1135" w:header="720" w:footer="720" w:gutter="0"/>
          <w:cols w:space="720" w:num="1"/>
          <w:docGrid w:type="lines" w:linePitch="312" w:charSpace="0"/>
        </w:sectPr>
      </w:pPr>
    </w:p>
    <w:p>
      <w:pPr>
        <w:jc w:val="left"/>
        <w:outlineLvl w:val="2"/>
        <w:rPr>
          <w:rFonts w:ascii="宋体" w:hAnsi="宋体" w:cs="宋体"/>
          <w:b/>
          <w:strike w:val="0"/>
          <w:highlight w:val="none"/>
        </w:rPr>
      </w:pPr>
      <w:bookmarkStart w:id="99" w:name="_Toc13855"/>
      <w:r>
        <w:rPr>
          <w:rFonts w:hint="eastAsia" w:ascii="宋体" w:hAnsi="宋体" w:cs="宋体"/>
          <w:b/>
          <w:bCs/>
          <w:strike w:val="0"/>
          <w:highlight w:val="none"/>
        </w:rPr>
        <w:t>5、</w:t>
      </w:r>
      <w:bookmarkEnd w:id="99"/>
      <w:r>
        <w:rPr>
          <w:rFonts w:hint="eastAsia" w:ascii="宋体" w:hAnsi="宋体" w:cs="宋体"/>
          <w:strike w:val="0"/>
          <w:kern w:val="0"/>
          <w:szCs w:val="21"/>
          <w:highlight w:val="none"/>
        </w:rPr>
        <w:t>有依法缴纳税收的良好记录，提供距开标时间六个月内（2024年</w:t>
      </w:r>
      <w:r>
        <w:rPr>
          <w:rFonts w:hint="eastAsia" w:ascii="宋体" w:hAnsi="宋体" w:cs="宋体"/>
          <w:strike w:val="0"/>
          <w:kern w:val="0"/>
          <w:szCs w:val="21"/>
          <w:highlight w:val="none"/>
          <w:lang w:val="en-US" w:eastAsia="zh-CN"/>
        </w:rPr>
        <w:t>10</w:t>
      </w:r>
      <w:r>
        <w:rPr>
          <w:rFonts w:hint="eastAsia" w:ascii="宋体" w:hAnsi="宋体" w:cs="宋体"/>
          <w:strike w:val="0"/>
          <w:kern w:val="0"/>
          <w:szCs w:val="21"/>
          <w:highlight w:val="none"/>
        </w:rPr>
        <w:t>月-202</w:t>
      </w:r>
      <w:r>
        <w:rPr>
          <w:rFonts w:hint="eastAsia" w:ascii="宋体" w:hAnsi="宋体" w:cs="宋体"/>
          <w:strike w:val="0"/>
          <w:kern w:val="0"/>
          <w:szCs w:val="21"/>
          <w:highlight w:val="none"/>
          <w:lang w:val="en-US" w:eastAsia="zh-CN"/>
        </w:rPr>
        <w:t>5</w:t>
      </w:r>
      <w:r>
        <w:rPr>
          <w:rFonts w:hint="eastAsia" w:ascii="宋体" w:hAnsi="宋体" w:cs="宋体"/>
          <w:strike w:val="0"/>
          <w:kern w:val="0"/>
          <w:szCs w:val="21"/>
          <w:highlight w:val="none"/>
        </w:rPr>
        <w:t>年</w:t>
      </w:r>
      <w:r>
        <w:rPr>
          <w:rFonts w:hint="eastAsia" w:ascii="宋体" w:hAnsi="宋体" w:cs="宋体"/>
          <w:strike w:val="0"/>
          <w:kern w:val="0"/>
          <w:szCs w:val="21"/>
          <w:highlight w:val="none"/>
          <w:lang w:val="en-US" w:eastAsia="zh-CN"/>
        </w:rPr>
        <w:t>3</w:t>
      </w:r>
      <w:r>
        <w:rPr>
          <w:rFonts w:hint="eastAsia" w:ascii="宋体" w:hAnsi="宋体" w:cs="宋体"/>
          <w:strike w:val="0"/>
          <w:kern w:val="0"/>
          <w:szCs w:val="21"/>
          <w:highlight w:val="none"/>
        </w:rPr>
        <w:t>月）任意一月份的纳税凭据复印件加盖公章（依法免税的应提供相应文件说明）</w:t>
      </w:r>
      <w:r>
        <w:rPr>
          <w:rFonts w:hint="eastAsia" w:ascii="宋体" w:hAnsi="宋体" w:cs="宋体"/>
          <w:b/>
          <w:strike w:val="0"/>
          <w:highlight w:val="none"/>
        </w:rPr>
        <w:t>；</w:t>
      </w: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rPr>
          <w:rFonts w:ascii="宋体" w:hAnsi="宋体" w:cs="宋体"/>
          <w:strike w:val="0"/>
          <w:highlight w:val="none"/>
        </w:rPr>
      </w:pPr>
    </w:p>
    <w:p>
      <w:pPr>
        <w:widowControl/>
        <w:jc w:val="left"/>
        <w:rPr>
          <w:rFonts w:ascii="宋体" w:hAnsi="宋体" w:cs="宋体"/>
          <w:b/>
          <w:bCs/>
          <w:strike w:val="0"/>
          <w:highlight w:val="none"/>
        </w:rPr>
        <w:sectPr>
          <w:pgSz w:w="11906" w:h="16838"/>
          <w:pgMar w:top="1135" w:right="1135" w:bottom="1135" w:left="1135" w:header="720" w:footer="720" w:gutter="0"/>
          <w:cols w:space="720" w:num="1"/>
          <w:docGrid w:type="lines" w:linePitch="312" w:charSpace="0"/>
        </w:sectPr>
      </w:pPr>
    </w:p>
    <w:p>
      <w:pPr>
        <w:jc w:val="left"/>
        <w:outlineLvl w:val="2"/>
        <w:rPr>
          <w:rFonts w:ascii="宋体" w:hAnsi="宋体" w:cs="宋体"/>
          <w:b/>
          <w:bCs/>
          <w:strike w:val="0"/>
          <w:highlight w:val="none"/>
        </w:rPr>
      </w:pPr>
      <w:bookmarkStart w:id="100" w:name="_Toc22312"/>
      <w:r>
        <w:rPr>
          <w:rFonts w:hint="eastAsia" w:ascii="宋体" w:hAnsi="宋体" w:cs="宋体"/>
          <w:b/>
          <w:bCs/>
          <w:strike w:val="0"/>
          <w:highlight w:val="none"/>
        </w:rPr>
        <w:t>6、</w:t>
      </w:r>
      <w:r>
        <w:rPr>
          <w:rFonts w:hint="eastAsia" w:ascii="宋体" w:hAnsi="宋体" w:cs="宋体"/>
          <w:strike w:val="0"/>
          <w:kern w:val="0"/>
          <w:szCs w:val="21"/>
          <w:highlight w:val="none"/>
        </w:rPr>
        <w:t>有依法缴纳社会保障资金的良好记录，提供距开标时间六个月内（202</w:t>
      </w:r>
      <w:r>
        <w:rPr>
          <w:rFonts w:hint="eastAsia" w:ascii="宋体" w:hAnsi="宋体" w:cs="宋体"/>
          <w:strike w:val="0"/>
          <w:kern w:val="0"/>
          <w:szCs w:val="21"/>
          <w:highlight w:val="none"/>
          <w:lang w:val="en-US" w:eastAsia="zh-CN"/>
        </w:rPr>
        <w:t>4</w:t>
      </w:r>
      <w:r>
        <w:rPr>
          <w:rFonts w:hint="eastAsia" w:ascii="宋体" w:hAnsi="宋体" w:cs="宋体"/>
          <w:strike w:val="0"/>
          <w:kern w:val="0"/>
          <w:szCs w:val="21"/>
          <w:highlight w:val="none"/>
        </w:rPr>
        <w:t>年</w:t>
      </w:r>
      <w:r>
        <w:rPr>
          <w:rFonts w:hint="eastAsia" w:ascii="宋体" w:hAnsi="宋体" w:cs="宋体"/>
          <w:strike w:val="0"/>
          <w:kern w:val="0"/>
          <w:szCs w:val="21"/>
          <w:highlight w:val="none"/>
          <w:lang w:val="en-US" w:eastAsia="zh-CN"/>
        </w:rPr>
        <w:t>10</w:t>
      </w:r>
      <w:r>
        <w:rPr>
          <w:rFonts w:hint="eastAsia" w:ascii="宋体" w:hAnsi="宋体" w:cs="宋体"/>
          <w:strike w:val="0"/>
          <w:kern w:val="0"/>
          <w:szCs w:val="21"/>
          <w:highlight w:val="none"/>
        </w:rPr>
        <w:t>月-202</w:t>
      </w:r>
      <w:r>
        <w:rPr>
          <w:rFonts w:hint="eastAsia" w:ascii="宋体" w:hAnsi="宋体" w:cs="宋体"/>
          <w:strike w:val="0"/>
          <w:kern w:val="0"/>
          <w:szCs w:val="21"/>
          <w:highlight w:val="none"/>
          <w:lang w:val="en-US" w:eastAsia="zh-CN"/>
        </w:rPr>
        <w:t>5</w:t>
      </w:r>
      <w:r>
        <w:rPr>
          <w:rFonts w:hint="eastAsia" w:ascii="宋体" w:hAnsi="宋体" w:cs="宋体"/>
          <w:strike w:val="0"/>
          <w:kern w:val="0"/>
          <w:szCs w:val="21"/>
          <w:highlight w:val="none"/>
        </w:rPr>
        <w:t>年</w:t>
      </w:r>
      <w:r>
        <w:rPr>
          <w:rFonts w:hint="eastAsia" w:ascii="宋体" w:hAnsi="宋体" w:cs="宋体"/>
          <w:strike w:val="0"/>
          <w:kern w:val="0"/>
          <w:szCs w:val="21"/>
          <w:highlight w:val="none"/>
          <w:lang w:val="en-US" w:eastAsia="zh-CN"/>
        </w:rPr>
        <w:t>3</w:t>
      </w:r>
      <w:r>
        <w:rPr>
          <w:rFonts w:hint="eastAsia" w:ascii="宋体" w:hAnsi="宋体" w:cs="宋体"/>
          <w:strike w:val="0"/>
          <w:kern w:val="0"/>
          <w:szCs w:val="21"/>
          <w:highlight w:val="none"/>
        </w:rPr>
        <w:t>月）任意一月份的依法缴纳社会保障资金的凭据复印件加盖公章</w:t>
      </w:r>
      <w:r>
        <w:rPr>
          <w:rFonts w:hint="eastAsia" w:ascii="宋体" w:hAnsi="宋体" w:cs="宋体"/>
          <w:b/>
          <w:bCs/>
          <w:strike w:val="0"/>
          <w:highlight w:val="none"/>
        </w:rPr>
        <w:t>；</w:t>
      </w:r>
    </w:p>
    <w:p>
      <w:pPr>
        <w:pStyle w:val="42"/>
        <w:rPr>
          <w:rFonts w:ascii="宋体" w:hAnsi="宋体" w:cs="宋体"/>
          <w:strike w:val="0"/>
          <w:highlight w:val="none"/>
        </w:rPr>
      </w:pPr>
    </w:p>
    <w:p>
      <w:pPr>
        <w:pStyle w:val="42"/>
        <w:rPr>
          <w:rFonts w:ascii="宋体" w:hAnsi="宋体" w:cs="宋体"/>
          <w:strike w:val="0"/>
          <w:highlight w:val="none"/>
        </w:rPr>
      </w:pPr>
    </w:p>
    <w:p>
      <w:pPr>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pStyle w:val="42"/>
        <w:rPr>
          <w:rFonts w:ascii="宋体" w:hAnsi="宋体" w:cs="宋体"/>
          <w:strike w:val="0"/>
          <w:highlight w:val="none"/>
        </w:rPr>
      </w:pPr>
    </w:p>
    <w:p>
      <w:pPr>
        <w:jc w:val="left"/>
        <w:outlineLvl w:val="9"/>
        <w:rPr>
          <w:rFonts w:hint="eastAsia" w:ascii="宋体" w:hAnsi="宋体" w:cs="宋体"/>
          <w:b/>
          <w:bCs/>
          <w:strike w:val="0"/>
          <w:highlight w:val="none"/>
          <w:lang w:val="en-US" w:eastAsia="zh-CN"/>
        </w:rPr>
      </w:pPr>
      <w:r>
        <w:rPr>
          <w:rFonts w:hint="eastAsia" w:ascii="宋体" w:hAnsi="宋体" w:cs="宋体"/>
          <w:b/>
          <w:bCs/>
          <w:strike w:val="0"/>
          <w:highlight w:val="none"/>
          <w:lang w:val="en-US" w:eastAsia="zh-CN"/>
        </w:rPr>
        <w:br w:type="page"/>
      </w:r>
    </w:p>
    <w:p>
      <w:pPr>
        <w:jc w:val="left"/>
        <w:outlineLvl w:val="9"/>
        <w:rPr>
          <w:rFonts w:ascii="宋体" w:hAnsi="宋体" w:cs="宋体"/>
          <w:b/>
          <w:bCs/>
          <w:strike w:val="0"/>
          <w:highlight w:val="none"/>
        </w:rPr>
      </w:pPr>
      <w:r>
        <w:rPr>
          <w:rFonts w:hint="eastAsia" w:ascii="宋体" w:hAnsi="宋体" w:cs="宋体"/>
          <w:b/>
          <w:bCs/>
          <w:strike w:val="0"/>
          <w:highlight w:val="none"/>
          <w:lang w:val="en-US" w:eastAsia="zh-CN"/>
        </w:rPr>
        <w:t>7</w:t>
      </w:r>
      <w:r>
        <w:rPr>
          <w:rFonts w:hint="eastAsia" w:ascii="宋体" w:hAnsi="宋体" w:cs="宋体"/>
          <w:b/>
          <w:bCs/>
          <w:strike w:val="0"/>
          <w:highlight w:val="none"/>
        </w:rPr>
        <w:t>、参加政府采购活动前三年内，在经营活动中没有重大违法记录（提供承诺书并加盖供应商公章）；重大违法记录，是指供应商因违法经营受到刑事处罚或者责令停产停业、吊销许可证或者执照、较大数额罚款等行政处罚。</w:t>
      </w:r>
    </w:p>
    <w:p>
      <w:pPr>
        <w:spacing w:line="240" w:lineRule="atLeast"/>
        <w:jc w:val="center"/>
        <w:rPr>
          <w:rFonts w:ascii="宋体" w:hAnsi="宋体" w:cs="宋体"/>
          <w:strike w:val="0"/>
          <w:sz w:val="28"/>
          <w:szCs w:val="36"/>
          <w:highlight w:val="none"/>
        </w:rPr>
      </w:pPr>
    </w:p>
    <w:p>
      <w:pPr>
        <w:spacing w:line="240" w:lineRule="atLeast"/>
        <w:jc w:val="center"/>
        <w:rPr>
          <w:rFonts w:ascii="宋体" w:hAnsi="宋体" w:cs="宋体"/>
          <w:strike w:val="0"/>
          <w:sz w:val="28"/>
          <w:szCs w:val="36"/>
          <w:highlight w:val="none"/>
        </w:rPr>
      </w:pPr>
      <w:r>
        <w:rPr>
          <w:rFonts w:hint="eastAsia" w:ascii="宋体" w:hAnsi="宋体" w:cs="宋体"/>
          <w:strike w:val="0"/>
          <w:sz w:val="28"/>
          <w:szCs w:val="36"/>
          <w:highlight w:val="none"/>
        </w:rPr>
        <w:t>无重大违法记录声明</w:t>
      </w:r>
    </w:p>
    <w:p>
      <w:pPr>
        <w:rPr>
          <w:rFonts w:ascii="宋体" w:hAnsi="宋体" w:cs="宋体"/>
          <w:strike w:val="0"/>
          <w:szCs w:val="21"/>
          <w:highlight w:val="none"/>
        </w:rPr>
      </w:pPr>
    </w:p>
    <w:p>
      <w:pPr>
        <w:rPr>
          <w:rFonts w:ascii="宋体" w:hAnsi="宋体" w:cs="宋体"/>
          <w:strike w:val="0"/>
          <w:szCs w:val="21"/>
          <w:highlight w:val="none"/>
        </w:rPr>
      </w:pPr>
      <w:r>
        <w:rPr>
          <w:rFonts w:hint="eastAsia" w:ascii="宋体" w:hAnsi="宋体" w:cs="宋体"/>
          <w:strike w:val="0"/>
          <w:szCs w:val="21"/>
          <w:highlight w:val="none"/>
        </w:rPr>
        <w:t>江苏省设备成套股份有限公司：</w:t>
      </w:r>
    </w:p>
    <w:p>
      <w:pPr>
        <w:rPr>
          <w:rFonts w:ascii="宋体" w:hAnsi="宋体" w:cs="宋体"/>
          <w:strike w:val="0"/>
          <w:highlight w:val="none"/>
        </w:rPr>
      </w:pPr>
    </w:p>
    <w:p>
      <w:pPr>
        <w:spacing w:line="360" w:lineRule="auto"/>
        <w:ind w:firstLine="420" w:firstLineChars="200"/>
        <w:rPr>
          <w:rFonts w:ascii="宋体" w:hAnsi="宋体" w:cs="宋体"/>
          <w:strike w:val="0"/>
          <w:highlight w:val="none"/>
        </w:rPr>
      </w:pPr>
      <w:r>
        <w:rPr>
          <w:rFonts w:hint="eastAsia" w:ascii="宋体" w:hAnsi="宋体" w:cs="宋体"/>
          <w:strike w:val="0"/>
          <w:highlight w:val="none"/>
        </w:rPr>
        <w:t>我单位（供应商名称）郑重声明：</w:t>
      </w:r>
    </w:p>
    <w:p>
      <w:pPr>
        <w:spacing w:line="360" w:lineRule="auto"/>
        <w:ind w:firstLine="420" w:firstLineChars="200"/>
        <w:rPr>
          <w:rFonts w:ascii="宋体" w:hAnsi="宋体" w:cs="宋体"/>
          <w:strike w:val="0"/>
          <w:highlight w:val="none"/>
        </w:rPr>
      </w:pPr>
      <w:r>
        <w:rPr>
          <w:rFonts w:hint="eastAsia" w:ascii="宋体" w:hAnsi="宋体" w:cs="宋体"/>
          <w:strike w:val="0"/>
          <w:highlight w:val="none"/>
        </w:rPr>
        <w:t>参加政府采购活动前3年内在经营活动中（在下划线上如实填写：有或没有）重大违法记录。</w:t>
      </w:r>
    </w:p>
    <w:p>
      <w:pPr>
        <w:spacing w:line="360" w:lineRule="auto"/>
        <w:ind w:firstLine="315" w:firstLineChars="150"/>
        <w:rPr>
          <w:rFonts w:ascii="宋体" w:hAnsi="宋体" w:cs="宋体"/>
          <w:strike w:val="0"/>
          <w:highlight w:val="none"/>
        </w:rPr>
      </w:pPr>
      <w:r>
        <w:rPr>
          <w:rFonts w:hint="eastAsia" w:ascii="宋体" w:hAnsi="宋体" w:cs="宋体"/>
          <w:strike w:val="0"/>
          <w:highlight w:val="none"/>
        </w:rPr>
        <w:t>（说明：政府采购法第二十二条第一款第五项所称重大违法记录，是指供应商因违法经营受到刑事处罚或者责令停产停业、吊销许可证或者执照、较大数额罚款等行政处罚。）</w:t>
      </w:r>
    </w:p>
    <w:p>
      <w:pPr>
        <w:spacing w:line="360" w:lineRule="auto"/>
        <w:rPr>
          <w:rFonts w:ascii="宋体" w:hAnsi="宋体" w:cs="宋体"/>
          <w:strike w:val="0"/>
          <w:highlight w:val="none"/>
        </w:rPr>
      </w:pPr>
    </w:p>
    <w:p>
      <w:pPr>
        <w:spacing w:line="360" w:lineRule="auto"/>
        <w:rPr>
          <w:rFonts w:ascii="宋体" w:hAnsi="宋体" w:cs="宋体"/>
          <w:strike w:val="0"/>
          <w:highlight w:val="none"/>
        </w:rPr>
      </w:pPr>
    </w:p>
    <w:p>
      <w:pPr>
        <w:spacing w:line="360" w:lineRule="auto"/>
        <w:ind w:firstLine="5103" w:firstLineChars="2430"/>
        <w:rPr>
          <w:rFonts w:ascii="宋体" w:hAnsi="宋体" w:cs="宋体"/>
          <w:strike w:val="0"/>
          <w:highlight w:val="none"/>
        </w:rPr>
      </w:pPr>
      <w:r>
        <w:rPr>
          <w:rFonts w:hint="eastAsia" w:ascii="宋体" w:hAnsi="宋体" w:cs="宋体"/>
          <w:strike w:val="0"/>
          <w:highlight w:val="none"/>
        </w:rPr>
        <w:t>声明人：（公章）</w:t>
      </w:r>
    </w:p>
    <w:p>
      <w:pPr>
        <w:pStyle w:val="42"/>
        <w:ind w:firstLine="5400" w:firstLineChars="2700"/>
        <w:rPr>
          <w:rFonts w:ascii="宋体" w:hAnsi="宋体" w:cs="宋体"/>
          <w:strike w:val="0"/>
          <w:highlight w:val="none"/>
        </w:rPr>
      </w:pPr>
      <w:r>
        <w:rPr>
          <w:rFonts w:hint="eastAsia" w:ascii="宋体" w:hAnsi="宋体" w:cs="宋体"/>
          <w:strike w:val="0"/>
          <w:highlight w:val="none"/>
          <w:lang w:val="zh-CN"/>
        </w:rPr>
        <w:t>日期：年</w:t>
      </w:r>
      <w:r>
        <w:rPr>
          <w:rFonts w:hint="eastAsia" w:ascii="宋体" w:hAnsi="宋体" w:cs="宋体"/>
          <w:strike w:val="0"/>
          <w:highlight w:val="none"/>
        </w:rPr>
        <w:t xml:space="preserve"> </w:t>
      </w:r>
      <w:r>
        <w:rPr>
          <w:rFonts w:hint="eastAsia" w:ascii="宋体" w:hAnsi="宋体" w:cs="宋体"/>
          <w:strike w:val="0"/>
          <w:highlight w:val="none"/>
          <w:lang w:val="zh-CN"/>
        </w:rPr>
        <w:t>月</w:t>
      </w:r>
      <w:r>
        <w:rPr>
          <w:rFonts w:hint="eastAsia" w:ascii="宋体" w:hAnsi="宋体" w:cs="宋体"/>
          <w:strike w:val="0"/>
          <w:highlight w:val="none"/>
        </w:rPr>
        <w:t xml:space="preserve"> 日</w:t>
      </w:r>
    </w:p>
    <w:bookmarkEnd w:id="100"/>
    <w:p>
      <w:pPr>
        <w:pStyle w:val="42"/>
        <w:rPr>
          <w:rFonts w:ascii="宋体" w:hAnsi="宋体" w:cs="宋体"/>
          <w:strike w:val="0"/>
          <w:highlight w:val="none"/>
        </w:rPr>
        <w:sectPr>
          <w:headerReference r:id="rId6" w:type="default"/>
          <w:footerReference r:id="rId7" w:type="default"/>
          <w:pgSz w:w="11906" w:h="16838"/>
          <w:pgMar w:top="1440" w:right="1800" w:bottom="1440" w:left="1800" w:header="851" w:footer="992" w:gutter="0"/>
          <w:cols w:space="425" w:num="1"/>
          <w:docGrid w:type="lines" w:linePitch="312" w:charSpace="0"/>
        </w:sectPr>
      </w:pPr>
    </w:p>
    <w:p>
      <w:pPr>
        <w:rPr>
          <w:rFonts w:hint="eastAsia" w:ascii="宋体" w:hAnsi="宋体" w:eastAsia="宋体" w:cs="宋体"/>
          <w:b/>
          <w:strike w:val="0"/>
          <w:sz w:val="32"/>
          <w:szCs w:val="20"/>
          <w:highlight w:val="none"/>
        </w:rPr>
      </w:pPr>
      <w:r>
        <w:rPr>
          <w:rFonts w:hint="eastAsia" w:ascii="宋体" w:hAnsi="宋体" w:eastAsia="宋体" w:cs="宋体"/>
          <w:b/>
          <w:strike w:val="0"/>
          <w:sz w:val="32"/>
          <w:szCs w:val="20"/>
          <w:highlight w:val="none"/>
        </w:rPr>
        <w:t>附件十</w:t>
      </w:r>
      <w:r>
        <w:rPr>
          <w:rFonts w:hint="eastAsia" w:ascii="宋体" w:hAnsi="宋体" w:eastAsia="宋体" w:cs="宋体"/>
          <w:b/>
          <w:strike w:val="0"/>
          <w:sz w:val="32"/>
          <w:szCs w:val="20"/>
          <w:highlight w:val="none"/>
          <w:lang w:val="en-US" w:eastAsia="zh-CN"/>
        </w:rPr>
        <w:t>一</w:t>
      </w:r>
      <w:r>
        <w:rPr>
          <w:rFonts w:hint="eastAsia" w:ascii="宋体" w:hAnsi="宋体" w:eastAsia="宋体" w:cs="宋体"/>
          <w:b/>
          <w:strike w:val="0"/>
          <w:sz w:val="32"/>
          <w:szCs w:val="20"/>
          <w:highlight w:val="none"/>
        </w:rPr>
        <w:t>、其他</w:t>
      </w:r>
    </w:p>
    <w:p>
      <w:pPr>
        <w:jc w:val="left"/>
        <w:outlineLvl w:val="2"/>
        <w:rPr>
          <w:rFonts w:ascii="宋体" w:hAnsi="宋体" w:cs="宋体"/>
          <w:b/>
          <w:bCs/>
          <w:strike w:val="0"/>
          <w:highlight w:val="none"/>
        </w:rPr>
      </w:pPr>
      <w:r>
        <w:rPr>
          <w:rFonts w:hint="eastAsia" w:ascii="宋体" w:hAnsi="宋体" w:cs="宋体"/>
          <w:b/>
          <w:bCs/>
          <w:strike w:val="0"/>
          <w:highlight w:val="none"/>
        </w:rPr>
        <w:t>1、供应商通过“信用中国”网站(www.creditchina.gov.cn)、中国政府采购网(www.ccgp.gov.cn)网站（www.jscredit.cn）等渠道查询的在招标公告发布之日起到投标截止时间前的信用记录网页截图并加盖公章</w:t>
      </w:r>
    </w:p>
    <w:p>
      <w:pPr>
        <w:rPr>
          <w:rFonts w:ascii="宋体" w:hAnsi="宋体" w:cs="宋体"/>
          <w:b/>
          <w:bCs/>
          <w:strike w:val="0"/>
          <w:highlight w:val="none"/>
        </w:rPr>
      </w:pPr>
    </w:p>
    <w:p>
      <w:pPr>
        <w:rPr>
          <w:rFonts w:ascii="宋体" w:hAnsi="宋体" w:cs="宋体"/>
          <w:b/>
          <w:bCs/>
          <w:strike w:val="0"/>
          <w:highlight w:val="none"/>
        </w:rPr>
      </w:pPr>
    </w:p>
    <w:p>
      <w:pPr>
        <w:rPr>
          <w:rFonts w:ascii="宋体" w:hAnsi="宋体" w:cs="宋体"/>
          <w:b/>
          <w:bCs/>
          <w:strike w:val="0"/>
          <w:highlight w:val="none"/>
        </w:rPr>
      </w:pPr>
    </w:p>
    <w:p>
      <w:pPr>
        <w:widowControl/>
        <w:shd w:val="clear" w:color="auto" w:fill="FFFFFF"/>
        <w:jc w:val="left"/>
        <w:rPr>
          <w:rFonts w:ascii="宋体" w:hAnsi="宋体" w:cs="宋体"/>
          <w:strike w:val="0"/>
          <w:kern w:val="0"/>
          <w:szCs w:val="21"/>
          <w:highlight w:val="none"/>
        </w:rPr>
      </w:pPr>
      <w:r>
        <w:rPr>
          <w:rFonts w:hint="eastAsia" w:ascii="宋体" w:hAnsi="宋体" w:cs="宋体"/>
          <w:strike w:val="0"/>
          <w:kern w:val="0"/>
          <w:szCs w:val="21"/>
          <w:highlight w:val="none"/>
        </w:rPr>
        <w:t>投标单位（盖章）：</w:t>
      </w:r>
    </w:p>
    <w:p>
      <w:pPr>
        <w:widowControl/>
        <w:shd w:val="clear" w:color="auto" w:fill="FFFFFF"/>
        <w:jc w:val="left"/>
        <w:rPr>
          <w:rFonts w:ascii="宋体" w:hAnsi="宋体" w:cs="宋体"/>
          <w:strike w:val="0"/>
          <w:kern w:val="0"/>
          <w:szCs w:val="21"/>
          <w:highlight w:val="none"/>
          <w:u w:val="single"/>
        </w:rPr>
      </w:pPr>
      <w:r>
        <w:rPr>
          <w:rFonts w:hint="eastAsia" w:ascii="宋体" w:hAnsi="宋体" w:cs="宋体"/>
          <w:strike w:val="0"/>
          <w:kern w:val="0"/>
          <w:szCs w:val="21"/>
          <w:highlight w:val="none"/>
        </w:rPr>
        <w:t>授权代表（签字）：</w:t>
      </w:r>
    </w:p>
    <w:p>
      <w:pPr>
        <w:widowControl/>
        <w:jc w:val="left"/>
        <w:rPr>
          <w:rFonts w:ascii="宋体" w:hAnsi="宋体" w:cs="宋体"/>
          <w:b/>
          <w:bCs/>
          <w:strike w:val="0"/>
          <w:highlight w:val="none"/>
        </w:rPr>
        <w:sectPr>
          <w:pgSz w:w="11906" w:h="16838"/>
          <w:pgMar w:top="1135" w:right="1135" w:bottom="1135" w:left="1135" w:header="720" w:footer="720" w:gutter="0"/>
          <w:cols w:space="720" w:num="1"/>
          <w:docGrid w:type="lines" w:linePitch="312" w:charSpace="0"/>
        </w:sectPr>
      </w:pPr>
    </w:p>
    <w:p>
      <w:pPr>
        <w:jc w:val="left"/>
        <w:outlineLvl w:val="2"/>
        <w:rPr>
          <w:rFonts w:ascii="宋体" w:hAnsi="宋体" w:cs="宋体"/>
          <w:b/>
          <w:bCs/>
          <w:strike w:val="0"/>
          <w:highlight w:val="none"/>
        </w:rPr>
      </w:pPr>
      <w:bookmarkStart w:id="101" w:name="_Toc30651"/>
      <w:r>
        <w:rPr>
          <w:rFonts w:hint="eastAsia" w:ascii="宋体" w:hAnsi="宋体" w:cs="宋体"/>
          <w:b/>
          <w:bCs/>
          <w:strike w:val="0"/>
          <w:highlight w:val="none"/>
        </w:rPr>
        <w:t>2、供应商认为其需要提供的其他文件。</w:t>
      </w:r>
      <w:bookmarkEnd w:id="101"/>
    </w:p>
    <w:p>
      <w:pPr>
        <w:rPr>
          <w:rFonts w:ascii="宋体" w:hAnsi="宋体" w:cs="宋体"/>
          <w:b/>
          <w:bCs/>
          <w:strike w:val="0"/>
          <w:highlight w:val="none"/>
        </w:rPr>
      </w:pPr>
    </w:p>
    <w:p>
      <w:pPr>
        <w:rPr>
          <w:rFonts w:ascii="宋体" w:hAnsi="宋体" w:cs="宋体"/>
          <w:b/>
          <w:bCs/>
          <w:strike w:val="0"/>
          <w:highlight w:val="none"/>
        </w:rPr>
      </w:pPr>
    </w:p>
    <w:p>
      <w:pPr>
        <w:rPr>
          <w:rFonts w:ascii="宋体" w:hAnsi="宋体" w:cs="宋体"/>
          <w:b/>
          <w:bCs/>
          <w:strike w:val="0"/>
          <w:highlight w:val="none"/>
        </w:rPr>
      </w:pPr>
    </w:p>
    <w:p>
      <w:pPr>
        <w:widowControl/>
        <w:shd w:val="clear" w:color="auto" w:fill="FFFFFF"/>
        <w:jc w:val="left"/>
        <w:rPr>
          <w:rFonts w:ascii="宋体" w:hAnsi="宋体" w:cs="宋体"/>
          <w:strike w:val="0"/>
          <w:kern w:val="0"/>
          <w:szCs w:val="21"/>
          <w:highlight w:val="none"/>
        </w:rPr>
      </w:pPr>
      <w:r>
        <w:rPr>
          <w:rFonts w:hint="eastAsia" w:ascii="宋体" w:hAnsi="宋体" w:cs="宋体"/>
          <w:strike w:val="0"/>
          <w:kern w:val="0"/>
          <w:szCs w:val="21"/>
          <w:highlight w:val="none"/>
        </w:rPr>
        <w:t>投标单位（盖章）：</w:t>
      </w:r>
    </w:p>
    <w:p>
      <w:pPr>
        <w:widowControl/>
        <w:shd w:val="clear" w:color="auto" w:fill="FFFFFF"/>
        <w:jc w:val="left"/>
        <w:rPr>
          <w:rFonts w:ascii="宋体" w:hAnsi="宋体" w:cs="宋体"/>
          <w:strike w:val="0"/>
          <w:kern w:val="0"/>
          <w:szCs w:val="21"/>
          <w:highlight w:val="none"/>
          <w:u w:val="single"/>
        </w:rPr>
      </w:pPr>
      <w:r>
        <w:rPr>
          <w:rFonts w:hint="eastAsia" w:ascii="宋体" w:hAnsi="宋体" w:cs="宋体"/>
          <w:strike w:val="0"/>
          <w:kern w:val="0"/>
          <w:szCs w:val="21"/>
          <w:highlight w:val="none"/>
        </w:rPr>
        <w:t>授权代表（签字）：</w:t>
      </w:r>
    </w:p>
    <w:p>
      <w:pPr>
        <w:rPr>
          <w:rFonts w:ascii="宋体" w:hAnsi="宋体" w:cs="宋体"/>
          <w:strike w:val="0"/>
          <w:highlight w:val="none"/>
        </w:rPr>
      </w:pPr>
    </w:p>
    <w:p>
      <w:pPr>
        <w:rPr>
          <w:rFonts w:ascii="宋体" w:hAnsi="宋体" w:cs="宋体"/>
          <w:strike w:val="0"/>
          <w:highlight w:val="none"/>
        </w:rPr>
      </w:pPr>
    </w:p>
    <w:p>
      <w:pPr>
        <w:autoSpaceDE w:val="0"/>
        <w:autoSpaceDN w:val="0"/>
        <w:adjustRightInd w:val="0"/>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strike w:val="0"/>
          <w:highlight w:val="none"/>
        </w:rPr>
      </w:pPr>
    </w:p>
    <w:p>
      <w:pPr>
        <w:pStyle w:val="42"/>
        <w:rPr>
          <w:rFonts w:ascii="宋体" w:hAnsi="宋体" w:cs="宋体"/>
          <w:b/>
          <w:bCs/>
          <w:strike w:val="0"/>
          <w:kern w:val="2"/>
          <w:sz w:val="21"/>
          <w:szCs w:val="24"/>
          <w:highlight w:val="none"/>
        </w:rPr>
      </w:pPr>
    </w:p>
    <w:p>
      <w:pPr>
        <w:pStyle w:val="42"/>
        <w:rPr>
          <w:rFonts w:ascii="宋体" w:hAnsi="宋体" w:cs="宋体"/>
          <w:b/>
          <w:bCs/>
          <w:strike w:val="0"/>
          <w:kern w:val="2"/>
          <w:sz w:val="21"/>
          <w:szCs w:val="24"/>
          <w:highlight w:val="none"/>
        </w:rPr>
      </w:pPr>
    </w:p>
    <w:p>
      <w:pPr>
        <w:pStyle w:val="42"/>
        <w:rPr>
          <w:rFonts w:ascii="宋体" w:hAnsi="宋体" w:cs="宋体"/>
          <w:b/>
          <w:bCs/>
          <w:strike w:val="0"/>
          <w:kern w:val="2"/>
          <w:sz w:val="21"/>
          <w:szCs w:val="24"/>
          <w:highlight w:val="none"/>
        </w:rPr>
      </w:pPr>
    </w:p>
    <w:p>
      <w:pPr>
        <w:pStyle w:val="42"/>
        <w:rPr>
          <w:rFonts w:ascii="宋体" w:hAnsi="宋体" w:cs="宋体"/>
          <w:b/>
          <w:bCs/>
          <w:strike w:val="0"/>
          <w:kern w:val="2"/>
          <w:sz w:val="21"/>
          <w:szCs w:val="24"/>
          <w:highlight w:val="none"/>
        </w:rPr>
      </w:pPr>
    </w:p>
    <w:p>
      <w:pPr>
        <w:pStyle w:val="42"/>
        <w:rPr>
          <w:rFonts w:ascii="宋体" w:hAnsi="宋体" w:cs="宋体"/>
          <w:b/>
          <w:bCs/>
          <w:strike w:val="0"/>
          <w:kern w:val="2"/>
          <w:sz w:val="21"/>
          <w:szCs w:val="24"/>
          <w:highlight w:val="none"/>
        </w:rPr>
      </w:pPr>
    </w:p>
    <w:p>
      <w:pPr>
        <w:pStyle w:val="42"/>
        <w:rPr>
          <w:rFonts w:ascii="宋体" w:hAnsi="宋体" w:cs="宋体"/>
          <w:b/>
          <w:bCs/>
          <w:strike w:val="0"/>
          <w:kern w:val="2"/>
          <w:sz w:val="21"/>
          <w:szCs w:val="24"/>
          <w:highlight w:val="none"/>
        </w:rPr>
      </w:pPr>
    </w:p>
    <w:p>
      <w:pPr>
        <w:pStyle w:val="42"/>
        <w:rPr>
          <w:rFonts w:ascii="宋体" w:hAnsi="宋体" w:cs="宋体"/>
          <w:b/>
          <w:bCs/>
          <w:strike w:val="0"/>
          <w:kern w:val="2"/>
          <w:sz w:val="21"/>
          <w:szCs w:val="24"/>
          <w:highlight w:val="none"/>
        </w:rPr>
      </w:pPr>
    </w:p>
    <w:p>
      <w:pPr>
        <w:pStyle w:val="42"/>
        <w:rPr>
          <w:rFonts w:ascii="宋体" w:hAnsi="宋体" w:cs="宋体"/>
          <w:b/>
          <w:bCs/>
          <w:strike w:val="0"/>
          <w:kern w:val="2"/>
          <w:sz w:val="21"/>
          <w:szCs w:val="24"/>
          <w:highlight w:val="none"/>
        </w:rPr>
      </w:pPr>
    </w:p>
    <w:p>
      <w:pPr>
        <w:pStyle w:val="42"/>
        <w:rPr>
          <w:rFonts w:ascii="宋体" w:hAnsi="宋体" w:cs="宋体"/>
          <w:b/>
          <w:bCs/>
          <w:strike w:val="0"/>
          <w:kern w:val="2"/>
          <w:sz w:val="21"/>
          <w:szCs w:val="24"/>
          <w:highlight w:val="none"/>
        </w:rPr>
      </w:pPr>
    </w:p>
    <w:p>
      <w:pPr>
        <w:pStyle w:val="42"/>
        <w:rPr>
          <w:rFonts w:ascii="宋体" w:hAnsi="宋体" w:cs="宋体"/>
          <w:b/>
          <w:bCs/>
          <w:strike w:val="0"/>
          <w:kern w:val="2"/>
          <w:sz w:val="21"/>
          <w:szCs w:val="24"/>
          <w:highlight w:val="none"/>
        </w:rPr>
      </w:pPr>
    </w:p>
    <w:p>
      <w:pPr>
        <w:pStyle w:val="42"/>
        <w:rPr>
          <w:rFonts w:ascii="宋体" w:hAnsi="宋体" w:cs="宋体"/>
          <w:b/>
          <w:bCs/>
          <w:strike w:val="0"/>
          <w:kern w:val="2"/>
          <w:sz w:val="21"/>
          <w:szCs w:val="24"/>
          <w:highlight w:val="none"/>
        </w:rPr>
      </w:pPr>
    </w:p>
    <w:p>
      <w:pPr>
        <w:pStyle w:val="42"/>
        <w:rPr>
          <w:rFonts w:ascii="宋体" w:hAnsi="宋体" w:cs="宋体"/>
          <w:b/>
          <w:bCs/>
          <w:strike w:val="0"/>
          <w:kern w:val="2"/>
          <w:sz w:val="21"/>
          <w:szCs w:val="24"/>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10" w:usb3="00000000" w:csb0="00040000" w:csb1="00000000"/>
  </w:font>
  <w:font w:name="Menlo">
    <w:altName w:val="Segoe Print"/>
    <w:panose1 w:val="00000000000000000000"/>
    <w:charset w:val="00"/>
    <w:family w:val="auto"/>
    <w:pitch w:val="default"/>
    <w:sig w:usb0="00000000" w:usb1="00000000" w:usb2="00000000" w:usb3="00000000" w:csb0="00000001" w:csb1="0000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3" w:lineRule="auto"/>
      <w:ind w:left="4737"/>
      <w:rPr>
        <w:rFonts w:eastAsia="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2"/>
                            <w:ind w:firstLine="36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Kux4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QKux4zAgAAZQQAAA4AAAAAAAAAAQAgAAAAHwEAAGRycy9lMm9Eb2MueG1sUEsF&#10;BgAAAAAGAAYAWQEAAMQFAAAAAA==&#10;">
              <v:fill on="f" focussize="0,0"/>
              <v:stroke on="f" weight="0.5pt"/>
              <v:imagedata o:title=""/>
              <o:lock v:ext="edit" aspectratio="f"/>
              <v:textbox inset="0mm,0mm,0mm,0mm" style="mso-fit-shape-to-text:t;">
                <w:txbxContent>
                  <w:p>
                    <w:pPr>
                      <w:pStyle w:val="32"/>
                      <w:ind w:firstLine="36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ind w:firstLine="48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2"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133985" cy="153035"/>
                      </a:xfrm>
                      <a:prstGeom prst="rect">
                        <a:avLst/>
                      </a:prstGeom>
                      <a:noFill/>
                      <a:ln>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43</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2.05pt;width:10.55pt;mso-position-horizontal:center;mso-position-horizontal-relative:margin;mso-wrap-style:none;z-index:251659264;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JB7XTPQAAAAAwEAAA8AAAAAAAAAAQAgAAAAIgAAAGRycy9kb3ducmV2Lnht&#10;bFBLAQIUABQAAAAIAIdO4kDBZcniAQIAABIEAAAOAAAAAAAAAAEAIAAAAB8BAABkcnMvZTJvRG9j&#10;LnhtbFBLBQYAAAAABgAGAFkBAACSBQ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43</w:t>
                    </w:r>
                    <w:r>
                      <w:rPr>
                        <w:rFonts w:hint="eastAsia"/>
                        <w:sz w:val="18"/>
                      </w:rPr>
                      <w:fldChar w:fldCharType="end"/>
                    </w:r>
                  </w:p>
                </w:txbxContent>
              </v:textbox>
            </v:shape>
          </w:pict>
        </mc:Fallback>
      </mc:AlternateContent>
    </w:r>
  </w:p>
  <w:p>
    <w:pPr>
      <w:pStyle w:val="20"/>
      <w:spacing w:line="14" w:lineRule="auto"/>
      <w:rPr>
        <w:u w:val="single"/>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pPr>
                            <w:pStyle w:val="32"/>
                            <w:jc w:val="center"/>
                          </w:pPr>
                          <w:r>
                            <w:fldChar w:fldCharType="begin"/>
                          </w:r>
                          <w:r>
                            <w:instrText xml:space="preserve"> PAGE  \* MERGEFORMAT </w:instrText>
                          </w:r>
                          <w:r>
                            <w:fldChar w:fldCharType="separate"/>
                          </w:r>
                          <w:r>
                            <w:t>49</w:t>
                          </w:r>
                          <w:r>
                            <w:fldChar w:fldCharType="end"/>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EPlfknQAAAAAwEAAA8AAAAAAAAAAQAgAAAAIgAAAGRycy9kb3ducmV2Lnht&#10;bFBLAQIUABQAAAAIAIdO4kDQHnStAQIAABIEAAAOAAAAAAAAAAEAIAAAAB8BAABkcnMvZTJvRG9j&#10;LnhtbFBLBQYAAAAABgAGAFkBAACSBQAAAAA=&#10;">
              <v:fill on="f" focussize="0,0"/>
              <v:stroke on="f"/>
              <v:imagedata o:title=""/>
              <o:lock v:ext="edit" aspectratio="f"/>
              <v:textbox inset="0mm,0mm,0mm,0mm" style="mso-fit-shape-to-text:t;">
                <w:txbxContent>
                  <w:p>
                    <w:pPr>
                      <w:pStyle w:val="32"/>
                      <w:jc w:val="center"/>
                    </w:pPr>
                    <w:r>
                      <w:fldChar w:fldCharType="begin"/>
                    </w:r>
                    <w:r>
                      <w:instrText xml:space="preserve"> PAGE  \* MERGEFORMAT </w:instrText>
                    </w:r>
                    <w:r>
                      <w:fldChar w:fldCharType="separate"/>
                    </w:r>
                    <w:r>
                      <w:t>49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50" w:lineRule="exact"/>
      <w:ind w:firstLine="1"/>
      <w:textAlignment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F0F424"/>
    <w:multiLevelType w:val="singleLevel"/>
    <w:tmpl w:val="C1F0F424"/>
    <w:lvl w:ilvl="0" w:tentative="0">
      <w:start w:val="1"/>
      <w:numFmt w:val="chineseCounting"/>
      <w:suff w:val="space"/>
      <w:lvlText w:val="%1、"/>
      <w:lvlJc w:val="left"/>
      <w:pPr>
        <w:ind w:left="0" w:firstLine="0"/>
      </w:pPr>
    </w:lvl>
  </w:abstractNum>
  <w:abstractNum w:abstractNumId="1">
    <w:nsid w:val="00000006"/>
    <w:multiLevelType w:val="multilevel"/>
    <w:tmpl w:val="00000006"/>
    <w:lvl w:ilvl="0" w:tentative="0">
      <w:start w:val="1"/>
      <w:numFmt w:val="chineseCountingThousand"/>
      <w:pStyle w:val="3"/>
      <w:suff w:val="nothing"/>
      <w:lvlText w:val="第%1章"/>
      <w:lvlJc w:val="left"/>
      <w:rPr>
        <w:rFonts w:hint="eastAsia" w:cs="Times New Roman"/>
        <w:sz w:val="21"/>
        <w:szCs w:val="21"/>
      </w:rPr>
    </w:lvl>
    <w:lvl w:ilvl="1" w:tentative="0">
      <w:start w:val="1"/>
      <w:numFmt w:val="none"/>
      <w:pStyle w:val="4"/>
      <w:suff w:val="nothing"/>
      <w:lvlText w:val=""/>
      <w:lvlJc w:val="left"/>
      <w:rPr>
        <w:rFonts w:cs="Times New Roman"/>
      </w:rPr>
    </w:lvl>
    <w:lvl w:ilvl="2" w:tentative="0">
      <w:start w:val="1"/>
      <w:numFmt w:val="none"/>
      <w:pStyle w:val="5"/>
      <w:suff w:val="nothing"/>
      <w:lvlText w:val=""/>
      <w:lvlJc w:val="left"/>
      <w:rPr>
        <w:rFonts w:cs="Times New Roman"/>
      </w:rPr>
    </w:lvl>
    <w:lvl w:ilvl="3" w:tentative="0">
      <w:start w:val="1"/>
      <w:numFmt w:val="none"/>
      <w:pStyle w:val="6"/>
      <w:suff w:val="nothing"/>
      <w:lvlText w:val=""/>
      <w:lvlJc w:val="left"/>
      <w:rPr>
        <w:rFonts w:cs="Times New Roman"/>
      </w:rPr>
    </w:lvl>
    <w:lvl w:ilvl="4" w:tentative="0">
      <w:start w:val="1"/>
      <w:numFmt w:val="none"/>
      <w:pStyle w:val="7"/>
      <w:suff w:val="nothing"/>
      <w:lvlText w:val=""/>
      <w:lvlJc w:val="left"/>
      <w:rPr>
        <w:rFonts w:cs="Times New Roman"/>
      </w:rPr>
    </w:lvl>
    <w:lvl w:ilvl="5" w:tentative="0">
      <w:start w:val="1"/>
      <w:numFmt w:val="none"/>
      <w:pStyle w:val="8"/>
      <w:suff w:val="nothing"/>
      <w:lvlText w:val=""/>
      <w:lvlJc w:val="left"/>
      <w:rPr>
        <w:rFonts w:cs="Times New Roman"/>
      </w:rPr>
    </w:lvl>
    <w:lvl w:ilvl="6" w:tentative="0">
      <w:start w:val="1"/>
      <w:numFmt w:val="none"/>
      <w:pStyle w:val="9"/>
      <w:suff w:val="nothing"/>
      <w:lvlText w:val=""/>
      <w:lvlJc w:val="left"/>
      <w:rPr>
        <w:rFonts w:cs="Times New Roman"/>
      </w:rPr>
    </w:lvl>
    <w:lvl w:ilvl="7" w:tentative="0">
      <w:start w:val="1"/>
      <w:numFmt w:val="none"/>
      <w:pStyle w:val="10"/>
      <w:suff w:val="nothing"/>
      <w:lvlText w:val=""/>
      <w:lvlJc w:val="left"/>
      <w:rPr>
        <w:rFonts w:cs="Times New Roman"/>
      </w:rPr>
    </w:lvl>
    <w:lvl w:ilvl="8" w:tentative="0">
      <w:start w:val="1"/>
      <w:numFmt w:val="none"/>
      <w:pStyle w:val="11"/>
      <w:suff w:val="nothing"/>
      <w:lvlText w:val=""/>
      <w:lvlJc w:val="left"/>
      <w:rPr>
        <w:rFonts w:cs="Times New Roman"/>
      </w:rPr>
    </w:lvl>
  </w:abstractNum>
  <w:abstractNum w:abstractNumId="2">
    <w:nsid w:val="130A2188"/>
    <w:multiLevelType w:val="multilevel"/>
    <w:tmpl w:val="130A2188"/>
    <w:lvl w:ilvl="0" w:tentative="0">
      <w:start w:val="1"/>
      <w:numFmt w:val="chineseCountingThousand"/>
      <w:pStyle w:val="156"/>
      <w:lvlText w:val="%1"/>
      <w:lvlJc w:val="left"/>
      <w:pPr>
        <w:ind w:left="425" w:hanging="425"/>
      </w:pPr>
      <w:rPr>
        <w:rFonts w:hint="eastAsia" w:ascii="Arial Unicode MS" w:hAnsi="Arial Unicode MS" w:eastAsia="微软雅黑" w:cs="Times New Roman"/>
        <w:b/>
        <w:i w:val="0"/>
      </w:rPr>
    </w:lvl>
    <w:lvl w:ilvl="1" w:tentative="0">
      <w:start w:val="1"/>
      <w:numFmt w:val="decimal"/>
      <w:pStyle w:val="176"/>
      <w:isLgl/>
      <w:lvlText w:val="%1.%2"/>
      <w:lvlJc w:val="left"/>
      <w:pPr>
        <w:ind w:left="425" w:hanging="425"/>
      </w:pPr>
      <w:rPr>
        <w:rFonts w:hint="eastAsia" w:ascii="Arial Unicode MS" w:hAnsi="Arial Unicode MS" w:eastAsia="微软雅黑" w:cs="Times New Roman"/>
        <w:b/>
        <w:i w:val="0"/>
      </w:rPr>
    </w:lvl>
    <w:lvl w:ilvl="2" w:tentative="0">
      <w:start w:val="1"/>
      <w:numFmt w:val="decimal"/>
      <w:pStyle w:val="190"/>
      <w:isLgl/>
      <w:lvlText w:val="%1.%2.%3"/>
      <w:lvlJc w:val="left"/>
      <w:pPr>
        <w:ind w:left="425" w:hanging="425"/>
      </w:pPr>
      <w:rPr>
        <w:rFonts w:hint="eastAsia" w:ascii="Arial Unicode MS" w:hAnsi="Arial Unicode MS" w:eastAsia="微软雅黑" w:cs="Times New Roman"/>
        <w:b/>
        <w:i w:val="0"/>
      </w:rPr>
    </w:lvl>
    <w:lvl w:ilvl="3" w:tentative="0">
      <w:start w:val="1"/>
      <w:numFmt w:val="decimal"/>
      <w:isLgl/>
      <w:lvlText w:val="%1.%2.%3.%4"/>
      <w:lvlJc w:val="left"/>
      <w:pPr>
        <w:ind w:left="425" w:hanging="425"/>
      </w:pPr>
      <w:rPr>
        <w:rFonts w:hint="eastAsia" w:ascii="Arial Unicode MS" w:hAnsi="Arial Unicode MS" w:eastAsia="微软雅黑" w:cs="Times New Roman"/>
        <w:b/>
        <w:i w:val="0"/>
      </w:rPr>
    </w:lvl>
    <w:lvl w:ilvl="4" w:tentative="0">
      <w:start w:val="1"/>
      <w:numFmt w:val="decimal"/>
      <w:isLgl/>
      <w:lvlText w:val="%1.%2.%3.%4.%5"/>
      <w:lvlJc w:val="left"/>
      <w:pPr>
        <w:ind w:left="425" w:hanging="425"/>
      </w:pPr>
      <w:rPr>
        <w:rFonts w:hint="eastAsia" w:ascii="Arial Unicode MS" w:hAnsi="Arial Unicode MS" w:eastAsia="微软雅黑" w:cs="Times New Roman"/>
        <w:b/>
        <w:i w:val="0"/>
      </w:rPr>
    </w:lvl>
    <w:lvl w:ilvl="5" w:tentative="0">
      <w:start w:val="1"/>
      <w:numFmt w:val="none"/>
      <w:lvlText w:val="%1.%2.%3.%4.%5.%6"/>
      <w:lvlJc w:val="left"/>
      <w:pPr>
        <w:ind w:left="425" w:hanging="425"/>
      </w:pPr>
      <w:rPr>
        <w:rFonts w:hint="eastAsia" w:cs="Times New Roman"/>
      </w:rPr>
    </w:lvl>
    <w:lvl w:ilvl="6" w:tentative="0">
      <w:start w:val="1"/>
      <w:numFmt w:val="decimal"/>
      <w:lvlText w:val="%1.%2.%3.%4.%5.%6.%7"/>
      <w:lvlJc w:val="left"/>
      <w:pPr>
        <w:ind w:left="425" w:hanging="425"/>
      </w:pPr>
      <w:rPr>
        <w:rFonts w:hint="eastAsia" w:cs="Times New Roman"/>
      </w:rPr>
    </w:lvl>
    <w:lvl w:ilvl="7" w:tentative="0">
      <w:start w:val="1"/>
      <w:numFmt w:val="decimal"/>
      <w:lvlText w:val="%1.%2.%3.%4.%5.%6.%7.%8"/>
      <w:lvlJc w:val="left"/>
      <w:pPr>
        <w:ind w:left="425" w:hanging="425"/>
      </w:pPr>
      <w:rPr>
        <w:rFonts w:hint="eastAsia" w:cs="Times New Roman"/>
      </w:rPr>
    </w:lvl>
    <w:lvl w:ilvl="8" w:tentative="0">
      <w:start w:val="1"/>
      <w:numFmt w:val="decimal"/>
      <w:lvlText w:val="%1.%2.%3.%4.%5.%6.%7.%8.%9"/>
      <w:lvlJc w:val="left"/>
      <w:pPr>
        <w:ind w:left="425" w:hanging="425"/>
      </w:pPr>
      <w:rPr>
        <w:rFonts w:hint="eastAsia" w:cs="Times New Roman"/>
      </w:rPr>
    </w:lvl>
  </w:abstractNum>
  <w:abstractNum w:abstractNumId="3">
    <w:nsid w:val="2CB3CB95"/>
    <w:multiLevelType w:val="singleLevel"/>
    <w:tmpl w:val="2CB3CB95"/>
    <w:lvl w:ilvl="0" w:tentative="0">
      <w:start w:val="4"/>
      <w:numFmt w:val="chineseCounting"/>
      <w:suff w:val="space"/>
      <w:lvlText w:val="第%1章"/>
      <w:lvlJc w:val="left"/>
      <w:rPr>
        <w:rFonts w:hint="eastAsia" w:cs="Times New Roman"/>
      </w:rPr>
    </w:lvl>
  </w:abstractNum>
  <w:abstractNum w:abstractNumId="4">
    <w:nsid w:val="5915610C"/>
    <w:multiLevelType w:val="singleLevel"/>
    <w:tmpl w:val="5915610C"/>
    <w:lvl w:ilvl="0" w:tentative="0">
      <w:start w:val="1"/>
      <w:numFmt w:val="decimal"/>
      <w:suff w:val="nothing"/>
      <w:lvlText w:val="%1、"/>
      <w:lvlJc w:val="left"/>
      <w:rPr>
        <w:rFonts w:cs="Times New Roman"/>
      </w:rPr>
    </w:lvl>
  </w:abstractNum>
  <w:abstractNum w:abstractNumId="5">
    <w:nsid w:val="5A48610C"/>
    <w:multiLevelType w:val="singleLevel"/>
    <w:tmpl w:val="5A48610C"/>
    <w:lvl w:ilvl="0" w:tentative="0">
      <w:start w:val="2"/>
      <w:numFmt w:val="decimal"/>
      <w:suff w:val="nothing"/>
      <w:lvlText w:val="%1、"/>
      <w:lvlJc w:val="left"/>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JjNGY5Nzc3NTVhYTc5ZjZlZWUxZjMyMTFjY2FkOGIifQ=="/>
  </w:docVars>
  <w:rsids>
    <w:rsidRoot w:val="00172A27"/>
    <w:rsid w:val="000033BC"/>
    <w:rsid w:val="00003464"/>
    <w:rsid w:val="00003E09"/>
    <w:rsid w:val="00004ADD"/>
    <w:rsid w:val="000050BB"/>
    <w:rsid w:val="00007012"/>
    <w:rsid w:val="00010857"/>
    <w:rsid w:val="00010902"/>
    <w:rsid w:val="00012D4E"/>
    <w:rsid w:val="00016028"/>
    <w:rsid w:val="00016168"/>
    <w:rsid w:val="00020570"/>
    <w:rsid w:val="000207B3"/>
    <w:rsid w:val="00020F19"/>
    <w:rsid w:val="000215F5"/>
    <w:rsid w:val="000240F2"/>
    <w:rsid w:val="00024232"/>
    <w:rsid w:val="00026D12"/>
    <w:rsid w:val="000276C0"/>
    <w:rsid w:val="00031EC9"/>
    <w:rsid w:val="00032B4A"/>
    <w:rsid w:val="00032EB2"/>
    <w:rsid w:val="00033F13"/>
    <w:rsid w:val="00033F73"/>
    <w:rsid w:val="00034845"/>
    <w:rsid w:val="00034CDD"/>
    <w:rsid w:val="00035A5A"/>
    <w:rsid w:val="00037558"/>
    <w:rsid w:val="00040248"/>
    <w:rsid w:val="0004062C"/>
    <w:rsid w:val="000416F5"/>
    <w:rsid w:val="00042376"/>
    <w:rsid w:val="000427E1"/>
    <w:rsid w:val="00042948"/>
    <w:rsid w:val="00043931"/>
    <w:rsid w:val="00043A61"/>
    <w:rsid w:val="00044757"/>
    <w:rsid w:val="00044FB9"/>
    <w:rsid w:val="000458DD"/>
    <w:rsid w:val="000473B7"/>
    <w:rsid w:val="00047F5E"/>
    <w:rsid w:val="00051ABD"/>
    <w:rsid w:val="00051BCC"/>
    <w:rsid w:val="00051EB2"/>
    <w:rsid w:val="000522C5"/>
    <w:rsid w:val="000527C8"/>
    <w:rsid w:val="00054655"/>
    <w:rsid w:val="00054F7D"/>
    <w:rsid w:val="00056E6B"/>
    <w:rsid w:val="000607F5"/>
    <w:rsid w:val="00060B89"/>
    <w:rsid w:val="00062472"/>
    <w:rsid w:val="00063E26"/>
    <w:rsid w:val="000640E2"/>
    <w:rsid w:val="0006476D"/>
    <w:rsid w:val="00064BCC"/>
    <w:rsid w:val="00064C8B"/>
    <w:rsid w:val="00065D21"/>
    <w:rsid w:val="00067D84"/>
    <w:rsid w:val="00071571"/>
    <w:rsid w:val="0007492E"/>
    <w:rsid w:val="0007741E"/>
    <w:rsid w:val="00081250"/>
    <w:rsid w:val="00083671"/>
    <w:rsid w:val="0008432A"/>
    <w:rsid w:val="00084397"/>
    <w:rsid w:val="000851FF"/>
    <w:rsid w:val="000853B9"/>
    <w:rsid w:val="000860F9"/>
    <w:rsid w:val="0008631F"/>
    <w:rsid w:val="0008777F"/>
    <w:rsid w:val="0008787D"/>
    <w:rsid w:val="000963C4"/>
    <w:rsid w:val="00096BB7"/>
    <w:rsid w:val="00097207"/>
    <w:rsid w:val="00097293"/>
    <w:rsid w:val="000978F6"/>
    <w:rsid w:val="00097C5F"/>
    <w:rsid w:val="000A1232"/>
    <w:rsid w:val="000A45A0"/>
    <w:rsid w:val="000A5528"/>
    <w:rsid w:val="000A573E"/>
    <w:rsid w:val="000A7DA8"/>
    <w:rsid w:val="000B086C"/>
    <w:rsid w:val="000B169D"/>
    <w:rsid w:val="000B21A6"/>
    <w:rsid w:val="000B4AC4"/>
    <w:rsid w:val="000B4C3E"/>
    <w:rsid w:val="000B68EA"/>
    <w:rsid w:val="000C1E25"/>
    <w:rsid w:val="000C2154"/>
    <w:rsid w:val="000C2401"/>
    <w:rsid w:val="000C3C47"/>
    <w:rsid w:val="000C6D9D"/>
    <w:rsid w:val="000D18A2"/>
    <w:rsid w:val="000D1C93"/>
    <w:rsid w:val="000D1EC0"/>
    <w:rsid w:val="000D33B2"/>
    <w:rsid w:val="000D3F4B"/>
    <w:rsid w:val="000D4CDD"/>
    <w:rsid w:val="000D4F20"/>
    <w:rsid w:val="000E0528"/>
    <w:rsid w:val="000E1DE2"/>
    <w:rsid w:val="000E40D8"/>
    <w:rsid w:val="000E5792"/>
    <w:rsid w:val="000E595A"/>
    <w:rsid w:val="000E6AA0"/>
    <w:rsid w:val="000E70D0"/>
    <w:rsid w:val="000E72E4"/>
    <w:rsid w:val="000E7AEC"/>
    <w:rsid w:val="000F1417"/>
    <w:rsid w:val="000F374E"/>
    <w:rsid w:val="000F38C4"/>
    <w:rsid w:val="000F3ABC"/>
    <w:rsid w:val="000F64B8"/>
    <w:rsid w:val="00100C2D"/>
    <w:rsid w:val="00101020"/>
    <w:rsid w:val="00104771"/>
    <w:rsid w:val="00106B44"/>
    <w:rsid w:val="00106DF5"/>
    <w:rsid w:val="00107AD2"/>
    <w:rsid w:val="00112C44"/>
    <w:rsid w:val="00114723"/>
    <w:rsid w:val="001152DD"/>
    <w:rsid w:val="00115A34"/>
    <w:rsid w:val="00115C20"/>
    <w:rsid w:val="00115FFE"/>
    <w:rsid w:val="00116623"/>
    <w:rsid w:val="00116AB7"/>
    <w:rsid w:val="00121249"/>
    <w:rsid w:val="00123A13"/>
    <w:rsid w:val="001241C6"/>
    <w:rsid w:val="00124253"/>
    <w:rsid w:val="00124DDA"/>
    <w:rsid w:val="00126AF1"/>
    <w:rsid w:val="0013061E"/>
    <w:rsid w:val="00130993"/>
    <w:rsid w:val="00130C01"/>
    <w:rsid w:val="0013138E"/>
    <w:rsid w:val="001315EC"/>
    <w:rsid w:val="00132750"/>
    <w:rsid w:val="00132D0F"/>
    <w:rsid w:val="00133C84"/>
    <w:rsid w:val="0013431C"/>
    <w:rsid w:val="00135E51"/>
    <w:rsid w:val="0014045A"/>
    <w:rsid w:val="0014108C"/>
    <w:rsid w:val="00142258"/>
    <w:rsid w:val="00143CD4"/>
    <w:rsid w:val="00145CD4"/>
    <w:rsid w:val="00147DF8"/>
    <w:rsid w:val="00151440"/>
    <w:rsid w:val="00152F91"/>
    <w:rsid w:val="001531A7"/>
    <w:rsid w:val="00153691"/>
    <w:rsid w:val="00154ACD"/>
    <w:rsid w:val="00155F5A"/>
    <w:rsid w:val="00156B27"/>
    <w:rsid w:val="00156C22"/>
    <w:rsid w:val="00160A3F"/>
    <w:rsid w:val="001620DA"/>
    <w:rsid w:val="001623ED"/>
    <w:rsid w:val="00163D70"/>
    <w:rsid w:val="00165899"/>
    <w:rsid w:val="001670F1"/>
    <w:rsid w:val="00167594"/>
    <w:rsid w:val="001709AF"/>
    <w:rsid w:val="00171DE4"/>
    <w:rsid w:val="001727B4"/>
    <w:rsid w:val="00172A27"/>
    <w:rsid w:val="00172BB0"/>
    <w:rsid w:val="001731AB"/>
    <w:rsid w:val="00175FA0"/>
    <w:rsid w:val="00176ACB"/>
    <w:rsid w:val="00176D17"/>
    <w:rsid w:val="00177028"/>
    <w:rsid w:val="00177C72"/>
    <w:rsid w:val="00180512"/>
    <w:rsid w:val="00184409"/>
    <w:rsid w:val="00184564"/>
    <w:rsid w:val="0018560C"/>
    <w:rsid w:val="00186F62"/>
    <w:rsid w:val="00190367"/>
    <w:rsid w:val="00190B4C"/>
    <w:rsid w:val="001915A7"/>
    <w:rsid w:val="00193455"/>
    <w:rsid w:val="0019439B"/>
    <w:rsid w:val="001952F3"/>
    <w:rsid w:val="00197E0F"/>
    <w:rsid w:val="001A3289"/>
    <w:rsid w:val="001A38B9"/>
    <w:rsid w:val="001A3DFF"/>
    <w:rsid w:val="001A405D"/>
    <w:rsid w:val="001A5A4B"/>
    <w:rsid w:val="001A64A8"/>
    <w:rsid w:val="001A7DAF"/>
    <w:rsid w:val="001B0329"/>
    <w:rsid w:val="001B09FD"/>
    <w:rsid w:val="001B4A81"/>
    <w:rsid w:val="001B5F20"/>
    <w:rsid w:val="001B686C"/>
    <w:rsid w:val="001B77CB"/>
    <w:rsid w:val="001B7E2E"/>
    <w:rsid w:val="001C158D"/>
    <w:rsid w:val="001C17EB"/>
    <w:rsid w:val="001C226C"/>
    <w:rsid w:val="001C29A3"/>
    <w:rsid w:val="001C29EE"/>
    <w:rsid w:val="001C34CC"/>
    <w:rsid w:val="001C46DF"/>
    <w:rsid w:val="001C66E0"/>
    <w:rsid w:val="001C6D1C"/>
    <w:rsid w:val="001D012A"/>
    <w:rsid w:val="001D12A3"/>
    <w:rsid w:val="001D3678"/>
    <w:rsid w:val="001D45A0"/>
    <w:rsid w:val="001D4C43"/>
    <w:rsid w:val="001D56B2"/>
    <w:rsid w:val="001E1907"/>
    <w:rsid w:val="001E1FDE"/>
    <w:rsid w:val="001E4541"/>
    <w:rsid w:val="001E566C"/>
    <w:rsid w:val="001E6506"/>
    <w:rsid w:val="001E6A5E"/>
    <w:rsid w:val="001E7AF3"/>
    <w:rsid w:val="001F2EB7"/>
    <w:rsid w:val="001F3BDE"/>
    <w:rsid w:val="001F3EF6"/>
    <w:rsid w:val="001F475D"/>
    <w:rsid w:val="001F4F6D"/>
    <w:rsid w:val="001F5D90"/>
    <w:rsid w:val="001F6B22"/>
    <w:rsid w:val="00201CD1"/>
    <w:rsid w:val="00201D97"/>
    <w:rsid w:val="00202386"/>
    <w:rsid w:val="002035A8"/>
    <w:rsid w:val="0020409D"/>
    <w:rsid w:val="00204685"/>
    <w:rsid w:val="0020495E"/>
    <w:rsid w:val="00206E55"/>
    <w:rsid w:val="00206FDB"/>
    <w:rsid w:val="00207739"/>
    <w:rsid w:val="002079EB"/>
    <w:rsid w:val="00210841"/>
    <w:rsid w:val="00210C2B"/>
    <w:rsid w:val="00213F8B"/>
    <w:rsid w:val="00215B16"/>
    <w:rsid w:val="00215E2D"/>
    <w:rsid w:val="00216744"/>
    <w:rsid w:val="0021753F"/>
    <w:rsid w:val="002179DE"/>
    <w:rsid w:val="002215ED"/>
    <w:rsid w:val="00222D2C"/>
    <w:rsid w:val="00223E8E"/>
    <w:rsid w:val="00226A2F"/>
    <w:rsid w:val="00233822"/>
    <w:rsid w:val="00235A36"/>
    <w:rsid w:val="002368B0"/>
    <w:rsid w:val="0023761F"/>
    <w:rsid w:val="00240A8C"/>
    <w:rsid w:val="00241C7D"/>
    <w:rsid w:val="002425C6"/>
    <w:rsid w:val="0024485D"/>
    <w:rsid w:val="00246C51"/>
    <w:rsid w:val="00246EF2"/>
    <w:rsid w:val="002507BB"/>
    <w:rsid w:val="00250EDD"/>
    <w:rsid w:val="00253197"/>
    <w:rsid w:val="002558B8"/>
    <w:rsid w:val="0025625C"/>
    <w:rsid w:val="002570EE"/>
    <w:rsid w:val="00257930"/>
    <w:rsid w:val="002604F0"/>
    <w:rsid w:val="00263349"/>
    <w:rsid w:val="00264779"/>
    <w:rsid w:val="00265EF0"/>
    <w:rsid w:val="00266381"/>
    <w:rsid w:val="002708AF"/>
    <w:rsid w:val="00272706"/>
    <w:rsid w:val="00273D84"/>
    <w:rsid w:val="00273ED5"/>
    <w:rsid w:val="002740C3"/>
    <w:rsid w:val="0027735C"/>
    <w:rsid w:val="00277372"/>
    <w:rsid w:val="0027753E"/>
    <w:rsid w:val="002806CA"/>
    <w:rsid w:val="002810AC"/>
    <w:rsid w:val="002812CC"/>
    <w:rsid w:val="00281463"/>
    <w:rsid w:val="002828C5"/>
    <w:rsid w:val="00283AA1"/>
    <w:rsid w:val="002844AF"/>
    <w:rsid w:val="002854D4"/>
    <w:rsid w:val="0028640E"/>
    <w:rsid w:val="002867C5"/>
    <w:rsid w:val="00286E71"/>
    <w:rsid w:val="00287353"/>
    <w:rsid w:val="002877EB"/>
    <w:rsid w:val="00291795"/>
    <w:rsid w:val="00292E95"/>
    <w:rsid w:val="00293EC3"/>
    <w:rsid w:val="00295A7F"/>
    <w:rsid w:val="002A05F6"/>
    <w:rsid w:val="002A2313"/>
    <w:rsid w:val="002A2725"/>
    <w:rsid w:val="002A3AF4"/>
    <w:rsid w:val="002A6D67"/>
    <w:rsid w:val="002A74F1"/>
    <w:rsid w:val="002A7B32"/>
    <w:rsid w:val="002B1131"/>
    <w:rsid w:val="002B1703"/>
    <w:rsid w:val="002B223E"/>
    <w:rsid w:val="002B4A55"/>
    <w:rsid w:val="002B72E2"/>
    <w:rsid w:val="002B7B7D"/>
    <w:rsid w:val="002C084A"/>
    <w:rsid w:val="002C2DE0"/>
    <w:rsid w:val="002C4A64"/>
    <w:rsid w:val="002C6711"/>
    <w:rsid w:val="002C7297"/>
    <w:rsid w:val="002D2894"/>
    <w:rsid w:val="002D4F6B"/>
    <w:rsid w:val="002D533E"/>
    <w:rsid w:val="002D5528"/>
    <w:rsid w:val="002D63DD"/>
    <w:rsid w:val="002D696C"/>
    <w:rsid w:val="002D74D6"/>
    <w:rsid w:val="002D7BA2"/>
    <w:rsid w:val="002E0167"/>
    <w:rsid w:val="002E024B"/>
    <w:rsid w:val="002E04C1"/>
    <w:rsid w:val="002E0562"/>
    <w:rsid w:val="002E0FD5"/>
    <w:rsid w:val="002E35B5"/>
    <w:rsid w:val="002E3BC8"/>
    <w:rsid w:val="002E5C5D"/>
    <w:rsid w:val="002E6496"/>
    <w:rsid w:val="002E67FB"/>
    <w:rsid w:val="002E6D7C"/>
    <w:rsid w:val="002F0738"/>
    <w:rsid w:val="002F07CE"/>
    <w:rsid w:val="002F08C5"/>
    <w:rsid w:val="002F0E19"/>
    <w:rsid w:val="002F4462"/>
    <w:rsid w:val="002F5066"/>
    <w:rsid w:val="002F5D82"/>
    <w:rsid w:val="002F6084"/>
    <w:rsid w:val="002F6925"/>
    <w:rsid w:val="0030167A"/>
    <w:rsid w:val="00304E56"/>
    <w:rsid w:val="00305886"/>
    <w:rsid w:val="00310495"/>
    <w:rsid w:val="003115A1"/>
    <w:rsid w:val="00311650"/>
    <w:rsid w:val="003120B1"/>
    <w:rsid w:val="003129FD"/>
    <w:rsid w:val="00312B26"/>
    <w:rsid w:val="00313484"/>
    <w:rsid w:val="00313AEF"/>
    <w:rsid w:val="00313BF3"/>
    <w:rsid w:val="003141CA"/>
    <w:rsid w:val="003154A3"/>
    <w:rsid w:val="00315639"/>
    <w:rsid w:val="00315A45"/>
    <w:rsid w:val="00317A74"/>
    <w:rsid w:val="003203E5"/>
    <w:rsid w:val="003212FB"/>
    <w:rsid w:val="003237B3"/>
    <w:rsid w:val="003246D4"/>
    <w:rsid w:val="00325651"/>
    <w:rsid w:val="0032595A"/>
    <w:rsid w:val="00326C8C"/>
    <w:rsid w:val="00327533"/>
    <w:rsid w:val="003309C5"/>
    <w:rsid w:val="003311E5"/>
    <w:rsid w:val="003313CF"/>
    <w:rsid w:val="00331BF2"/>
    <w:rsid w:val="003335D3"/>
    <w:rsid w:val="00334124"/>
    <w:rsid w:val="00334A0A"/>
    <w:rsid w:val="00335718"/>
    <w:rsid w:val="00335976"/>
    <w:rsid w:val="00335AF2"/>
    <w:rsid w:val="003402A2"/>
    <w:rsid w:val="00340850"/>
    <w:rsid w:val="0034418A"/>
    <w:rsid w:val="00345DB5"/>
    <w:rsid w:val="00346E30"/>
    <w:rsid w:val="00347032"/>
    <w:rsid w:val="0034735E"/>
    <w:rsid w:val="00351AFA"/>
    <w:rsid w:val="003527FB"/>
    <w:rsid w:val="00352E13"/>
    <w:rsid w:val="00355020"/>
    <w:rsid w:val="0035603A"/>
    <w:rsid w:val="00357CF7"/>
    <w:rsid w:val="003600F4"/>
    <w:rsid w:val="003616FE"/>
    <w:rsid w:val="0036277D"/>
    <w:rsid w:val="0036498B"/>
    <w:rsid w:val="003651BD"/>
    <w:rsid w:val="00366279"/>
    <w:rsid w:val="00367044"/>
    <w:rsid w:val="00367B81"/>
    <w:rsid w:val="00372333"/>
    <w:rsid w:val="00372366"/>
    <w:rsid w:val="00372537"/>
    <w:rsid w:val="003729B1"/>
    <w:rsid w:val="00372D7A"/>
    <w:rsid w:val="003743D3"/>
    <w:rsid w:val="00374628"/>
    <w:rsid w:val="003767C0"/>
    <w:rsid w:val="00376C84"/>
    <w:rsid w:val="00377B08"/>
    <w:rsid w:val="00381242"/>
    <w:rsid w:val="00382423"/>
    <w:rsid w:val="00383DDB"/>
    <w:rsid w:val="00383F1E"/>
    <w:rsid w:val="00385A7B"/>
    <w:rsid w:val="0038766E"/>
    <w:rsid w:val="00387887"/>
    <w:rsid w:val="00392E87"/>
    <w:rsid w:val="0039334A"/>
    <w:rsid w:val="00393EC0"/>
    <w:rsid w:val="003944EC"/>
    <w:rsid w:val="0039517F"/>
    <w:rsid w:val="00396584"/>
    <w:rsid w:val="003969C7"/>
    <w:rsid w:val="00396A16"/>
    <w:rsid w:val="003A03D8"/>
    <w:rsid w:val="003A0DDC"/>
    <w:rsid w:val="003A12C6"/>
    <w:rsid w:val="003A1936"/>
    <w:rsid w:val="003A2501"/>
    <w:rsid w:val="003A2800"/>
    <w:rsid w:val="003A3E1F"/>
    <w:rsid w:val="003A4305"/>
    <w:rsid w:val="003A565F"/>
    <w:rsid w:val="003B1470"/>
    <w:rsid w:val="003B5593"/>
    <w:rsid w:val="003B57AF"/>
    <w:rsid w:val="003B5E57"/>
    <w:rsid w:val="003B65B6"/>
    <w:rsid w:val="003B6AFF"/>
    <w:rsid w:val="003B6BFB"/>
    <w:rsid w:val="003B6DB0"/>
    <w:rsid w:val="003B7147"/>
    <w:rsid w:val="003B7B57"/>
    <w:rsid w:val="003C0669"/>
    <w:rsid w:val="003C2A57"/>
    <w:rsid w:val="003C366F"/>
    <w:rsid w:val="003C5B1B"/>
    <w:rsid w:val="003D11A8"/>
    <w:rsid w:val="003D28FD"/>
    <w:rsid w:val="003D4E6C"/>
    <w:rsid w:val="003E0550"/>
    <w:rsid w:val="003E0F30"/>
    <w:rsid w:val="003E1379"/>
    <w:rsid w:val="003E582E"/>
    <w:rsid w:val="003E5A44"/>
    <w:rsid w:val="003E69FE"/>
    <w:rsid w:val="003F22CE"/>
    <w:rsid w:val="003F2F8E"/>
    <w:rsid w:val="003F2FB9"/>
    <w:rsid w:val="003F374E"/>
    <w:rsid w:val="003F49F0"/>
    <w:rsid w:val="003F5122"/>
    <w:rsid w:val="003F6921"/>
    <w:rsid w:val="003F7FBF"/>
    <w:rsid w:val="00400EF4"/>
    <w:rsid w:val="00401780"/>
    <w:rsid w:val="00401869"/>
    <w:rsid w:val="00401F54"/>
    <w:rsid w:val="004038CD"/>
    <w:rsid w:val="00403E2E"/>
    <w:rsid w:val="0040420E"/>
    <w:rsid w:val="004112F7"/>
    <w:rsid w:val="004119C7"/>
    <w:rsid w:val="00413B7E"/>
    <w:rsid w:val="00413DA2"/>
    <w:rsid w:val="004157AF"/>
    <w:rsid w:val="0041699A"/>
    <w:rsid w:val="00420A4C"/>
    <w:rsid w:val="00420DF0"/>
    <w:rsid w:val="00420F58"/>
    <w:rsid w:val="00422624"/>
    <w:rsid w:val="00422C29"/>
    <w:rsid w:val="00422E27"/>
    <w:rsid w:val="00424C49"/>
    <w:rsid w:val="00425EDE"/>
    <w:rsid w:val="00432C4B"/>
    <w:rsid w:val="00434F67"/>
    <w:rsid w:val="004353F1"/>
    <w:rsid w:val="00435685"/>
    <w:rsid w:val="00435AEC"/>
    <w:rsid w:val="004361EB"/>
    <w:rsid w:val="004371FF"/>
    <w:rsid w:val="00440CD0"/>
    <w:rsid w:val="00440E64"/>
    <w:rsid w:val="0044226E"/>
    <w:rsid w:val="00443704"/>
    <w:rsid w:val="00444698"/>
    <w:rsid w:val="00447889"/>
    <w:rsid w:val="004506CC"/>
    <w:rsid w:val="00451FD8"/>
    <w:rsid w:val="004534AE"/>
    <w:rsid w:val="0045464A"/>
    <w:rsid w:val="0045557D"/>
    <w:rsid w:val="00455F44"/>
    <w:rsid w:val="004575D7"/>
    <w:rsid w:val="00460476"/>
    <w:rsid w:val="004621F8"/>
    <w:rsid w:val="00462305"/>
    <w:rsid w:val="0046330A"/>
    <w:rsid w:val="00463ACA"/>
    <w:rsid w:val="00463CB4"/>
    <w:rsid w:val="00464198"/>
    <w:rsid w:val="004642FE"/>
    <w:rsid w:val="00465763"/>
    <w:rsid w:val="00470C69"/>
    <w:rsid w:val="004726C8"/>
    <w:rsid w:val="00473B09"/>
    <w:rsid w:val="00476ECA"/>
    <w:rsid w:val="00477B1A"/>
    <w:rsid w:val="00477F2A"/>
    <w:rsid w:val="00480DE6"/>
    <w:rsid w:val="00482A1F"/>
    <w:rsid w:val="00482C50"/>
    <w:rsid w:val="00483480"/>
    <w:rsid w:val="00484798"/>
    <w:rsid w:val="004860C3"/>
    <w:rsid w:val="00486486"/>
    <w:rsid w:val="00486C6B"/>
    <w:rsid w:val="00487B33"/>
    <w:rsid w:val="00491658"/>
    <w:rsid w:val="00492FA1"/>
    <w:rsid w:val="0049404E"/>
    <w:rsid w:val="004960F8"/>
    <w:rsid w:val="00497479"/>
    <w:rsid w:val="00497549"/>
    <w:rsid w:val="004A24F0"/>
    <w:rsid w:val="004A32A6"/>
    <w:rsid w:val="004A5E41"/>
    <w:rsid w:val="004B3D81"/>
    <w:rsid w:val="004C0ADE"/>
    <w:rsid w:val="004C1F95"/>
    <w:rsid w:val="004C2EF6"/>
    <w:rsid w:val="004C5EAB"/>
    <w:rsid w:val="004C6150"/>
    <w:rsid w:val="004C6A6C"/>
    <w:rsid w:val="004C6F0B"/>
    <w:rsid w:val="004C6F22"/>
    <w:rsid w:val="004C7623"/>
    <w:rsid w:val="004C78A3"/>
    <w:rsid w:val="004C7AB3"/>
    <w:rsid w:val="004D07DF"/>
    <w:rsid w:val="004D33ED"/>
    <w:rsid w:val="004D3CC0"/>
    <w:rsid w:val="004D42F8"/>
    <w:rsid w:val="004D4510"/>
    <w:rsid w:val="004D4AA5"/>
    <w:rsid w:val="004D611F"/>
    <w:rsid w:val="004D7D51"/>
    <w:rsid w:val="004D7E35"/>
    <w:rsid w:val="004E0075"/>
    <w:rsid w:val="004E3F50"/>
    <w:rsid w:val="004E4EFC"/>
    <w:rsid w:val="004E5632"/>
    <w:rsid w:val="004E58AB"/>
    <w:rsid w:val="004E58F5"/>
    <w:rsid w:val="004E6188"/>
    <w:rsid w:val="004F04EA"/>
    <w:rsid w:val="004F0BBC"/>
    <w:rsid w:val="004F1CD2"/>
    <w:rsid w:val="004F3AD1"/>
    <w:rsid w:val="004F582B"/>
    <w:rsid w:val="004F5899"/>
    <w:rsid w:val="004F5CA9"/>
    <w:rsid w:val="00501DC6"/>
    <w:rsid w:val="00502239"/>
    <w:rsid w:val="00502CFD"/>
    <w:rsid w:val="00502FF2"/>
    <w:rsid w:val="0050536F"/>
    <w:rsid w:val="00507FE8"/>
    <w:rsid w:val="005110D3"/>
    <w:rsid w:val="005122F4"/>
    <w:rsid w:val="00512C2D"/>
    <w:rsid w:val="00512D9D"/>
    <w:rsid w:val="005135E7"/>
    <w:rsid w:val="0051461D"/>
    <w:rsid w:val="00517586"/>
    <w:rsid w:val="00520ADE"/>
    <w:rsid w:val="0052251E"/>
    <w:rsid w:val="0052333A"/>
    <w:rsid w:val="00525906"/>
    <w:rsid w:val="005278AA"/>
    <w:rsid w:val="0053471D"/>
    <w:rsid w:val="005358FA"/>
    <w:rsid w:val="00535C12"/>
    <w:rsid w:val="00536CC0"/>
    <w:rsid w:val="005373B0"/>
    <w:rsid w:val="00537605"/>
    <w:rsid w:val="00537A17"/>
    <w:rsid w:val="0054021D"/>
    <w:rsid w:val="005424D8"/>
    <w:rsid w:val="00542510"/>
    <w:rsid w:val="005430D6"/>
    <w:rsid w:val="005444DF"/>
    <w:rsid w:val="005456A9"/>
    <w:rsid w:val="0054652E"/>
    <w:rsid w:val="005467E7"/>
    <w:rsid w:val="0054703C"/>
    <w:rsid w:val="005474DE"/>
    <w:rsid w:val="0054795F"/>
    <w:rsid w:val="00550D42"/>
    <w:rsid w:val="00550DC4"/>
    <w:rsid w:val="005514AF"/>
    <w:rsid w:val="00551B4A"/>
    <w:rsid w:val="00552394"/>
    <w:rsid w:val="005525C3"/>
    <w:rsid w:val="00552860"/>
    <w:rsid w:val="00554AFE"/>
    <w:rsid w:val="0055660B"/>
    <w:rsid w:val="00556A58"/>
    <w:rsid w:val="00557436"/>
    <w:rsid w:val="005627DD"/>
    <w:rsid w:val="00565E16"/>
    <w:rsid w:val="00565EA3"/>
    <w:rsid w:val="005678F7"/>
    <w:rsid w:val="00567F95"/>
    <w:rsid w:val="00572476"/>
    <w:rsid w:val="00572D64"/>
    <w:rsid w:val="00573C88"/>
    <w:rsid w:val="00573D75"/>
    <w:rsid w:val="0057474E"/>
    <w:rsid w:val="005762AD"/>
    <w:rsid w:val="005770BB"/>
    <w:rsid w:val="0057799A"/>
    <w:rsid w:val="00580AB2"/>
    <w:rsid w:val="00581DD1"/>
    <w:rsid w:val="00582092"/>
    <w:rsid w:val="005828D6"/>
    <w:rsid w:val="00585A68"/>
    <w:rsid w:val="005861CD"/>
    <w:rsid w:val="0058683C"/>
    <w:rsid w:val="005868C9"/>
    <w:rsid w:val="00586A03"/>
    <w:rsid w:val="00586B6F"/>
    <w:rsid w:val="005870B3"/>
    <w:rsid w:val="00587547"/>
    <w:rsid w:val="005877F6"/>
    <w:rsid w:val="00590CF1"/>
    <w:rsid w:val="00591EA5"/>
    <w:rsid w:val="00592F71"/>
    <w:rsid w:val="00592FF1"/>
    <w:rsid w:val="005A0205"/>
    <w:rsid w:val="005A0D23"/>
    <w:rsid w:val="005A1F5A"/>
    <w:rsid w:val="005A3564"/>
    <w:rsid w:val="005A495B"/>
    <w:rsid w:val="005A56EA"/>
    <w:rsid w:val="005A7C30"/>
    <w:rsid w:val="005B3980"/>
    <w:rsid w:val="005B39FE"/>
    <w:rsid w:val="005B538C"/>
    <w:rsid w:val="005B6385"/>
    <w:rsid w:val="005B7896"/>
    <w:rsid w:val="005C0FD4"/>
    <w:rsid w:val="005C1C00"/>
    <w:rsid w:val="005C31E6"/>
    <w:rsid w:val="005C3479"/>
    <w:rsid w:val="005C3B44"/>
    <w:rsid w:val="005C43DF"/>
    <w:rsid w:val="005C4816"/>
    <w:rsid w:val="005C5E8D"/>
    <w:rsid w:val="005D00AF"/>
    <w:rsid w:val="005D3E66"/>
    <w:rsid w:val="005E0A69"/>
    <w:rsid w:val="005E1CA4"/>
    <w:rsid w:val="005E459C"/>
    <w:rsid w:val="005E5029"/>
    <w:rsid w:val="005E6299"/>
    <w:rsid w:val="005F2A6A"/>
    <w:rsid w:val="005F3334"/>
    <w:rsid w:val="005F35E4"/>
    <w:rsid w:val="005F46BB"/>
    <w:rsid w:val="005F52DA"/>
    <w:rsid w:val="005F5E49"/>
    <w:rsid w:val="00600CEF"/>
    <w:rsid w:val="00601094"/>
    <w:rsid w:val="00601B4B"/>
    <w:rsid w:val="00603813"/>
    <w:rsid w:val="006048D9"/>
    <w:rsid w:val="0060525D"/>
    <w:rsid w:val="00606B0C"/>
    <w:rsid w:val="00606EDF"/>
    <w:rsid w:val="00607C9F"/>
    <w:rsid w:val="00611002"/>
    <w:rsid w:val="006122C6"/>
    <w:rsid w:val="006128AC"/>
    <w:rsid w:val="0061346B"/>
    <w:rsid w:val="0061542D"/>
    <w:rsid w:val="00620715"/>
    <w:rsid w:val="0062348D"/>
    <w:rsid w:val="00624187"/>
    <w:rsid w:val="00624BD7"/>
    <w:rsid w:val="006252AF"/>
    <w:rsid w:val="00625D66"/>
    <w:rsid w:val="006301E9"/>
    <w:rsid w:val="006304CC"/>
    <w:rsid w:val="00631DEC"/>
    <w:rsid w:val="0063400A"/>
    <w:rsid w:val="00634CC2"/>
    <w:rsid w:val="00635435"/>
    <w:rsid w:val="006357A9"/>
    <w:rsid w:val="00636109"/>
    <w:rsid w:val="00637F2B"/>
    <w:rsid w:val="00640681"/>
    <w:rsid w:val="00643F13"/>
    <w:rsid w:val="00645CAF"/>
    <w:rsid w:val="0064679D"/>
    <w:rsid w:val="00646FBB"/>
    <w:rsid w:val="006476CE"/>
    <w:rsid w:val="006503D3"/>
    <w:rsid w:val="00652E53"/>
    <w:rsid w:val="00654CF6"/>
    <w:rsid w:val="00654F4F"/>
    <w:rsid w:val="00656945"/>
    <w:rsid w:val="00660BB6"/>
    <w:rsid w:val="00661BA3"/>
    <w:rsid w:val="0066223F"/>
    <w:rsid w:val="00663C55"/>
    <w:rsid w:val="00672187"/>
    <w:rsid w:val="0067483E"/>
    <w:rsid w:val="00674C03"/>
    <w:rsid w:val="0067674F"/>
    <w:rsid w:val="00676AA0"/>
    <w:rsid w:val="00676B2B"/>
    <w:rsid w:val="00677342"/>
    <w:rsid w:val="006774B9"/>
    <w:rsid w:val="00680D25"/>
    <w:rsid w:val="00681700"/>
    <w:rsid w:val="0068230F"/>
    <w:rsid w:val="00683EF6"/>
    <w:rsid w:val="0068417F"/>
    <w:rsid w:val="0068650D"/>
    <w:rsid w:val="00687E5A"/>
    <w:rsid w:val="00690931"/>
    <w:rsid w:val="006935CB"/>
    <w:rsid w:val="00693C0C"/>
    <w:rsid w:val="00694042"/>
    <w:rsid w:val="0069514B"/>
    <w:rsid w:val="006952B8"/>
    <w:rsid w:val="006973A4"/>
    <w:rsid w:val="00697D38"/>
    <w:rsid w:val="006A0153"/>
    <w:rsid w:val="006A0450"/>
    <w:rsid w:val="006A0781"/>
    <w:rsid w:val="006A0A7C"/>
    <w:rsid w:val="006A2FA2"/>
    <w:rsid w:val="006A400A"/>
    <w:rsid w:val="006A433A"/>
    <w:rsid w:val="006A442F"/>
    <w:rsid w:val="006A635D"/>
    <w:rsid w:val="006A6B7E"/>
    <w:rsid w:val="006A76FC"/>
    <w:rsid w:val="006B03BE"/>
    <w:rsid w:val="006B0B13"/>
    <w:rsid w:val="006B10BA"/>
    <w:rsid w:val="006B21F9"/>
    <w:rsid w:val="006B31F9"/>
    <w:rsid w:val="006B34CC"/>
    <w:rsid w:val="006B690E"/>
    <w:rsid w:val="006B70FF"/>
    <w:rsid w:val="006B7FF7"/>
    <w:rsid w:val="006C01BE"/>
    <w:rsid w:val="006C0812"/>
    <w:rsid w:val="006C333E"/>
    <w:rsid w:val="006D0719"/>
    <w:rsid w:val="006D121D"/>
    <w:rsid w:val="006D1409"/>
    <w:rsid w:val="006D2198"/>
    <w:rsid w:val="006D261C"/>
    <w:rsid w:val="006D29B1"/>
    <w:rsid w:val="006D3D8B"/>
    <w:rsid w:val="006D4326"/>
    <w:rsid w:val="006E00EB"/>
    <w:rsid w:val="006E1B8C"/>
    <w:rsid w:val="006E3D7F"/>
    <w:rsid w:val="006E493C"/>
    <w:rsid w:val="006E7544"/>
    <w:rsid w:val="006E7D40"/>
    <w:rsid w:val="006F0012"/>
    <w:rsid w:val="006F083F"/>
    <w:rsid w:val="006F0FCE"/>
    <w:rsid w:val="006F24A7"/>
    <w:rsid w:val="006F31BB"/>
    <w:rsid w:val="006F36D3"/>
    <w:rsid w:val="006F6030"/>
    <w:rsid w:val="006F62A0"/>
    <w:rsid w:val="006F694F"/>
    <w:rsid w:val="006F75D1"/>
    <w:rsid w:val="006F7B4F"/>
    <w:rsid w:val="007019AE"/>
    <w:rsid w:val="00702083"/>
    <w:rsid w:val="00703446"/>
    <w:rsid w:val="007045EC"/>
    <w:rsid w:val="00706077"/>
    <w:rsid w:val="007101F3"/>
    <w:rsid w:val="007118A7"/>
    <w:rsid w:val="00711B4E"/>
    <w:rsid w:val="0071236C"/>
    <w:rsid w:val="007126DF"/>
    <w:rsid w:val="00712968"/>
    <w:rsid w:val="007139E4"/>
    <w:rsid w:val="00714140"/>
    <w:rsid w:val="00716BC0"/>
    <w:rsid w:val="007177BB"/>
    <w:rsid w:val="0072093F"/>
    <w:rsid w:val="00720E8A"/>
    <w:rsid w:val="007213DC"/>
    <w:rsid w:val="0072184F"/>
    <w:rsid w:val="007221B0"/>
    <w:rsid w:val="00722340"/>
    <w:rsid w:val="00722ED6"/>
    <w:rsid w:val="007259C2"/>
    <w:rsid w:val="00727531"/>
    <w:rsid w:val="00727891"/>
    <w:rsid w:val="0073090C"/>
    <w:rsid w:val="00731C02"/>
    <w:rsid w:val="0073200D"/>
    <w:rsid w:val="00732750"/>
    <w:rsid w:val="007335AE"/>
    <w:rsid w:val="007341A1"/>
    <w:rsid w:val="00735B54"/>
    <w:rsid w:val="007364B5"/>
    <w:rsid w:val="00736BF8"/>
    <w:rsid w:val="00737D57"/>
    <w:rsid w:val="00741688"/>
    <w:rsid w:val="007422E5"/>
    <w:rsid w:val="00742ACC"/>
    <w:rsid w:val="0074518B"/>
    <w:rsid w:val="007458B4"/>
    <w:rsid w:val="00746717"/>
    <w:rsid w:val="007467DE"/>
    <w:rsid w:val="00746BDA"/>
    <w:rsid w:val="007503CF"/>
    <w:rsid w:val="00751608"/>
    <w:rsid w:val="007527B8"/>
    <w:rsid w:val="00753361"/>
    <w:rsid w:val="00753FAC"/>
    <w:rsid w:val="0075473A"/>
    <w:rsid w:val="007571EB"/>
    <w:rsid w:val="00757A7B"/>
    <w:rsid w:val="007639EB"/>
    <w:rsid w:val="00763B1F"/>
    <w:rsid w:val="00764437"/>
    <w:rsid w:val="00764D39"/>
    <w:rsid w:val="007664D9"/>
    <w:rsid w:val="007666F9"/>
    <w:rsid w:val="0076736D"/>
    <w:rsid w:val="00772B9E"/>
    <w:rsid w:val="00773D1C"/>
    <w:rsid w:val="00774A96"/>
    <w:rsid w:val="007752BE"/>
    <w:rsid w:val="00775C02"/>
    <w:rsid w:val="007763D4"/>
    <w:rsid w:val="00776877"/>
    <w:rsid w:val="0077740E"/>
    <w:rsid w:val="00777E22"/>
    <w:rsid w:val="00780954"/>
    <w:rsid w:val="00781498"/>
    <w:rsid w:val="00784A5B"/>
    <w:rsid w:val="007860E3"/>
    <w:rsid w:val="007903B1"/>
    <w:rsid w:val="00791125"/>
    <w:rsid w:val="00791F88"/>
    <w:rsid w:val="00793211"/>
    <w:rsid w:val="0079589E"/>
    <w:rsid w:val="00795DE4"/>
    <w:rsid w:val="00796E32"/>
    <w:rsid w:val="007A2910"/>
    <w:rsid w:val="007A5697"/>
    <w:rsid w:val="007A6D30"/>
    <w:rsid w:val="007A74A8"/>
    <w:rsid w:val="007A7822"/>
    <w:rsid w:val="007B00C4"/>
    <w:rsid w:val="007B0587"/>
    <w:rsid w:val="007B2825"/>
    <w:rsid w:val="007B3FE7"/>
    <w:rsid w:val="007B4D43"/>
    <w:rsid w:val="007B4D6A"/>
    <w:rsid w:val="007B61EA"/>
    <w:rsid w:val="007B6685"/>
    <w:rsid w:val="007B6B90"/>
    <w:rsid w:val="007C040B"/>
    <w:rsid w:val="007C0B23"/>
    <w:rsid w:val="007C0C37"/>
    <w:rsid w:val="007C1804"/>
    <w:rsid w:val="007C273F"/>
    <w:rsid w:val="007C2BEF"/>
    <w:rsid w:val="007C3478"/>
    <w:rsid w:val="007C474E"/>
    <w:rsid w:val="007C49F6"/>
    <w:rsid w:val="007C701D"/>
    <w:rsid w:val="007C722A"/>
    <w:rsid w:val="007D1948"/>
    <w:rsid w:val="007D1A2E"/>
    <w:rsid w:val="007D23BF"/>
    <w:rsid w:val="007D60DB"/>
    <w:rsid w:val="007D615F"/>
    <w:rsid w:val="007E03D6"/>
    <w:rsid w:val="007E05FE"/>
    <w:rsid w:val="007E0C57"/>
    <w:rsid w:val="007E38C5"/>
    <w:rsid w:val="007E4474"/>
    <w:rsid w:val="007E5512"/>
    <w:rsid w:val="007F0022"/>
    <w:rsid w:val="007F062B"/>
    <w:rsid w:val="007F172A"/>
    <w:rsid w:val="007F2C5A"/>
    <w:rsid w:val="007F3B04"/>
    <w:rsid w:val="007F403B"/>
    <w:rsid w:val="007F5123"/>
    <w:rsid w:val="00800176"/>
    <w:rsid w:val="00800F3F"/>
    <w:rsid w:val="00801882"/>
    <w:rsid w:val="00802408"/>
    <w:rsid w:val="00803143"/>
    <w:rsid w:val="00803D6E"/>
    <w:rsid w:val="00805591"/>
    <w:rsid w:val="0080693E"/>
    <w:rsid w:val="00807B06"/>
    <w:rsid w:val="00807C1A"/>
    <w:rsid w:val="008100C8"/>
    <w:rsid w:val="00813ACF"/>
    <w:rsid w:val="00822EE4"/>
    <w:rsid w:val="00823E69"/>
    <w:rsid w:val="00824A67"/>
    <w:rsid w:val="00825B11"/>
    <w:rsid w:val="00826DF6"/>
    <w:rsid w:val="0082761A"/>
    <w:rsid w:val="00830124"/>
    <w:rsid w:val="0083055C"/>
    <w:rsid w:val="00830C0A"/>
    <w:rsid w:val="00830C2C"/>
    <w:rsid w:val="00831A1E"/>
    <w:rsid w:val="00832151"/>
    <w:rsid w:val="00832600"/>
    <w:rsid w:val="008332D9"/>
    <w:rsid w:val="0083386A"/>
    <w:rsid w:val="00833C7A"/>
    <w:rsid w:val="008353C5"/>
    <w:rsid w:val="00835672"/>
    <w:rsid w:val="00836244"/>
    <w:rsid w:val="0083704D"/>
    <w:rsid w:val="00837183"/>
    <w:rsid w:val="0084216B"/>
    <w:rsid w:val="008425DA"/>
    <w:rsid w:val="0084342C"/>
    <w:rsid w:val="00843B4D"/>
    <w:rsid w:val="00844B72"/>
    <w:rsid w:val="00844F9C"/>
    <w:rsid w:val="00845109"/>
    <w:rsid w:val="0084646F"/>
    <w:rsid w:val="00846CB3"/>
    <w:rsid w:val="00846FB4"/>
    <w:rsid w:val="00847253"/>
    <w:rsid w:val="008473B4"/>
    <w:rsid w:val="008504A3"/>
    <w:rsid w:val="00851EBD"/>
    <w:rsid w:val="0085290E"/>
    <w:rsid w:val="00853475"/>
    <w:rsid w:val="008544E4"/>
    <w:rsid w:val="00857A7A"/>
    <w:rsid w:val="00861FDD"/>
    <w:rsid w:val="0086227A"/>
    <w:rsid w:val="00862960"/>
    <w:rsid w:val="00863AA8"/>
    <w:rsid w:val="00864825"/>
    <w:rsid w:val="00864889"/>
    <w:rsid w:val="0086555B"/>
    <w:rsid w:val="0086783C"/>
    <w:rsid w:val="00870D02"/>
    <w:rsid w:val="00870D28"/>
    <w:rsid w:val="00872E0F"/>
    <w:rsid w:val="00874F20"/>
    <w:rsid w:val="00876F9E"/>
    <w:rsid w:val="008772DE"/>
    <w:rsid w:val="00877FCD"/>
    <w:rsid w:val="00880BA2"/>
    <w:rsid w:val="00880F39"/>
    <w:rsid w:val="00881BD6"/>
    <w:rsid w:val="00882AB7"/>
    <w:rsid w:val="0088413D"/>
    <w:rsid w:val="0088575E"/>
    <w:rsid w:val="00885CAF"/>
    <w:rsid w:val="0088635F"/>
    <w:rsid w:val="00887B05"/>
    <w:rsid w:val="00887BAC"/>
    <w:rsid w:val="008922FC"/>
    <w:rsid w:val="008926FB"/>
    <w:rsid w:val="00892ACF"/>
    <w:rsid w:val="00892CD3"/>
    <w:rsid w:val="0089353F"/>
    <w:rsid w:val="00894799"/>
    <w:rsid w:val="00896EAB"/>
    <w:rsid w:val="008A28D6"/>
    <w:rsid w:val="008A3C15"/>
    <w:rsid w:val="008B0795"/>
    <w:rsid w:val="008B0C0F"/>
    <w:rsid w:val="008B1462"/>
    <w:rsid w:val="008B30E9"/>
    <w:rsid w:val="008B4D49"/>
    <w:rsid w:val="008B4DF5"/>
    <w:rsid w:val="008B4E7B"/>
    <w:rsid w:val="008B52CF"/>
    <w:rsid w:val="008B558C"/>
    <w:rsid w:val="008B6C7E"/>
    <w:rsid w:val="008B6E7A"/>
    <w:rsid w:val="008C0D8A"/>
    <w:rsid w:val="008C113C"/>
    <w:rsid w:val="008C163F"/>
    <w:rsid w:val="008C1984"/>
    <w:rsid w:val="008C1FE0"/>
    <w:rsid w:val="008C2F91"/>
    <w:rsid w:val="008C30C4"/>
    <w:rsid w:val="008C3213"/>
    <w:rsid w:val="008C3BF5"/>
    <w:rsid w:val="008C4534"/>
    <w:rsid w:val="008C502A"/>
    <w:rsid w:val="008D0BF3"/>
    <w:rsid w:val="008D2503"/>
    <w:rsid w:val="008D3AB5"/>
    <w:rsid w:val="008D54FB"/>
    <w:rsid w:val="008D556A"/>
    <w:rsid w:val="008D5B43"/>
    <w:rsid w:val="008E1266"/>
    <w:rsid w:val="008E20C4"/>
    <w:rsid w:val="008E2C0E"/>
    <w:rsid w:val="008E2F2D"/>
    <w:rsid w:val="008E411E"/>
    <w:rsid w:val="008E4653"/>
    <w:rsid w:val="008E4EA4"/>
    <w:rsid w:val="008E4EF3"/>
    <w:rsid w:val="008E6170"/>
    <w:rsid w:val="008E7A24"/>
    <w:rsid w:val="008F1B24"/>
    <w:rsid w:val="008F1C48"/>
    <w:rsid w:val="008F3FF3"/>
    <w:rsid w:val="008F5667"/>
    <w:rsid w:val="008F57E9"/>
    <w:rsid w:val="008F67CB"/>
    <w:rsid w:val="008F74C8"/>
    <w:rsid w:val="009003BF"/>
    <w:rsid w:val="00903686"/>
    <w:rsid w:val="00903D0C"/>
    <w:rsid w:val="009108B8"/>
    <w:rsid w:val="00910F76"/>
    <w:rsid w:val="00912020"/>
    <w:rsid w:val="009132F4"/>
    <w:rsid w:val="009155A9"/>
    <w:rsid w:val="00915A2F"/>
    <w:rsid w:val="00917E2A"/>
    <w:rsid w:val="00921907"/>
    <w:rsid w:val="00921CD0"/>
    <w:rsid w:val="00923223"/>
    <w:rsid w:val="009238FC"/>
    <w:rsid w:val="00924003"/>
    <w:rsid w:val="00924FDF"/>
    <w:rsid w:val="00927BA0"/>
    <w:rsid w:val="00927E3C"/>
    <w:rsid w:val="009300DD"/>
    <w:rsid w:val="00930CF2"/>
    <w:rsid w:val="00930FF5"/>
    <w:rsid w:val="00931497"/>
    <w:rsid w:val="009344B9"/>
    <w:rsid w:val="00935A41"/>
    <w:rsid w:val="00935B11"/>
    <w:rsid w:val="009361D3"/>
    <w:rsid w:val="00936F46"/>
    <w:rsid w:val="00937AD9"/>
    <w:rsid w:val="0094375E"/>
    <w:rsid w:val="009462AE"/>
    <w:rsid w:val="0094685A"/>
    <w:rsid w:val="00947CAF"/>
    <w:rsid w:val="0095087E"/>
    <w:rsid w:val="00953CE9"/>
    <w:rsid w:val="00954BE0"/>
    <w:rsid w:val="00954C60"/>
    <w:rsid w:val="00955A1E"/>
    <w:rsid w:val="00956D3B"/>
    <w:rsid w:val="00957571"/>
    <w:rsid w:val="00960ACF"/>
    <w:rsid w:val="00961017"/>
    <w:rsid w:val="00961335"/>
    <w:rsid w:val="00962093"/>
    <w:rsid w:val="009627DA"/>
    <w:rsid w:val="00962E56"/>
    <w:rsid w:val="00964046"/>
    <w:rsid w:val="00964EE9"/>
    <w:rsid w:val="00966799"/>
    <w:rsid w:val="00967B35"/>
    <w:rsid w:val="00970DAE"/>
    <w:rsid w:val="00976721"/>
    <w:rsid w:val="00977701"/>
    <w:rsid w:val="00977CE1"/>
    <w:rsid w:val="00984280"/>
    <w:rsid w:val="00985AC0"/>
    <w:rsid w:val="009867A9"/>
    <w:rsid w:val="00987D75"/>
    <w:rsid w:val="009909B4"/>
    <w:rsid w:val="009914FD"/>
    <w:rsid w:val="00991D23"/>
    <w:rsid w:val="00991DED"/>
    <w:rsid w:val="00992892"/>
    <w:rsid w:val="009975B4"/>
    <w:rsid w:val="009A3D01"/>
    <w:rsid w:val="009A3ECA"/>
    <w:rsid w:val="009A3FFB"/>
    <w:rsid w:val="009A4BD7"/>
    <w:rsid w:val="009A77F2"/>
    <w:rsid w:val="009B4BC4"/>
    <w:rsid w:val="009B69B0"/>
    <w:rsid w:val="009B6C8D"/>
    <w:rsid w:val="009B6F6E"/>
    <w:rsid w:val="009C052A"/>
    <w:rsid w:val="009C0D24"/>
    <w:rsid w:val="009C1978"/>
    <w:rsid w:val="009C243B"/>
    <w:rsid w:val="009C2E52"/>
    <w:rsid w:val="009C492E"/>
    <w:rsid w:val="009C5742"/>
    <w:rsid w:val="009C634D"/>
    <w:rsid w:val="009D09B2"/>
    <w:rsid w:val="009D1894"/>
    <w:rsid w:val="009D1FDE"/>
    <w:rsid w:val="009D4825"/>
    <w:rsid w:val="009D7A62"/>
    <w:rsid w:val="009D7E3A"/>
    <w:rsid w:val="009E0E6F"/>
    <w:rsid w:val="009E48AA"/>
    <w:rsid w:val="009E5EE5"/>
    <w:rsid w:val="009E724C"/>
    <w:rsid w:val="009E751E"/>
    <w:rsid w:val="009F005A"/>
    <w:rsid w:val="009F060E"/>
    <w:rsid w:val="009F0AAF"/>
    <w:rsid w:val="009F2731"/>
    <w:rsid w:val="009F29FF"/>
    <w:rsid w:val="009F62C3"/>
    <w:rsid w:val="009F6B33"/>
    <w:rsid w:val="00A009E1"/>
    <w:rsid w:val="00A00F92"/>
    <w:rsid w:val="00A03285"/>
    <w:rsid w:val="00A049BB"/>
    <w:rsid w:val="00A04CAD"/>
    <w:rsid w:val="00A054E9"/>
    <w:rsid w:val="00A05EBA"/>
    <w:rsid w:val="00A06538"/>
    <w:rsid w:val="00A0779C"/>
    <w:rsid w:val="00A10E9E"/>
    <w:rsid w:val="00A10EE8"/>
    <w:rsid w:val="00A122BB"/>
    <w:rsid w:val="00A124C4"/>
    <w:rsid w:val="00A127F5"/>
    <w:rsid w:val="00A128C2"/>
    <w:rsid w:val="00A15221"/>
    <w:rsid w:val="00A15782"/>
    <w:rsid w:val="00A166D9"/>
    <w:rsid w:val="00A171FE"/>
    <w:rsid w:val="00A174BA"/>
    <w:rsid w:val="00A17910"/>
    <w:rsid w:val="00A17CA6"/>
    <w:rsid w:val="00A17E00"/>
    <w:rsid w:val="00A20702"/>
    <w:rsid w:val="00A20DAE"/>
    <w:rsid w:val="00A20FCF"/>
    <w:rsid w:val="00A21FEB"/>
    <w:rsid w:val="00A22B25"/>
    <w:rsid w:val="00A23187"/>
    <w:rsid w:val="00A236B9"/>
    <w:rsid w:val="00A23A14"/>
    <w:rsid w:val="00A23AA3"/>
    <w:rsid w:val="00A23B5F"/>
    <w:rsid w:val="00A2770E"/>
    <w:rsid w:val="00A3278F"/>
    <w:rsid w:val="00A33A06"/>
    <w:rsid w:val="00A3443B"/>
    <w:rsid w:val="00A358EB"/>
    <w:rsid w:val="00A37343"/>
    <w:rsid w:val="00A4267A"/>
    <w:rsid w:val="00A4388C"/>
    <w:rsid w:val="00A43908"/>
    <w:rsid w:val="00A448BE"/>
    <w:rsid w:val="00A4567F"/>
    <w:rsid w:val="00A45C1D"/>
    <w:rsid w:val="00A45F50"/>
    <w:rsid w:val="00A46714"/>
    <w:rsid w:val="00A528D0"/>
    <w:rsid w:val="00A52F54"/>
    <w:rsid w:val="00A541EA"/>
    <w:rsid w:val="00A54843"/>
    <w:rsid w:val="00A5593E"/>
    <w:rsid w:val="00A56AC5"/>
    <w:rsid w:val="00A57715"/>
    <w:rsid w:val="00A57B1E"/>
    <w:rsid w:val="00A64CCC"/>
    <w:rsid w:val="00A6732B"/>
    <w:rsid w:val="00A6791F"/>
    <w:rsid w:val="00A70562"/>
    <w:rsid w:val="00A72122"/>
    <w:rsid w:val="00A722F2"/>
    <w:rsid w:val="00A75977"/>
    <w:rsid w:val="00A76125"/>
    <w:rsid w:val="00A76434"/>
    <w:rsid w:val="00A84845"/>
    <w:rsid w:val="00A863E6"/>
    <w:rsid w:val="00A86830"/>
    <w:rsid w:val="00A86BBC"/>
    <w:rsid w:val="00A939FC"/>
    <w:rsid w:val="00A96587"/>
    <w:rsid w:val="00AA0DFF"/>
    <w:rsid w:val="00AA2D5C"/>
    <w:rsid w:val="00AA37F9"/>
    <w:rsid w:val="00AA3F24"/>
    <w:rsid w:val="00AA48DB"/>
    <w:rsid w:val="00AA6D6C"/>
    <w:rsid w:val="00AA7036"/>
    <w:rsid w:val="00AA76E0"/>
    <w:rsid w:val="00AB0A91"/>
    <w:rsid w:val="00AB288E"/>
    <w:rsid w:val="00AB4907"/>
    <w:rsid w:val="00AB4B93"/>
    <w:rsid w:val="00AB7BC7"/>
    <w:rsid w:val="00AC0555"/>
    <w:rsid w:val="00AC19D2"/>
    <w:rsid w:val="00AC3CE1"/>
    <w:rsid w:val="00AC5C4C"/>
    <w:rsid w:val="00AC5E26"/>
    <w:rsid w:val="00AD1E46"/>
    <w:rsid w:val="00AD5827"/>
    <w:rsid w:val="00AD5D52"/>
    <w:rsid w:val="00AD62B3"/>
    <w:rsid w:val="00AD6419"/>
    <w:rsid w:val="00AD664C"/>
    <w:rsid w:val="00AD6C25"/>
    <w:rsid w:val="00AD725B"/>
    <w:rsid w:val="00AD770E"/>
    <w:rsid w:val="00AE170B"/>
    <w:rsid w:val="00AE1C40"/>
    <w:rsid w:val="00AE1CDC"/>
    <w:rsid w:val="00AE5D73"/>
    <w:rsid w:val="00AF115A"/>
    <w:rsid w:val="00AF1A28"/>
    <w:rsid w:val="00AF39AF"/>
    <w:rsid w:val="00AF4078"/>
    <w:rsid w:val="00AF4596"/>
    <w:rsid w:val="00AF62B4"/>
    <w:rsid w:val="00AF643A"/>
    <w:rsid w:val="00B01BE8"/>
    <w:rsid w:val="00B03681"/>
    <w:rsid w:val="00B0516F"/>
    <w:rsid w:val="00B0648B"/>
    <w:rsid w:val="00B0788D"/>
    <w:rsid w:val="00B10422"/>
    <w:rsid w:val="00B128F3"/>
    <w:rsid w:val="00B12E42"/>
    <w:rsid w:val="00B1458C"/>
    <w:rsid w:val="00B16693"/>
    <w:rsid w:val="00B174A4"/>
    <w:rsid w:val="00B208FC"/>
    <w:rsid w:val="00B21CD1"/>
    <w:rsid w:val="00B23AF3"/>
    <w:rsid w:val="00B245B8"/>
    <w:rsid w:val="00B245BE"/>
    <w:rsid w:val="00B26FE7"/>
    <w:rsid w:val="00B3135E"/>
    <w:rsid w:val="00B3595D"/>
    <w:rsid w:val="00B35BA3"/>
    <w:rsid w:val="00B36260"/>
    <w:rsid w:val="00B36360"/>
    <w:rsid w:val="00B40276"/>
    <w:rsid w:val="00B40CB7"/>
    <w:rsid w:val="00B41173"/>
    <w:rsid w:val="00B41738"/>
    <w:rsid w:val="00B41B5C"/>
    <w:rsid w:val="00B41E08"/>
    <w:rsid w:val="00B43318"/>
    <w:rsid w:val="00B4362D"/>
    <w:rsid w:val="00B43BE5"/>
    <w:rsid w:val="00B43F73"/>
    <w:rsid w:val="00B45AEE"/>
    <w:rsid w:val="00B471FD"/>
    <w:rsid w:val="00B50EB6"/>
    <w:rsid w:val="00B527B1"/>
    <w:rsid w:val="00B52ABC"/>
    <w:rsid w:val="00B52BCB"/>
    <w:rsid w:val="00B52BDF"/>
    <w:rsid w:val="00B5396F"/>
    <w:rsid w:val="00B564D2"/>
    <w:rsid w:val="00B57137"/>
    <w:rsid w:val="00B60C6E"/>
    <w:rsid w:val="00B6177A"/>
    <w:rsid w:val="00B62C19"/>
    <w:rsid w:val="00B62D07"/>
    <w:rsid w:val="00B62F5D"/>
    <w:rsid w:val="00B63854"/>
    <w:rsid w:val="00B6413B"/>
    <w:rsid w:val="00B6458E"/>
    <w:rsid w:val="00B646E8"/>
    <w:rsid w:val="00B64743"/>
    <w:rsid w:val="00B66A48"/>
    <w:rsid w:val="00B66E43"/>
    <w:rsid w:val="00B70D16"/>
    <w:rsid w:val="00B73B6F"/>
    <w:rsid w:val="00B74BB5"/>
    <w:rsid w:val="00B74BD1"/>
    <w:rsid w:val="00B75E8A"/>
    <w:rsid w:val="00B831D7"/>
    <w:rsid w:val="00B83525"/>
    <w:rsid w:val="00B83702"/>
    <w:rsid w:val="00B847F1"/>
    <w:rsid w:val="00B852CF"/>
    <w:rsid w:val="00B85A88"/>
    <w:rsid w:val="00B86BF1"/>
    <w:rsid w:val="00B8773D"/>
    <w:rsid w:val="00B960FC"/>
    <w:rsid w:val="00B96B13"/>
    <w:rsid w:val="00BA5931"/>
    <w:rsid w:val="00BA643D"/>
    <w:rsid w:val="00BA77B1"/>
    <w:rsid w:val="00BA7E6C"/>
    <w:rsid w:val="00BB0533"/>
    <w:rsid w:val="00BB2382"/>
    <w:rsid w:val="00BB5965"/>
    <w:rsid w:val="00BB6ABE"/>
    <w:rsid w:val="00BB6E73"/>
    <w:rsid w:val="00BC0679"/>
    <w:rsid w:val="00BC0BF6"/>
    <w:rsid w:val="00BC299D"/>
    <w:rsid w:val="00BC4002"/>
    <w:rsid w:val="00BC4039"/>
    <w:rsid w:val="00BC4788"/>
    <w:rsid w:val="00BC6999"/>
    <w:rsid w:val="00BD1BFA"/>
    <w:rsid w:val="00BD218F"/>
    <w:rsid w:val="00BD239B"/>
    <w:rsid w:val="00BD2CBA"/>
    <w:rsid w:val="00BD3046"/>
    <w:rsid w:val="00BD424B"/>
    <w:rsid w:val="00BD6F8F"/>
    <w:rsid w:val="00BD75C8"/>
    <w:rsid w:val="00BD7A67"/>
    <w:rsid w:val="00BE3415"/>
    <w:rsid w:val="00BE47A9"/>
    <w:rsid w:val="00BE56CF"/>
    <w:rsid w:val="00BE73AA"/>
    <w:rsid w:val="00BF0008"/>
    <w:rsid w:val="00BF01FE"/>
    <w:rsid w:val="00BF0B43"/>
    <w:rsid w:val="00BF2141"/>
    <w:rsid w:val="00BF2DEB"/>
    <w:rsid w:val="00BF3BDE"/>
    <w:rsid w:val="00BF53AE"/>
    <w:rsid w:val="00BF58A6"/>
    <w:rsid w:val="00BF58FE"/>
    <w:rsid w:val="00C0020E"/>
    <w:rsid w:val="00C00D89"/>
    <w:rsid w:val="00C01E54"/>
    <w:rsid w:val="00C027B9"/>
    <w:rsid w:val="00C03316"/>
    <w:rsid w:val="00C04CEB"/>
    <w:rsid w:val="00C063BE"/>
    <w:rsid w:val="00C07CE5"/>
    <w:rsid w:val="00C07D8B"/>
    <w:rsid w:val="00C1099A"/>
    <w:rsid w:val="00C10A2A"/>
    <w:rsid w:val="00C1144E"/>
    <w:rsid w:val="00C1173F"/>
    <w:rsid w:val="00C118AB"/>
    <w:rsid w:val="00C141CF"/>
    <w:rsid w:val="00C16670"/>
    <w:rsid w:val="00C17EE9"/>
    <w:rsid w:val="00C22DF3"/>
    <w:rsid w:val="00C234C3"/>
    <w:rsid w:val="00C247F6"/>
    <w:rsid w:val="00C24D58"/>
    <w:rsid w:val="00C259D0"/>
    <w:rsid w:val="00C27231"/>
    <w:rsid w:val="00C274DF"/>
    <w:rsid w:val="00C34E2D"/>
    <w:rsid w:val="00C360E7"/>
    <w:rsid w:val="00C368A2"/>
    <w:rsid w:val="00C40A53"/>
    <w:rsid w:val="00C416FC"/>
    <w:rsid w:val="00C4176C"/>
    <w:rsid w:val="00C42190"/>
    <w:rsid w:val="00C4331A"/>
    <w:rsid w:val="00C44F54"/>
    <w:rsid w:val="00C45F02"/>
    <w:rsid w:val="00C5138C"/>
    <w:rsid w:val="00C51FE2"/>
    <w:rsid w:val="00C52A8C"/>
    <w:rsid w:val="00C52F0D"/>
    <w:rsid w:val="00C536D8"/>
    <w:rsid w:val="00C55E63"/>
    <w:rsid w:val="00C55F5D"/>
    <w:rsid w:val="00C5670D"/>
    <w:rsid w:val="00C567BC"/>
    <w:rsid w:val="00C60C03"/>
    <w:rsid w:val="00C61906"/>
    <w:rsid w:val="00C645F4"/>
    <w:rsid w:val="00C64A1E"/>
    <w:rsid w:val="00C65A0F"/>
    <w:rsid w:val="00C65E61"/>
    <w:rsid w:val="00C66416"/>
    <w:rsid w:val="00C664E8"/>
    <w:rsid w:val="00C6720B"/>
    <w:rsid w:val="00C72249"/>
    <w:rsid w:val="00C74F5D"/>
    <w:rsid w:val="00C75C2F"/>
    <w:rsid w:val="00C7722F"/>
    <w:rsid w:val="00C777EC"/>
    <w:rsid w:val="00C7784E"/>
    <w:rsid w:val="00C80836"/>
    <w:rsid w:val="00C828E7"/>
    <w:rsid w:val="00C83E44"/>
    <w:rsid w:val="00C85FB7"/>
    <w:rsid w:val="00C86EF1"/>
    <w:rsid w:val="00C87051"/>
    <w:rsid w:val="00C90158"/>
    <w:rsid w:val="00C90A1E"/>
    <w:rsid w:val="00C91C7A"/>
    <w:rsid w:val="00C92185"/>
    <w:rsid w:val="00C92B14"/>
    <w:rsid w:val="00C92DC5"/>
    <w:rsid w:val="00CA138A"/>
    <w:rsid w:val="00CA1D95"/>
    <w:rsid w:val="00CA2B62"/>
    <w:rsid w:val="00CA2BFC"/>
    <w:rsid w:val="00CA3030"/>
    <w:rsid w:val="00CA3CD3"/>
    <w:rsid w:val="00CA5876"/>
    <w:rsid w:val="00CA5B5B"/>
    <w:rsid w:val="00CA647B"/>
    <w:rsid w:val="00CA6AF6"/>
    <w:rsid w:val="00CB0495"/>
    <w:rsid w:val="00CB0CCF"/>
    <w:rsid w:val="00CB3857"/>
    <w:rsid w:val="00CB3E3D"/>
    <w:rsid w:val="00CC01B0"/>
    <w:rsid w:val="00CC1044"/>
    <w:rsid w:val="00CC3BF3"/>
    <w:rsid w:val="00CC3FAB"/>
    <w:rsid w:val="00CC4D44"/>
    <w:rsid w:val="00CC51D2"/>
    <w:rsid w:val="00CD15B3"/>
    <w:rsid w:val="00CD2114"/>
    <w:rsid w:val="00CD345C"/>
    <w:rsid w:val="00CD36E4"/>
    <w:rsid w:val="00CD3DEF"/>
    <w:rsid w:val="00CD5A74"/>
    <w:rsid w:val="00CD76FF"/>
    <w:rsid w:val="00CE03A7"/>
    <w:rsid w:val="00CE2CF9"/>
    <w:rsid w:val="00CE64EF"/>
    <w:rsid w:val="00CF07A6"/>
    <w:rsid w:val="00CF0FFE"/>
    <w:rsid w:val="00CF135B"/>
    <w:rsid w:val="00CF1853"/>
    <w:rsid w:val="00CF52B0"/>
    <w:rsid w:val="00CF586B"/>
    <w:rsid w:val="00CF5ADF"/>
    <w:rsid w:val="00CF715C"/>
    <w:rsid w:val="00CF7CF7"/>
    <w:rsid w:val="00D017ED"/>
    <w:rsid w:val="00D02F8E"/>
    <w:rsid w:val="00D0319A"/>
    <w:rsid w:val="00D03518"/>
    <w:rsid w:val="00D03886"/>
    <w:rsid w:val="00D04463"/>
    <w:rsid w:val="00D04600"/>
    <w:rsid w:val="00D10749"/>
    <w:rsid w:val="00D1163E"/>
    <w:rsid w:val="00D138FC"/>
    <w:rsid w:val="00D13DFA"/>
    <w:rsid w:val="00D14426"/>
    <w:rsid w:val="00D15918"/>
    <w:rsid w:val="00D205A8"/>
    <w:rsid w:val="00D23B2E"/>
    <w:rsid w:val="00D27127"/>
    <w:rsid w:val="00D27C79"/>
    <w:rsid w:val="00D302FB"/>
    <w:rsid w:val="00D3057D"/>
    <w:rsid w:val="00D32E9D"/>
    <w:rsid w:val="00D34579"/>
    <w:rsid w:val="00D351D3"/>
    <w:rsid w:val="00D36FB1"/>
    <w:rsid w:val="00D419D8"/>
    <w:rsid w:val="00D423C9"/>
    <w:rsid w:val="00D43ECE"/>
    <w:rsid w:val="00D43EFF"/>
    <w:rsid w:val="00D4423F"/>
    <w:rsid w:val="00D446D8"/>
    <w:rsid w:val="00D44CD7"/>
    <w:rsid w:val="00D4737E"/>
    <w:rsid w:val="00D47A8B"/>
    <w:rsid w:val="00D5050A"/>
    <w:rsid w:val="00D5051C"/>
    <w:rsid w:val="00D50CCA"/>
    <w:rsid w:val="00D51443"/>
    <w:rsid w:val="00D52343"/>
    <w:rsid w:val="00D53374"/>
    <w:rsid w:val="00D61239"/>
    <w:rsid w:val="00D613DA"/>
    <w:rsid w:val="00D61F9E"/>
    <w:rsid w:val="00D625A1"/>
    <w:rsid w:val="00D6460B"/>
    <w:rsid w:val="00D65CE2"/>
    <w:rsid w:val="00D674CF"/>
    <w:rsid w:val="00D67AB8"/>
    <w:rsid w:val="00D70374"/>
    <w:rsid w:val="00D72480"/>
    <w:rsid w:val="00D727E0"/>
    <w:rsid w:val="00D7295D"/>
    <w:rsid w:val="00D74F27"/>
    <w:rsid w:val="00D76010"/>
    <w:rsid w:val="00D76B39"/>
    <w:rsid w:val="00D80DD9"/>
    <w:rsid w:val="00D81FA7"/>
    <w:rsid w:val="00D82CE9"/>
    <w:rsid w:val="00D85C23"/>
    <w:rsid w:val="00D85C78"/>
    <w:rsid w:val="00D85DE0"/>
    <w:rsid w:val="00D90426"/>
    <w:rsid w:val="00D90EE7"/>
    <w:rsid w:val="00D922E2"/>
    <w:rsid w:val="00D93066"/>
    <w:rsid w:val="00D95BAC"/>
    <w:rsid w:val="00D97E11"/>
    <w:rsid w:val="00DA3526"/>
    <w:rsid w:val="00DA3C07"/>
    <w:rsid w:val="00DA4641"/>
    <w:rsid w:val="00DA79FF"/>
    <w:rsid w:val="00DB02DB"/>
    <w:rsid w:val="00DB1AD7"/>
    <w:rsid w:val="00DB1E2B"/>
    <w:rsid w:val="00DB2042"/>
    <w:rsid w:val="00DB2E4F"/>
    <w:rsid w:val="00DB6242"/>
    <w:rsid w:val="00DC32A5"/>
    <w:rsid w:val="00DC360B"/>
    <w:rsid w:val="00DC426A"/>
    <w:rsid w:val="00DC576B"/>
    <w:rsid w:val="00DD0B03"/>
    <w:rsid w:val="00DD3430"/>
    <w:rsid w:val="00DD4DEB"/>
    <w:rsid w:val="00DD5298"/>
    <w:rsid w:val="00DD5BAF"/>
    <w:rsid w:val="00DD5D0F"/>
    <w:rsid w:val="00DD7056"/>
    <w:rsid w:val="00DD73F2"/>
    <w:rsid w:val="00DD763F"/>
    <w:rsid w:val="00DD77AD"/>
    <w:rsid w:val="00DD7900"/>
    <w:rsid w:val="00DD7AE2"/>
    <w:rsid w:val="00DE1CA0"/>
    <w:rsid w:val="00DE32C9"/>
    <w:rsid w:val="00DE3AB2"/>
    <w:rsid w:val="00DE7E64"/>
    <w:rsid w:val="00DF05DB"/>
    <w:rsid w:val="00DF4FB8"/>
    <w:rsid w:val="00DF5142"/>
    <w:rsid w:val="00DF7ECE"/>
    <w:rsid w:val="00E00F42"/>
    <w:rsid w:val="00E014A6"/>
    <w:rsid w:val="00E01B2F"/>
    <w:rsid w:val="00E02272"/>
    <w:rsid w:val="00E027AE"/>
    <w:rsid w:val="00E02CEA"/>
    <w:rsid w:val="00E0387F"/>
    <w:rsid w:val="00E03CD9"/>
    <w:rsid w:val="00E04D4B"/>
    <w:rsid w:val="00E070B5"/>
    <w:rsid w:val="00E0726B"/>
    <w:rsid w:val="00E10C80"/>
    <w:rsid w:val="00E12A33"/>
    <w:rsid w:val="00E13411"/>
    <w:rsid w:val="00E1366E"/>
    <w:rsid w:val="00E152BA"/>
    <w:rsid w:val="00E16141"/>
    <w:rsid w:val="00E16994"/>
    <w:rsid w:val="00E16B35"/>
    <w:rsid w:val="00E17DAE"/>
    <w:rsid w:val="00E2216C"/>
    <w:rsid w:val="00E2351F"/>
    <w:rsid w:val="00E24F8B"/>
    <w:rsid w:val="00E25817"/>
    <w:rsid w:val="00E259F3"/>
    <w:rsid w:val="00E26533"/>
    <w:rsid w:val="00E303F7"/>
    <w:rsid w:val="00E30714"/>
    <w:rsid w:val="00E309F6"/>
    <w:rsid w:val="00E31E64"/>
    <w:rsid w:val="00E32B6F"/>
    <w:rsid w:val="00E334F0"/>
    <w:rsid w:val="00E33DD7"/>
    <w:rsid w:val="00E36628"/>
    <w:rsid w:val="00E41763"/>
    <w:rsid w:val="00E451F9"/>
    <w:rsid w:val="00E45F50"/>
    <w:rsid w:val="00E50342"/>
    <w:rsid w:val="00E503A3"/>
    <w:rsid w:val="00E514D6"/>
    <w:rsid w:val="00E51D1F"/>
    <w:rsid w:val="00E53B1C"/>
    <w:rsid w:val="00E56503"/>
    <w:rsid w:val="00E56D9B"/>
    <w:rsid w:val="00E574B4"/>
    <w:rsid w:val="00E607E2"/>
    <w:rsid w:val="00E61798"/>
    <w:rsid w:val="00E658BE"/>
    <w:rsid w:val="00E674ED"/>
    <w:rsid w:val="00E70711"/>
    <w:rsid w:val="00E70714"/>
    <w:rsid w:val="00E7122E"/>
    <w:rsid w:val="00E71259"/>
    <w:rsid w:val="00E71A39"/>
    <w:rsid w:val="00E72932"/>
    <w:rsid w:val="00E72EBB"/>
    <w:rsid w:val="00E74C92"/>
    <w:rsid w:val="00E750A3"/>
    <w:rsid w:val="00E806EE"/>
    <w:rsid w:val="00E84123"/>
    <w:rsid w:val="00E85579"/>
    <w:rsid w:val="00E8637E"/>
    <w:rsid w:val="00E871F1"/>
    <w:rsid w:val="00E876F5"/>
    <w:rsid w:val="00E91061"/>
    <w:rsid w:val="00E93AD9"/>
    <w:rsid w:val="00E94531"/>
    <w:rsid w:val="00E946FB"/>
    <w:rsid w:val="00E968CF"/>
    <w:rsid w:val="00EA0DDD"/>
    <w:rsid w:val="00EA152B"/>
    <w:rsid w:val="00EA207A"/>
    <w:rsid w:val="00EA3DFF"/>
    <w:rsid w:val="00EA76B4"/>
    <w:rsid w:val="00EB1008"/>
    <w:rsid w:val="00EB226C"/>
    <w:rsid w:val="00EB2E75"/>
    <w:rsid w:val="00EB3296"/>
    <w:rsid w:val="00EB3C0D"/>
    <w:rsid w:val="00EB4048"/>
    <w:rsid w:val="00EB5814"/>
    <w:rsid w:val="00EB5CD5"/>
    <w:rsid w:val="00EB6B3F"/>
    <w:rsid w:val="00EB6DB1"/>
    <w:rsid w:val="00EB77BA"/>
    <w:rsid w:val="00EB7A4E"/>
    <w:rsid w:val="00EB7F9C"/>
    <w:rsid w:val="00EC083B"/>
    <w:rsid w:val="00EC0994"/>
    <w:rsid w:val="00EC2963"/>
    <w:rsid w:val="00EC4C7E"/>
    <w:rsid w:val="00EC6044"/>
    <w:rsid w:val="00EC6982"/>
    <w:rsid w:val="00ED016E"/>
    <w:rsid w:val="00ED113C"/>
    <w:rsid w:val="00ED2A85"/>
    <w:rsid w:val="00ED2BA7"/>
    <w:rsid w:val="00EE4E55"/>
    <w:rsid w:val="00EE59C9"/>
    <w:rsid w:val="00EF4558"/>
    <w:rsid w:val="00EF4C05"/>
    <w:rsid w:val="00EF52AB"/>
    <w:rsid w:val="00EF762F"/>
    <w:rsid w:val="00F00286"/>
    <w:rsid w:val="00F015D8"/>
    <w:rsid w:val="00F01BD2"/>
    <w:rsid w:val="00F02E55"/>
    <w:rsid w:val="00F03588"/>
    <w:rsid w:val="00F04F70"/>
    <w:rsid w:val="00F060AA"/>
    <w:rsid w:val="00F06B84"/>
    <w:rsid w:val="00F109C7"/>
    <w:rsid w:val="00F10C97"/>
    <w:rsid w:val="00F112BF"/>
    <w:rsid w:val="00F12552"/>
    <w:rsid w:val="00F12790"/>
    <w:rsid w:val="00F131C0"/>
    <w:rsid w:val="00F135DB"/>
    <w:rsid w:val="00F137C2"/>
    <w:rsid w:val="00F144BB"/>
    <w:rsid w:val="00F15A6D"/>
    <w:rsid w:val="00F15B03"/>
    <w:rsid w:val="00F15D28"/>
    <w:rsid w:val="00F20F9C"/>
    <w:rsid w:val="00F21305"/>
    <w:rsid w:val="00F23C2B"/>
    <w:rsid w:val="00F265CF"/>
    <w:rsid w:val="00F26B83"/>
    <w:rsid w:val="00F27DDA"/>
    <w:rsid w:val="00F300F7"/>
    <w:rsid w:val="00F305F9"/>
    <w:rsid w:val="00F30BA7"/>
    <w:rsid w:val="00F310E9"/>
    <w:rsid w:val="00F3169A"/>
    <w:rsid w:val="00F31B19"/>
    <w:rsid w:val="00F31E88"/>
    <w:rsid w:val="00F40680"/>
    <w:rsid w:val="00F40906"/>
    <w:rsid w:val="00F415CF"/>
    <w:rsid w:val="00F4340B"/>
    <w:rsid w:val="00F438A9"/>
    <w:rsid w:val="00F44E1D"/>
    <w:rsid w:val="00F45678"/>
    <w:rsid w:val="00F45A1A"/>
    <w:rsid w:val="00F46957"/>
    <w:rsid w:val="00F50BA2"/>
    <w:rsid w:val="00F52175"/>
    <w:rsid w:val="00F52A69"/>
    <w:rsid w:val="00F5397C"/>
    <w:rsid w:val="00F54DE4"/>
    <w:rsid w:val="00F5599C"/>
    <w:rsid w:val="00F56742"/>
    <w:rsid w:val="00F57C79"/>
    <w:rsid w:val="00F57E0B"/>
    <w:rsid w:val="00F60E76"/>
    <w:rsid w:val="00F62A3D"/>
    <w:rsid w:val="00F62FD9"/>
    <w:rsid w:val="00F70EFE"/>
    <w:rsid w:val="00F711B4"/>
    <w:rsid w:val="00F72186"/>
    <w:rsid w:val="00F73A04"/>
    <w:rsid w:val="00F74363"/>
    <w:rsid w:val="00F74F60"/>
    <w:rsid w:val="00F757A6"/>
    <w:rsid w:val="00F82D35"/>
    <w:rsid w:val="00F830C8"/>
    <w:rsid w:val="00F841AF"/>
    <w:rsid w:val="00F84879"/>
    <w:rsid w:val="00F8613C"/>
    <w:rsid w:val="00F90B71"/>
    <w:rsid w:val="00F90DF8"/>
    <w:rsid w:val="00F91AE0"/>
    <w:rsid w:val="00F925CB"/>
    <w:rsid w:val="00F92FA8"/>
    <w:rsid w:val="00F93B98"/>
    <w:rsid w:val="00F94557"/>
    <w:rsid w:val="00F97D80"/>
    <w:rsid w:val="00FA088D"/>
    <w:rsid w:val="00FA13CB"/>
    <w:rsid w:val="00FA180A"/>
    <w:rsid w:val="00FA1C01"/>
    <w:rsid w:val="00FA1DF3"/>
    <w:rsid w:val="00FA4968"/>
    <w:rsid w:val="00FA4A03"/>
    <w:rsid w:val="00FA51D2"/>
    <w:rsid w:val="00FA6257"/>
    <w:rsid w:val="00FA62AE"/>
    <w:rsid w:val="00FA63F1"/>
    <w:rsid w:val="00FA65FB"/>
    <w:rsid w:val="00FB1C45"/>
    <w:rsid w:val="00FB1CA5"/>
    <w:rsid w:val="00FB1D95"/>
    <w:rsid w:val="00FB2707"/>
    <w:rsid w:val="00FB2C0F"/>
    <w:rsid w:val="00FB3A49"/>
    <w:rsid w:val="00FB42F5"/>
    <w:rsid w:val="00FB433B"/>
    <w:rsid w:val="00FB7A21"/>
    <w:rsid w:val="00FB7E77"/>
    <w:rsid w:val="00FC0121"/>
    <w:rsid w:val="00FC1F29"/>
    <w:rsid w:val="00FC2853"/>
    <w:rsid w:val="00FC2BD0"/>
    <w:rsid w:val="00FC36B9"/>
    <w:rsid w:val="00FC4D67"/>
    <w:rsid w:val="00FC4F35"/>
    <w:rsid w:val="00FC533C"/>
    <w:rsid w:val="00FD3178"/>
    <w:rsid w:val="00FD3392"/>
    <w:rsid w:val="00FD677A"/>
    <w:rsid w:val="00FD6875"/>
    <w:rsid w:val="00FE04CE"/>
    <w:rsid w:val="00FE152C"/>
    <w:rsid w:val="00FE19E9"/>
    <w:rsid w:val="00FE2D29"/>
    <w:rsid w:val="00FE37A2"/>
    <w:rsid w:val="00FE3CC9"/>
    <w:rsid w:val="00FE42F7"/>
    <w:rsid w:val="00FE46EB"/>
    <w:rsid w:val="00FE570D"/>
    <w:rsid w:val="00FE6136"/>
    <w:rsid w:val="00FE675C"/>
    <w:rsid w:val="00FF04AB"/>
    <w:rsid w:val="00FF0DB2"/>
    <w:rsid w:val="00FF2F69"/>
    <w:rsid w:val="00FF42E3"/>
    <w:rsid w:val="00FF617C"/>
    <w:rsid w:val="00FF716E"/>
    <w:rsid w:val="01214A1E"/>
    <w:rsid w:val="012A0C66"/>
    <w:rsid w:val="01343AD8"/>
    <w:rsid w:val="01413291"/>
    <w:rsid w:val="014C0AF2"/>
    <w:rsid w:val="014F1B49"/>
    <w:rsid w:val="01602283"/>
    <w:rsid w:val="0161201C"/>
    <w:rsid w:val="01674AD8"/>
    <w:rsid w:val="01774753"/>
    <w:rsid w:val="017B15F7"/>
    <w:rsid w:val="019B2A51"/>
    <w:rsid w:val="019F32DC"/>
    <w:rsid w:val="01BB069A"/>
    <w:rsid w:val="01EE6DBE"/>
    <w:rsid w:val="01F96A30"/>
    <w:rsid w:val="01FD0AFB"/>
    <w:rsid w:val="020E7F3F"/>
    <w:rsid w:val="020F523E"/>
    <w:rsid w:val="021122CA"/>
    <w:rsid w:val="021A6004"/>
    <w:rsid w:val="022E08B9"/>
    <w:rsid w:val="02301322"/>
    <w:rsid w:val="02352C16"/>
    <w:rsid w:val="023A07E4"/>
    <w:rsid w:val="024862A2"/>
    <w:rsid w:val="024B505A"/>
    <w:rsid w:val="025D291A"/>
    <w:rsid w:val="02663566"/>
    <w:rsid w:val="02694D2A"/>
    <w:rsid w:val="026B74AB"/>
    <w:rsid w:val="027202B1"/>
    <w:rsid w:val="02721F48"/>
    <w:rsid w:val="02805163"/>
    <w:rsid w:val="02815E8D"/>
    <w:rsid w:val="02A074BF"/>
    <w:rsid w:val="02A935E6"/>
    <w:rsid w:val="02E41BF4"/>
    <w:rsid w:val="02ED024F"/>
    <w:rsid w:val="02F07CB0"/>
    <w:rsid w:val="02FD2958"/>
    <w:rsid w:val="03024CD2"/>
    <w:rsid w:val="030D75EF"/>
    <w:rsid w:val="031168BC"/>
    <w:rsid w:val="032416C0"/>
    <w:rsid w:val="03426C59"/>
    <w:rsid w:val="03433AF1"/>
    <w:rsid w:val="03501AE4"/>
    <w:rsid w:val="03716722"/>
    <w:rsid w:val="0385165F"/>
    <w:rsid w:val="039B623A"/>
    <w:rsid w:val="03B44AA5"/>
    <w:rsid w:val="03C047BD"/>
    <w:rsid w:val="03E12426"/>
    <w:rsid w:val="040020A7"/>
    <w:rsid w:val="04142214"/>
    <w:rsid w:val="042973CE"/>
    <w:rsid w:val="043D6C25"/>
    <w:rsid w:val="043D782E"/>
    <w:rsid w:val="04473247"/>
    <w:rsid w:val="044D2B93"/>
    <w:rsid w:val="046B296B"/>
    <w:rsid w:val="04833676"/>
    <w:rsid w:val="048F4139"/>
    <w:rsid w:val="04930DBB"/>
    <w:rsid w:val="049C4162"/>
    <w:rsid w:val="049F4F72"/>
    <w:rsid w:val="04A2371F"/>
    <w:rsid w:val="04A53BA4"/>
    <w:rsid w:val="04AA1834"/>
    <w:rsid w:val="04B9070C"/>
    <w:rsid w:val="04BA7090"/>
    <w:rsid w:val="04C4770E"/>
    <w:rsid w:val="04D17C83"/>
    <w:rsid w:val="04E374DE"/>
    <w:rsid w:val="04FF00EB"/>
    <w:rsid w:val="04FF2219"/>
    <w:rsid w:val="0501459E"/>
    <w:rsid w:val="05175FCF"/>
    <w:rsid w:val="052263A0"/>
    <w:rsid w:val="05453FE3"/>
    <w:rsid w:val="054E23E8"/>
    <w:rsid w:val="05586075"/>
    <w:rsid w:val="056306FB"/>
    <w:rsid w:val="05852631"/>
    <w:rsid w:val="058E5789"/>
    <w:rsid w:val="05917228"/>
    <w:rsid w:val="05984986"/>
    <w:rsid w:val="059C5E7A"/>
    <w:rsid w:val="059F3F35"/>
    <w:rsid w:val="05A86320"/>
    <w:rsid w:val="05AB2DB2"/>
    <w:rsid w:val="05C127AF"/>
    <w:rsid w:val="05C342DE"/>
    <w:rsid w:val="05D56659"/>
    <w:rsid w:val="05EB76F4"/>
    <w:rsid w:val="05EC4B85"/>
    <w:rsid w:val="05ED6517"/>
    <w:rsid w:val="05F56B6A"/>
    <w:rsid w:val="05F7106C"/>
    <w:rsid w:val="06027766"/>
    <w:rsid w:val="061D3A4E"/>
    <w:rsid w:val="062D1406"/>
    <w:rsid w:val="06305727"/>
    <w:rsid w:val="06322461"/>
    <w:rsid w:val="0644429B"/>
    <w:rsid w:val="06647C6C"/>
    <w:rsid w:val="06665E33"/>
    <w:rsid w:val="06936D88"/>
    <w:rsid w:val="06953148"/>
    <w:rsid w:val="06A31CA0"/>
    <w:rsid w:val="06AC62CA"/>
    <w:rsid w:val="06AC66B5"/>
    <w:rsid w:val="06B457E8"/>
    <w:rsid w:val="06BC13DD"/>
    <w:rsid w:val="06D31947"/>
    <w:rsid w:val="06D92562"/>
    <w:rsid w:val="06E760D7"/>
    <w:rsid w:val="06EA54F3"/>
    <w:rsid w:val="06F650AE"/>
    <w:rsid w:val="07000C57"/>
    <w:rsid w:val="07017172"/>
    <w:rsid w:val="07075B45"/>
    <w:rsid w:val="07091B77"/>
    <w:rsid w:val="070A76BD"/>
    <w:rsid w:val="071A0584"/>
    <w:rsid w:val="071F56B5"/>
    <w:rsid w:val="072950F8"/>
    <w:rsid w:val="072E5643"/>
    <w:rsid w:val="073A744C"/>
    <w:rsid w:val="073D7196"/>
    <w:rsid w:val="07504429"/>
    <w:rsid w:val="07530EAF"/>
    <w:rsid w:val="07590E76"/>
    <w:rsid w:val="07612720"/>
    <w:rsid w:val="076A1A5C"/>
    <w:rsid w:val="07792B42"/>
    <w:rsid w:val="07795E91"/>
    <w:rsid w:val="077E3D0B"/>
    <w:rsid w:val="078C511B"/>
    <w:rsid w:val="078D2D8A"/>
    <w:rsid w:val="07B7677D"/>
    <w:rsid w:val="07BB74D8"/>
    <w:rsid w:val="07BE2A34"/>
    <w:rsid w:val="07D43E3E"/>
    <w:rsid w:val="07DF1893"/>
    <w:rsid w:val="07E53F70"/>
    <w:rsid w:val="07F03CBF"/>
    <w:rsid w:val="07F42B67"/>
    <w:rsid w:val="080D0CE3"/>
    <w:rsid w:val="080E352C"/>
    <w:rsid w:val="0829536C"/>
    <w:rsid w:val="085254A5"/>
    <w:rsid w:val="08624EAC"/>
    <w:rsid w:val="086626CB"/>
    <w:rsid w:val="08790814"/>
    <w:rsid w:val="08817F9A"/>
    <w:rsid w:val="088968DD"/>
    <w:rsid w:val="08933F38"/>
    <w:rsid w:val="089E56D2"/>
    <w:rsid w:val="08B472FE"/>
    <w:rsid w:val="08B614BD"/>
    <w:rsid w:val="08B937A7"/>
    <w:rsid w:val="08BE77F6"/>
    <w:rsid w:val="08CD671D"/>
    <w:rsid w:val="08D83875"/>
    <w:rsid w:val="08DF7A5D"/>
    <w:rsid w:val="08EC3D12"/>
    <w:rsid w:val="08F56067"/>
    <w:rsid w:val="08F56798"/>
    <w:rsid w:val="09072AF5"/>
    <w:rsid w:val="09074429"/>
    <w:rsid w:val="090C4633"/>
    <w:rsid w:val="090D78C9"/>
    <w:rsid w:val="09101FB3"/>
    <w:rsid w:val="09137555"/>
    <w:rsid w:val="09283AB5"/>
    <w:rsid w:val="09296C06"/>
    <w:rsid w:val="093C56FD"/>
    <w:rsid w:val="09526CCE"/>
    <w:rsid w:val="09672FE9"/>
    <w:rsid w:val="09802E1D"/>
    <w:rsid w:val="09840DCC"/>
    <w:rsid w:val="09A54FB9"/>
    <w:rsid w:val="09D27E84"/>
    <w:rsid w:val="09D334FB"/>
    <w:rsid w:val="09D5328A"/>
    <w:rsid w:val="09D9119E"/>
    <w:rsid w:val="09F8752F"/>
    <w:rsid w:val="0A0D439F"/>
    <w:rsid w:val="0A0F0D09"/>
    <w:rsid w:val="0A1720E0"/>
    <w:rsid w:val="0A1D4600"/>
    <w:rsid w:val="0A1F68B2"/>
    <w:rsid w:val="0A210F95"/>
    <w:rsid w:val="0A22681A"/>
    <w:rsid w:val="0A2836E0"/>
    <w:rsid w:val="0A29194C"/>
    <w:rsid w:val="0A375EC4"/>
    <w:rsid w:val="0A412227"/>
    <w:rsid w:val="0A425AA3"/>
    <w:rsid w:val="0A440A5C"/>
    <w:rsid w:val="0A455A91"/>
    <w:rsid w:val="0A593073"/>
    <w:rsid w:val="0A59408D"/>
    <w:rsid w:val="0A634F0B"/>
    <w:rsid w:val="0A6F1B02"/>
    <w:rsid w:val="0A8E5529"/>
    <w:rsid w:val="0A9C2606"/>
    <w:rsid w:val="0AB44EF5"/>
    <w:rsid w:val="0AC159A6"/>
    <w:rsid w:val="0AD278DA"/>
    <w:rsid w:val="0AE34BB1"/>
    <w:rsid w:val="0AE6229D"/>
    <w:rsid w:val="0AED0B6E"/>
    <w:rsid w:val="0AF04597"/>
    <w:rsid w:val="0AF9714F"/>
    <w:rsid w:val="0B220308"/>
    <w:rsid w:val="0B4B7099"/>
    <w:rsid w:val="0B66762E"/>
    <w:rsid w:val="0B747542"/>
    <w:rsid w:val="0B87320D"/>
    <w:rsid w:val="0B991CAF"/>
    <w:rsid w:val="0B9E1A60"/>
    <w:rsid w:val="0BA53B3F"/>
    <w:rsid w:val="0BAC5F11"/>
    <w:rsid w:val="0BAD70EA"/>
    <w:rsid w:val="0BB6032A"/>
    <w:rsid w:val="0BD70398"/>
    <w:rsid w:val="0BE20BB6"/>
    <w:rsid w:val="0BE60C5C"/>
    <w:rsid w:val="0BFB5E14"/>
    <w:rsid w:val="0C296CAE"/>
    <w:rsid w:val="0C365370"/>
    <w:rsid w:val="0C3B22C4"/>
    <w:rsid w:val="0C3B7AE8"/>
    <w:rsid w:val="0C3E1F99"/>
    <w:rsid w:val="0C442C80"/>
    <w:rsid w:val="0C4B30F1"/>
    <w:rsid w:val="0C4C04D1"/>
    <w:rsid w:val="0C7376A8"/>
    <w:rsid w:val="0C801F53"/>
    <w:rsid w:val="0C8076E1"/>
    <w:rsid w:val="0CA97841"/>
    <w:rsid w:val="0CBD54A8"/>
    <w:rsid w:val="0CC9733E"/>
    <w:rsid w:val="0CD77A6F"/>
    <w:rsid w:val="0CF22F65"/>
    <w:rsid w:val="0CFD3771"/>
    <w:rsid w:val="0D001BEA"/>
    <w:rsid w:val="0D0A7F77"/>
    <w:rsid w:val="0D4D0748"/>
    <w:rsid w:val="0D5F5515"/>
    <w:rsid w:val="0D7A67F4"/>
    <w:rsid w:val="0D8943DC"/>
    <w:rsid w:val="0D8A04E4"/>
    <w:rsid w:val="0D932BB8"/>
    <w:rsid w:val="0D98461B"/>
    <w:rsid w:val="0DAF0B93"/>
    <w:rsid w:val="0DB904D9"/>
    <w:rsid w:val="0DBB0918"/>
    <w:rsid w:val="0DBD6D81"/>
    <w:rsid w:val="0DC65EDD"/>
    <w:rsid w:val="0DE25782"/>
    <w:rsid w:val="0DEE271A"/>
    <w:rsid w:val="0DF148E8"/>
    <w:rsid w:val="0DFF1EE9"/>
    <w:rsid w:val="0E210D90"/>
    <w:rsid w:val="0E280BF1"/>
    <w:rsid w:val="0E2A2732"/>
    <w:rsid w:val="0E2F7B01"/>
    <w:rsid w:val="0E4B5699"/>
    <w:rsid w:val="0E512E80"/>
    <w:rsid w:val="0E6E1A32"/>
    <w:rsid w:val="0E76520D"/>
    <w:rsid w:val="0E915BD0"/>
    <w:rsid w:val="0E982ADE"/>
    <w:rsid w:val="0EB06115"/>
    <w:rsid w:val="0ECA75E7"/>
    <w:rsid w:val="0ECD4128"/>
    <w:rsid w:val="0EF05635"/>
    <w:rsid w:val="0EF909E4"/>
    <w:rsid w:val="0F0913A4"/>
    <w:rsid w:val="0F17435D"/>
    <w:rsid w:val="0F360DD3"/>
    <w:rsid w:val="0F4E0A02"/>
    <w:rsid w:val="0F501F02"/>
    <w:rsid w:val="0F596FDC"/>
    <w:rsid w:val="0F5D09FB"/>
    <w:rsid w:val="0F5F0397"/>
    <w:rsid w:val="0F5F5730"/>
    <w:rsid w:val="0F6B1793"/>
    <w:rsid w:val="0F7819E4"/>
    <w:rsid w:val="0F7B5DFB"/>
    <w:rsid w:val="0F9301BE"/>
    <w:rsid w:val="0FC12061"/>
    <w:rsid w:val="0FEE5B2D"/>
    <w:rsid w:val="0FF37EF3"/>
    <w:rsid w:val="0FFE4C46"/>
    <w:rsid w:val="10064480"/>
    <w:rsid w:val="10065FE7"/>
    <w:rsid w:val="100930B7"/>
    <w:rsid w:val="10156FD1"/>
    <w:rsid w:val="10371F2F"/>
    <w:rsid w:val="104D6100"/>
    <w:rsid w:val="105A46BB"/>
    <w:rsid w:val="105A6D80"/>
    <w:rsid w:val="107B23CF"/>
    <w:rsid w:val="107E1871"/>
    <w:rsid w:val="10807EDF"/>
    <w:rsid w:val="10824E25"/>
    <w:rsid w:val="109A1D7F"/>
    <w:rsid w:val="10A600D1"/>
    <w:rsid w:val="10BD5626"/>
    <w:rsid w:val="10C85301"/>
    <w:rsid w:val="10EB1377"/>
    <w:rsid w:val="10F5099F"/>
    <w:rsid w:val="11046680"/>
    <w:rsid w:val="11081F58"/>
    <w:rsid w:val="111C6822"/>
    <w:rsid w:val="1129409B"/>
    <w:rsid w:val="11423CF0"/>
    <w:rsid w:val="1159255C"/>
    <w:rsid w:val="115D038D"/>
    <w:rsid w:val="116632C1"/>
    <w:rsid w:val="11667EA6"/>
    <w:rsid w:val="116741A8"/>
    <w:rsid w:val="11887A9E"/>
    <w:rsid w:val="119E030F"/>
    <w:rsid w:val="11A402E3"/>
    <w:rsid w:val="11AC3296"/>
    <w:rsid w:val="11BF3764"/>
    <w:rsid w:val="11BF5D6D"/>
    <w:rsid w:val="11BF6C6B"/>
    <w:rsid w:val="11C10712"/>
    <w:rsid w:val="11E02DF3"/>
    <w:rsid w:val="11E81C43"/>
    <w:rsid w:val="11EF6486"/>
    <w:rsid w:val="11F75962"/>
    <w:rsid w:val="11FC0451"/>
    <w:rsid w:val="12084D21"/>
    <w:rsid w:val="120C4EB8"/>
    <w:rsid w:val="121D6EDA"/>
    <w:rsid w:val="121E62E8"/>
    <w:rsid w:val="122D760A"/>
    <w:rsid w:val="12311F5A"/>
    <w:rsid w:val="12380A2C"/>
    <w:rsid w:val="123B7D8C"/>
    <w:rsid w:val="123F22A7"/>
    <w:rsid w:val="12427601"/>
    <w:rsid w:val="125944FB"/>
    <w:rsid w:val="125A13AB"/>
    <w:rsid w:val="125A4EA1"/>
    <w:rsid w:val="12624EB7"/>
    <w:rsid w:val="12703202"/>
    <w:rsid w:val="12706417"/>
    <w:rsid w:val="127E28E2"/>
    <w:rsid w:val="1282388F"/>
    <w:rsid w:val="128572E6"/>
    <w:rsid w:val="128A0F8B"/>
    <w:rsid w:val="129139EE"/>
    <w:rsid w:val="129E1945"/>
    <w:rsid w:val="12B26461"/>
    <w:rsid w:val="12D228CA"/>
    <w:rsid w:val="12F36759"/>
    <w:rsid w:val="1300045E"/>
    <w:rsid w:val="13083D93"/>
    <w:rsid w:val="130A6921"/>
    <w:rsid w:val="130E5887"/>
    <w:rsid w:val="1319260B"/>
    <w:rsid w:val="131B6178"/>
    <w:rsid w:val="133D024F"/>
    <w:rsid w:val="133D6D87"/>
    <w:rsid w:val="13427DB4"/>
    <w:rsid w:val="136C4E31"/>
    <w:rsid w:val="13716BB4"/>
    <w:rsid w:val="13821EE1"/>
    <w:rsid w:val="138661D5"/>
    <w:rsid w:val="13890B9C"/>
    <w:rsid w:val="13AB4EB9"/>
    <w:rsid w:val="13AD0458"/>
    <w:rsid w:val="13B3480E"/>
    <w:rsid w:val="13C500F4"/>
    <w:rsid w:val="13CB4137"/>
    <w:rsid w:val="13D11AEC"/>
    <w:rsid w:val="13D825F1"/>
    <w:rsid w:val="13DB5398"/>
    <w:rsid w:val="13E40E6B"/>
    <w:rsid w:val="13EE5846"/>
    <w:rsid w:val="13F27FD8"/>
    <w:rsid w:val="13F8539C"/>
    <w:rsid w:val="13FA3C10"/>
    <w:rsid w:val="140256A7"/>
    <w:rsid w:val="14037DD1"/>
    <w:rsid w:val="140B4E5D"/>
    <w:rsid w:val="14197590"/>
    <w:rsid w:val="141C7AF8"/>
    <w:rsid w:val="142D5867"/>
    <w:rsid w:val="14311C3C"/>
    <w:rsid w:val="145B7F0E"/>
    <w:rsid w:val="149E2D6C"/>
    <w:rsid w:val="14A05CEA"/>
    <w:rsid w:val="14BA7BD0"/>
    <w:rsid w:val="14BE0DA8"/>
    <w:rsid w:val="14CC3AE7"/>
    <w:rsid w:val="14D35CE3"/>
    <w:rsid w:val="14DD61EA"/>
    <w:rsid w:val="14DF2DE8"/>
    <w:rsid w:val="14E20E88"/>
    <w:rsid w:val="14E71B9C"/>
    <w:rsid w:val="14ED24C4"/>
    <w:rsid w:val="14FE6E45"/>
    <w:rsid w:val="15030DD2"/>
    <w:rsid w:val="15120EBC"/>
    <w:rsid w:val="151246C1"/>
    <w:rsid w:val="15300534"/>
    <w:rsid w:val="15352656"/>
    <w:rsid w:val="15366A75"/>
    <w:rsid w:val="15430081"/>
    <w:rsid w:val="1549179A"/>
    <w:rsid w:val="155855A0"/>
    <w:rsid w:val="155E4D93"/>
    <w:rsid w:val="15632D12"/>
    <w:rsid w:val="156B18A2"/>
    <w:rsid w:val="15760A82"/>
    <w:rsid w:val="15857A9F"/>
    <w:rsid w:val="15885993"/>
    <w:rsid w:val="1589612A"/>
    <w:rsid w:val="158D0A5B"/>
    <w:rsid w:val="15943580"/>
    <w:rsid w:val="159F71E4"/>
    <w:rsid w:val="15B14B1C"/>
    <w:rsid w:val="15B24AD3"/>
    <w:rsid w:val="15C619DE"/>
    <w:rsid w:val="15CA247D"/>
    <w:rsid w:val="15DA54BE"/>
    <w:rsid w:val="15DE1A29"/>
    <w:rsid w:val="15E06753"/>
    <w:rsid w:val="15FE686D"/>
    <w:rsid w:val="16017DF1"/>
    <w:rsid w:val="16281DFE"/>
    <w:rsid w:val="164756E1"/>
    <w:rsid w:val="164B76F4"/>
    <w:rsid w:val="16883ABF"/>
    <w:rsid w:val="16A95608"/>
    <w:rsid w:val="16AA3EEF"/>
    <w:rsid w:val="16B8449D"/>
    <w:rsid w:val="16BB65F1"/>
    <w:rsid w:val="16C30E50"/>
    <w:rsid w:val="16C956B3"/>
    <w:rsid w:val="16DF70C3"/>
    <w:rsid w:val="16E36A8E"/>
    <w:rsid w:val="16FB1C35"/>
    <w:rsid w:val="16FE0496"/>
    <w:rsid w:val="17174321"/>
    <w:rsid w:val="17225136"/>
    <w:rsid w:val="17382C6C"/>
    <w:rsid w:val="1744492D"/>
    <w:rsid w:val="17504CC2"/>
    <w:rsid w:val="176A4EEB"/>
    <w:rsid w:val="176E0A57"/>
    <w:rsid w:val="177C4845"/>
    <w:rsid w:val="17A53C98"/>
    <w:rsid w:val="17AF79E2"/>
    <w:rsid w:val="17B2733D"/>
    <w:rsid w:val="17CA6350"/>
    <w:rsid w:val="17D32110"/>
    <w:rsid w:val="17D544D4"/>
    <w:rsid w:val="17DF7B71"/>
    <w:rsid w:val="17E83635"/>
    <w:rsid w:val="17EF034F"/>
    <w:rsid w:val="17EF333D"/>
    <w:rsid w:val="17F736BA"/>
    <w:rsid w:val="180B1C8C"/>
    <w:rsid w:val="18386C8A"/>
    <w:rsid w:val="18426C9E"/>
    <w:rsid w:val="1856228A"/>
    <w:rsid w:val="185B1070"/>
    <w:rsid w:val="18655549"/>
    <w:rsid w:val="187176B1"/>
    <w:rsid w:val="187D1C71"/>
    <w:rsid w:val="189D5730"/>
    <w:rsid w:val="18AE6BDF"/>
    <w:rsid w:val="18BC41FE"/>
    <w:rsid w:val="18C012EA"/>
    <w:rsid w:val="18D255E8"/>
    <w:rsid w:val="18DA6CE0"/>
    <w:rsid w:val="18E73115"/>
    <w:rsid w:val="190A6030"/>
    <w:rsid w:val="190F64E9"/>
    <w:rsid w:val="191206D3"/>
    <w:rsid w:val="191D0D40"/>
    <w:rsid w:val="192E2BD3"/>
    <w:rsid w:val="193006AE"/>
    <w:rsid w:val="19362545"/>
    <w:rsid w:val="1937306E"/>
    <w:rsid w:val="19373536"/>
    <w:rsid w:val="19435186"/>
    <w:rsid w:val="195A5FE0"/>
    <w:rsid w:val="197B5636"/>
    <w:rsid w:val="19872F3F"/>
    <w:rsid w:val="198D30EC"/>
    <w:rsid w:val="19905C84"/>
    <w:rsid w:val="1998697F"/>
    <w:rsid w:val="19C53A1E"/>
    <w:rsid w:val="19CF447C"/>
    <w:rsid w:val="1A0F29BA"/>
    <w:rsid w:val="1A1B5FA6"/>
    <w:rsid w:val="1A200C49"/>
    <w:rsid w:val="1A2C7C12"/>
    <w:rsid w:val="1A2C7E8A"/>
    <w:rsid w:val="1A2E0B04"/>
    <w:rsid w:val="1A367F46"/>
    <w:rsid w:val="1A382E26"/>
    <w:rsid w:val="1A5C16D9"/>
    <w:rsid w:val="1A5C6D63"/>
    <w:rsid w:val="1A7636B6"/>
    <w:rsid w:val="1A7B17BE"/>
    <w:rsid w:val="1A844B30"/>
    <w:rsid w:val="1AA933C0"/>
    <w:rsid w:val="1AAE5D2F"/>
    <w:rsid w:val="1AE133EF"/>
    <w:rsid w:val="1AEF4DAE"/>
    <w:rsid w:val="1AF35E37"/>
    <w:rsid w:val="1AF77FAB"/>
    <w:rsid w:val="1AFB020E"/>
    <w:rsid w:val="1B0835CA"/>
    <w:rsid w:val="1B1E35D7"/>
    <w:rsid w:val="1B3D7BBC"/>
    <w:rsid w:val="1B492FF3"/>
    <w:rsid w:val="1B4950A4"/>
    <w:rsid w:val="1B556620"/>
    <w:rsid w:val="1B5F450D"/>
    <w:rsid w:val="1BA324C2"/>
    <w:rsid w:val="1BA61267"/>
    <w:rsid w:val="1BAC346D"/>
    <w:rsid w:val="1BAF2B44"/>
    <w:rsid w:val="1BE82E1F"/>
    <w:rsid w:val="1BEA548C"/>
    <w:rsid w:val="1BF574D2"/>
    <w:rsid w:val="1C0F0649"/>
    <w:rsid w:val="1C2663BF"/>
    <w:rsid w:val="1C2744BE"/>
    <w:rsid w:val="1C326D2B"/>
    <w:rsid w:val="1C36433C"/>
    <w:rsid w:val="1C376E21"/>
    <w:rsid w:val="1C4B32C7"/>
    <w:rsid w:val="1C503963"/>
    <w:rsid w:val="1C5E7A7E"/>
    <w:rsid w:val="1C607E4F"/>
    <w:rsid w:val="1C6A3ED7"/>
    <w:rsid w:val="1C721035"/>
    <w:rsid w:val="1C73566C"/>
    <w:rsid w:val="1C887DF5"/>
    <w:rsid w:val="1C89288A"/>
    <w:rsid w:val="1C8F65DD"/>
    <w:rsid w:val="1CA47846"/>
    <w:rsid w:val="1CD565D5"/>
    <w:rsid w:val="1CDF6675"/>
    <w:rsid w:val="1CEF14EF"/>
    <w:rsid w:val="1CF43006"/>
    <w:rsid w:val="1D077570"/>
    <w:rsid w:val="1D2D5738"/>
    <w:rsid w:val="1D325942"/>
    <w:rsid w:val="1D672B1F"/>
    <w:rsid w:val="1D8B05A9"/>
    <w:rsid w:val="1D8B3670"/>
    <w:rsid w:val="1DA73124"/>
    <w:rsid w:val="1DAE0556"/>
    <w:rsid w:val="1DB1270C"/>
    <w:rsid w:val="1DB67C12"/>
    <w:rsid w:val="1DC00253"/>
    <w:rsid w:val="1DD50B1E"/>
    <w:rsid w:val="1DEE0C30"/>
    <w:rsid w:val="1E060554"/>
    <w:rsid w:val="1E0F6E32"/>
    <w:rsid w:val="1E14234D"/>
    <w:rsid w:val="1E3E011E"/>
    <w:rsid w:val="1E415560"/>
    <w:rsid w:val="1E4C2A91"/>
    <w:rsid w:val="1E5D18EA"/>
    <w:rsid w:val="1E604A81"/>
    <w:rsid w:val="1E706AC5"/>
    <w:rsid w:val="1E706D9C"/>
    <w:rsid w:val="1E841A5F"/>
    <w:rsid w:val="1E8474D2"/>
    <w:rsid w:val="1EA33881"/>
    <w:rsid w:val="1EA40105"/>
    <w:rsid w:val="1EA41923"/>
    <w:rsid w:val="1EA972F9"/>
    <w:rsid w:val="1EBC7CC4"/>
    <w:rsid w:val="1EC42B8A"/>
    <w:rsid w:val="1EC665E8"/>
    <w:rsid w:val="1EDC6093"/>
    <w:rsid w:val="1EE241F9"/>
    <w:rsid w:val="1EE53CE9"/>
    <w:rsid w:val="1EED6E0E"/>
    <w:rsid w:val="1EF26B32"/>
    <w:rsid w:val="1F042F3E"/>
    <w:rsid w:val="1F524DE1"/>
    <w:rsid w:val="1F5E564A"/>
    <w:rsid w:val="1F69585D"/>
    <w:rsid w:val="1F6B38B0"/>
    <w:rsid w:val="1F71370E"/>
    <w:rsid w:val="1F9502EA"/>
    <w:rsid w:val="1FBC7140"/>
    <w:rsid w:val="1FD0749B"/>
    <w:rsid w:val="1FD3171B"/>
    <w:rsid w:val="1FDA58A8"/>
    <w:rsid w:val="1FE35ADC"/>
    <w:rsid w:val="1FE83B06"/>
    <w:rsid w:val="1FF113C8"/>
    <w:rsid w:val="1FF441C6"/>
    <w:rsid w:val="20140D2A"/>
    <w:rsid w:val="201450C0"/>
    <w:rsid w:val="2037473B"/>
    <w:rsid w:val="203A5CDB"/>
    <w:rsid w:val="203B70D5"/>
    <w:rsid w:val="204328FC"/>
    <w:rsid w:val="206823A1"/>
    <w:rsid w:val="207A43DF"/>
    <w:rsid w:val="207F6629"/>
    <w:rsid w:val="20B24112"/>
    <w:rsid w:val="20C306C0"/>
    <w:rsid w:val="20CB4F5C"/>
    <w:rsid w:val="20D91DD8"/>
    <w:rsid w:val="20DD5762"/>
    <w:rsid w:val="20EA3E93"/>
    <w:rsid w:val="20EE43F2"/>
    <w:rsid w:val="20F301B2"/>
    <w:rsid w:val="20F716A2"/>
    <w:rsid w:val="20F903BB"/>
    <w:rsid w:val="21011A51"/>
    <w:rsid w:val="21096B24"/>
    <w:rsid w:val="210B25F8"/>
    <w:rsid w:val="21140445"/>
    <w:rsid w:val="211508B6"/>
    <w:rsid w:val="211E2099"/>
    <w:rsid w:val="2123675E"/>
    <w:rsid w:val="21375B72"/>
    <w:rsid w:val="215018EE"/>
    <w:rsid w:val="215313DE"/>
    <w:rsid w:val="215D225D"/>
    <w:rsid w:val="21637A27"/>
    <w:rsid w:val="21644B2C"/>
    <w:rsid w:val="216655B5"/>
    <w:rsid w:val="216C08BA"/>
    <w:rsid w:val="216C24A0"/>
    <w:rsid w:val="21A63C04"/>
    <w:rsid w:val="21A665AD"/>
    <w:rsid w:val="21AA2FE7"/>
    <w:rsid w:val="21B33C19"/>
    <w:rsid w:val="21BB34D8"/>
    <w:rsid w:val="21D45E53"/>
    <w:rsid w:val="21D722C1"/>
    <w:rsid w:val="21DF24FF"/>
    <w:rsid w:val="220661D9"/>
    <w:rsid w:val="22136A87"/>
    <w:rsid w:val="222C0C93"/>
    <w:rsid w:val="224B3D5F"/>
    <w:rsid w:val="2258252F"/>
    <w:rsid w:val="225E4F1E"/>
    <w:rsid w:val="22602004"/>
    <w:rsid w:val="22654148"/>
    <w:rsid w:val="226D6370"/>
    <w:rsid w:val="227D5773"/>
    <w:rsid w:val="22840EB2"/>
    <w:rsid w:val="228F63A9"/>
    <w:rsid w:val="229258C8"/>
    <w:rsid w:val="229F39D8"/>
    <w:rsid w:val="22A177E6"/>
    <w:rsid w:val="22BC4085"/>
    <w:rsid w:val="22E6677E"/>
    <w:rsid w:val="22F400F0"/>
    <w:rsid w:val="22F57002"/>
    <w:rsid w:val="231D3794"/>
    <w:rsid w:val="233236E3"/>
    <w:rsid w:val="233B768D"/>
    <w:rsid w:val="233F3ECE"/>
    <w:rsid w:val="233F7F63"/>
    <w:rsid w:val="23406150"/>
    <w:rsid w:val="2346752C"/>
    <w:rsid w:val="23585DD8"/>
    <w:rsid w:val="235B4AD3"/>
    <w:rsid w:val="237D05D8"/>
    <w:rsid w:val="239B1C02"/>
    <w:rsid w:val="23AB3963"/>
    <w:rsid w:val="23BA793E"/>
    <w:rsid w:val="23D17044"/>
    <w:rsid w:val="23D172B3"/>
    <w:rsid w:val="23DB3521"/>
    <w:rsid w:val="23E40684"/>
    <w:rsid w:val="23F23381"/>
    <w:rsid w:val="2411563C"/>
    <w:rsid w:val="24150BCD"/>
    <w:rsid w:val="24201795"/>
    <w:rsid w:val="242447AF"/>
    <w:rsid w:val="24334C53"/>
    <w:rsid w:val="24625A42"/>
    <w:rsid w:val="24647EF0"/>
    <w:rsid w:val="24771FAD"/>
    <w:rsid w:val="24A87C93"/>
    <w:rsid w:val="24B13F14"/>
    <w:rsid w:val="24C206F0"/>
    <w:rsid w:val="24C51975"/>
    <w:rsid w:val="24CC6A64"/>
    <w:rsid w:val="24D75451"/>
    <w:rsid w:val="24DC47FF"/>
    <w:rsid w:val="25005256"/>
    <w:rsid w:val="250439EF"/>
    <w:rsid w:val="25126858"/>
    <w:rsid w:val="25324CD8"/>
    <w:rsid w:val="25465465"/>
    <w:rsid w:val="25563D9B"/>
    <w:rsid w:val="2557729C"/>
    <w:rsid w:val="255A6A4F"/>
    <w:rsid w:val="255F1C0B"/>
    <w:rsid w:val="256D37AA"/>
    <w:rsid w:val="257239B5"/>
    <w:rsid w:val="257A31F9"/>
    <w:rsid w:val="257A3E03"/>
    <w:rsid w:val="258C3DF5"/>
    <w:rsid w:val="25A71CF8"/>
    <w:rsid w:val="25AB17E9"/>
    <w:rsid w:val="25E1786F"/>
    <w:rsid w:val="25EB11E1"/>
    <w:rsid w:val="25F252DE"/>
    <w:rsid w:val="25F25B13"/>
    <w:rsid w:val="25F453F1"/>
    <w:rsid w:val="25F574EA"/>
    <w:rsid w:val="25F74363"/>
    <w:rsid w:val="260809E9"/>
    <w:rsid w:val="260B280F"/>
    <w:rsid w:val="262A1A06"/>
    <w:rsid w:val="26301DF1"/>
    <w:rsid w:val="26361943"/>
    <w:rsid w:val="263C3EBB"/>
    <w:rsid w:val="263F3EBB"/>
    <w:rsid w:val="2655633E"/>
    <w:rsid w:val="265F2454"/>
    <w:rsid w:val="266E1364"/>
    <w:rsid w:val="26803A38"/>
    <w:rsid w:val="268E2249"/>
    <w:rsid w:val="269131FA"/>
    <w:rsid w:val="26A67D94"/>
    <w:rsid w:val="26AF70B6"/>
    <w:rsid w:val="26B77CB6"/>
    <w:rsid w:val="26BC3931"/>
    <w:rsid w:val="26C52C94"/>
    <w:rsid w:val="26E51871"/>
    <w:rsid w:val="26EC52C4"/>
    <w:rsid w:val="26F33AED"/>
    <w:rsid w:val="26F96565"/>
    <w:rsid w:val="26FD1062"/>
    <w:rsid w:val="270903A9"/>
    <w:rsid w:val="27224B0F"/>
    <w:rsid w:val="272F1E9F"/>
    <w:rsid w:val="27353D08"/>
    <w:rsid w:val="27411811"/>
    <w:rsid w:val="274E1A68"/>
    <w:rsid w:val="27562A7E"/>
    <w:rsid w:val="2764417B"/>
    <w:rsid w:val="277801BA"/>
    <w:rsid w:val="27795A37"/>
    <w:rsid w:val="278476CC"/>
    <w:rsid w:val="27A30C0C"/>
    <w:rsid w:val="27A62E40"/>
    <w:rsid w:val="27A85D6E"/>
    <w:rsid w:val="27A974B2"/>
    <w:rsid w:val="27C22E19"/>
    <w:rsid w:val="27E37443"/>
    <w:rsid w:val="27F710A0"/>
    <w:rsid w:val="282E0D0A"/>
    <w:rsid w:val="283659E1"/>
    <w:rsid w:val="28447694"/>
    <w:rsid w:val="284D6B9F"/>
    <w:rsid w:val="284F7247"/>
    <w:rsid w:val="2854115A"/>
    <w:rsid w:val="28645CA6"/>
    <w:rsid w:val="286744CD"/>
    <w:rsid w:val="287B2854"/>
    <w:rsid w:val="2887096F"/>
    <w:rsid w:val="28891A68"/>
    <w:rsid w:val="288F308A"/>
    <w:rsid w:val="28B0142C"/>
    <w:rsid w:val="28B031C4"/>
    <w:rsid w:val="28B813D8"/>
    <w:rsid w:val="28C05393"/>
    <w:rsid w:val="28C15F16"/>
    <w:rsid w:val="28C8217E"/>
    <w:rsid w:val="28D13A25"/>
    <w:rsid w:val="28E23AA6"/>
    <w:rsid w:val="28E8256F"/>
    <w:rsid w:val="28ED6847"/>
    <w:rsid w:val="290667D3"/>
    <w:rsid w:val="290F50C9"/>
    <w:rsid w:val="291433AE"/>
    <w:rsid w:val="292274D8"/>
    <w:rsid w:val="293571E9"/>
    <w:rsid w:val="29432A42"/>
    <w:rsid w:val="294855A0"/>
    <w:rsid w:val="294F62D4"/>
    <w:rsid w:val="29663110"/>
    <w:rsid w:val="2976043F"/>
    <w:rsid w:val="29834CA6"/>
    <w:rsid w:val="2985733D"/>
    <w:rsid w:val="29AA7F26"/>
    <w:rsid w:val="29D250A3"/>
    <w:rsid w:val="29D97152"/>
    <w:rsid w:val="29E42F49"/>
    <w:rsid w:val="29EA6773"/>
    <w:rsid w:val="2A144256"/>
    <w:rsid w:val="2A194E7B"/>
    <w:rsid w:val="2A2622F9"/>
    <w:rsid w:val="2A2E7A7E"/>
    <w:rsid w:val="2A3007A8"/>
    <w:rsid w:val="2A4735A8"/>
    <w:rsid w:val="2A5F40B6"/>
    <w:rsid w:val="2A5F6B69"/>
    <w:rsid w:val="2A7B3DF0"/>
    <w:rsid w:val="2ADD54FD"/>
    <w:rsid w:val="2AE20E8F"/>
    <w:rsid w:val="2AF52FFD"/>
    <w:rsid w:val="2AFA0B1C"/>
    <w:rsid w:val="2B03057F"/>
    <w:rsid w:val="2B1A174A"/>
    <w:rsid w:val="2B332625"/>
    <w:rsid w:val="2B5372E6"/>
    <w:rsid w:val="2B565E56"/>
    <w:rsid w:val="2B7865F9"/>
    <w:rsid w:val="2B7E34FB"/>
    <w:rsid w:val="2B8C374E"/>
    <w:rsid w:val="2B8F46B6"/>
    <w:rsid w:val="2B991DFF"/>
    <w:rsid w:val="2BA31534"/>
    <w:rsid w:val="2BB50B75"/>
    <w:rsid w:val="2BB84560"/>
    <w:rsid w:val="2BC421B1"/>
    <w:rsid w:val="2BC62A64"/>
    <w:rsid w:val="2BC81AEF"/>
    <w:rsid w:val="2BCE0BF3"/>
    <w:rsid w:val="2BF24C23"/>
    <w:rsid w:val="2BFC6B25"/>
    <w:rsid w:val="2C0D7BBA"/>
    <w:rsid w:val="2C2125AE"/>
    <w:rsid w:val="2C421FD2"/>
    <w:rsid w:val="2C5F157F"/>
    <w:rsid w:val="2C6B4093"/>
    <w:rsid w:val="2C997AF3"/>
    <w:rsid w:val="2C997CDE"/>
    <w:rsid w:val="2C9E14E5"/>
    <w:rsid w:val="2CA168DA"/>
    <w:rsid w:val="2CAD7613"/>
    <w:rsid w:val="2CBE4378"/>
    <w:rsid w:val="2CD25FF8"/>
    <w:rsid w:val="2CE13F15"/>
    <w:rsid w:val="2CF3392B"/>
    <w:rsid w:val="2D033B54"/>
    <w:rsid w:val="2D051917"/>
    <w:rsid w:val="2D1C7DF4"/>
    <w:rsid w:val="2D377655"/>
    <w:rsid w:val="2D3E7D26"/>
    <w:rsid w:val="2D403484"/>
    <w:rsid w:val="2D651E34"/>
    <w:rsid w:val="2DAA682A"/>
    <w:rsid w:val="2DAB5DC1"/>
    <w:rsid w:val="2DB07C25"/>
    <w:rsid w:val="2DC4273E"/>
    <w:rsid w:val="2DE41C02"/>
    <w:rsid w:val="2DEF37F3"/>
    <w:rsid w:val="2DF14475"/>
    <w:rsid w:val="2DF83A39"/>
    <w:rsid w:val="2DF83CAE"/>
    <w:rsid w:val="2E1036F7"/>
    <w:rsid w:val="2E2F76FC"/>
    <w:rsid w:val="2E3B1F9E"/>
    <w:rsid w:val="2E3B3187"/>
    <w:rsid w:val="2E422DCC"/>
    <w:rsid w:val="2E5276E9"/>
    <w:rsid w:val="2E5F219A"/>
    <w:rsid w:val="2E674BE4"/>
    <w:rsid w:val="2E754540"/>
    <w:rsid w:val="2E76230B"/>
    <w:rsid w:val="2E831384"/>
    <w:rsid w:val="2E8452CD"/>
    <w:rsid w:val="2E894D60"/>
    <w:rsid w:val="2E905186"/>
    <w:rsid w:val="2E9372BE"/>
    <w:rsid w:val="2E951CE1"/>
    <w:rsid w:val="2E9D013C"/>
    <w:rsid w:val="2EA370F5"/>
    <w:rsid w:val="2EB67F2E"/>
    <w:rsid w:val="2EC1505F"/>
    <w:rsid w:val="2ECC5889"/>
    <w:rsid w:val="2ED0766D"/>
    <w:rsid w:val="2ED2330B"/>
    <w:rsid w:val="2ED7364E"/>
    <w:rsid w:val="2EDC447A"/>
    <w:rsid w:val="2EDF01FA"/>
    <w:rsid w:val="2EE5733A"/>
    <w:rsid w:val="2EEB5F39"/>
    <w:rsid w:val="2EEE11AC"/>
    <w:rsid w:val="2EFE35E8"/>
    <w:rsid w:val="2F1321AD"/>
    <w:rsid w:val="2F1E7DD9"/>
    <w:rsid w:val="2F250BCC"/>
    <w:rsid w:val="2F315682"/>
    <w:rsid w:val="2F4E6128"/>
    <w:rsid w:val="2F593497"/>
    <w:rsid w:val="2F5E7443"/>
    <w:rsid w:val="2F603644"/>
    <w:rsid w:val="2F6B752D"/>
    <w:rsid w:val="2F80221D"/>
    <w:rsid w:val="2F865FF8"/>
    <w:rsid w:val="2F9C3F10"/>
    <w:rsid w:val="2FA340D1"/>
    <w:rsid w:val="2FA6202F"/>
    <w:rsid w:val="2FB860AF"/>
    <w:rsid w:val="2FC621CE"/>
    <w:rsid w:val="2FD47278"/>
    <w:rsid w:val="2FDB47FA"/>
    <w:rsid w:val="303F08C7"/>
    <w:rsid w:val="30412492"/>
    <w:rsid w:val="304704C5"/>
    <w:rsid w:val="30556305"/>
    <w:rsid w:val="30615FED"/>
    <w:rsid w:val="308B0B94"/>
    <w:rsid w:val="309713C6"/>
    <w:rsid w:val="309B06AC"/>
    <w:rsid w:val="30A232E4"/>
    <w:rsid w:val="30B1104A"/>
    <w:rsid w:val="30BE1091"/>
    <w:rsid w:val="30C157E9"/>
    <w:rsid w:val="30C50C66"/>
    <w:rsid w:val="30C70626"/>
    <w:rsid w:val="30CE6CD3"/>
    <w:rsid w:val="30ED1711"/>
    <w:rsid w:val="30F41285"/>
    <w:rsid w:val="30FE03A1"/>
    <w:rsid w:val="311341B9"/>
    <w:rsid w:val="31167200"/>
    <w:rsid w:val="312C69BA"/>
    <w:rsid w:val="313528AE"/>
    <w:rsid w:val="31393DCB"/>
    <w:rsid w:val="31636DC3"/>
    <w:rsid w:val="316A224B"/>
    <w:rsid w:val="316D2048"/>
    <w:rsid w:val="316D2854"/>
    <w:rsid w:val="31712EBC"/>
    <w:rsid w:val="317D5FB6"/>
    <w:rsid w:val="31855612"/>
    <w:rsid w:val="318C7F04"/>
    <w:rsid w:val="319C5AA7"/>
    <w:rsid w:val="319D5F93"/>
    <w:rsid w:val="319F465C"/>
    <w:rsid w:val="31C32FA3"/>
    <w:rsid w:val="31C44544"/>
    <w:rsid w:val="31CD468B"/>
    <w:rsid w:val="31D9148B"/>
    <w:rsid w:val="31D91BE1"/>
    <w:rsid w:val="31E60582"/>
    <w:rsid w:val="31E60856"/>
    <w:rsid w:val="31E71DFA"/>
    <w:rsid w:val="31EA35E8"/>
    <w:rsid w:val="31F40F27"/>
    <w:rsid w:val="3210797E"/>
    <w:rsid w:val="32272962"/>
    <w:rsid w:val="322C0610"/>
    <w:rsid w:val="322E1BFD"/>
    <w:rsid w:val="323A3E96"/>
    <w:rsid w:val="323E22F7"/>
    <w:rsid w:val="32467B23"/>
    <w:rsid w:val="32486505"/>
    <w:rsid w:val="325C2A3D"/>
    <w:rsid w:val="32761B39"/>
    <w:rsid w:val="32892EB1"/>
    <w:rsid w:val="328D1767"/>
    <w:rsid w:val="3291409C"/>
    <w:rsid w:val="32A5173A"/>
    <w:rsid w:val="32AE3F94"/>
    <w:rsid w:val="32BB148C"/>
    <w:rsid w:val="32BB6217"/>
    <w:rsid w:val="32C20171"/>
    <w:rsid w:val="32C946DF"/>
    <w:rsid w:val="32CA1E0E"/>
    <w:rsid w:val="32CD4892"/>
    <w:rsid w:val="32E847CF"/>
    <w:rsid w:val="32F9670A"/>
    <w:rsid w:val="33162750"/>
    <w:rsid w:val="33291ACF"/>
    <w:rsid w:val="332D6A13"/>
    <w:rsid w:val="333D7CDA"/>
    <w:rsid w:val="334C371C"/>
    <w:rsid w:val="334D4BFC"/>
    <w:rsid w:val="336C20F6"/>
    <w:rsid w:val="337D6DD6"/>
    <w:rsid w:val="339670C9"/>
    <w:rsid w:val="339B1966"/>
    <w:rsid w:val="33A23507"/>
    <w:rsid w:val="33A52079"/>
    <w:rsid w:val="33C1178D"/>
    <w:rsid w:val="33C65265"/>
    <w:rsid w:val="33CD5CBF"/>
    <w:rsid w:val="33CF6A93"/>
    <w:rsid w:val="33D52CF0"/>
    <w:rsid w:val="33E3198C"/>
    <w:rsid w:val="33F352AE"/>
    <w:rsid w:val="33F672DC"/>
    <w:rsid w:val="341663D8"/>
    <w:rsid w:val="34272982"/>
    <w:rsid w:val="34491953"/>
    <w:rsid w:val="344F1FA8"/>
    <w:rsid w:val="345721E6"/>
    <w:rsid w:val="34581CF7"/>
    <w:rsid w:val="34751483"/>
    <w:rsid w:val="34794F5B"/>
    <w:rsid w:val="34880BD9"/>
    <w:rsid w:val="34B00BE8"/>
    <w:rsid w:val="34B44B7E"/>
    <w:rsid w:val="34C14813"/>
    <w:rsid w:val="34C415C2"/>
    <w:rsid w:val="34F34F5A"/>
    <w:rsid w:val="35056F41"/>
    <w:rsid w:val="35075F67"/>
    <w:rsid w:val="350A4AD0"/>
    <w:rsid w:val="350F0702"/>
    <w:rsid w:val="35151C0C"/>
    <w:rsid w:val="353566C7"/>
    <w:rsid w:val="35537C83"/>
    <w:rsid w:val="35A873D1"/>
    <w:rsid w:val="35BB78D2"/>
    <w:rsid w:val="35C76FEA"/>
    <w:rsid w:val="35D80623"/>
    <w:rsid w:val="36312097"/>
    <w:rsid w:val="36460B81"/>
    <w:rsid w:val="36495886"/>
    <w:rsid w:val="364A7156"/>
    <w:rsid w:val="36592B9B"/>
    <w:rsid w:val="36637A63"/>
    <w:rsid w:val="36751EAC"/>
    <w:rsid w:val="36767E84"/>
    <w:rsid w:val="367F4F73"/>
    <w:rsid w:val="368B2089"/>
    <w:rsid w:val="368C3D98"/>
    <w:rsid w:val="36DF1B09"/>
    <w:rsid w:val="36F5558D"/>
    <w:rsid w:val="36FA75CB"/>
    <w:rsid w:val="36FE69CC"/>
    <w:rsid w:val="37077031"/>
    <w:rsid w:val="370A446C"/>
    <w:rsid w:val="370B658B"/>
    <w:rsid w:val="37113475"/>
    <w:rsid w:val="37186290"/>
    <w:rsid w:val="371F5514"/>
    <w:rsid w:val="371F65D0"/>
    <w:rsid w:val="37236D14"/>
    <w:rsid w:val="373B14E6"/>
    <w:rsid w:val="373F420B"/>
    <w:rsid w:val="374A1271"/>
    <w:rsid w:val="375B5A18"/>
    <w:rsid w:val="376806DB"/>
    <w:rsid w:val="376B702A"/>
    <w:rsid w:val="37723723"/>
    <w:rsid w:val="37751C56"/>
    <w:rsid w:val="37846EE5"/>
    <w:rsid w:val="37903D10"/>
    <w:rsid w:val="379461DF"/>
    <w:rsid w:val="379C5527"/>
    <w:rsid w:val="379F25AA"/>
    <w:rsid w:val="37AE6378"/>
    <w:rsid w:val="37B7331B"/>
    <w:rsid w:val="37BE432D"/>
    <w:rsid w:val="37C0269B"/>
    <w:rsid w:val="37C20289"/>
    <w:rsid w:val="37CC113C"/>
    <w:rsid w:val="37DD3769"/>
    <w:rsid w:val="37FE4685"/>
    <w:rsid w:val="37FF4557"/>
    <w:rsid w:val="38316343"/>
    <w:rsid w:val="38540962"/>
    <w:rsid w:val="3862667F"/>
    <w:rsid w:val="38727B02"/>
    <w:rsid w:val="38812AD7"/>
    <w:rsid w:val="388C1416"/>
    <w:rsid w:val="389F5CD8"/>
    <w:rsid w:val="38AA6BDA"/>
    <w:rsid w:val="38B279EB"/>
    <w:rsid w:val="38B82AF5"/>
    <w:rsid w:val="38BA3990"/>
    <w:rsid w:val="38C7204D"/>
    <w:rsid w:val="38EA6C83"/>
    <w:rsid w:val="39167469"/>
    <w:rsid w:val="392752C5"/>
    <w:rsid w:val="392B1828"/>
    <w:rsid w:val="393C2B9A"/>
    <w:rsid w:val="3944117A"/>
    <w:rsid w:val="39472556"/>
    <w:rsid w:val="394D58E5"/>
    <w:rsid w:val="39933B19"/>
    <w:rsid w:val="39986B83"/>
    <w:rsid w:val="39A33CED"/>
    <w:rsid w:val="39A74D48"/>
    <w:rsid w:val="39B63F14"/>
    <w:rsid w:val="39BB11C0"/>
    <w:rsid w:val="39ED5AEC"/>
    <w:rsid w:val="39F25C1A"/>
    <w:rsid w:val="39FE6631"/>
    <w:rsid w:val="3A041B64"/>
    <w:rsid w:val="3A071EAD"/>
    <w:rsid w:val="3A2B463D"/>
    <w:rsid w:val="3A386A14"/>
    <w:rsid w:val="3A3C0A2C"/>
    <w:rsid w:val="3A453174"/>
    <w:rsid w:val="3A5133D0"/>
    <w:rsid w:val="3A52381C"/>
    <w:rsid w:val="3A58654F"/>
    <w:rsid w:val="3A687E26"/>
    <w:rsid w:val="3A8322BE"/>
    <w:rsid w:val="3A85143D"/>
    <w:rsid w:val="3A862A09"/>
    <w:rsid w:val="3A884CF2"/>
    <w:rsid w:val="3AB170F0"/>
    <w:rsid w:val="3AB177D6"/>
    <w:rsid w:val="3AC727C9"/>
    <w:rsid w:val="3AC7728A"/>
    <w:rsid w:val="3ACB380C"/>
    <w:rsid w:val="3AD95D56"/>
    <w:rsid w:val="3AE74B3F"/>
    <w:rsid w:val="3AF6205F"/>
    <w:rsid w:val="3AFB06C4"/>
    <w:rsid w:val="3B003F2D"/>
    <w:rsid w:val="3B050D2B"/>
    <w:rsid w:val="3B1D2FE9"/>
    <w:rsid w:val="3B1F566C"/>
    <w:rsid w:val="3B265D2B"/>
    <w:rsid w:val="3B497D60"/>
    <w:rsid w:val="3B4D0406"/>
    <w:rsid w:val="3B4F3729"/>
    <w:rsid w:val="3B5C1C29"/>
    <w:rsid w:val="3B716F78"/>
    <w:rsid w:val="3B841B0F"/>
    <w:rsid w:val="3B8725C8"/>
    <w:rsid w:val="3B8E4873"/>
    <w:rsid w:val="3BB32D4D"/>
    <w:rsid w:val="3BB54638"/>
    <w:rsid w:val="3BD01B51"/>
    <w:rsid w:val="3BD30204"/>
    <w:rsid w:val="3BD62991"/>
    <w:rsid w:val="3BD95935"/>
    <w:rsid w:val="3BF34A5A"/>
    <w:rsid w:val="3BF56BC0"/>
    <w:rsid w:val="3BFD71E6"/>
    <w:rsid w:val="3C241772"/>
    <w:rsid w:val="3C2A50F0"/>
    <w:rsid w:val="3C2B11E4"/>
    <w:rsid w:val="3C367A7D"/>
    <w:rsid w:val="3C40286C"/>
    <w:rsid w:val="3C4373C4"/>
    <w:rsid w:val="3C483FC3"/>
    <w:rsid w:val="3C502B4D"/>
    <w:rsid w:val="3C542E8E"/>
    <w:rsid w:val="3C6504EB"/>
    <w:rsid w:val="3C7000A7"/>
    <w:rsid w:val="3C7B735D"/>
    <w:rsid w:val="3C90124E"/>
    <w:rsid w:val="3C9508B9"/>
    <w:rsid w:val="3CBE1861"/>
    <w:rsid w:val="3CD06F1D"/>
    <w:rsid w:val="3CD9405C"/>
    <w:rsid w:val="3CDB019A"/>
    <w:rsid w:val="3CE83CA8"/>
    <w:rsid w:val="3CF672F5"/>
    <w:rsid w:val="3D0C22C4"/>
    <w:rsid w:val="3D0F48FB"/>
    <w:rsid w:val="3D11065F"/>
    <w:rsid w:val="3D32517E"/>
    <w:rsid w:val="3D3D7F10"/>
    <w:rsid w:val="3D5228D4"/>
    <w:rsid w:val="3D5A250F"/>
    <w:rsid w:val="3D5B4B1B"/>
    <w:rsid w:val="3D6E011A"/>
    <w:rsid w:val="3D7778E1"/>
    <w:rsid w:val="3DCD70D3"/>
    <w:rsid w:val="3DD64A42"/>
    <w:rsid w:val="3DFF7691"/>
    <w:rsid w:val="3E21293C"/>
    <w:rsid w:val="3E23511C"/>
    <w:rsid w:val="3E4B54BF"/>
    <w:rsid w:val="3E5770D9"/>
    <w:rsid w:val="3E690DF4"/>
    <w:rsid w:val="3E6A644A"/>
    <w:rsid w:val="3E711D4C"/>
    <w:rsid w:val="3E7D62A3"/>
    <w:rsid w:val="3E861F2A"/>
    <w:rsid w:val="3E865C72"/>
    <w:rsid w:val="3E8A248B"/>
    <w:rsid w:val="3E8A7D88"/>
    <w:rsid w:val="3E920965"/>
    <w:rsid w:val="3E92378D"/>
    <w:rsid w:val="3EC57D85"/>
    <w:rsid w:val="3ED81093"/>
    <w:rsid w:val="3EDC4C19"/>
    <w:rsid w:val="3EE90097"/>
    <w:rsid w:val="3EEF22EE"/>
    <w:rsid w:val="3EF76DEB"/>
    <w:rsid w:val="3F147322"/>
    <w:rsid w:val="3F1B7BDA"/>
    <w:rsid w:val="3F463DF1"/>
    <w:rsid w:val="3F4F53D8"/>
    <w:rsid w:val="3F544847"/>
    <w:rsid w:val="3F656A54"/>
    <w:rsid w:val="3F7561FB"/>
    <w:rsid w:val="3F775D8A"/>
    <w:rsid w:val="3F8175A9"/>
    <w:rsid w:val="3F9110FB"/>
    <w:rsid w:val="3F970AC9"/>
    <w:rsid w:val="3F983970"/>
    <w:rsid w:val="3FA04C1F"/>
    <w:rsid w:val="3FAB0FB0"/>
    <w:rsid w:val="3FAB3EF2"/>
    <w:rsid w:val="3FB74B79"/>
    <w:rsid w:val="3FB97FE1"/>
    <w:rsid w:val="3FC62C11"/>
    <w:rsid w:val="3FD62416"/>
    <w:rsid w:val="3FE10133"/>
    <w:rsid w:val="3FF03FC2"/>
    <w:rsid w:val="40077B0C"/>
    <w:rsid w:val="40080BF4"/>
    <w:rsid w:val="400F586A"/>
    <w:rsid w:val="40225FCC"/>
    <w:rsid w:val="402C43AB"/>
    <w:rsid w:val="402D0F85"/>
    <w:rsid w:val="402D3E38"/>
    <w:rsid w:val="4031573F"/>
    <w:rsid w:val="403645F3"/>
    <w:rsid w:val="40491F46"/>
    <w:rsid w:val="40575432"/>
    <w:rsid w:val="407A0D49"/>
    <w:rsid w:val="40844CB8"/>
    <w:rsid w:val="409D0FAB"/>
    <w:rsid w:val="40A35A86"/>
    <w:rsid w:val="40A86353"/>
    <w:rsid w:val="40C61B26"/>
    <w:rsid w:val="40CC47B9"/>
    <w:rsid w:val="40D27F8E"/>
    <w:rsid w:val="40E41DEF"/>
    <w:rsid w:val="40F17FA1"/>
    <w:rsid w:val="40F2485A"/>
    <w:rsid w:val="40FC47E1"/>
    <w:rsid w:val="411876B8"/>
    <w:rsid w:val="412934FC"/>
    <w:rsid w:val="41345493"/>
    <w:rsid w:val="4138297C"/>
    <w:rsid w:val="415A2583"/>
    <w:rsid w:val="4188317F"/>
    <w:rsid w:val="41924FB9"/>
    <w:rsid w:val="41A94A2E"/>
    <w:rsid w:val="41AC096A"/>
    <w:rsid w:val="41AE6491"/>
    <w:rsid w:val="41B34DF1"/>
    <w:rsid w:val="41BB0480"/>
    <w:rsid w:val="41BF708C"/>
    <w:rsid w:val="41C761B0"/>
    <w:rsid w:val="41CB0305"/>
    <w:rsid w:val="41E53F7A"/>
    <w:rsid w:val="41F91821"/>
    <w:rsid w:val="42041BE8"/>
    <w:rsid w:val="42097713"/>
    <w:rsid w:val="420D42E6"/>
    <w:rsid w:val="42186FAF"/>
    <w:rsid w:val="42436B6D"/>
    <w:rsid w:val="42635B8E"/>
    <w:rsid w:val="426F381D"/>
    <w:rsid w:val="42723962"/>
    <w:rsid w:val="42AF5206"/>
    <w:rsid w:val="42BB2A5D"/>
    <w:rsid w:val="42C73711"/>
    <w:rsid w:val="42CB6444"/>
    <w:rsid w:val="42DE4B54"/>
    <w:rsid w:val="42FE63FF"/>
    <w:rsid w:val="430A6E5A"/>
    <w:rsid w:val="430F2511"/>
    <w:rsid w:val="43117BA5"/>
    <w:rsid w:val="43180601"/>
    <w:rsid w:val="431C549B"/>
    <w:rsid w:val="43241723"/>
    <w:rsid w:val="4330416F"/>
    <w:rsid w:val="4335673E"/>
    <w:rsid w:val="433E2AAC"/>
    <w:rsid w:val="434C374E"/>
    <w:rsid w:val="434F7A62"/>
    <w:rsid w:val="4355638B"/>
    <w:rsid w:val="436752A6"/>
    <w:rsid w:val="43804E58"/>
    <w:rsid w:val="43843FDD"/>
    <w:rsid w:val="439F0E69"/>
    <w:rsid w:val="43D7406A"/>
    <w:rsid w:val="43DC5799"/>
    <w:rsid w:val="43DF332A"/>
    <w:rsid w:val="43E727A0"/>
    <w:rsid w:val="43F37DE8"/>
    <w:rsid w:val="43F42B17"/>
    <w:rsid w:val="43F70D2B"/>
    <w:rsid w:val="44185E43"/>
    <w:rsid w:val="441A3D23"/>
    <w:rsid w:val="441E1F6C"/>
    <w:rsid w:val="442567B2"/>
    <w:rsid w:val="44284DFE"/>
    <w:rsid w:val="443B29FC"/>
    <w:rsid w:val="443B4DCB"/>
    <w:rsid w:val="443D5D23"/>
    <w:rsid w:val="44436D76"/>
    <w:rsid w:val="445F3A72"/>
    <w:rsid w:val="4464327A"/>
    <w:rsid w:val="44663053"/>
    <w:rsid w:val="446A3FBF"/>
    <w:rsid w:val="4472660D"/>
    <w:rsid w:val="44775260"/>
    <w:rsid w:val="44931781"/>
    <w:rsid w:val="44964BBE"/>
    <w:rsid w:val="44CD30D2"/>
    <w:rsid w:val="44D8473A"/>
    <w:rsid w:val="44E07A4E"/>
    <w:rsid w:val="44E37827"/>
    <w:rsid w:val="44E701A5"/>
    <w:rsid w:val="44EF6DE1"/>
    <w:rsid w:val="45080D22"/>
    <w:rsid w:val="450E74EC"/>
    <w:rsid w:val="45265484"/>
    <w:rsid w:val="452D74E0"/>
    <w:rsid w:val="45396AC7"/>
    <w:rsid w:val="453A32C5"/>
    <w:rsid w:val="457C4123"/>
    <w:rsid w:val="45855844"/>
    <w:rsid w:val="458B69F6"/>
    <w:rsid w:val="45A647C9"/>
    <w:rsid w:val="45BB5620"/>
    <w:rsid w:val="45C36283"/>
    <w:rsid w:val="45C943D0"/>
    <w:rsid w:val="45DA6D30"/>
    <w:rsid w:val="45DE14B8"/>
    <w:rsid w:val="45EC7588"/>
    <w:rsid w:val="460142EB"/>
    <w:rsid w:val="46091CAA"/>
    <w:rsid w:val="46366E3E"/>
    <w:rsid w:val="463842DE"/>
    <w:rsid w:val="46386E53"/>
    <w:rsid w:val="4639036D"/>
    <w:rsid w:val="463A05A5"/>
    <w:rsid w:val="463A5557"/>
    <w:rsid w:val="46460291"/>
    <w:rsid w:val="464A0A81"/>
    <w:rsid w:val="46585AA8"/>
    <w:rsid w:val="46625A9D"/>
    <w:rsid w:val="4666004F"/>
    <w:rsid w:val="4684077A"/>
    <w:rsid w:val="468C4784"/>
    <w:rsid w:val="469506DA"/>
    <w:rsid w:val="46967151"/>
    <w:rsid w:val="469B1818"/>
    <w:rsid w:val="46A9385A"/>
    <w:rsid w:val="46AB4F07"/>
    <w:rsid w:val="46CA4E0D"/>
    <w:rsid w:val="46F379AB"/>
    <w:rsid w:val="470B23CA"/>
    <w:rsid w:val="472762D3"/>
    <w:rsid w:val="47310B44"/>
    <w:rsid w:val="47454177"/>
    <w:rsid w:val="474F15D8"/>
    <w:rsid w:val="4754049B"/>
    <w:rsid w:val="475E7C0D"/>
    <w:rsid w:val="476415D8"/>
    <w:rsid w:val="476C7258"/>
    <w:rsid w:val="47701558"/>
    <w:rsid w:val="477426A5"/>
    <w:rsid w:val="477C7BB5"/>
    <w:rsid w:val="47873BD6"/>
    <w:rsid w:val="479F13B5"/>
    <w:rsid w:val="47B2336A"/>
    <w:rsid w:val="47BA4F6E"/>
    <w:rsid w:val="47C23690"/>
    <w:rsid w:val="47D6229D"/>
    <w:rsid w:val="47D7366E"/>
    <w:rsid w:val="47D93B3C"/>
    <w:rsid w:val="47DD7536"/>
    <w:rsid w:val="47E12DA0"/>
    <w:rsid w:val="47FE0DCE"/>
    <w:rsid w:val="480C1D5D"/>
    <w:rsid w:val="4829677E"/>
    <w:rsid w:val="48643D4D"/>
    <w:rsid w:val="486820B1"/>
    <w:rsid w:val="486C3D94"/>
    <w:rsid w:val="48773686"/>
    <w:rsid w:val="487B6FA5"/>
    <w:rsid w:val="487F1E12"/>
    <w:rsid w:val="48A226AD"/>
    <w:rsid w:val="48B222DB"/>
    <w:rsid w:val="48B2699F"/>
    <w:rsid w:val="48B67D8D"/>
    <w:rsid w:val="48C260C0"/>
    <w:rsid w:val="48CC18F2"/>
    <w:rsid w:val="48D647F7"/>
    <w:rsid w:val="48E20896"/>
    <w:rsid w:val="48F36E7F"/>
    <w:rsid w:val="4902628A"/>
    <w:rsid w:val="490B2882"/>
    <w:rsid w:val="492412C0"/>
    <w:rsid w:val="492E340D"/>
    <w:rsid w:val="494E7D53"/>
    <w:rsid w:val="495A6D39"/>
    <w:rsid w:val="49733F06"/>
    <w:rsid w:val="49813612"/>
    <w:rsid w:val="4988006D"/>
    <w:rsid w:val="499646A6"/>
    <w:rsid w:val="499F4D25"/>
    <w:rsid w:val="49B0392D"/>
    <w:rsid w:val="49B26E0D"/>
    <w:rsid w:val="49BB06FB"/>
    <w:rsid w:val="49BC2A68"/>
    <w:rsid w:val="49CC2EDA"/>
    <w:rsid w:val="49F02ED2"/>
    <w:rsid w:val="49F04BCB"/>
    <w:rsid w:val="49FD451C"/>
    <w:rsid w:val="4A01737A"/>
    <w:rsid w:val="4A152F65"/>
    <w:rsid w:val="4A3E0914"/>
    <w:rsid w:val="4A3F1207"/>
    <w:rsid w:val="4A57472F"/>
    <w:rsid w:val="4A5E14E9"/>
    <w:rsid w:val="4A715E3D"/>
    <w:rsid w:val="4A733048"/>
    <w:rsid w:val="4A942924"/>
    <w:rsid w:val="4AB72982"/>
    <w:rsid w:val="4ABA28C3"/>
    <w:rsid w:val="4ABC5235"/>
    <w:rsid w:val="4ABE3098"/>
    <w:rsid w:val="4AD056CA"/>
    <w:rsid w:val="4ADA6439"/>
    <w:rsid w:val="4B0709C0"/>
    <w:rsid w:val="4B0E7FA0"/>
    <w:rsid w:val="4B1B2082"/>
    <w:rsid w:val="4B207620"/>
    <w:rsid w:val="4B26633E"/>
    <w:rsid w:val="4B275A70"/>
    <w:rsid w:val="4B372F36"/>
    <w:rsid w:val="4B3C1F61"/>
    <w:rsid w:val="4B577B99"/>
    <w:rsid w:val="4B6328C8"/>
    <w:rsid w:val="4B635F8B"/>
    <w:rsid w:val="4B65032C"/>
    <w:rsid w:val="4B712A43"/>
    <w:rsid w:val="4B82202B"/>
    <w:rsid w:val="4B9B636D"/>
    <w:rsid w:val="4BAD77B9"/>
    <w:rsid w:val="4BB52B12"/>
    <w:rsid w:val="4BBD055E"/>
    <w:rsid w:val="4BBE1692"/>
    <w:rsid w:val="4BCA0C2B"/>
    <w:rsid w:val="4BD42F98"/>
    <w:rsid w:val="4BD65A7B"/>
    <w:rsid w:val="4BE13907"/>
    <w:rsid w:val="4BF4363A"/>
    <w:rsid w:val="4BF7344E"/>
    <w:rsid w:val="4C0B49E3"/>
    <w:rsid w:val="4C180EC0"/>
    <w:rsid w:val="4C391F4E"/>
    <w:rsid w:val="4C3A06B4"/>
    <w:rsid w:val="4C431D10"/>
    <w:rsid w:val="4C550CDA"/>
    <w:rsid w:val="4C696745"/>
    <w:rsid w:val="4C737423"/>
    <w:rsid w:val="4C9771F8"/>
    <w:rsid w:val="4C987A51"/>
    <w:rsid w:val="4C993ABE"/>
    <w:rsid w:val="4C9E5354"/>
    <w:rsid w:val="4CAA2DCE"/>
    <w:rsid w:val="4CB96EE9"/>
    <w:rsid w:val="4CD66C96"/>
    <w:rsid w:val="4CD67B67"/>
    <w:rsid w:val="4CDC5A3B"/>
    <w:rsid w:val="4CDF0E5D"/>
    <w:rsid w:val="4CE376D5"/>
    <w:rsid w:val="4CEE4FA5"/>
    <w:rsid w:val="4D0D3FCB"/>
    <w:rsid w:val="4D3216F4"/>
    <w:rsid w:val="4D4B67D6"/>
    <w:rsid w:val="4D547564"/>
    <w:rsid w:val="4D6C65CD"/>
    <w:rsid w:val="4D8217BA"/>
    <w:rsid w:val="4D942E5A"/>
    <w:rsid w:val="4D9C1BB4"/>
    <w:rsid w:val="4DA03F5C"/>
    <w:rsid w:val="4DA53D9D"/>
    <w:rsid w:val="4DAC584E"/>
    <w:rsid w:val="4DAD3AA0"/>
    <w:rsid w:val="4DC65A69"/>
    <w:rsid w:val="4DD53783"/>
    <w:rsid w:val="4DDA4E7A"/>
    <w:rsid w:val="4DF4626D"/>
    <w:rsid w:val="4DFC20A2"/>
    <w:rsid w:val="4DFF1B97"/>
    <w:rsid w:val="4E020B1B"/>
    <w:rsid w:val="4E043535"/>
    <w:rsid w:val="4E0E50C7"/>
    <w:rsid w:val="4E1362FB"/>
    <w:rsid w:val="4E1E3172"/>
    <w:rsid w:val="4E25360E"/>
    <w:rsid w:val="4E2719FC"/>
    <w:rsid w:val="4E4E6C0D"/>
    <w:rsid w:val="4E5E12F1"/>
    <w:rsid w:val="4E62045F"/>
    <w:rsid w:val="4E783F31"/>
    <w:rsid w:val="4E7C617F"/>
    <w:rsid w:val="4E802F63"/>
    <w:rsid w:val="4E806307"/>
    <w:rsid w:val="4E8159B7"/>
    <w:rsid w:val="4E9C3B15"/>
    <w:rsid w:val="4EA66A95"/>
    <w:rsid w:val="4EA77519"/>
    <w:rsid w:val="4EAC689C"/>
    <w:rsid w:val="4EB25AA5"/>
    <w:rsid w:val="4EC9384C"/>
    <w:rsid w:val="4EDD2691"/>
    <w:rsid w:val="4EF911E3"/>
    <w:rsid w:val="4EF94046"/>
    <w:rsid w:val="4F0048E8"/>
    <w:rsid w:val="4F0C760F"/>
    <w:rsid w:val="4F142183"/>
    <w:rsid w:val="4F15188C"/>
    <w:rsid w:val="4F255836"/>
    <w:rsid w:val="4F29165C"/>
    <w:rsid w:val="4F3F22D2"/>
    <w:rsid w:val="4F3F24FD"/>
    <w:rsid w:val="4F4F67C3"/>
    <w:rsid w:val="4F500191"/>
    <w:rsid w:val="4F580453"/>
    <w:rsid w:val="4F647CAE"/>
    <w:rsid w:val="4F7F4759"/>
    <w:rsid w:val="4F8A3560"/>
    <w:rsid w:val="4F8A6E9D"/>
    <w:rsid w:val="4FA00EA1"/>
    <w:rsid w:val="4FA7410F"/>
    <w:rsid w:val="4FB10DBD"/>
    <w:rsid w:val="4FB614EF"/>
    <w:rsid w:val="4FBD6B72"/>
    <w:rsid w:val="4FD02150"/>
    <w:rsid w:val="4FD47514"/>
    <w:rsid w:val="4FDA48F5"/>
    <w:rsid w:val="4FDC31A9"/>
    <w:rsid w:val="4FE15CB0"/>
    <w:rsid w:val="4FF525AA"/>
    <w:rsid w:val="4FF63DCE"/>
    <w:rsid w:val="500A5543"/>
    <w:rsid w:val="501D01A2"/>
    <w:rsid w:val="501D19C7"/>
    <w:rsid w:val="502F05C6"/>
    <w:rsid w:val="5033035A"/>
    <w:rsid w:val="50372FFC"/>
    <w:rsid w:val="50381A05"/>
    <w:rsid w:val="503A35E5"/>
    <w:rsid w:val="504030AB"/>
    <w:rsid w:val="504305E6"/>
    <w:rsid w:val="50476CC4"/>
    <w:rsid w:val="504C6018"/>
    <w:rsid w:val="504D4F36"/>
    <w:rsid w:val="50500C93"/>
    <w:rsid w:val="50594829"/>
    <w:rsid w:val="506E1264"/>
    <w:rsid w:val="50711B18"/>
    <w:rsid w:val="508B7406"/>
    <w:rsid w:val="509F73B0"/>
    <w:rsid w:val="50B26A6B"/>
    <w:rsid w:val="50B50A85"/>
    <w:rsid w:val="50C20F4E"/>
    <w:rsid w:val="50C84E7A"/>
    <w:rsid w:val="50D40C4B"/>
    <w:rsid w:val="50E46F54"/>
    <w:rsid w:val="511172BC"/>
    <w:rsid w:val="51126924"/>
    <w:rsid w:val="512328D2"/>
    <w:rsid w:val="5139564B"/>
    <w:rsid w:val="514069D9"/>
    <w:rsid w:val="5144267E"/>
    <w:rsid w:val="514D07CA"/>
    <w:rsid w:val="5158127E"/>
    <w:rsid w:val="51604849"/>
    <w:rsid w:val="51681CC1"/>
    <w:rsid w:val="516F52F7"/>
    <w:rsid w:val="51747844"/>
    <w:rsid w:val="51777F08"/>
    <w:rsid w:val="51825EE0"/>
    <w:rsid w:val="5183249D"/>
    <w:rsid w:val="51840FBC"/>
    <w:rsid w:val="518B100F"/>
    <w:rsid w:val="51912DDA"/>
    <w:rsid w:val="519B5EE7"/>
    <w:rsid w:val="51AB47E1"/>
    <w:rsid w:val="51B047FE"/>
    <w:rsid w:val="51B204B9"/>
    <w:rsid w:val="51B56296"/>
    <w:rsid w:val="51C20013"/>
    <w:rsid w:val="51C72834"/>
    <w:rsid w:val="51C86B4D"/>
    <w:rsid w:val="51CD33DA"/>
    <w:rsid w:val="51DB6783"/>
    <w:rsid w:val="51E437AD"/>
    <w:rsid w:val="51E74EF3"/>
    <w:rsid w:val="520C2961"/>
    <w:rsid w:val="521452F0"/>
    <w:rsid w:val="522F500B"/>
    <w:rsid w:val="523852D6"/>
    <w:rsid w:val="523E768F"/>
    <w:rsid w:val="5242577E"/>
    <w:rsid w:val="52462715"/>
    <w:rsid w:val="52691B99"/>
    <w:rsid w:val="527076ED"/>
    <w:rsid w:val="52783884"/>
    <w:rsid w:val="527B5FD7"/>
    <w:rsid w:val="528B3F86"/>
    <w:rsid w:val="52A02931"/>
    <w:rsid w:val="52AC28BC"/>
    <w:rsid w:val="52AC68B8"/>
    <w:rsid w:val="52B05067"/>
    <w:rsid w:val="52BE04FE"/>
    <w:rsid w:val="52CC23E6"/>
    <w:rsid w:val="52D27B05"/>
    <w:rsid w:val="52D7787C"/>
    <w:rsid w:val="52E07238"/>
    <w:rsid w:val="52EA11D5"/>
    <w:rsid w:val="53043513"/>
    <w:rsid w:val="5329120F"/>
    <w:rsid w:val="53635071"/>
    <w:rsid w:val="536C1D08"/>
    <w:rsid w:val="536C47E9"/>
    <w:rsid w:val="5382736B"/>
    <w:rsid w:val="53951EDF"/>
    <w:rsid w:val="539E491F"/>
    <w:rsid w:val="53A7661D"/>
    <w:rsid w:val="53AE2320"/>
    <w:rsid w:val="53B17A70"/>
    <w:rsid w:val="53B24EEA"/>
    <w:rsid w:val="53B97E84"/>
    <w:rsid w:val="53BF4F14"/>
    <w:rsid w:val="53C72845"/>
    <w:rsid w:val="53CA6414"/>
    <w:rsid w:val="53D00E36"/>
    <w:rsid w:val="53D31D47"/>
    <w:rsid w:val="53DD499C"/>
    <w:rsid w:val="53E03B99"/>
    <w:rsid w:val="53EF09CA"/>
    <w:rsid w:val="53F014B1"/>
    <w:rsid w:val="53F56F41"/>
    <w:rsid w:val="5408182A"/>
    <w:rsid w:val="54125F57"/>
    <w:rsid w:val="54187343"/>
    <w:rsid w:val="541C31AF"/>
    <w:rsid w:val="5420466B"/>
    <w:rsid w:val="5433414C"/>
    <w:rsid w:val="543604DE"/>
    <w:rsid w:val="54465F20"/>
    <w:rsid w:val="544A0FC4"/>
    <w:rsid w:val="545147D1"/>
    <w:rsid w:val="545D4199"/>
    <w:rsid w:val="5481389E"/>
    <w:rsid w:val="54831B18"/>
    <w:rsid w:val="548824E9"/>
    <w:rsid w:val="549502FD"/>
    <w:rsid w:val="54AB09A6"/>
    <w:rsid w:val="54AD3CB4"/>
    <w:rsid w:val="54AF20D4"/>
    <w:rsid w:val="54B72A99"/>
    <w:rsid w:val="54BC2612"/>
    <w:rsid w:val="54BC49A0"/>
    <w:rsid w:val="54CA33BA"/>
    <w:rsid w:val="55022976"/>
    <w:rsid w:val="551C096F"/>
    <w:rsid w:val="55240097"/>
    <w:rsid w:val="552842A0"/>
    <w:rsid w:val="552C3D46"/>
    <w:rsid w:val="55354EA7"/>
    <w:rsid w:val="55417E40"/>
    <w:rsid w:val="554D13EE"/>
    <w:rsid w:val="556F1F83"/>
    <w:rsid w:val="557355B3"/>
    <w:rsid w:val="55775A2B"/>
    <w:rsid w:val="55927D4F"/>
    <w:rsid w:val="559341A6"/>
    <w:rsid w:val="55A22D73"/>
    <w:rsid w:val="55AF69BD"/>
    <w:rsid w:val="55BA1450"/>
    <w:rsid w:val="55C57ADE"/>
    <w:rsid w:val="55CE22F2"/>
    <w:rsid w:val="55EE4C56"/>
    <w:rsid w:val="55F253AA"/>
    <w:rsid w:val="560B1CDC"/>
    <w:rsid w:val="560E000C"/>
    <w:rsid w:val="56157F4A"/>
    <w:rsid w:val="56160365"/>
    <w:rsid w:val="561717F3"/>
    <w:rsid w:val="562B220B"/>
    <w:rsid w:val="56372AA1"/>
    <w:rsid w:val="563B3C13"/>
    <w:rsid w:val="56521689"/>
    <w:rsid w:val="56543CF4"/>
    <w:rsid w:val="565E220C"/>
    <w:rsid w:val="566E6821"/>
    <w:rsid w:val="568455BA"/>
    <w:rsid w:val="56AD68BF"/>
    <w:rsid w:val="56C9042C"/>
    <w:rsid w:val="56DD747D"/>
    <w:rsid w:val="56EE039D"/>
    <w:rsid w:val="56F96728"/>
    <w:rsid w:val="57016775"/>
    <w:rsid w:val="570D59F6"/>
    <w:rsid w:val="57117C05"/>
    <w:rsid w:val="571F273F"/>
    <w:rsid w:val="572F7A73"/>
    <w:rsid w:val="57387E1C"/>
    <w:rsid w:val="575B5634"/>
    <w:rsid w:val="575D7EC0"/>
    <w:rsid w:val="576001C0"/>
    <w:rsid w:val="576138FC"/>
    <w:rsid w:val="578736CD"/>
    <w:rsid w:val="578739BB"/>
    <w:rsid w:val="57893C0F"/>
    <w:rsid w:val="5798256F"/>
    <w:rsid w:val="579840C7"/>
    <w:rsid w:val="57B45586"/>
    <w:rsid w:val="57BE420E"/>
    <w:rsid w:val="57C2221D"/>
    <w:rsid w:val="57E1536E"/>
    <w:rsid w:val="57FD4D3D"/>
    <w:rsid w:val="57FD673B"/>
    <w:rsid w:val="58037648"/>
    <w:rsid w:val="583A7FA8"/>
    <w:rsid w:val="584D3B83"/>
    <w:rsid w:val="58544955"/>
    <w:rsid w:val="58566AE7"/>
    <w:rsid w:val="585962B5"/>
    <w:rsid w:val="585F5B75"/>
    <w:rsid w:val="585F780A"/>
    <w:rsid w:val="5868275A"/>
    <w:rsid w:val="587642D6"/>
    <w:rsid w:val="587A4269"/>
    <w:rsid w:val="588E44CE"/>
    <w:rsid w:val="589A5A5F"/>
    <w:rsid w:val="58AD0DF8"/>
    <w:rsid w:val="58B94375"/>
    <w:rsid w:val="58BA4A70"/>
    <w:rsid w:val="58DF1EF1"/>
    <w:rsid w:val="58DF2D14"/>
    <w:rsid w:val="5902444F"/>
    <w:rsid w:val="590B1B60"/>
    <w:rsid w:val="5912601F"/>
    <w:rsid w:val="59184CAA"/>
    <w:rsid w:val="591B5CBF"/>
    <w:rsid w:val="5927514C"/>
    <w:rsid w:val="593D2BEE"/>
    <w:rsid w:val="59427A44"/>
    <w:rsid w:val="594D3549"/>
    <w:rsid w:val="594F610B"/>
    <w:rsid w:val="59591ABB"/>
    <w:rsid w:val="595D7842"/>
    <w:rsid w:val="59600EE5"/>
    <w:rsid w:val="59634BDC"/>
    <w:rsid w:val="5990113A"/>
    <w:rsid w:val="59941B20"/>
    <w:rsid w:val="599A4004"/>
    <w:rsid w:val="599B086D"/>
    <w:rsid w:val="59A548B6"/>
    <w:rsid w:val="59A83A7F"/>
    <w:rsid w:val="59A87812"/>
    <w:rsid w:val="59B53A9F"/>
    <w:rsid w:val="59B63F9A"/>
    <w:rsid w:val="59B927ED"/>
    <w:rsid w:val="59BF5C8E"/>
    <w:rsid w:val="59C1543A"/>
    <w:rsid w:val="59D97EC2"/>
    <w:rsid w:val="59E27409"/>
    <w:rsid w:val="59E52BA1"/>
    <w:rsid w:val="59ED36DC"/>
    <w:rsid w:val="59F20A8D"/>
    <w:rsid w:val="59FC781F"/>
    <w:rsid w:val="5A1350A8"/>
    <w:rsid w:val="5A1B7FE4"/>
    <w:rsid w:val="5A3526A3"/>
    <w:rsid w:val="5A494B51"/>
    <w:rsid w:val="5A4E41C1"/>
    <w:rsid w:val="5A6210CC"/>
    <w:rsid w:val="5A7348C9"/>
    <w:rsid w:val="5A7521D8"/>
    <w:rsid w:val="5A7E7218"/>
    <w:rsid w:val="5A9725BE"/>
    <w:rsid w:val="5AC266B1"/>
    <w:rsid w:val="5AC76508"/>
    <w:rsid w:val="5AD45AFB"/>
    <w:rsid w:val="5AD86008"/>
    <w:rsid w:val="5AEF24F4"/>
    <w:rsid w:val="5AFC1624"/>
    <w:rsid w:val="5B095493"/>
    <w:rsid w:val="5B115BA8"/>
    <w:rsid w:val="5B1D0DAE"/>
    <w:rsid w:val="5B235AE9"/>
    <w:rsid w:val="5B246A53"/>
    <w:rsid w:val="5B416E74"/>
    <w:rsid w:val="5B437EA2"/>
    <w:rsid w:val="5B534ED1"/>
    <w:rsid w:val="5B61411C"/>
    <w:rsid w:val="5B6634E0"/>
    <w:rsid w:val="5B8859A0"/>
    <w:rsid w:val="5B890B71"/>
    <w:rsid w:val="5B9A46F8"/>
    <w:rsid w:val="5B9F7743"/>
    <w:rsid w:val="5BB522B5"/>
    <w:rsid w:val="5BB95B85"/>
    <w:rsid w:val="5BBA4618"/>
    <w:rsid w:val="5BCB7CE3"/>
    <w:rsid w:val="5BF84DDB"/>
    <w:rsid w:val="5C021B42"/>
    <w:rsid w:val="5C111338"/>
    <w:rsid w:val="5C691941"/>
    <w:rsid w:val="5C7919DF"/>
    <w:rsid w:val="5C9C516F"/>
    <w:rsid w:val="5CB35D47"/>
    <w:rsid w:val="5CC85C68"/>
    <w:rsid w:val="5CC93D27"/>
    <w:rsid w:val="5CEC3A93"/>
    <w:rsid w:val="5CEE5E83"/>
    <w:rsid w:val="5CEF405D"/>
    <w:rsid w:val="5CFE5040"/>
    <w:rsid w:val="5D1341B2"/>
    <w:rsid w:val="5D251093"/>
    <w:rsid w:val="5D287B54"/>
    <w:rsid w:val="5D2A4273"/>
    <w:rsid w:val="5D2B2394"/>
    <w:rsid w:val="5D2C6168"/>
    <w:rsid w:val="5D3047D1"/>
    <w:rsid w:val="5D494018"/>
    <w:rsid w:val="5D683540"/>
    <w:rsid w:val="5D6B14A2"/>
    <w:rsid w:val="5D845813"/>
    <w:rsid w:val="5D910B16"/>
    <w:rsid w:val="5D9B0E6A"/>
    <w:rsid w:val="5D9C65A0"/>
    <w:rsid w:val="5D9E1AED"/>
    <w:rsid w:val="5D9E4E16"/>
    <w:rsid w:val="5DAA0FDA"/>
    <w:rsid w:val="5DB91FED"/>
    <w:rsid w:val="5DBA0135"/>
    <w:rsid w:val="5DCD5DE5"/>
    <w:rsid w:val="5DD437EF"/>
    <w:rsid w:val="5DF16302"/>
    <w:rsid w:val="5DFF4B46"/>
    <w:rsid w:val="5E3B0A10"/>
    <w:rsid w:val="5E424B71"/>
    <w:rsid w:val="5E473A9D"/>
    <w:rsid w:val="5E581806"/>
    <w:rsid w:val="5E881A80"/>
    <w:rsid w:val="5E88402F"/>
    <w:rsid w:val="5E967D94"/>
    <w:rsid w:val="5EB51AB3"/>
    <w:rsid w:val="5EC33621"/>
    <w:rsid w:val="5EE65064"/>
    <w:rsid w:val="5EF115AC"/>
    <w:rsid w:val="5EF31C67"/>
    <w:rsid w:val="5EF4004E"/>
    <w:rsid w:val="5EFA106E"/>
    <w:rsid w:val="5EFF06CD"/>
    <w:rsid w:val="5F010576"/>
    <w:rsid w:val="5F0251FA"/>
    <w:rsid w:val="5F0561DC"/>
    <w:rsid w:val="5F117C07"/>
    <w:rsid w:val="5F212A81"/>
    <w:rsid w:val="5F4475AE"/>
    <w:rsid w:val="5F4A6799"/>
    <w:rsid w:val="5F4D6E91"/>
    <w:rsid w:val="5F6C2424"/>
    <w:rsid w:val="5F800D46"/>
    <w:rsid w:val="5F946A7C"/>
    <w:rsid w:val="5FBA79B0"/>
    <w:rsid w:val="5FC61813"/>
    <w:rsid w:val="5FD14A15"/>
    <w:rsid w:val="5FD57CF6"/>
    <w:rsid w:val="5FF50EAD"/>
    <w:rsid w:val="600676E3"/>
    <w:rsid w:val="601577B0"/>
    <w:rsid w:val="601C5687"/>
    <w:rsid w:val="60237BF2"/>
    <w:rsid w:val="602B7B91"/>
    <w:rsid w:val="60391C4C"/>
    <w:rsid w:val="603B021E"/>
    <w:rsid w:val="60562CC9"/>
    <w:rsid w:val="60584683"/>
    <w:rsid w:val="60634492"/>
    <w:rsid w:val="606E582C"/>
    <w:rsid w:val="606F768E"/>
    <w:rsid w:val="608D00E3"/>
    <w:rsid w:val="608F1263"/>
    <w:rsid w:val="60992490"/>
    <w:rsid w:val="60A1419A"/>
    <w:rsid w:val="60A43A47"/>
    <w:rsid w:val="60AF6A2D"/>
    <w:rsid w:val="60C33C2B"/>
    <w:rsid w:val="60E3062F"/>
    <w:rsid w:val="60E6759D"/>
    <w:rsid w:val="60E97ACC"/>
    <w:rsid w:val="61160E7E"/>
    <w:rsid w:val="61311E12"/>
    <w:rsid w:val="613B6ACF"/>
    <w:rsid w:val="61637659"/>
    <w:rsid w:val="61774699"/>
    <w:rsid w:val="617C570B"/>
    <w:rsid w:val="6182125E"/>
    <w:rsid w:val="61853804"/>
    <w:rsid w:val="619A4F16"/>
    <w:rsid w:val="619B53CA"/>
    <w:rsid w:val="61A56DFA"/>
    <w:rsid w:val="61AB4A4A"/>
    <w:rsid w:val="61B21CCD"/>
    <w:rsid w:val="61B56D74"/>
    <w:rsid w:val="61CA2054"/>
    <w:rsid w:val="61D7066F"/>
    <w:rsid w:val="61EB5F1D"/>
    <w:rsid w:val="61ED495B"/>
    <w:rsid w:val="621B5631"/>
    <w:rsid w:val="624C1F91"/>
    <w:rsid w:val="626D5F91"/>
    <w:rsid w:val="626F35C2"/>
    <w:rsid w:val="627837EC"/>
    <w:rsid w:val="627E7D9D"/>
    <w:rsid w:val="628407FE"/>
    <w:rsid w:val="62880405"/>
    <w:rsid w:val="628E1204"/>
    <w:rsid w:val="629073C4"/>
    <w:rsid w:val="62996318"/>
    <w:rsid w:val="62A04418"/>
    <w:rsid w:val="62AA6D2C"/>
    <w:rsid w:val="62B0179B"/>
    <w:rsid w:val="62B72874"/>
    <w:rsid w:val="62CA4A84"/>
    <w:rsid w:val="62CC094F"/>
    <w:rsid w:val="62D93C3C"/>
    <w:rsid w:val="62E06EE1"/>
    <w:rsid w:val="62E579B9"/>
    <w:rsid w:val="62F51814"/>
    <w:rsid w:val="630334E9"/>
    <w:rsid w:val="63114B46"/>
    <w:rsid w:val="63242B23"/>
    <w:rsid w:val="632B7C6B"/>
    <w:rsid w:val="635C73A1"/>
    <w:rsid w:val="636B3D8A"/>
    <w:rsid w:val="63707F90"/>
    <w:rsid w:val="63743838"/>
    <w:rsid w:val="637455EF"/>
    <w:rsid w:val="637509AF"/>
    <w:rsid w:val="63A23228"/>
    <w:rsid w:val="63AB5D44"/>
    <w:rsid w:val="63B04CF8"/>
    <w:rsid w:val="63B41BCF"/>
    <w:rsid w:val="63B65E3B"/>
    <w:rsid w:val="63BA7188"/>
    <w:rsid w:val="63C11BFC"/>
    <w:rsid w:val="63D9513F"/>
    <w:rsid w:val="63DF59C2"/>
    <w:rsid w:val="63E6136F"/>
    <w:rsid w:val="63EA625B"/>
    <w:rsid w:val="63FC6F31"/>
    <w:rsid w:val="641F1628"/>
    <w:rsid w:val="642E4F72"/>
    <w:rsid w:val="644338BB"/>
    <w:rsid w:val="645472F7"/>
    <w:rsid w:val="646469D4"/>
    <w:rsid w:val="64687300"/>
    <w:rsid w:val="647A419D"/>
    <w:rsid w:val="64846083"/>
    <w:rsid w:val="64851089"/>
    <w:rsid w:val="64983CC9"/>
    <w:rsid w:val="64A96E72"/>
    <w:rsid w:val="64B109D5"/>
    <w:rsid w:val="64BF129D"/>
    <w:rsid w:val="64C55E11"/>
    <w:rsid w:val="64C71494"/>
    <w:rsid w:val="64E02555"/>
    <w:rsid w:val="64E43E7F"/>
    <w:rsid w:val="64E600A1"/>
    <w:rsid w:val="64EA33D4"/>
    <w:rsid w:val="64EB7388"/>
    <w:rsid w:val="64FE5C71"/>
    <w:rsid w:val="64FF0919"/>
    <w:rsid w:val="65073BD2"/>
    <w:rsid w:val="65107E36"/>
    <w:rsid w:val="651A71B3"/>
    <w:rsid w:val="651D10B4"/>
    <w:rsid w:val="65261895"/>
    <w:rsid w:val="6530528B"/>
    <w:rsid w:val="654E476E"/>
    <w:rsid w:val="65571F4A"/>
    <w:rsid w:val="655E133F"/>
    <w:rsid w:val="656B5634"/>
    <w:rsid w:val="657B11CD"/>
    <w:rsid w:val="65843ACA"/>
    <w:rsid w:val="658A6BCD"/>
    <w:rsid w:val="65923103"/>
    <w:rsid w:val="659D0782"/>
    <w:rsid w:val="659D7C90"/>
    <w:rsid w:val="65A13A93"/>
    <w:rsid w:val="65BF51F9"/>
    <w:rsid w:val="65C52E95"/>
    <w:rsid w:val="65CD100F"/>
    <w:rsid w:val="65D04EEB"/>
    <w:rsid w:val="65D424B9"/>
    <w:rsid w:val="65DC47E3"/>
    <w:rsid w:val="66001BA4"/>
    <w:rsid w:val="66025947"/>
    <w:rsid w:val="661415F4"/>
    <w:rsid w:val="661E207D"/>
    <w:rsid w:val="66252916"/>
    <w:rsid w:val="663C7469"/>
    <w:rsid w:val="66882EA5"/>
    <w:rsid w:val="669C2BD4"/>
    <w:rsid w:val="66A01175"/>
    <w:rsid w:val="66B8269C"/>
    <w:rsid w:val="66C0619B"/>
    <w:rsid w:val="66C74168"/>
    <w:rsid w:val="66DA6749"/>
    <w:rsid w:val="66FF7499"/>
    <w:rsid w:val="67136C12"/>
    <w:rsid w:val="671D46C8"/>
    <w:rsid w:val="671F22A3"/>
    <w:rsid w:val="67267230"/>
    <w:rsid w:val="67291A35"/>
    <w:rsid w:val="673669FF"/>
    <w:rsid w:val="67393CB7"/>
    <w:rsid w:val="673C6439"/>
    <w:rsid w:val="67692E11"/>
    <w:rsid w:val="676A0B2B"/>
    <w:rsid w:val="676C3006"/>
    <w:rsid w:val="67827A7F"/>
    <w:rsid w:val="67A60E33"/>
    <w:rsid w:val="67A667D3"/>
    <w:rsid w:val="67A74C82"/>
    <w:rsid w:val="67A95111"/>
    <w:rsid w:val="67C365BF"/>
    <w:rsid w:val="67D8341E"/>
    <w:rsid w:val="67E46FF5"/>
    <w:rsid w:val="67ED6C16"/>
    <w:rsid w:val="680A6C82"/>
    <w:rsid w:val="6824034C"/>
    <w:rsid w:val="68273865"/>
    <w:rsid w:val="682B6CB1"/>
    <w:rsid w:val="682E35D8"/>
    <w:rsid w:val="68320D52"/>
    <w:rsid w:val="6838676F"/>
    <w:rsid w:val="683E3347"/>
    <w:rsid w:val="684A618B"/>
    <w:rsid w:val="68522967"/>
    <w:rsid w:val="685B244C"/>
    <w:rsid w:val="685E57CE"/>
    <w:rsid w:val="685F4AA0"/>
    <w:rsid w:val="68623D3F"/>
    <w:rsid w:val="686C7E0A"/>
    <w:rsid w:val="686D4100"/>
    <w:rsid w:val="68703C97"/>
    <w:rsid w:val="68757042"/>
    <w:rsid w:val="687855F8"/>
    <w:rsid w:val="687D6111"/>
    <w:rsid w:val="688356D2"/>
    <w:rsid w:val="6886166B"/>
    <w:rsid w:val="68954A3C"/>
    <w:rsid w:val="68970A5A"/>
    <w:rsid w:val="689B0DF8"/>
    <w:rsid w:val="68B5096E"/>
    <w:rsid w:val="68C219CA"/>
    <w:rsid w:val="68CC10BC"/>
    <w:rsid w:val="68DC18DF"/>
    <w:rsid w:val="68F44B09"/>
    <w:rsid w:val="68FA1B9A"/>
    <w:rsid w:val="690229D5"/>
    <w:rsid w:val="69044C74"/>
    <w:rsid w:val="691B3B5C"/>
    <w:rsid w:val="69385FBF"/>
    <w:rsid w:val="694E046E"/>
    <w:rsid w:val="6958054D"/>
    <w:rsid w:val="69652D27"/>
    <w:rsid w:val="69815344"/>
    <w:rsid w:val="69952A0C"/>
    <w:rsid w:val="699A1218"/>
    <w:rsid w:val="699B4BDB"/>
    <w:rsid w:val="69A51678"/>
    <w:rsid w:val="69AD1ECC"/>
    <w:rsid w:val="69BB329B"/>
    <w:rsid w:val="69BD4C61"/>
    <w:rsid w:val="69C515A5"/>
    <w:rsid w:val="69C56409"/>
    <w:rsid w:val="69CD4627"/>
    <w:rsid w:val="69FC56C6"/>
    <w:rsid w:val="69FD3B6F"/>
    <w:rsid w:val="6A0065EF"/>
    <w:rsid w:val="6A0C7949"/>
    <w:rsid w:val="6A1F1C32"/>
    <w:rsid w:val="6A476FE2"/>
    <w:rsid w:val="6A616283"/>
    <w:rsid w:val="6A641407"/>
    <w:rsid w:val="6A656882"/>
    <w:rsid w:val="6A6839F3"/>
    <w:rsid w:val="6A7A48B2"/>
    <w:rsid w:val="6A8B60FB"/>
    <w:rsid w:val="6A933450"/>
    <w:rsid w:val="6A93393D"/>
    <w:rsid w:val="6A9674BF"/>
    <w:rsid w:val="6A9A37E0"/>
    <w:rsid w:val="6AA604CA"/>
    <w:rsid w:val="6AA656A7"/>
    <w:rsid w:val="6AA849E3"/>
    <w:rsid w:val="6AB2229E"/>
    <w:rsid w:val="6AB63143"/>
    <w:rsid w:val="6AB67B97"/>
    <w:rsid w:val="6AC53268"/>
    <w:rsid w:val="6AC64AC4"/>
    <w:rsid w:val="6AD65C9A"/>
    <w:rsid w:val="6ADB41F3"/>
    <w:rsid w:val="6AFB4F4A"/>
    <w:rsid w:val="6B12444F"/>
    <w:rsid w:val="6B2A12A7"/>
    <w:rsid w:val="6B310FCC"/>
    <w:rsid w:val="6B4533C9"/>
    <w:rsid w:val="6B580922"/>
    <w:rsid w:val="6B5B1E7F"/>
    <w:rsid w:val="6B5C39DF"/>
    <w:rsid w:val="6B5E11EE"/>
    <w:rsid w:val="6B611EB1"/>
    <w:rsid w:val="6B6317EA"/>
    <w:rsid w:val="6B6E48EE"/>
    <w:rsid w:val="6B76151E"/>
    <w:rsid w:val="6B961766"/>
    <w:rsid w:val="6BC8334A"/>
    <w:rsid w:val="6BD61A98"/>
    <w:rsid w:val="6BDB5258"/>
    <w:rsid w:val="6BE25787"/>
    <w:rsid w:val="6BE27D92"/>
    <w:rsid w:val="6BF77F96"/>
    <w:rsid w:val="6BFB38C5"/>
    <w:rsid w:val="6BFE19E1"/>
    <w:rsid w:val="6C050A47"/>
    <w:rsid w:val="6C0B1A74"/>
    <w:rsid w:val="6C16659B"/>
    <w:rsid w:val="6C1928E4"/>
    <w:rsid w:val="6C27235B"/>
    <w:rsid w:val="6C2D5F41"/>
    <w:rsid w:val="6C3342D8"/>
    <w:rsid w:val="6C394A8B"/>
    <w:rsid w:val="6C420156"/>
    <w:rsid w:val="6C465394"/>
    <w:rsid w:val="6C5142B7"/>
    <w:rsid w:val="6C55600C"/>
    <w:rsid w:val="6C71496E"/>
    <w:rsid w:val="6C7457E7"/>
    <w:rsid w:val="6C7D6E82"/>
    <w:rsid w:val="6C7D7EB8"/>
    <w:rsid w:val="6C8311C3"/>
    <w:rsid w:val="6C891725"/>
    <w:rsid w:val="6C922387"/>
    <w:rsid w:val="6C997D89"/>
    <w:rsid w:val="6C9C57AD"/>
    <w:rsid w:val="6CA5691E"/>
    <w:rsid w:val="6CBB5DE9"/>
    <w:rsid w:val="6CE0695E"/>
    <w:rsid w:val="6CEE7C40"/>
    <w:rsid w:val="6CFA3D33"/>
    <w:rsid w:val="6CFC1EEB"/>
    <w:rsid w:val="6CFD2D93"/>
    <w:rsid w:val="6CFF266E"/>
    <w:rsid w:val="6D1409DF"/>
    <w:rsid w:val="6D1B3C07"/>
    <w:rsid w:val="6D20048B"/>
    <w:rsid w:val="6D23676A"/>
    <w:rsid w:val="6D290842"/>
    <w:rsid w:val="6D55622F"/>
    <w:rsid w:val="6D680792"/>
    <w:rsid w:val="6D73217F"/>
    <w:rsid w:val="6DA265FA"/>
    <w:rsid w:val="6DAB0FE0"/>
    <w:rsid w:val="6DC00FA7"/>
    <w:rsid w:val="6DC9627D"/>
    <w:rsid w:val="6DCF3167"/>
    <w:rsid w:val="6DE5298B"/>
    <w:rsid w:val="6DE704B1"/>
    <w:rsid w:val="6DEE7FF8"/>
    <w:rsid w:val="6E0B6604"/>
    <w:rsid w:val="6E166FE8"/>
    <w:rsid w:val="6E1B6493"/>
    <w:rsid w:val="6E1D36B9"/>
    <w:rsid w:val="6E1E5CB1"/>
    <w:rsid w:val="6E202D8D"/>
    <w:rsid w:val="6E38569A"/>
    <w:rsid w:val="6E51496A"/>
    <w:rsid w:val="6E6D6F6D"/>
    <w:rsid w:val="6E8555D0"/>
    <w:rsid w:val="6E876629"/>
    <w:rsid w:val="6E893B3A"/>
    <w:rsid w:val="6E9817AB"/>
    <w:rsid w:val="6EAB1000"/>
    <w:rsid w:val="6EAC1A79"/>
    <w:rsid w:val="6EB74CEA"/>
    <w:rsid w:val="6EB87BD5"/>
    <w:rsid w:val="6EDA7020"/>
    <w:rsid w:val="6EDF1C43"/>
    <w:rsid w:val="6EEA247C"/>
    <w:rsid w:val="6F076D5E"/>
    <w:rsid w:val="6F08338C"/>
    <w:rsid w:val="6F1A6664"/>
    <w:rsid w:val="6F236088"/>
    <w:rsid w:val="6F3573F7"/>
    <w:rsid w:val="6F3632C3"/>
    <w:rsid w:val="6F492FDA"/>
    <w:rsid w:val="6F561A7D"/>
    <w:rsid w:val="6F577FED"/>
    <w:rsid w:val="6F6005AE"/>
    <w:rsid w:val="6F660A7D"/>
    <w:rsid w:val="6F6852B4"/>
    <w:rsid w:val="6F7271E3"/>
    <w:rsid w:val="6F87387F"/>
    <w:rsid w:val="6F954251"/>
    <w:rsid w:val="6F9D6FEF"/>
    <w:rsid w:val="6FA629B9"/>
    <w:rsid w:val="6FB158B1"/>
    <w:rsid w:val="6FB30C74"/>
    <w:rsid w:val="6FB41CDF"/>
    <w:rsid w:val="6FC26822"/>
    <w:rsid w:val="6FD44A65"/>
    <w:rsid w:val="6FE52B7F"/>
    <w:rsid w:val="70047746"/>
    <w:rsid w:val="700D1F14"/>
    <w:rsid w:val="70114285"/>
    <w:rsid w:val="701B22C2"/>
    <w:rsid w:val="703A64CE"/>
    <w:rsid w:val="704A18A5"/>
    <w:rsid w:val="704B77FD"/>
    <w:rsid w:val="70535193"/>
    <w:rsid w:val="705353D7"/>
    <w:rsid w:val="70595CFD"/>
    <w:rsid w:val="706A005F"/>
    <w:rsid w:val="706A3CEE"/>
    <w:rsid w:val="70731CBA"/>
    <w:rsid w:val="70AB2A5F"/>
    <w:rsid w:val="70B83E13"/>
    <w:rsid w:val="70B86B2A"/>
    <w:rsid w:val="70C40F6B"/>
    <w:rsid w:val="70D144B9"/>
    <w:rsid w:val="70DC1E23"/>
    <w:rsid w:val="70EB02B8"/>
    <w:rsid w:val="70FF2B52"/>
    <w:rsid w:val="71035E00"/>
    <w:rsid w:val="71053071"/>
    <w:rsid w:val="710C4547"/>
    <w:rsid w:val="71146B3B"/>
    <w:rsid w:val="7117779D"/>
    <w:rsid w:val="71196401"/>
    <w:rsid w:val="711B6664"/>
    <w:rsid w:val="711C4915"/>
    <w:rsid w:val="711E1A75"/>
    <w:rsid w:val="711F5B0F"/>
    <w:rsid w:val="715414DE"/>
    <w:rsid w:val="715E5257"/>
    <w:rsid w:val="717F3757"/>
    <w:rsid w:val="718176C8"/>
    <w:rsid w:val="71860EE9"/>
    <w:rsid w:val="71873240"/>
    <w:rsid w:val="71B44B4E"/>
    <w:rsid w:val="71BB1264"/>
    <w:rsid w:val="71C14470"/>
    <w:rsid w:val="71DD01AD"/>
    <w:rsid w:val="71E01DDD"/>
    <w:rsid w:val="7211498A"/>
    <w:rsid w:val="722E4900"/>
    <w:rsid w:val="723D68AF"/>
    <w:rsid w:val="724721AC"/>
    <w:rsid w:val="725028EF"/>
    <w:rsid w:val="72705108"/>
    <w:rsid w:val="72730565"/>
    <w:rsid w:val="72802C82"/>
    <w:rsid w:val="729452D5"/>
    <w:rsid w:val="72977E6F"/>
    <w:rsid w:val="72B82F01"/>
    <w:rsid w:val="72B87EBC"/>
    <w:rsid w:val="72BB1F0C"/>
    <w:rsid w:val="72F250C6"/>
    <w:rsid w:val="72F657B0"/>
    <w:rsid w:val="72FC409A"/>
    <w:rsid w:val="73032FC0"/>
    <w:rsid w:val="730F48D7"/>
    <w:rsid w:val="73253B84"/>
    <w:rsid w:val="732B3CC8"/>
    <w:rsid w:val="732C1C99"/>
    <w:rsid w:val="733D0BED"/>
    <w:rsid w:val="73520AC2"/>
    <w:rsid w:val="738707F8"/>
    <w:rsid w:val="738754CA"/>
    <w:rsid w:val="738B6F89"/>
    <w:rsid w:val="7399049F"/>
    <w:rsid w:val="73B47087"/>
    <w:rsid w:val="73BC23E0"/>
    <w:rsid w:val="73C056D8"/>
    <w:rsid w:val="73C05A2C"/>
    <w:rsid w:val="73CB6AC4"/>
    <w:rsid w:val="73ED1A3A"/>
    <w:rsid w:val="73F05696"/>
    <w:rsid w:val="73F50B6F"/>
    <w:rsid w:val="74097111"/>
    <w:rsid w:val="74146799"/>
    <w:rsid w:val="741A1B16"/>
    <w:rsid w:val="741D04D4"/>
    <w:rsid w:val="741E67C6"/>
    <w:rsid w:val="742C5E27"/>
    <w:rsid w:val="74303CED"/>
    <w:rsid w:val="743C7CD8"/>
    <w:rsid w:val="744C3135"/>
    <w:rsid w:val="74551D23"/>
    <w:rsid w:val="745D7B18"/>
    <w:rsid w:val="745F299C"/>
    <w:rsid w:val="746960C4"/>
    <w:rsid w:val="746F1484"/>
    <w:rsid w:val="747131CA"/>
    <w:rsid w:val="74726622"/>
    <w:rsid w:val="74775D17"/>
    <w:rsid w:val="748E62A4"/>
    <w:rsid w:val="74933140"/>
    <w:rsid w:val="74B454CD"/>
    <w:rsid w:val="74B800CA"/>
    <w:rsid w:val="74D15901"/>
    <w:rsid w:val="74DC4D29"/>
    <w:rsid w:val="74EA266F"/>
    <w:rsid w:val="74F55B27"/>
    <w:rsid w:val="753D165B"/>
    <w:rsid w:val="754D7A50"/>
    <w:rsid w:val="75511543"/>
    <w:rsid w:val="756B2471"/>
    <w:rsid w:val="756F2EEC"/>
    <w:rsid w:val="75726F76"/>
    <w:rsid w:val="757A21D0"/>
    <w:rsid w:val="758D6086"/>
    <w:rsid w:val="758F1A33"/>
    <w:rsid w:val="759057CE"/>
    <w:rsid w:val="75A93D59"/>
    <w:rsid w:val="75B41C13"/>
    <w:rsid w:val="75BB7DBB"/>
    <w:rsid w:val="75C331C4"/>
    <w:rsid w:val="75C93B85"/>
    <w:rsid w:val="75F42514"/>
    <w:rsid w:val="75F8009A"/>
    <w:rsid w:val="761C0C50"/>
    <w:rsid w:val="762D4A79"/>
    <w:rsid w:val="763A3819"/>
    <w:rsid w:val="76471DE8"/>
    <w:rsid w:val="76481D09"/>
    <w:rsid w:val="764C1D57"/>
    <w:rsid w:val="76701D3D"/>
    <w:rsid w:val="76951140"/>
    <w:rsid w:val="76974BD9"/>
    <w:rsid w:val="76977026"/>
    <w:rsid w:val="769D4A3B"/>
    <w:rsid w:val="76A25559"/>
    <w:rsid w:val="76A70C95"/>
    <w:rsid w:val="76B35F63"/>
    <w:rsid w:val="76D01F34"/>
    <w:rsid w:val="76D15D09"/>
    <w:rsid w:val="76D4309F"/>
    <w:rsid w:val="76E903F8"/>
    <w:rsid w:val="76EB626F"/>
    <w:rsid w:val="76EF7C99"/>
    <w:rsid w:val="76F57B1F"/>
    <w:rsid w:val="770C2D36"/>
    <w:rsid w:val="771349E5"/>
    <w:rsid w:val="7714635C"/>
    <w:rsid w:val="771C30FA"/>
    <w:rsid w:val="77206134"/>
    <w:rsid w:val="772F3A61"/>
    <w:rsid w:val="773553A7"/>
    <w:rsid w:val="77580A66"/>
    <w:rsid w:val="776C5605"/>
    <w:rsid w:val="778D01FE"/>
    <w:rsid w:val="77905715"/>
    <w:rsid w:val="77A3436B"/>
    <w:rsid w:val="77B86288"/>
    <w:rsid w:val="77C74EAF"/>
    <w:rsid w:val="77DF38DC"/>
    <w:rsid w:val="77E06B1D"/>
    <w:rsid w:val="77F437B1"/>
    <w:rsid w:val="780738D1"/>
    <w:rsid w:val="781D73E6"/>
    <w:rsid w:val="782226C6"/>
    <w:rsid w:val="783D4AFF"/>
    <w:rsid w:val="784D30F3"/>
    <w:rsid w:val="78581323"/>
    <w:rsid w:val="78693C27"/>
    <w:rsid w:val="78806D36"/>
    <w:rsid w:val="78870836"/>
    <w:rsid w:val="788A2C6A"/>
    <w:rsid w:val="78917138"/>
    <w:rsid w:val="789C1394"/>
    <w:rsid w:val="78A05E19"/>
    <w:rsid w:val="78AD0D21"/>
    <w:rsid w:val="78B11DE7"/>
    <w:rsid w:val="78B73B4F"/>
    <w:rsid w:val="78B934ED"/>
    <w:rsid w:val="78C37C8A"/>
    <w:rsid w:val="78CD2E6F"/>
    <w:rsid w:val="78D538AA"/>
    <w:rsid w:val="78D83CD2"/>
    <w:rsid w:val="78DE2D7C"/>
    <w:rsid w:val="78E53ACA"/>
    <w:rsid w:val="78E94706"/>
    <w:rsid w:val="78F56B5C"/>
    <w:rsid w:val="790F0C27"/>
    <w:rsid w:val="7922596C"/>
    <w:rsid w:val="792F01A6"/>
    <w:rsid w:val="79382965"/>
    <w:rsid w:val="794C1894"/>
    <w:rsid w:val="795161CA"/>
    <w:rsid w:val="795D6D03"/>
    <w:rsid w:val="795F7A95"/>
    <w:rsid w:val="79644C01"/>
    <w:rsid w:val="79660E24"/>
    <w:rsid w:val="797440EB"/>
    <w:rsid w:val="79751263"/>
    <w:rsid w:val="79820F11"/>
    <w:rsid w:val="799955E8"/>
    <w:rsid w:val="79A81252"/>
    <w:rsid w:val="79AC037E"/>
    <w:rsid w:val="79B4594A"/>
    <w:rsid w:val="79B978EA"/>
    <w:rsid w:val="79BC708D"/>
    <w:rsid w:val="79BE67A1"/>
    <w:rsid w:val="79CB6ED9"/>
    <w:rsid w:val="79D95D28"/>
    <w:rsid w:val="79EB1C7D"/>
    <w:rsid w:val="7A0D382E"/>
    <w:rsid w:val="7A1B476E"/>
    <w:rsid w:val="7A330821"/>
    <w:rsid w:val="7A3F3A6A"/>
    <w:rsid w:val="7A4308C5"/>
    <w:rsid w:val="7A50702E"/>
    <w:rsid w:val="7A5F1D21"/>
    <w:rsid w:val="7A8E73B7"/>
    <w:rsid w:val="7A9722EA"/>
    <w:rsid w:val="7AA274F5"/>
    <w:rsid w:val="7AAD4E1F"/>
    <w:rsid w:val="7AD673B5"/>
    <w:rsid w:val="7AEB48AA"/>
    <w:rsid w:val="7AEB53A0"/>
    <w:rsid w:val="7AEC0D6A"/>
    <w:rsid w:val="7AEF6BF7"/>
    <w:rsid w:val="7AF27BF0"/>
    <w:rsid w:val="7AFE0ECF"/>
    <w:rsid w:val="7B0252D9"/>
    <w:rsid w:val="7B073F40"/>
    <w:rsid w:val="7B0E3521"/>
    <w:rsid w:val="7B1A6AB5"/>
    <w:rsid w:val="7B1E74DC"/>
    <w:rsid w:val="7B22485D"/>
    <w:rsid w:val="7B252618"/>
    <w:rsid w:val="7B327BB5"/>
    <w:rsid w:val="7B33563C"/>
    <w:rsid w:val="7B4C0E94"/>
    <w:rsid w:val="7B540A1C"/>
    <w:rsid w:val="7B5737ED"/>
    <w:rsid w:val="7B594633"/>
    <w:rsid w:val="7B6A1F6E"/>
    <w:rsid w:val="7B763FD0"/>
    <w:rsid w:val="7B8D6D12"/>
    <w:rsid w:val="7B9147B3"/>
    <w:rsid w:val="7B947682"/>
    <w:rsid w:val="7BA30CD1"/>
    <w:rsid w:val="7BAC1017"/>
    <w:rsid w:val="7BC5015F"/>
    <w:rsid w:val="7BDB40C8"/>
    <w:rsid w:val="7BE75B20"/>
    <w:rsid w:val="7BF74446"/>
    <w:rsid w:val="7BFC639E"/>
    <w:rsid w:val="7C1060A4"/>
    <w:rsid w:val="7C186EBE"/>
    <w:rsid w:val="7C212B16"/>
    <w:rsid w:val="7C2C239B"/>
    <w:rsid w:val="7C2D79D7"/>
    <w:rsid w:val="7C344D27"/>
    <w:rsid w:val="7C4B294C"/>
    <w:rsid w:val="7C6034EF"/>
    <w:rsid w:val="7C765821"/>
    <w:rsid w:val="7C79572F"/>
    <w:rsid w:val="7C7A0BDD"/>
    <w:rsid w:val="7C8F3841"/>
    <w:rsid w:val="7C927737"/>
    <w:rsid w:val="7C943EFA"/>
    <w:rsid w:val="7CB7057E"/>
    <w:rsid w:val="7CC7068C"/>
    <w:rsid w:val="7CE055BA"/>
    <w:rsid w:val="7CE20629"/>
    <w:rsid w:val="7CF50C5A"/>
    <w:rsid w:val="7CFC1051"/>
    <w:rsid w:val="7D15058B"/>
    <w:rsid w:val="7D157DA1"/>
    <w:rsid w:val="7D213138"/>
    <w:rsid w:val="7D2521B2"/>
    <w:rsid w:val="7D317598"/>
    <w:rsid w:val="7D3230DC"/>
    <w:rsid w:val="7D4D08D5"/>
    <w:rsid w:val="7D551F58"/>
    <w:rsid w:val="7D6A282B"/>
    <w:rsid w:val="7D733B0F"/>
    <w:rsid w:val="7DC32777"/>
    <w:rsid w:val="7DCE1912"/>
    <w:rsid w:val="7DD33DF7"/>
    <w:rsid w:val="7DF04831"/>
    <w:rsid w:val="7DF22A1C"/>
    <w:rsid w:val="7E0E1134"/>
    <w:rsid w:val="7E282CD5"/>
    <w:rsid w:val="7E3175C6"/>
    <w:rsid w:val="7E325778"/>
    <w:rsid w:val="7E3672A9"/>
    <w:rsid w:val="7E4618EE"/>
    <w:rsid w:val="7E49452F"/>
    <w:rsid w:val="7E524570"/>
    <w:rsid w:val="7E577B57"/>
    <w:rsid w:val="7E600870"/>
    <w:rsid w:val="7E7A400D"/>
    <w:rsid w:val="7E7E3C49"/>
    <w:rsid w:val="7E873820"/>
    <w:rsid w:val="7E8C3F75"/>
    <w:rsid w:val="7E9832EF"/>
    <w:rsid w:val="7EA80241"/>
    <w:rsid w:val="7EAB6E1B"/>
    <w:rsid w:val="7EBC15C0"/>
    <w:rsid w:val="7EC155F8"/>
    <w:rsid w:val="7ED76DD4"/>
    <w:rsid w:val="7EDE2EB6"/>
    <w:rsid w:val="7EE354CD"/>
    <w:rsid w:val="7EE92D82"/>
    <w:rsid w:val="7EF2642D"/>
    <w:rsid w:val="7F054C3B"/>
    <w:rsid w:val="7F06366D"/>
    <w:rsid w:val="7F13011A"/>
    <w:rsid w:val="7F1A05E1"/>
    <w:rsid w:val="7F2E6766"/>
    <w:rsid w:val="7F5456A0"/>
    <w:rsid w:val="7F5C0130"/>
    <w:rsid w:val="7F73429A"/>
    <w:rsid w:val="7F79289E"/>
    <w:rsid w:val="7F7C64E2"/>
    <w:rsid w:val="7F834CB8"/>
    <w:rsid w:val="7F8F1F7C"/>
    <w:rsid w:val="7FA8445B"/>
    <w:rsid w:val="7FC55D53"/>
    <w:rsid w:val="7FCA114D"/>
    <w:rsid w:val="7FD338C7"/>
    <w:rsid w:val="7FD422E4"/>
    <w:rsid w:val="7FFB7DEC"/>
  </w:rsids>
  <m:mathPr>
    <m:mathFont m:val="Cambria Math"/>
    <m:brkBin m:val="before"/>
    <m:brkBinSub m:val="--"/>
    <m:smallFrac m:val="1"/>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99" w:name="index 2" w:locked="1"/>
    <w:lsdException w:uiPriority="99" w:name="index 3" w:locked="1"/>
    <w:lsdException w:qFormat="1" w:unhideWhenUsed="0" w:uiPriority="99" w:semiHidden="0" w:name="index 4"/>
    <w:lsdException w:qFormat="1" w:unhideWhenUsed="0" w:uiPriority="0" w:semiHidden="0"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0"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0" w:semiHidden="0" w:name="Normal Indent"/>
    <w:lsdException w:qFormat="1" w:unhideWhenUsed="0" w:uiPriority="0" w:semiHidden="0" w:name="footnote text" w:locked="1"/>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qFormat="1" w:unhideWhenUsed="0" w:uiPriority="0" w:semiHidden="0" w:name="envelope return" w:locked="1"/>
    <w:lsdException w:uiPriority="99" w:name="footnote reference" w:locked="1"/>
    <w:lsdException w:qFormat="1" w:unhideWhenUsed="0" w:uiPriority="0" w:semiHidden="0" w:name="annotation reference"/>
    <w:lsdException w:uiPriority="99" w:name="line number" w:locked="1"/>
    <w:lsdException w:qFormat="1" w:unhideWhenUsed="0" w:uiPriority="0"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qFormat="1" w:unhideWhenUsed="0" w:uiPriority="99" w:semiHidden="0" w:name="List 3"/>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0" w:semiHidden="0" w:name="Date"/>
    <w:lsdException w:qFormat="1" w:unhideWhenUsed="0" w:uiPriority="99" w:semiHidden="0" w:name="Body Text First Indent" w:locked="1"/>
    <w:lsdException w:qFormat="1" w:unhideWhenUsed="0" w:uiPriority="0" w:semiHidden="0" w:name="Body Text First Indent 2" w:locked="1"/>
    <w:lsdException w:uiPriority="99" w:name="Note Heading" w:locked="1"/>
    <w:lsdException w:uiPriority="99" w:name="Body Text 2" w:locked="1"/>
    <w:lsdException w:qFormat="1" w:unhideWhenUsed="0"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99" w:semiHidden="0" w:name="Block Text" w:locked="1"/>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qFormat="1" w:unhideWhenUsed="0" w:uiPriority="99" w:semiHidden="0" w:name="HTML Cite"/>
    <w:lsdException w:qFormat="1" w:unhideWhenUsed="0" w:uiPriority="99" w:semiHidden="0" w:name="HTML Code" w:locked="1"/>
    <w:lsdException w:qFormat="1" w:unhideWhenUsed="0" w:uiPriority="99" w:semiHidden="0" w:name="HTML Definition" w:locked="1"/>
    <w:lsdException w:qFormat="1" w:unhideWhenUsed="0" w:uiPriority="99" w:semiHidden="0" w:name="HTML Keyboard" w:locked="1"/>
    <w:lsdException w:qFormat="1" w:unhideWhenUsed="0" w:uiPriority="0" w:semiHidden="0" w:name="HTML Preformatted"/>
    <w:lsdException w:qFormat="1" w:unhideWhenUsed="0" w:uiPriority="99" w:semiHidden="0" w:name="HTML Sample" w:locked="1"/>
    <w:lsdException w:uiPriority="99" w:name="HTML Typewriter" w:locked="1"/>
    <w:lsdException w:uiPriority="99" w:name="HTML Variable" w:locked="1"/>
    <w:lsdException w:qFormat="1" w:uiPriority="99" w:name="Normal Table"/>
    <w:lsdException w:qFormat="1" w:unhideWhenUsed="0" w:uiPriority="0"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0" w:semiHidden="0" w:name="Balloon Text"/>
    <w:lsdException w:qFormat="1"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6"/>
    <w:qFormat/>
    <w:uiPriority w:val="0"/>
    <w:pPr>
      <w:keepNext/>
      <w:keepLines/>
      <w:numPr>
        <w:ilvl w:val="0"/>
        <w:numId w:val="1"/>
      </w:numPr>
      <w:spacing w:before="340" w:after="330" w:line="578" w:lineRule="auto"/>
      <w:jc w:val="center"/>
      <w:outlineLvl w:val="0"/>
    </w:pPr>
    <w:rPr>
      <w:b/>
      <w:kern w:val="44"/>
      <w:sz w:val="44"/>
      <w:szCs w:val="20"/>
    </w:rPr>
  </w:style>
  <w:style w:type="paragraph" w:styleId="4">
    <w:name w:val="heading 2"/>
    <w:basedOn w:val="1"/>
    <w:next w:val="1"/>
    <w:link w:val="67"/>
    <w:qFormat/>
    <w:uiPriority w:val="0"/>
    <w:pPr>
      <w:keepNext/>
      <w:keepLines/>
      <w:numPr>
        <w:ilvl w:val="1"/>
        <w:numId w:val="1"/>
      </w:numPr>
      <w:spacing w:before="260" w:after="260" w:line="416" w:lineRule="auto"/>
      <w:outlineLvl w:val="1"/>
    </w:pPr>
    <w:rPr>
      <w:rFonts w:ascii="Cambria" w:hAnsi="Cambria"/>
      <w:b/>
      <w:sz w:val="32"/>
      <w:szCs w:val="20"/>
    </w:rPr>
  </w:style>
  <w:style w:type="paragraph" w:styleId="5">
    <w:name w:val="heading 3"/>
    <w:basedOn w:val="1"/>
    <w:next w:val="1"/>
    <w:link w:val="68"/>
    <w:qFormat/>
    <w:uiPriority w:val="0"/>
    <w:pPr>
      <w:keepNext/>
      <w:keepLines/>
      <w:numPr>
        <w:ilvl w:val="2"/>
        <w:numId w:val="1"/>
      </w:numPr>
      <w:spacing w:before="260" w:after="260" w:line="416" w:lineRule="auto"/>
      <w:outlineLvl w:val="2"/>
    </w:pPr>
    <w:rPr>
      <w:b/>
      <w:sz w:val="32"/>
      <w:szCs w:val="20"/>
    </w:rPr>
  </w:style>
  <w:style w:type="paragraph" w:styleId="6">
    <w:name w:val="heading 4"/>
    <w:basedOn w:val="1"/>
    <w:next w:val="1"/>
    <w:link w:val="69"/>
    <w:qFormat/>
    <w:uiPriority w:val="99"/>
    <w:pPr>
      <w:keepNext/>
      <w:keepLines/>
      <w:numPr>
        <w:ilvl w:val="3"/>
        <w:numId w:val="1"/>
      </w:numPr>
      <w:spacing w:before="280" w:after="290" w:line="376" w:lineRule="auto"/>
      <w:outlineLvl w:val="3"/>
    </w:pPr>
    <w:rPr>
      <w:rFonts w:ascii="Cambria" w:hAnsi="Cambria"/>
      <w:b/>
      <w:sz w:val="28"/>
      <w:szCs w:val="20"/>
    </w:rPr>
  </w:style>
  <w:style w:type="paragraph" w:styleId="7">
    <w:name w:val="heading 5"/>
    <w:basedOn w:val="1"/>
    <w:next w:val="1"/>
    <w:link w:val="70"/>
    <w:qFormat/>
    <w:uiPriority w:val="99"/>
    <w:pPr>
      <w:keepNext/>
      <w:keepLines/>
      <w:numPr>
        <w:ilvl w:val="4"/>
        <w:numId w:val="1"/>
      </w:numPr>
      <w:spacing w:before="280" w:after="290" w:line="376" w:lineRule="auto"/>
      <w:outlineLvl w:val="4"/>
    </w:pPr>
    <w:rPr>
      <w:b/>
      <w:sz w:val="28"/>
      <w:szCs w:val="20"/>
    </w:rPr>
  </w:style>
  <w:style w:type="paragraph" w:styleId="8">
    <w:name w:val="heading 6"/>
    <w:basedOn w:val="1"/>
    <w:next w:val="1"/>
    <w:link w:val="71"/>
    <w:qFormat/>
    <w:uiPriority w:val="99"/>
    <w:pPr>
      <w:keepNext/>
      <w:keepLines/>
      <w:numPr>
        <w:ilvl w:val="5"/>
        <w:numId w:val="1"/>
      </w:numPr>
      <w:spacing w:before="240" w:after="64" w:line="320" w:lineRule="auto"/>
      <w:outlineLvl w:val="5"/>
    </w:pPr>
    <w:rPr>
      <w:rFonts w:ascii="Cambria" w:hAnsi="Cambria"/>
      <w:b/>
      <w:sz w:val="24"/>
      <w:szCs w:val="20"/>
    </w:rPr>
  </w:style>
  <w:style w:type="paragraph" w:styleId="9">
    <w:name w:val="heading 7"/>
    <w:basedOn w:val="1"/>
    <w:next w:val="1"/>
    <w:link w:val="72"/>
    <w:qFormat/>
    <w:uiPriority w:val="99"/>
    <w:pPr>
      <w:keepNext/>
      <w:keepLines/>
      <w:numPr>
        <w:ilvl w:val="6"/>
        <w:numId w:val="1"/>
      </w:numPr>
      <w:spacing w:before="240" w:after="64" w:line="320" w:lineRule="auto"/>
      <w:outlineLvl w:val="6"/>
    </w:pPr>
    <w:rPr>
      <w:b/>
      <w:sz w:val="24"/>
      <w:szCs w:val="20"/>
    </w:rPr>
  </w:style>
  <w:style w:type="paragraph" w:styleId="10">
    <w:name w:val="heading 8"/>
    <w:basedOn w:val="1"/>
    <w:next w:val="1"/>
    <w:link w:val="73"/>
    <w:qFormat/>
    <w:uiPriority w:val="99"/>
    <w:pPr>
      <w:keepNext/>
      <w:keepLines/>
      <w:numPr>
        <w:ilvl w:val="7"/>
        <w:numId w:val="1"/>
      </w:numPr>
      <w:spacing w:before="240" w:after="64" w:line="320" w:lineRule="auto"/>
      <w:outlineLvl w:val="7"/>
    </w:pPr>
    <w:rPr>
      <w:rFonts w:ascii="Cambria" w:hAnsi="Cambria"/>
      <w:sz w:val="24"/>
      <w:szCs w:val="20"/>
    </w:rPr>
  </w:style>
  <w:style w:type="paragraph" w:styleId="11">
    <w:name w:val="heading 9"/>
    <w:basedOn w:val="1"/>
    <w:next w:val="1"/>
    <w:link w:val="74"/>
    <w:qFormat/>
    <w:uiPriority w:val="99"/>
    <w:pPr>
      <w:keepNext/>
      <w:keepLines/>
      <w:numPr>
        <w:ilvl w:val="8"/>
        <w:numId w:val="1"/>
      </w:numPr>
      <w:spacing w:before="240" w:after="64" w:line="320" w:lineRule="auto"/>
      <w:outlineLvl w:val="8"/>
    </w:pPr>
    <w:rPr>
      <w:rFonts w:ascii="Cambria" w:hAnsi="Cambria"/>
      <w:szCs w:val="20"/>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customStyle="1" w:styleId="2">
    <w:name w:val="索引 411"/>
    <w:basedOn w:val="1"/>
    <w:next w:val="1"/>
    <w:unhideWhenUsed/>
    <w:qFormat/>
    <w:uiPriority w:val="99"/>
    <w:pPr>
      <w:ind w:left="600"/>
    </w:pPr>
    <w:rPr>
      <w:rFonts w:ascii="宋体"/>
      <w:b/>
      <w:position w:val="-10"/>
      <w:sz w:val="24"/>
      <w:szCs w:val="20"/>
    </w:rPr>
  </w:style>
  <w:style w:type="paragraph" w:styleId="12">
    <w:name w:val="List 3"/>
    <w:basedOn w:val="1"/>
    <w:qFormat/>
    <w:uiPriority w:val="99"/>
    <w:pPr>
      <w:spacing w:before="100" w:beforeAutospacing="1" w:after="100" w:afterAutospacing="1"/>
      <w:ind w:left="1260" w:hanging="420"/>
    </w:pPr>
    <w:rPr>
      <w:szCs w:val="21"/>
    </w:rPr>
  </w:style>
  <w:style w:type="paragraph" w:styleId="13">
    <w:name w:val="toc 7"/>
    <w:basedOn w:val="1"/>
    <w:next w:val="1"/>
    <w:qFormat/>
    <w:uiPriority w:val="99"/>
    <w:pPr>
      <w:ind w:left="2520" w:leftChars="1200"/>
    </w:pPr>
  </w:style>
  <w:style w:type="paragraph" w:styleId="14">
    <w:name w:val="Normal Indent"/>
    <w:basedOn w:val="1"/>
    <w:link w:val="235"/>
    <w:qFormat/>
    <w:uiPriority w:val="0"/>
    <w:pPr>
      <w:ind w:firstLine="420"/>
    </w:pPr>
    <w:rPr>
      <w:b/>
      <w:sz w:val="24"/>
      <w:szCs w:val="20"/>
    </w:rPr>
  </w:style>
  <w:style w:type="paragraph" w:styleId="15">
    <w:name w:val="caption"/>
    <w:basedOn w:val="1"/>
    <w:next w:val="1"/>
    <w:qFormat/>
    <w:uiPriority w:val="99"/>
    <w:rPr>
      <w:rFonts w:ascii="Cambria" w:hAnsi="Cambria" w:eastAsia="黑体"/>
      <w:sz w:val="20"/>
      <w:szCs w:val="22"/>
    </w:rPr>
  </w:style>
  <w:style w:type="paragraph" w:styleId="16">
    <w:name w:val="index 5"/>
    <w:basedOn w:val="1"/>
    <w:next w:val="1"/>
    <w:qFormat/>
    <w:locked/>
    <w:uiPriority w:val="0"/>
    <w:pPr>
      <w:ind w:left="798" w:leftChars="380"/>
      <w:jc w:val="left"/>
    </w:pPr>
    <w:rPr>
      <w:rFonts w:ascii="Calibri" w:hAnsi="Calibri"/>
    </w:rPr>
  </w:style>
  <w:style w:type="paragraph" w:styleId="17">
    <w:name w:val="Document Map"/>
    <w:basedOn w:val="1"/>
    <w:link w:val="75"/>
    <w:qFormat/>
    <w:uiPriority w:val="99"/>
    <w:rPr>
      <w:rFonts w:ascii="宋体"/>
      <w:sz w:val="18"/>
      <w:szCs w:val="20"/>
    </w:rPr>
  </w:style>
  <w:style w:type="paragraph" w:styleId="18">
    <w:name w:val="annotation text"/>
    <w:basedOn w:val="1"/>
    <w:link w:val="232"/>
    <w:qFormat/>
    <w:uiPriority w:val="0"/>
    <w:pPr>
      <w:jc w:val="left"/>
    </w:pPr>
    <w:rPr>
      <w:sz w:val="24"/>
      <w:szCs w:val="20"/>
    </w:rPr>
  </w:style>
  <w:style w:type="paragraph" w:styleId="19">
    <w:name w:val="Body Text 3"/>
    <w:basedOn w:val="1"/>
    <w:link w:val="77"/>
    <w:qFormat/>
    <w:uiPriority w:val="99"/>
    <w:rPr>
      <w:rFonts w:ascii="宋体"/>
      <w:sz w:val="24"/>
      <w:szCs w:val="20"/>
    </w:rPr>
  </w:style>
  <w:style w:type="paragraph" w:styleId="20">
    <w:name w:val="Body Text"/>
    <w:basedOn w:val="1"/>
    <w:next w:val="1"/>
    <w:link w:val="78"/>
    <w:qFormat/>
    <w:uiPriority w:val="0"/>
    <w:pPr>
      <w:jc w:val="center"/>
    </w:pPr>
    <w:rPr>
      <w:rFonts w:eastAsia="幼圆"/>
      <w:b/>
      <w:sz w:val="24"/>
      <w:szCs w:val="20"/>
    </w:rPr>
  </w:style>
  <w:style w:type="paragraph" w:styleId="21">
    <w:name w:val="Body Text Indent"/>
    <w:basedOn w:val="1"/>
    <w:next w:val="22"/>
    <w:link w:val="79"/>
    <w:qFormat/>
    <w:uiPriority w:val="0"/>
    <w:pPr>
      <w:spacing w:after="120"/>
      <w:ind w:left="420" w:leftChars="200"/>
    </w:pPr>
    <w:rPr>
      <w:sz w:val="24"/>
      <w:szCs w:val="20"/>
    </w:rPr>
  </w:style>
  <w:style w:type="paragraph" w:styleId="22">
    <w:name w:val="envelope return"/>
    <w:basedOn w:val="1"/>
    <w:qFormat/>
    <w:locked/>
    <w:uiPriority w:val="0"/>
    <w:pPr>
      <w:snapToGrid w:val="0"/>
    </w:pPr>
    <w:rPr>
      <w:rFonts w:ascii="Arial" w:hAnsi="Arial"/>
    </w:rPr>
  </w:style>
  <w:style w:type="paragraph" w:styleId="23">
    <w:name w:val="Block Text"/>
    <w:basedOn w:val="1"/>
    <w:qFormat/>
    <w:locked/>
    <w:uiPriority w:val="99"/>
    <w:pPr>
      <w:spacing w:after="120"/>
      <w:ind w:left="1440" w:leftChars="700" w:right="1440" w:rightChars="700"/>
    </w:pPr>
  </w:style>
  <w:style w:type="paragraph" w:styleId="24">
    <w:name w:val="index 4"/>
    <w:basedOn w:val="1"/>
    <w:next w:val="1"/>
    <w:qFormat/>
    <w:uiPriority w:val="99"/>
    <w:pPr>
      <w:ind w:left="600" w:leftChars="600"/>
    </w:pPr>
    <w:rPr>
      <w:rFonts w:ascii="Calibri" w:hAnsi="Calibri"/>
    </w:rPr>
  </w:style>
  <w:style w:type="paragraph" w:styleId="25">
    <w:name w:val="toc 5"/>
    <w:basedOn w:val="1"/>
    <w:next w:val="1"/>
    <w:qFormat/>
    <w:uiPriority w:val="99"/>
    <w:pPr>
      <w:ind w:left="1680" w:leftChars="800"/>
    </w:pPr>
  </w:style>
  <w:style w:type="paragraph" w:styleId="26">
    <w:name w:val="toc 3"/>
    <w:basedOn w:val="1"/>
    <w:next w:val="1"/>
    <w:qFormat/>
    <w:uiPriority w:val="99"/>
    <w:pPr>
      <w:ind w:left="840" w:leftChars="400"/>
    </w:pPr>
  </w:style>
  <w:style w:type="paragraph" w:styleId="27">
    <w:name w:val="Plain Text"/>
    <w:basedOn w:val="1"/>
    <w:link w:val="80"/>
    <w:qFormat/>
    <w:uiPriority w:val="0"/>
    <w:rPr>
      <w:rFonts w:ascii="Ari"/>
      <w:kern w:val="0"/>
      <w:sz w:val="20"/>
      <w:szCs w:val="20"/>
    </w:rPr>
  </w:style>
  <w:style w:type="paragraph" w:styleId="28">
    <w:name w:val="toc 8"/>
    <w:basedOn w:val="1"/>
    <w:next w:val="1"/>
    <w:qFormat/>
    <w:uiPriority w:val="99"/>
    <w:pPr>
      <w:ind w:left="2940" w:leftChars="1400"/>
    </w:pPr>
  </w:style>
  <w:style w:type="paragraph" w:styleId="29">
    <w:name w:val="Date"/>
    <w:basedOn w:val="1"/>
    <w:next w:val="1"/>
    <w:link w:val="81"/>
    <w:qFormat/>
    <w:uiPriority w:val="0"/>
    <w:rPr>
      <w:sz w:val="24"/>
      <w:szCs w:val="20"/>
    </w:rPr>
  </w:style>
  <w:style w:type="paragraph" w:styleId="30">
    <w:name w:val="Body Text Indent 2"/>
    <w:basedOn w:val="1"/>
    <w:link w:val="82"/>
    <w:qFormat/>
    <w:uiPriority w:val="0"/>
    <w:pPr>
      <w:spacing w:line="420" w:lineRule="exact"/>
      <w:ind w:firstLine="525"/>
    </w:pPr>
    <w:rPr>
      <w:rFonts w:ascii="宋体"/>
      <w:kern w:val="0"/>
      <w:sz w:val="20"/>
      <w:szCs w:val="20"/>
    </w:rPr>
  </w:style>
  <w:style w:type="paragraph" w:styleId="31">
    <w:name w:val="Balloon Text"/>
    <w:basedOn w:val="1"/>
    <w:link w:val="83"/>
    <w:qFormat/>
    <w:uiPriority w:val="0"/>
    <w:rPr>
      <w:sz w:val="18"/>
      <w:szCs w:val="20"/>
    </w:rPr>
  </w:style>
  <w:style w:type="paragraph" w:styleId="32">
    <w:name w:val="footer"/>
    <w:basedOn w:val="1"/>
    <w:link w:val="84"/>
    <w:qFormat/>
    <w:uiPriority w:val="0"/>
    <w:pPr>
      <w:tabs>
        <w:tab w:val="center" w:pos="4153"/>
        <w:tab w:val="right" w:pos="8306"/>
      </w:tabs>
      <w:snapToGrid w:val="0"/>
      <w:jc w:val="left"/>
    </w:pPr>
    <w:rPr>
      <w:sz w:val="18"/>
      <w:szCs w:val="20"/>
    </w:rPr>
  </w:style>
  <w:style w:type="paragraph" w:styleId="33">
    <w:name w:val="header"/>
    <w:basedOn w:val="1"/>
    <w:link w:val="85"/>
    <w:qFormat/>
    <w:uiPriority w:val="99"/>
    <w:pPr>
      <w:pBdr>
        <w:bottom w:val="single" w:color="auto" w:sz="6" w:space="1"/>
      </w:pBdr>
      <w:tabs>
        <w:tab w:val="center" w:pos="4153"/>
        <w:tab w:val="right" w:pos="8306"/>
      </w:tabs>
      <w:snapToGrid w:val="0"/>
      <w:jc w:val="center"/>
    </w:pPr>
    <w:rPr>
      <w:sz w:val="18"/>
      <w:szCs w:val="20"/>
    </w:rPr>
  </w:style>
  <w:style w:type="paragraph" w:styleId="34">
    <w:name w:val="toc 1"/>
    <w:basedOn w:val="1"/>
    <w:next w:val="1"/>
    <w:qFormat/>
    <w:uiPriority w:val="39"/>
  </w:style>
  <w:style w:type="paragraph" w:styleId="35">
    <w:name w:val="toc 4"/>
    <w:basedOn w:val="1"/>
    <w:next w:val="1"/>
    <w:qFormat/>
    <w:uiPriority w:val="99"/>
    <w:pPr>
      <w:ind w:left="1260" w:leftChars="600"/>
    </w:pPr>
  </w:style>
  <w:style w:type="paragraph" w:styleId="36">
    <w:name w:val="Subtitle"/>
    <w:basedOn w:val="1"/>
    <w:next w:val="1"/>
    <w:link w:val="86"/>
    <w:qFormat/>
    <w:uiPriority w:val="99"/>
    <w:pPr>
      <w:spacing w:before="240" w:after="60" w:line="312" w:lineRule="auto"/>
      <w:jc w:val="center"/>
      <w:outlineLvl w:val="1"/>
    </w:pPr>
    <w:rPr>
      <w:rFonts w:ascii="Cambria" w:hAnsi="Cambria"/>
      <w:b/>
      <w:kern w:val="28"/>
      <w:sz w:val="32"/>
      <w:szCs w:val="20"/>
    </w:rPr>
  </w:style>
  <w:style w:type="paragraph" w:styleId="37">
    <w:name w:val="footnote text"/>
    <w:basedOn w:val="1"/>
    <w:next w:val="16"/>
    <w:link w:val="239"/>
    <w:qFormat/>
    <w:locked/>
    <w:uiPriority w:val="0"/>
    <w:pPr>
      <w:snapToGrid w:val="0"/>
      <w:jc w:val="left"/>
    </w:pPr>
    <w:rPr>
      <w:rFonts w:ascii="宋体" w:eastAsia="Times New Roman"/>
      <w:snapToGrid w:val="0"/>
      <w:kern w:val="21"/>
      <w:sz w:val="18"/>
      <w:szCs w:val="18"/>
    </w:rPr>
  </w:style>
  <w:style w:type="paragraph" w:styleId="38">
    <w:name w:val="toc 6"/>
    <w:basedOn w:val="1"/>
    <w:next w:val="1"/>
    <w:qFormat/>
    <w:uiPriority w:val="99"/>
    <w:pPr>
      <w:ind w:left="2100" w:leftChars="1000"/>
    </w:pPr>
  </w:style>
  <w:style w:type="paragraph" w:styleId="39">
    <w:name w:val="Body Text Indent 3"/>
    <w:basedOn w:val="1"/>
    <w:link w:val="87"/>
    <w:qFormat/>
    <w:uiPriority w:val="99"/>
    <w:pPr>
      <w:spacing w:after="120"/>
      <w:ind w:left="420" w:leftChars="200"/>
    </w:pPr>
    <w:rPr>
      <w:sz w:val="16"/>
      <w:szCs w:val="20"/>
    </w:rPr>
  </w:style>
  <w:style w:type="paragraph" w:styleId="40">
    <w:name w:val="toc 2"/>
    <w:basedOn w:val="1"/>
    <w:next w:val="1"/>
    <w:qFormat/>
    <w:uiPriority w:val="0"/>
    <w:pPr>
      <w:ind w:left="420" w:leftChars="200"/>
    </w:pPr>
  </w:style>
  <w:style w:type="paragraph" w:styleId="41">
    <w:name w:val="toc 9"/>
    <w:basedOn w:val="1"/>
    <w:next w:val="1"/>
    <w:qFormat/>
    <w:uiPriority w:val="99"/>
    <w:pPr>
      <w:ind w:left="3360" w:leftChars="1600"/>
    </w:pPr>
  </w:style>
  <w:style w:type="paragraph" w:styleId="42">
    <w:name w:val="HTML Preformatted"/>
    <w:basedOn w:val="1"/>
    <w:link w:val="8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4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4">
    <w:name w:val="index 1"/>
    <w:basedOn w:val="1"/>
    <w:next w:val="1"/>
    <w:qFormat/>
    <w:uiPriority w:val="99"/>
    <w:pPr>
      <w:spacing w:line="220" w:lineRule="exact"/>
      <w:jc w:val="center"/>
    </w:pPr>
    <w:rPr>
      <w:rFonts w:ascii="仿宋_GB2312" w:hAnsi="Calibri" w:eastAsia="仿宋_GB2312"/>
      <w:szCs w:val="22"/>
    </w:rPr>
  </w:style>
  <w:style w:type="paragraph" w:styleId="45">
    <w:name w:val="Title"/>
    <w:basedOn w:val="1"/>
    <w:link w:val="89"/>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6">
    <w:name w:val="annotation subject"/>
    <w:basedOn w:val="18"/>
    <w:next w:val="18"/>
    <w:link w:val="90"/>
    <w:qFormat/>
    <w:uiPriority w:val="0"/>
    <w:rPr>
      <w:b/>
    </w:rPr>
  </w:style>
  <w:style w:type="paragraph" w:styleId="47">
    <w:name w:val="Body Text First Indent"/>
    <w:basedOn w:val="20"/>
    <w:qFormat/>
    <w:locked/>
    <w:uiPriority w:val="99"/>
    <w:pPr>
      <w:spacing w:after="120"/>
      <w:ind w:firstLine="420" w:firstLineChars="100"/>
    </w:pPr>
    <w:rPr>
      <w:sz w:val="21"/>
      <w:szCs w:val="24"/>
    </w:rPr>
  </w:style>
  <w:style w:type="paragraph" w:styleId="48">
    <w:name w:val="Body Text First Indent 2"/>
    <w:basedOn w:val="21"/>
    <w:next w:val="1"/>
    <w:link w:val="240"/>
    <w:qFormat/>
    <w:locked/>
    <w:uiPriority w:val="0"/>
    <w:pPr>
      <w:ind w:firstLine="420" w:firstLineChars="200"/>
    </w:pPr>
    <w:rPr>
      <w:sz w:val="21"/>
      <w:szCs w:val="24"/>
    </w:rPr>
  </w:style>
  <w:style w:type="table" w:styleId="50">
    <w:name w:val="Table Grid"/>
    <w:basedOn w:val="4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2">
    <w:name w:val="Strong"/>
    <w:qFormat/>
    <w:uiPriority w:val="22"/>
    <w:rPr>
      <w:rFonts w:cs="Times New Roman"/>
      <w:b/>
    </w:rPr>
  </w:style>
  <w:style w:type="character" w:styleId="53">
    <w:name w:val="page number"/>
    <w:basedOn w:val="51"/>
    <w:qFormat/>
    <w:uiPriority w:val="0"/>
    <w:rPr>
      <w:rFonts w:eastAsia="宋体" w:cs="Times New Roman"/>
      <w:b/>
      <w:spacing w:val="0"/>
      <w:kern w:val="2"/>
      <w:sz w:val="24"/>
      <w:vertAlign w:val="baseline"/>
      <w:lang w:val="en-US" w:eastAsia="zh-CN"/>
    </w:rPr>
  </w:style>
  <w:style w:type="character" w:styleId="54">
    <w:name w:val="FollowedHyperlink"/>
    <w:qFormat/>
    <w:uiPriority w:val="0"/>
    <w:rPr>
      <w:rFonts w:cs="Times New Roman"/>
      <w:color w:val="800080"/>
      <w:u w:val="single"/>
    </w:rPr>
  </w:style>
  <w:style w:type="character" w:styleId="55">
    <w:name w:val="Emphasis"/>
    <w:qFormat/>
    <w:uiPriority w:val="20"/>
    <w:rPr>
      <w:rFonts w:cs="Times New Roman"/>
      <w:color w:val="CC0000"/>
    </w:rPr>
  </w:style>
  <w:style w:type="character" w:styleId="56">
    <w:name w:val="HTML Definition"/>
    <w:qFormat/>
    <w:locked/>
    <w:uiPriority w:val="99"/>
    <w:rPr>
      <w:rFonts w:cs="Times New Roman"/>
      <w:i/>
    </w:rPr>
  </w:style>
  <w:style w:type="character" w:styleId="57">
    <w:name w:val="Hyperlink"/>
    <w:qFormat/>
    <w:uiPriority w:val="99"/>
    <w:rPr>
      <w:rFonts w:cs="Times New Roman"/>
      <w:color w:val="0000FF"/>
      <w:u w:val="single"/>
    </w:rPr>
  </w:style>
  <w:style w:type="character" w:styleId="58">
    <w:name w:val="HTML Code"/>
    <w:qFormat/>
    <w:locked/>
    <w:uiPriority w:val="99"/>
    <w:rPr>
      <w:rFonts w:ascii="Menlo" w:hAnsi="Menlo" w:cs="Times New Roman"/>
      <w:color w:val="C7254E"/>
      <w:sz w:val="21"/>
      <w:shd w:val="clear" w:color="auto" w:fill="F9F2F4"/>
    </w:rPr>
  </w:style>
  <w:style w:type="character" w:styleId="59">
    <w:name w:val="annotation reference"/>
    <w:basedOn w:val="51"/>
    <w:qFormat/>
    <w:uiPriority w:val="0"/>
    <w:rPr>
      <w:rFonts w:cs="Times New Roman"/>
      <w:sz w:val="21"/>
    </w:rPr>
  </w:style>
  <w:style w:type="character" w:styleId="60">
    <w:name w:val="HTML Cite"/>
    <w:qFormat/>
    <w:uiPriority w:val="99"/>
    <w:rPr>
      <w:rFonts w:cs="Times New Roman"/>
      <w:color w:val="008000"/>
    </w:rPr>
  </w:style>
  <w:style w:type="character" w:styleId="61">
    <w:name w:val="HTML Keyboard"/>
    <w:qFormat/>
    <w:locked/>
    <w:uiPriority w:val="99"/>
    <w:rPr>
      <w:rFonts w:ascii="Menlo" w:hAnsi="Menlo" w:cs="Times New Roman"/>
      <w:color w:val="FFFFFF"/>
      <w:sz w:val="21"/>
      <w:shd w:val="clear" w:color="auto" w:fill="333333"/>
    </w:rPr>
  </w:style>
  <w:style w:type="character" w:styleId="62">
    <w:name w:val="HTML Sample"/>
    <w:qFormat/>
    <w:locked/>
    <w:uiPriority w:val="99"/>
    <w:rPr>
      <w:rFonts w:ascii="Menlo" w:hAnsi="Menlo" w:cs="Times New Roman"/>
      <w:color w:val="333333"/>
      <w:sz w:val="21"/>
      <w:shd w:val="clear" w:color="auto" w:fill="F8F8F8"/>
    </w:rPr>
  </w:style>
  <w:style w:type="character" w:customStyle="1" w:styleId="63">
    <w:name w:val="标题 1 Char"/>
    <w:qFormat/>
    <w:uiPriority w:val="99"/>
    <w:rPr>
      <w:b/>
      <w:kern w:val="44"/>
      <w:sz w:val="44"/>
    </w:rPr>
  </w:style>
  <w:style w:type="paragraph" w:customStyle="1" w:styleId="64">
    <w:name w:val="首行缩进"/>
    <w:basedOn w:val="1"/>
    <w:qFormat/>
    <w:uiPriority w:val="0"/>
    <w:pPr>
      <w:spacing w:line="360" w:lineRule="auto"/>
      <w:ind w:firstLine="200" w:firstLineChars="200"/>
    </w:pPr>
    <w:rPr>
      <w:rFonts w:ascii="宋体"/>
      <w:sz w:val="24"/>
    </w:rPr>
  </w:style>
  <w:style w:type="paragraph" w:customStyle="1" w:styleId="65">
    <w:name w:val="Fließtext"/>
    <w:basedOn w:val="1"/>
    <w:qFormat/>
    <w:uiPriority w:val="0"/>
    <w:pPr>
      <w:overflowPunct w:val="0"/>
      <w:autoSpaceDE w:val="0"/>
      <w:autoSpaceDN w:val="0"/>
      <w:adjustRightInd w:val="0"/>
      <w:textAlignment w:val="baseline"/>
    </w:pPr>
    <w:rPr>
      <w:kern w:val="28"/>
      <w:szCs w:val="20"/>
    </w:rPr>
  </w:style>
  <w:style w:type="character" w:customStyle="1" w:styleId="66">
    <w:name w:val="标题 1 Char1"/>
    <w:link w:val="3"/>
    <w:qFormat/>
    <w:locked/>
    <w:uiPriority w:val="0"/>
    <w:rPr>
      <w:rFonts w:ascii="Times New Roman" w:hAnsi="Times New Roman" w:eastAsia="宋体" w:cs="Times New Roman"/>
      <w:b/>
      <w:kern w:val="44"/>
      <w:sz w:val="44"/>
    </w:rPr>
  </w:style>
  <w:style w:type="character" w:customStyle="1" w:styleId="67">
    <w:name w:val="标题 2 Char"/>
    <w:link w:val="4"/>
    <w:qFormat/>
    <w:locked/>
    <w:uiPriority w:val="99"/>
    <w:rPr>
      <w:rFonts w:ascii="Cambria" w:hAnsi="Cambria" w:cs="Times New Roman"/>
      <w:b/>
      <w:kern w:val="2"/>
      <w:sz w:val="32"/>
    </w:rPr>
  </w:style>
  <w:style w:type="character" w:customStyle="1" w:styleId="68">
    <w:name w:val="标题 3 Char"/>
    <w:link w:val="5"/>
    <w:qFormat/>
    <w:locked/>
    <w:uiPriority w:val="99"/>
    <w:rPr>
      <w:rFonts w:cs="Times New Roman"/>
      <w:b/>
      <w:kern w:val="2"/>
      <w:sz w:val="32"/>
    </w:rPr>
  </w:style>
  <w:style w:type="character" w:customStyle="1" w:styleId="69">
    <w:name w:val="标题 4 Char"/>
    <w:link w:val="6"/>
    <w:qFormat/>
    <w:locked/>
    <w:uiPriority w:val="99"/>
    <w:rPr>
      <w:rFonts w:ascii="Cambria" w:hAnsi="Cambria" w:eastAsia="宋体" w:cs="Times New Roman"/>
      <w:b/>
      <w:kern w:val="2"/>
      <w:sz w:val="28"/>
    </w:rPr>
  </w:style>
  <w:style w:type="character" w:customStyle="1" w:styleId="70">
    <w:name w:val="标题 5 Char"/>
    <w:link w:val="7"/>
    <w:qFormat/>
    <w:locked/>
    <w:uiPriority w:val="99"/>
    <w:rPr>
      <w:rFonts w:cs="Times New Roman"/>
      <w:b/>
      <w:kern w:val="2"/>
      <w:sz w:val="28"/>
    </w:rPr>
  </w:style>
  <w:style w:type="character" w:customStyle="1" w:styleId="71">
    <w:name w:val="标题 6 Char"/>
    <w:link w:val="8"/>
    <w:qFormat/>
    <w:locked/>
    <w:uiPriority w:val="99"/>
    <w:rPr>
      <w:rFonts w:ascii="Cambria" w:hAnsi="Cambria" w:eastAsia="宋体" w:cs="Times New Roman"/>
      <w:b/>
      <w:kern w:val="2"/>
      <w:sz w:val="24"/>
    </w:rPr>
  </w:style>
  <w:style w:type="character" w:customStyle="1" w:styleId="72">
    <w:name w:val="标题 7 Char"/>
    <w:link w:val="9"/>
    <w:qFormat/>
    <w:locked/>
    <w:uiPriority w:val="99"/>
    <w:rPr>
      <w:rFonts w:cs="Times New Roman"/>
      <w:b/>
      <w:kern w:val="2"/>
      <w:sz w:val="24"/>
    </w:rPr>
  </w:style>
  <w:style w:type="character" w:customStyle="1" w:styleId="73">
    <w:name w:val="标题 8 Char"/>
    <w:link w:val="10"/>
    <w:qFormat/>
    <w:locked/>
    <w:uiPriority w:val="99"/>
    <w:rPr>
      <w:rFonts w:ascii="Cambria" w:hAnsi="Cambria" w:eastAsia="宋体" w:cs="Times New Roman"/>
      <w:kern w:val="2"/>
      <w:sz w:val="24"/>
    </w:rPr>
  </w:style>
  <w:style w:type="character" w:customStyle="1" w:styleId="74">
    <w:name w:val="标题 9 Char"/>
    <w:link w:val="11"/>
    <w:qFormat/>
    <w:locked/>
    <w:uiPriority w:val="99"/>
    <w:rPr>
      <w:rFonts w:ascii="Cambria" w:hAnsi="Cambria" w:eastAsia="宋体" w:cs="Times New Roman"/>
      <w:kern w:val="2"/>
      <w:sz w:val="21"/>
    </w:rPr>
  </w:style>
  <w:style w:type="character" w:customStyle="1" w:styleId="75">
    <w:name w:val="文档结构图 Char"/>
    <w:link w:val="17"/>
    <w:qFormat/>
    <w:locked/>
    <w:uiPriority w:val="99"/>
    <w:rPr>
      <w:rFonts w:ascii="宋体" w:cs="Times New Roman"/>
      <w:kern w:val="2"/>
      <w:sz w:val="18"/>
    </w:rPr>
  </w:style>
  <w:style w:type="character" w:customStyle="1" w:styleId="76">
    <w:name w:val="批注文字 字符"/>
    <w:qFormat/>
    <w:locked/>
    <w:uiPriority w:val="0"/>
    <w:rPr>
      <w:rFonts w:cs="Times New Roman"/>
      <w:kern w:val="2"/>
      <w:sz w:val="24"/>
    </w:rPr>
  </w:style>
  <w:style w:type="character" w:customStyle="1" w:styleId="77">
    <w:name w:val="正文文本 3 Char"/>
    <w:link w:val="19"/>
    <w:qFormat/>
    <w:locked/>
    <w:uiPriority w:val="99"/>
    <w:rPr>
      <w:rFonts w:ascii="宋体" w:cs="Times New Roman"/>
      <w:kern w:val="2"/>
      <w:sz w:val="24"/>
    </w:rPr>
  </w:style>
  <w:style w:type="character" w:customStyle="1" w:styleId="78">
    <w:name w:val="正文文本 Char"/>
    <w:link w:val="20"/>
    <w:qFormat/>
    <w:locked/>
    <w:uiPriority w:val="0"/>
    <w:rPr>
      <w:rFonts w:eastAsia="幼圆" w:cs="Times New Roman"/>
      <w:b/>
      <w:kern w:val="2"/>
      <w:sz w:val="24"/>
    </w:rPr>
  </w:style>
  <w:style w:type="character" w:customStyle="1" w:styleId="79">
    <w:name w:val="正文文本缩进 Char"/>
    <w:link w:val="21"/>
    <w:qFormat/>
    <w:locked/>
    <w:uiPriority w:val="99"/>
    <w:rPr>
      <w:rFonts w:cs="Times New Roman"/>
      <w:kern w:val="2"/>
      <w:sz w:val="24"/>
    </w:rPr>
  </w:style>
  <w:style w:type="character" w:customStyle="1" w:styleId="80">
    <w:name w:val="纯文本 Char"/>
    <w:link w:val="27"/>
    <w:qFormat/>
    <w:locked/>
    <w:uiPriority w:val="99"/>
    <w:rPr>
      <w:rFonts w:ascii="Ari" w:cs="Times New Roman"/>
      <w:lang w:val="en-US" w:eastAsia="zh-CN"/>
    </w:rPr>
  </w:style>
  <w:style w:type="character" w:customStyle="1" w:styleId="81">
    <w:name w:val="日期 Char"/>
    <w:link w:val="29"/>
    <w:qFormat/>
    <w:locked/>
    <w:uiPriority w:val="99"/>
    <w:rPr>
      <w:rFonts w:cs="Times New Roman"/>
      <w:kern w:val="2"/>
      <w:sz w:val="24"/>
    </w:rPr>
  </w:style>
  <w:style w:type="character" w:customStyle="1" w:styleId="82">
    <w:name w:val="正文文本缩进 2 Char"/>
    <w:link w:val="30"/>
    <w:qFormat/>
    <w:locked/>
    <w:uiPriority w:val="0"/>
    <w:rPr>
      <w:rFonts w:ascii="宋体" w:cs="Times New Roman"/>
    </w:rPr>
  </w:style>
  <w:style w:type="character" w:customStyle="1" w:styleId="83">
    <w:name w:val="批注框文本 Char"/>
    <w:link w:val="31"/>
    <w:qFormat/>
    <w:locked/>
    <w:uiPriority w:val="0"/>
    <w:rPr>
      <w:rFonts w:cs="Times New Roman"/>
      <w:kern w:val="2"/>
      <w:sz w:val="18"/>
    </w:rPr>
  </w:style>
  <w:style w:type="character" w:customStyle="1" w:styleId="84">
    <w:name w:val="页脚 Char"/>
    <w:link w:val="32"/>
    <w:qFormat/>
    <w:locked/>
    <w:uiPriority w:val="99"/>
    <w:rPr>
      <w:rFonts w:cs="Times New Roman"/>
      <w:kern w:val="2"/>
      <w:sz w:val="18"/>
    </w:rPr>
  </w:style>
  <w:style w:type="character" w:customStyle="1" w:styleId="85">
    <w:name w:val="页眉 Char"/>
    <w:link w:val="33"/>
    <w:qFormat/>
    <w:locked/>
    <w:uiPriority w:val="99"/>
    <w:rPr>
      <w:rFonts w:cs="Times New Roman"/>
      <w:kern w:val="2"/>
      <w:sz w:val="18"/>
    </w:rPr>
  </w:style>
  <w:style w:type="character" w:customStyle="1" w:styleId="86">
    <w:name w:val="副标题 Char"/>
    <w:link w:val="36"/>
    <w:qFormat/>
    <w:locked/>
    <w:uiPriority w:val="99"/>
    <w:rPr>
      <w:rFonts w:ascii="Cambria" w:hAnsi="Cambria" w:cs="Times New Roman"/>
      <w:b/>
      <w:kern w:val="28"/>
      <w:sz w:val="32"/>
    </w:rPr>
  </w:style>
  <w:style w:type="character" w:customStyle="1" w:styleId="87">
    <w:name w:val="正文文本缩进 3 Char"/>
    <w:link w:val="39"/>
    <w:qFormat/>
    <w:locked/>
    <w:uiPriority w:val="99"/>
    <w:rPr>
      <w:rFonts w:cs="Times New Roman"/>
      <w:kern w:val="2"/>
      <w:sz w:val="16"/>
    </w:rPr>
  </w:style>
  <w:style w:type="character" w:customStyle="1" w:styleId="88">
    <w:name w:val="HTML 预设格式 Char"/>
    <w:link w:val="42"/>
    <w:qFormat/>
    <w:locked/>
    <w:uiPriority w:val="0"/>
    <w:rPr>
      <w:rFonts w:ascii="Courier New" w:hAnsi="Courier New" w:cs="Times New Roman"/>
      <w:sz w:val="20"/>
    </w:rPr>
  </w:style>
  <w:style w:type="character" w:customStyle="1" w:styleId="89">
    <w:name w:val="标题 Char"/>
    <w:link w:val="45"/>
    <w:qFormat/>
    <w:locked/>
    <w:uiPriority w:val="99"/>
    <w:rPr>
      <w:rFonts w:ascii="Arial" w:hAnsi="Arial" w:cs="Times New Roman"/>
      <w:b/>
      <w:sz w:val="32"/>
    </w:rPr>
  </w:style>
  <w:style w:type="character" w:customStyle="1" w:styleId="90">
    <w:name w:val="批注主题 Char"/>
    <w:link w:val="46"/>
    <w:qFormat/>
    <w:locked/>
    <w:uiPriority w:val="0"/>
    <w:rPr>
      <w:rFonts w:cs="Times New Roman"/>
      <w:b/>
      <w:kern w:val="2"/>
      <w:sz w:val="24"/>
    </w:rPr>
  </w:style>
  <w:style w:type="character" w:customStyle="1" w:styleId="91">
    <w:name w:val="明显强调1"/>
    <w:qFormat/>
    <w:uiPriority w:val="99"/>
    <w:rPr>
      <w:b/>
      <w:i/>
      <w:color w:val="4F81BD"/>
    </w:rPr>
  </w:style>
  <w:style w:type="character" w:customStyle="1" w:styleId="92">
    <w:name w:val="批注文字 Char2"/>
    <w:qFormat/>
    <w:uiPriority w:val="99"/>
    <w:rPr>
      <w:kern w:val="2"/>
      <w:sz w:val="21"/>
    </w:rPr>
  </w:style>
  <w:style w:type="character" w:customStyle="1" w:styleId="93">
    <w:name w:val="标题 3 Char_0"/>
    <w:link w:val="94"/>
    <w:qFormat/>
    <w:locked/>
    <w:uiPriority w:val="99"/>
    <w:rPr>
      <w:b/>
      <w:sz w:val="32"/>
    </w:rPr>
  </w:style>
  <w:style w:type="paragraph" w:customStyle="1" w:styleId="94">
    <w:name w:val="标题 3_0"/>
    <w:basedOn w:val="95"/>
    <w:next w:val="95"/>
    <w:link w:val="93"/>
    <w:qFormat/>
    <w:uiPriority w:val="99"/>
    <w:pPr>
      <w:keepNext/>
      <w:keepLines/>
      <w:spacing w:before="260" w:after="260" w:line="416" w:lineRule="auto"/>
      <w:outlineLvl w:val="2"/>
    </w:pPr>
    <w:rPr>
      <w:b/>
      <w:sz w:val="32"/>
      <w:szCs w:val="20"/>
    </w:rPr>
  </w:style>
  <w:style w:type="paragraph" w:customStyle="1" w:styleId="95">
    <w:name w:val="正文_0"/>
    <w:qFormat/>
    <w:uiPriority w:val="99"/>
    <w:pPr>
      <w:widowControl w:val="0"/>
      <w:jc w:val="both"/>
    </w:pPr>
    <w:rPr>
      <w:rFonts w:ascii="Times New Roman" w:hAnsi="Times New Roman" w:eastAsia="宋体" w:cs="Times New Roman"/>
      <w:szCs w:val="24"/>
      <w:lang w:val="en-US" w:eastAsia="zh-CN" w:bidi="ar-SA"/>
    </w:rPr>
  </w:style>
  <w:style w:type="character" w:customStyle="1" w:styleId="96">
    <w:name w:val="正文文本 Char2"/>
    <w:semiHidden/>
    <w:qFormat/>
    <w:uiPriority w:val="99"/>
    <w:rPr>
      <w:rFonts w:ascii="Calibri" w:hAnsi="Calibri" w:eastAsia="宋体"/>
    </w:rPr>
  </w:style>
  <w:style w:type="character" w:customStyle="1" w:styleId="97">
    <w:name w:val="页脚 Char1"/>
    <w:semiHidden/>
    <w:qFormat/>
    <w:uiPriority w:val="99"/>
    <w:rPr>
      <w:rFonts w:ascii="Calibri" w:hAnsi="Calibri" w:eastAsia="宋体"/>
      <w:sz w:val="18"/>
    </w:rPr>
  </w:style>
  <w:style w:type="character" w:customStyle="1" w:styleId="98">
    <w:name w:val="明显引用 Char2"/>
    <w:qFormat/>
    <w:uiPriority w:val="99"/>
    <w:rPr>
      <w:b/>
      <w:i/>
      <w:color w:val="4F81BD"/>
      <w:kern w:val="2"/>
      <w:sz w:val="24"/>
    </w:rPr>
  </w:style>
  <w:style w:type="character" w:customStyle="1" w:styleId="99">
    <w:name w:val="引用 Char"/>
    <w:link w:val="100"/>
    <w:qFormat/>
    <w:locked/>
    <w:uiPriority w:val="99"/>
    <w:rPr>
      <w:i/>
      <w:color w:val="000000"/>
    </w:rPr>
  </w:style>
  <w:style w:type="paragraph" w:customStyle="1" w:styleId="100">
    <w:name w:val="引用1"/>
    <w:basedOn w:val="1"/>
    <w:next w:val="1"/>
    <w:link w:val="99"/>
    <w:qFormat/>
    <w:uiPriority w:val="99"/>
    <w:rPr>
      <w:i/>
      <w:color w:val="000000"/>
      <w:kern w:val="0"/>
      <w:sz w:val="20"/>
      <w:szCs w:val="20"/>
    </w:rPr>
  </w:style>
  <w:style w:type="character" w:customStyle="1" w:styleId="101">
    <w:name w:val="标题 1 Char_0"/>
    <w:link w:val="102"/>
    <w:qFormat/>
    <w:locked/>
    <w:uiPriority w:val="99"/>
    <w:rPr>
      <w:b/>
      <w:kern w:val="44"/>
      <w:sz w:val="44"/>
    </w:rPr>
  </w:style>
  <w:style w:type="paragraph" w:customStyle="1" w:styleId="102">
    <w:name w:val="标题 1_0"/>
    <w:basedOn w:val="95"/>
    <w:next w:val="95"/>
    <w:link w:val="101"/>
    <w:qFormat/>
    <w:uiPriority w:val="99"/>
    <w:pPr>
      <w:keepNext/>
      <w:keepLines/>
      <w:spacing w:before="340" w:after="330" w:line="578" w:lineRule="auto"/>
      <w:outlineLvl w:val="0"/>
    </w:pPr>
    <w:rPr>
      <w:b/>
      <w:kern w:val="44"/>
      <w:sz w:val="44"/>
      <w:szCs w:val="20"/>
    </w:rPr>
  </w:style>
  <w:style w:type="character" w:customStyle="1" w:styleId="103">
    <w:name w:val="正文文本缩进 3 Char1"/>
    <w:semiHidden/>
    <w:qFormat/>
    <w:uiPriority w:val="99"/>
    <w:rPr>
      <w:kern w:val="2"/>
      <w:sz w:val="16"/>
    </w:rPr>
  </w:style>
  <w:style w:type="character" w:customStyle="1" w:styleId="104">
    <w:name w:val="引用 Char1"/>
    <w:qFormat/>
    <w:uiPriority w:val="99"/>
    <w:rPr>
      <w:i/>
      <w:color w:val="000000"/>
      <w:kern w:val="2"/>
      <w:sz w:val="21"/>
    </w:rPr>
  </w:style>
  <w:style w:type="character" w:customStyle="1" w:styleId="105">
    <w:name w:val="font161"/>
    <w:qFormat/>
    <w:uiPriority w:val="99"/>
    <w:rPr>
      <w:b/>
      <w:sz w:val="32"/>
    </w:rPr>
  </w:style>
  <w:style w:type="character" w:customStyle="1" w:styleId="106">
    <w:name w:val="标题 4 Char_0"/>
    <w:link w:val="107"/>
    <w:qFormat/>
    <w:locked/>
    <w:uiPriority w:val="99"/>
    <w:rPr>
      <w:rFonts w:ascii="Arial" w:hAnsi="Arial" w:eastAsia="黑体"/>
      <w:b/>
      <w:sz w:val="28"/>
    </w:rPr>
  </w:style>
  <w:style w:type="paragraph" w:customStyle="1" w:styleId="107">
    <w:name w:val="标题 4_0"/>
    <w:basedOn w:val="95"/>
    <w:next w:val="95"/>
    <w:link w:val="106"/>
    <w:qFormat/>
    <w:uiPriority w:val="99"/>
    <w:pPr>
      <w:keepNext/>
      <w:keepLines/>
      <w:spacing w:before="280" w:after="290" w:line="376" w:lineRule="auto"/>
      <w:outlineLvl w:val="3"/>
    </w:pPr>
    <w:rPr>
      <w:rFonts w:ascii="Arial" w:hAnsi="Arial" w:eastAsia="黑体"/>
      <w:b/>
      <w:sz w:val="28"/>
      <w:szCs w:val="20"/>
    </w:rPr>
  </w:style>
  <w:style w:type="character" w:customStyle="1" w:styleId="108">
    <w:name w:val="引用 Char2"/>
    <w:qFormat/>
    <w:uiPriority w:val="99"/>
    <w:rPr>
      <w:i/>
      <w:color w:val="000000"/>
      <w:kern w:val="2"/>
      <w:sz w:val="24"/>
    </w:rPr>
  </w:style>
  <w:style w:type="character" w:customStyle="1" w:styleId="109">
    <w:name w:val="rvts11"/>
    <w:qFormat/>
    <w:uiPriority w:val="99"/>
    <w:rPr>
      <w:rFonts w:ascii="knle" w:hAnsi="knle"/>
      <w:sz w:val="24"/>
      <w:u w:val="single"/>
    </w:rPr>
  </w:style>
  <w:style w:type="character" w:customStyle="1" w:styleId="110">
    <w:name w:val="标题5 Char Char"/>
    <w:link w:val="111"/>
    <w:qFormat/>
    <w:locked/>
    <w:uiPriority w:val="99"/>
    <w:rPr>
      <w:rFonts w:ascii="Arial" w:hAnsi="Arial"/>
      <w:b/>
      <w:sz w:val="32"/>
    </w:rPr>
  </w:style>
  <w:style w:type="paragraph" w:customStyle="1" w:styleId="111">
    <w:name w:val="标题5"/>
    <w:basedOn w:val="5"/>
    <w:link w:val="110"/>
    <w:qFormat/>
    <w:uiPriority w:val="99"/>
    <w:pPr>
      <w:numPr>
        <w:ilvl w:val="0"/>
        <w:numId w:val="0"/>
      </w:numPr>
      <w:spacing w:line="413" w:lineRule="auto"/>
    </w:pPr>
    <w:rPr>
      <w:rFonts w:ascii="Arial" w:hAnsi="Arial"/>
      <w:kern w:val="0"/>
    </w:rPr>
  </w:style>
  <w:style w:type="character" w:customStyle="1" w:styleId="112">
    <w:name w:val="副标题 Char2"/>
    <w:qFormat/>
    <w:uiPriority w:val="99"/>
    <w:rPr>
      <w:rFonts w:ascii="Cambria" w:hAnsi="Cambria"/>
      <w:b/>
      <w:kern w:val="28"/>
      <w:sz w:val="32"/>
    </w:rPr>
  </w:style>
  <w:style w:type="character" w:customStyle="1" w:styleId="113">
    <w:name w:val="批注主题 Char1"/>
    <w:qFormat/>
    <w:uiPriority w:val="99"/>
    <w:rPr>
      <w:b/>
      <w:kern w:val="2"/>
      <w:sz w:val="22"/>
    </w:rPr>
  </w:style>
  <w:style w:type="character" w:customStyle="1" w:styleId="114">
    <w:name w:val="font31"/>
    <w:qFormat/>
    <w:uiPriority w:val="0"/>
    <w:rPr>
      <w:rFonts w:ascii="宋体" w:hAnsi="宋体" w:eastAsia="宋体"/>
      <w:color w:val="000000"/>
      <w:sz w:val="20"/>
      <w:u w:val="none"/>
    </w:rPr>
  </w:style>
  <w:style w:type="character" w:customStyle="1" w:styleId="115">
    <w:name w:val="明显引用 Char"/>
    <w:link w:val="116"/>
    <w:qFormat/>
    <w:locked/>
    <w:uiPriority w:val="99"/>
    <w:rPr>
      <w:b/>
      <w:i/>
      <w:color w:val="4F81BD"/>
    </w:rPr>
  </w:style>
  <w:style w:type="paragraph" w:customStyle="1" w:styleId="116">
    <w:name w:val="明显引用1"/>
    <w:basedOn w:val="1"/>
    <w:next w:val="1"/>
    <w:link w:val="115"/>
    <w:qFormat/>
    <w:uiPriority w:val="99"/>
    <w:pPr>
      <w:pBdr>
        <w:bottom w:val="single" w:color="4F81BD" w:sz="4" w:space="4"/>
      </w:pBdr>
      <w:spacing w:before="200" w:after="280"/>
      <w:ind w:left="936" w:right="936"/>
    </w:pPr>
    <w:rPr>
      <w:b/>
      <w:i/>
      <w:color w:val="4F81BD"/>
      <w:kern w:val="0"/>
      <w:sz w:val="20"/>
      <w:szCs w:val="20"/>
    </w:rPr>
  </w:style>
  <w:style w:type="character" w:customStyle="1" w:styleId="117">
    <w:name w:val="日期 Char1"/>
    <w:qFormat/>
    <w:uiPriority w:val="99"/>
    <w:rPr>
      <w:rFonts w:ascii="Calibri" w:hAnsi="Calibri" w:eastAsia="宋体"/>
    </w:rPr>
  </w:style>
  <w:style w:type="character" w:customStyle="1" w:styleId="118">
    <w:name w:val="批注框文本 Char1"/>
    <w:qFormat/>
    <w:uiPriority w:val="99"/>
    <w:rPr>
      <w:kern w:val="2"/>
      <w:sz w:val="18"/>
    </w:rPr>
  </w:style>
  <w:style w:type="character" w:customStyle="1" w:styleId="119">
    <w:name w:val="标题 Char1"/>
    <w:qFormat/>
    <w:uiPriority w:val="99"/>
    <w:rPr>
      <w:rFonts w:ascii="Cambria" w:hAnsi="Cambria" w:eastAsia="宋体"/>
      <w:b/>
      <w:sz w:val="32"/>
    </w:rPr>
  </w:style>
  <w:style w:type="character" w:customStyle="1" w:styleId="120">
    <w:name w:val="不明显参考1"/>
    <w:qFormat/>
    <w:uiPriority w:val="99"/>
    <w:rPr>
      <w:smallCaps/>
      <w:color w:val="C0504D"/>
      <w:u w:val="single"/>
    </w:rPr>
  </w:style>
  <w:style w:type="character" w:customStyle="1" w:styleId="121">
    <w:name w:val="批注文字 Char1"/>
    <w:qFormat/>
    <w:uiPriority w:val="99"/>
    <w:rPr>
      <w:rFonts w:ascii="Calibri" w:hAnsi="Calibri" w:eastAsia="宋体"/>
    </w:rPr>
  </w:style>
  <w:style w:type="character" w:customStyle="1" w:styleId="122">
    <w:name w:val="标题 Char2"/>
    <w:qFormat/>
    <w:uiPriority w:val="99"/>
    <w:rPr>
      <w:rFonts w:ascii="Cambria" w:hAnsi="Cambria"/>
      <w:b/>
      <w:kern w:val="2"/>
      <w:sz w:val="32"/>
    </w:rPr>
  </w:style>
  <w:style w:type="character" w:customStyle="1" w:styleId="123">
    <w:name w:val="正文文本 3 Char1"/>
    <w:semiHidden/>
    <w:qFormat/>
    <w:uiPriority w:val="99"/>
    <w:rPr>
      <w:kern w:val="2"/>
      <w:sz w:val="16"/>
    </w:rPr>
  </w:style>
  <w:style w:type="character" w:customStyle="1" w:styleId="124">
    <w:name w:val="批注主题 Char2"/>
    <w:qFormat/>
    <w:uiPriority w:val="99"/>
    <w:rPr>
      <w:b/>
      <w:kern w:val="2"/>
      <w:sz w:val="21"/>
    </w:rPr>
  </w:style>
  <w:style w:type="character" w:customStyle="1" w:styleId="125">
    <w:name w:val="正文文本 Char_0"/>
    <w:link w:val="126"/>
    <w:qFormat/>
    <w:locked/>
    <w:uiPriority w:val="99"/>
    <w:rPr>
      <w:sz w:val="24"/>
    </w:rPr>
  </w:style>
  <w:style w:type="paragraph" w:customStyle="1" w:styleId="126">
    <w:name w:val="正文文本_0"/>
    <w:basedOn w:val="95"/>
    <w:link w:val="125"/>
    <w:qFormat/>
    <w:uiPriority w:val="99"/>
    <w:pPr>
      <w:spacing w:after="120"/>
    </w:pPr>
    <w:rPr>
      <w:sz w:val="24"/>
      <w:szCs w:val="20"/>
    </w:rPr>
  </w:style>
  <w:style w:type="character" w:customStyle="1" w:styleId="127">
    <w:name w:val="bookmark"/>
    <w:qFormat/>
    <w:uiPriority w:val="99"/>
  </w:style>
  <w:style w:type="character" w:customStyle="1" w:styleId="128">
    <w:name w:val="标题 5 Char_0"/>
    <w:link w:val="129"/>
    <w:qFormat/>
    <w:locked/>
    <w:uiPriority w:val="99"/>
    <w:rPr>
      <w:rFonts w:ascii="Calibri" w:hAnsi="Calibri"/>
      <w:b/>
      <w:sz w:val="28"/>
    </w:rPr>
  </w:style>
  <w:style w:type="paragraph" w:customStyle="1" w:styleId="129">
    <w:name w:val="标题 5_0"/>
    <w:basedOn w:val="95"/>
    <w:next w:val="95"/>
    <w:link w:val="128"/>
    <w:qFormat/>
    <w:uiPriority w:val="99"/>
    <w:pPr>
      <w:keepNext/>
      <w:keepLines/>
      <w:spacing w:before="280" w:after="290" w:line="372" w:lineRule="auto"/>
      <w:outlineLvl w:val="4"/>
    </w:pPr>
    <w:rPr>
      <w:rFonts w:ascii="Calibri" w:hAnsi="Calibri"/>
      <w:b/>
      <w:sz w:val="28"/>
      <w:szCs w:val="20"/>
    </w:rPr>
  </w:style>
  <w:style w:type="character" w:customStyle="1" w:styleId="130">
    <w:name w:val="font11"/>
    <w:qFormat/>
    <w:uiPriority w:val="0"/>
    <w:rPr>
      <w:rFonts w:ascii="宋体" w:hAnsi="宋体" w:eastAsia="宋体"/>
      <w:color w:val="000000"/>
      <w:sz w:val="20"/>
      <w:u w:val="none"/>
    </w:rPr>
  </w:style>
  <w:style w:type="character" w:customStyle="1" w:styleId="131">
    <w:name w:val="明显参考1"/>
    <w:qFormat/>
    <w:uiPriority w:val="99"/>
    <w:rPr>
      <w:b/>
      <w:smallCaps/>
      <w:color w:val="C0504D"/>
      <w:spacing w:val="5"/>
      <w:u w:val="single"/>
    </w:rPr>
  </w:style>
  <w:style w:type="character" w:customStyle="1" w:styleId="132">
    <w:name w:val="超链接_0"/>
    <w:qFormat/>
    <w:uiPriority w:val="99"/>
    <w:rPr>
      <w:rFonts w:ascii="Calibri" w:hAnsi="Calibri"/>
      <w:color w:val="0000FF"/>
      <w:u w:val="single"/>
    </w:rPr>
  </w:style>
  <w:style w:type="character" w:customStyle="1" w:styleId="133">
    <w:name w:val="文档结构图 Char2"/>
    <w:semiHidden/>
    <w:qFormat/>
    <w:uiPriority w:val="99"/>
    <w:rPr>
      <w:rFonts w:ascii="宋体" w:hAnsi="Calibri" w:eastAsia="宋体"/>
      <w:sz w:val="18"/>
    </w:rPr>
  </w:style>
  <w:style w:type="character" w:customStyle="1" w:styleId="134">
    <w:name w:val="textcontents"/>
    <w:qFormat/>
    <w:uiPriority w:val="99"/>
  </w:style>
  <w:style w:type="character" w:customStyle="1" w:styleId="135">
    <w:name w:val="副标题 Char1"/>
    <w:qFormat/>
    <w:uiPriority w:val="99"/>
    <w:rPr>
      <w:rFonts w:ascii="Cambria" w:hAnsi="Cambria"/>
      <w:b/>
      <w:kern w:val="28"/>
      <w:sz w:val="32"/>
    </w:rPr>
  </w:style>
  <w:style w:type="character" w:customStyle="1" w:styleId="136">
    <w:name w:val="书籍标题1"/>
    <w:qFormat/>
    <w:uiPriority w:val="99"/>
    <w:rPr>
      <w:b/>
      <w:smallCaps/>
      <w:spacing w:val="5"/>
    </w:rPr>
  </w:style>
  <w:style w:type="character" w:customStyle="1" w:styleId="137">
    <w:name w:val="标题4 Char Char"/>
    <w:link w:val="138"/>
    <w:qFormat/>
    <w:locked/>
    <w:uiPriority w:val="99"/>
    <w:rPr>
      <w:rFonts w:ascii="Arial" w:hAnsi="Arial"/>
      <w:b/>
      <w:sz w:val="32"/>
    </w:rPr>
  </w:style>
  <w:style w:type="paragraph" w:customStyle="1" w:styleId="138">
    <w:name w:val="标题4"/>
    <w:basedOn w:val="4"/>
    <w:next w:val="24"/>
    <w:link w:val="137"/>
    <w:qFormat/>
    <w:uiPriority w:val="99"/>
    <w:pPr>
      <w:numPr>
        <w:ilvl w:val="0"/>
        <w:numId w:val="0"/>
      </w:numPr>
      <w:spacing w:line="413" w:lineRule="auto"/>
    </w:pPr>
    <w:rPr>
      <w:rFonts w:ascii="Arial" w:hAnsi="Arial"/>
      <w:kern w:val="0"/>
    </w:rPr>
  </w:style>
  <w:style w:type="character" w:customStyle="1" w:styleId="139">
    <w:name w:val="正文文本 Char1"/>
    <w:qFormat/>
    <w:uiPriority w:val="99"/>
    <w:rPr>
      <w:rFonts w:ascii="Calibri" w:hAnsi="Calibri" w:eastAsia="宋体"/>
    </w:rPr>
  </w:style>
  <w:style w:type="character" w:customStyle="1" w:styleId="140">
    <w:name w:val="明显引用 Char1"/>
    <w:qFormat/>
    <w:uiPriority w:val="99"/>
    <w:rPr>
      <w:b/>
      <w:i/>
      <w:color w:val="4F81BD"/>
      <w:kern w:val="2"/>
      <w:sz w:val="21"/>
    </w:rPr>
  </w:style>
  <w:style w:type="character" w:customStyle="1" w:styleId="141">
    <w:name w:val="页眉 Char1"/>
    <w:semiHidden/>
    <w:qFormat/>
    <w:uiPriority w:val="99"/>
    <w:rPr>
      <w:rFonts w:ascii="Calibri" w:hAnsi="Calibri" w:eastAsia="宋体"/>
      <w:sz w:val="18"/>
    </w:rPr>
  </w:style>
  <w:style w:type="character" w:customStyle="1" w:styleId="142">
    <w:name w:val="不明显强调1"/>
    <w:qFormat/>
    <w:uiPriority w:val="99"/>
    <w:rPr>
      <w:i/>
      <w:color w:val="808080"/>
    </w:rPr>
  </w:style>
  <w:style w:type="character" w:customStyle="1" w:styleId="143">
    <w:name w:val="font21"/>
    <w:qFormat/>
    <w:uiPriority w:val="0"/>
    <w:rPr>
      <w:rFonts w:ascii="宋体" w:hAnsi="宋体" w:eastAsia="宋体"/>
      <w:color w:val="000000"/>
      <w:sz w:val="20"/>
      <w:u w:val="none"/>
    </w:rPr>
  </w:style>
  <w:style w:type="character" w:customStyle="1" w:styleId="144">
    <w:name w:val="文档结构图 Char1"/>
    <w:qFormat/>
    <w:uiPriority w:val="99"/>
    <w:rPr>
      <w:rFonts w:ascii="宋体" w:hAnsi="Calibri" w:eastAsia="宋体"/>
      <w:sz w:val="18"/>
    </w:rPr>
  </w:style>
  <w:style w:type="character" w:customStyle="1" w:styleId="145">
    <w:name w:val="标题 2 Char_0"/>
    <w:link w:val="146"/>
    <w:qFormat/>
    <w:locked/>
    <w:uiPriority w:val="99"/>
    <w:rPr>
      <w:rFonts w:ascii="Cambria" w:hAnsi="Cambria"/>
      <w:b/>
      <w:sz w:val="32"/>
    </w:rPr>
  </w:style>
  <w:style w:type="paragraph" w:customStyle="1" w:styleId="146">
    <w:name w:val="标题 2_0"/>
    <w:basedOn w:val="95"/>
    <w:next w:val="95"/>
    <w:link w:val="145"/>
    <w:qFormat/>
    <w:uiPriority w:val="99"/>
    <w:pPr>
      <w:keepNext/>
      <w:keepLines/>
      <w:spacing w:before="260" w:after="260" w:line="416" w:lineRule="auto"/>
      <w:outlineLvl w:val="1"/>
    </w:pPr>
    <w:rPr>
      <w:rFonts w:ascii="Cambria" w:hAnsi="Cambria"/>
      <w:b/>
      <w:sz w:val="32"/>
      <w:szCs w:val="20"/>
    </w:rPr>
  </w:style>
  <w:style w:type="character" w:customStyle="1" w:styleId="147">
    <w:name w:val="日期 Char2"/>
    <w:semiHidden/>
    <w:qFormat/>
    <w:uiPriority w:val="99"/>
    <w:rPr>
      <w:rFonts w:ascii="Calibri" w:hAnsi="Calibri" w:eastAsia="宋体"/>
    </w:rPr>
  </w:style>
  <w:style w:type="character" w:customStyle="1" w:styleId="148">
    <w:name w:val="批注框文本 Char2"/>
    <w:semiHidden/>
    <w:qFormat/>
    <w:uiPriority w:val="99"/>
    <w:rPr>
      <w:rFonts w:ascii="Calibri" w:hAnsi="Calibri" w:eastAsia="宋体"/>
      <w:sz w:val="18"/>
    </w:rPr>
  </w:style>
  <w:style w:type="character" w:customStyle="1" w:styleId="149">
    <w:name w:val="列出段落 Char"/>
    <w:link w:val="150"/>
    <w:qFormat/>
    <w:locked/>
    <w:uiPriority w:val="99"/>
    <w:rPr>
      <w:kern w:val="2"/>
      <w:sz w:val="24"/>
    </w:rPr>
  </w:style>
  <w:style w:type="paragraph" w:customStyle="1" w:styleId="150">
    <w:name w:val="List Paragraph1"/>
    <w:basedOn w:val="1"/>
    <w:link w:val="149"/>
    <w:qFormat/>
    <w:uiPriority w:val="99"/>
    <w:pPr>
      <w:ind w:firstLine="420" w:firstLineChars="200"/>
    </w:pPr>
    <w:rPr>
      <w:sz w:val="24"/>
      <w:szCs w:val="20"/>
    </w:rPr>
  </w:style>
  <w:style w:type="paragraph" w:customStyle="1" w:styleId="151">
    <w:name w:val="样式 标题 3 + (中文) 黑体 小四 非加粗 段前: 7.8 磅 段后: 0 磅 行距: 固定值 20 磅"/>
    <w:basedOn w:val="5"/>
    <w:next w:val="1"/>
    <w:qFormat/>
    <w:uiPriority w:val="99"/>
    <w:pPr>
      <w:spacing w:before="0" w:after="0" w:line="400" w:lineRule="exact"/>
    </w:pPr>
    <w:rPr>
      <w:rFonts w:eastAsia="黑体" w:cs="宋体"/>
      <w:b w:val="0"/>
      <w:sz w:val="24"/>
    </w:rPr>
  </w:style>
  <w:style w:type="paragraph" w:customStyle="1" w:styleId="152">
    <w:name w:val="_Style 34"/>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53">
    <w:name w:val="正文_3"/>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154">
    <w:name w:val="_Style 36"/>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55">
    <w:name w:val="空半行"/>
    <w:basedOn w:val="1"/>
    <w:qFormat/>
    <w:uiPriority w:val="99"/>
    <w:pPr>
      <w:adjustRightInd w:val="0"/>
      <w:spacing w:line="120" w:lineRule="exact"/>
      <w:textAlignment w:val="baseline"/>
    </w:pPr>
    <w:rPr>
      <w:rFonts w:ascii="Calibri" w:hAnsi="Calibri" w:eastAsia="仿宋_GB2312"/>
      <w:color w:val="FFFFFF"/>
      <w:kern w:val="0"/>
      <w:sz w:val="30"/>
      <w:szCs w:val="22"/>
    </w:rPr>
  </w:style>
  <w:style w:type="paragraph" w:customStyle="1" w:styleId="156">
    <w:name w:val="1方案格式1"/>
    <w:basedOn w:val="3"/>
    <w:qFormat/>
    <w:uiPriority w:val="99"/>
    <w:pPr>
      <w:numPr>
        <w:numId w:val="2"/>
      </w:numPr>
      <w:tabs>
        <w:tab w:val="left" w:pos="360"/>
      </w:tabs>
      <w:spacing w:beforeLines="50" w:afterLines="50" w:line="360" w:lineRule="auto"/>
    </w:pPr>
    <w:rPr>
      <w:rFonts w:eastAsia="微软雅黑"/>
      <w:sz w:val="48"/>
    </w:rPr>
  </w:style>
  <w:style w:type="paragraph" w:customStyle="1" w:styleId="157">
    <w:name w:val="格式３"/>
    <w:basedOn w:val="1"/>
    <w:qFormat/>
    <w:uiPriority w:val="99"/>
    <w:pPr>
      <w:spacing w:line="420" w:lineRule="exact"/>
      <w:ind w:left="600" w:hanging="600" w:hangingChars="250"/>
    </w:pPr>
    <w:rPr>
      <w:rFonts w:ascii="宋体" w:hAnsi="宋体"/>
      <w:color w:val="000000"/>
      <w:sz w:val="24"/>
      <w:szCs w:val="20"/>
    </w:rPr>
  </w:style>
  <w:style w:type="paragraph" w:customStyle="1" w:styleId="158">
    <w:name w:val="正文1"/>
    <w:qFormat/>
    <w:uiPriority w:val="99"/>
    <w:pPr>
      <w:widowControl w:val="0"/>
      <w:jc w:val="both"/>
    </w:pPr>
    <w:rPr>
      <w:rFonts w:ascii="Calibri" w:hAnsi="Calibri" w:eastAsia="宋体" w:cs="Times New Roman"/>
      <w:lang w:val="en-US" w:eastAsia="zh-CN" w:bidi="ar-SA"/>
    </w:rPr>
  </w:style>
  <w:style w:type="paragraph" w:customStyle="1" w:styleId="159">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60">
    <w:name w:val="正文空2字"/>
    <w:basedOn w:val="1"/>
    <w:qFormat/>
    <w:locked/>
    <w:uiPriority w:val="99"/>
    <w:pPr>
      <w:spacing w:beforeLines="40" w:afterLines="40" w:line="360" w:lineRule="auto"/>
      <w:ind w:firstLine="200" w:firstLineChars="200"/>
    </w:pPr>
    <w:rPr>
      <w:kern w:val="0"/>
      <w:sz w:val="24"/>
    </w:rPr>
  </w:style>
  <w:style w:type="paragraph" w:customStyle="1" w:styleId="161">
    <w:name w:val="正文_0_0_0"/>
    <w:qFormat/>
    <w:uiPriority w:val="99"/>
    <w:pPr>
      <w:widowControl w:val="0"/>
      <w:jc w:val="both"/>
    </w:pPr>
    <w:rPr>
      <w:rFonts w:ascii="Times New Roman" w:hAnsi="Times New Roman" w:eastAsia="宋体" w:cs="Times New Roman"/>
      <w:lang w:val="en-US" w:eastAsia="zh-CN" w:bidi="ar-SA"/>
    </w:rPr>
  </w:style>
  <w:style w:type="paragraph" w:customStyle="1" w:styleId="162">
    <w:name w:val="目录 5_0"/>
    <w:basedOn w:val="95"/>
    <w:next w:val="95"/>
    <w:qFormat/>
    <w:uiPriority w:val="99"/>
    <w:pPr>
      <w:ind w:left="1680" w:leftChars="800"/>
    </w:pPr>
    <w:rPr>
      <w:rFonts w:ascii="Calibri" w:hAnsi="Calibri"/>
    </w:rPr>
  </w:style>
  <w:style w:type="paragraph" w:customStyle="1" w:styleId="163">
    <w:name w:val="修订1"/>
    <w:qFormat/>
    <w:uiPriority w:val="99"/>
    <w:rPr>
      <w:rFonts w:ascii="Times New Roman" w:hAnsi="Times New Roman" w:eastAsia="宋体" w:cs="Times New Roman"/>
      <w:kern w:val="2"/>
      <w:sz w:val="21"/>
      <w:szCs w:val="24"/>
      <w:lang w:val="en-US" w:eastAsia="zh-CN" w:bidi="ar-SA"/>
    </w:rPr>
  </w:style>
  <w:style w:type="paragraph" w:customStyle="1" w:styleId="164">
    <w:name w:val="标题 11"/>
    <w:basedOn w:val="158"/>
    <w:next w:val="158"/>
    <w:qFormat/>
    <w:uiPriority w:val="99"/>
    <w:pPr>
      <w:keepNext/>
      <w:keepLines/>
      <w:spacing w:before="340" w:after="330" w:line="576" w:lineRule="auto"/>
      <w:outlineLvl w:val="0"/>
    </w:pPr>
    <w:rPr>
      <w:rFonts w:ascii="Times New Roman" w:hAnsi="Times New Roman"/>
      <w:b/>
      <w:kern w:val="44"/>
      <w:sz w:val="44"/>
      <w:lang w:val="zh-CN"/>
    </w:rPr>
  </w:style>
  <w:style w:type="paragraph" w:customStyle="1" w:styleId="165">
    <w:name w:val="正文 + 行距: 固定值 20 磅"/>
    <w:basedOn w:val="1"/>
    <w:qFormat/>
    <w:uiPriority w:val="99"/>
    <w:pPr>
      <w:spacing w:line="400" w:lineRule="exact"/>
      <w:ind w:firstLine="716" w:firstLineChars="341"/>
    </w:pPr>
    <w:rPr>
      <w:rFonts w:ascii="Calibri" w:hAnsi="Calibri"/>
      <w:szCs w:val="22"/>
    </w:rPr>
  </w:style>
  <w:style w:type="paragraph" w:customStyle="1" w:styleId="166">
    <w:name w:val="TOC 标题1"/>
    <w:basedOn w:val="3"/>
    <w:next w:val="1"/>
    <w:qFormat/>
    <w:uiPriority w:val="99"/>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7">
    <w:name w:val="表格文字"/>
    <w:basedOn w:val="1"/>
    <w:link w:val="198"/>
    <w:qFormat/>
    <w:uiPriority w:val="99"/>
    <w:pPr>
      <w:adjustRightInd w:val="0"/>
      <w:spacing w:line="420" w:lineRule="atLeast"/>
      <w:jc w:val="left"/>
      <w:textAlignment w:val="baseline"/>
    </w:pPr>
    <w:rPr>
      <w:rFonts w:ascii="Calibri" w:hAnsi="Calibri"/>
      <w:kern w:val="0"/>
      <w:sz w:val="22"/>
      <w:szCs w:val="20"/>
    </w:rPr>
  </w:style>
  <w:style w:type="paragraph" w:customStyle="1" w:styleId="168">
    <w:name w:val="flNote"/>
    <w:basedOn w:val="1"/>
    <w:qFormat/>
    <w:uiPriority w:val="99"/>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9">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0">
    <w:name w:val="表格"/>
    <w:basedOn w:val="1"/>
    <w:qFormat/>
    <w:uiPriority w:val="99"/>
    <w:pPr>
      <w:jc w:val="center"/>
      <w:textAlignment w:val="center"/>
    </w:pPr>
    <w:rPr>
      <w:rFonts w:ascii="华文细黑" w:hAnsi="华文细黑"/>
      <w:kern w:val="0"/>
      <w:szCs w:val="22"/>
    </w:rPr>
  </w:style>
  <w:style w:type="paragraph" w:customStyle="1" w:styleId="171">
    <w:name w:val="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172">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3">
    <w:name w:val="列出段落2"/>
    <w:basedOn w:val="1"/>
    <w:qFormat/>
    <w:uiPriority w:val="99"/>
    <w:pPr>
      <w:ind w:firstLine="420" w:firstLineChars="200"/>
    </w:pPr>
  </w:style>
  <w:style w:type="paragraph" w:customStyle="1" w:styleId="174">
    <w:name w:val="6'"/>
    <w:basedOn w:val="1"/>
    <w:qFormat/>
    <w:uiPriority w:val="99"/>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5">
    <w:name w:val="Char Char Char Char Char Char Char"/>
    <w:basedOn w:val="1"/>
    <w:qFormat/>
    <w:uiPriority w:val="99"/>
    <w:pPr>
      <w:adjustRightInd w:val="0"/>
      <w:spacing w:line="360" w:lineRule="auto"/>
    </w:pPr>
    <w:rPr>
      <w:kern w:val="0"/>
      <w:sz w:val="24"/>
      <w:szCs w:val="20"/>
    </w:rPr>
  </w:style>
  <w:style w:type="paragraph" w:customStyle="1" w:styleId="176">
    <w:name w:val="2方案格式2"/>
    <w:basedOn w:val="156"/>
    <w:qFormat/>
    <w:uiPriority w:val="99"/>
    <w:pPr>
      <w:numPr>
        <w:ilvl w:val="1"/>
      </w:numPr>
      <w:spacing w:before="50" w:after="50" w:line="240" w:lineRule="auto"/>
      <w:outlineLvl w:val="1"/>
    </w:pPr>
    <w:rPr>
      <w:sz w:val="44"/>
    </w:rPr>
  </w:style>
  <w:style w:type="paragraph" w:customStyle="1" w:styleId="177">
    <w:name w:val="无间隔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178">
    <w:name w:val="文档正文"/>
    <w:basedOn w:val="1"/>
    <w:qFormat/>
    <w:uiPriority w:val="99"/>
    <w:pPr>
      <w:adjustRightInd w:val="0"/>
      <w:spacing w:line="480" w:lineRule="atLeast"/>
      <w:ind w:firstLine="567"/>
      <w:textAlignment w:val="baseline"/>
    </w:pPr>
    <w:rPr>
      <w:rFonts w:ascii="Ari" w:eastAsia="Times New Roman"/>
      <w:kern w:val="0"/>
      <w:sz w:val="28"/>
      <w:szCs w:val="20"/>
    </w:rPr>
  </w:style>
  <w:style w:type="paragraph" w:customStyle="1" w:styleId="179">
    <w:name w:val="txt"/>
    <w:basedOn w:val="1"/>
    <w:qFormat/>
    <w:uiPriority w:val="99"/>
    <w:pPr>
      <w:widowControl/>
      <w:spacing w:before="100" w:beforeAutospacing="1" w:after="100" w:afterAutospacing="1"/>
      <w:jc w:val="left"/>
    </w:pPr>
    <w:rPr>
      <w:rFonts w:ascii="宋体" w:hAnsi="宋体" w:cs="宋体"/>
      <w:kern w:val="0"/>
      <w:sz w:val="24"/>
    </w:rPr>
  </w:style>
  <w:style w:type="paragraph" w:customStyle="1" w:styleId="180">
    <w:name w:val="目录 4_0"/>
    <w:basedOn w:val="95"/>
    <w:next w:val="95"/>
    <w:qFormat/>
    <w:uiPriority w:val="99"/>
    <w:pPr>
      <w:ind w:left="1260" w:leftChars="600"/>
    </w:pPr>
    <w:rPr>
      <w:rFonts w:ascii="Calibri" w:hAnsi="Calibri"/>
    </w:rPr>
  </w:style>
  <w:style w:type="paragraph" w:customStyle="1" w:styleId="181">
    <w:name w:val="目录 3_0"/>
    <w:basedOn w:val="95"/>
    <w:next w:val="95"/>
    <w:qFormat/>
    <w:uiPriority w:val="99"/>
    <w:pPr>
      <w:ind w:left="840" w:leftChars="400"/>
    </w:pPr>
    <w:rPr>
      <w:rFonts w:ascii="Calibri" w:hAnsi="Calibri"/>
    </w:rPr>
  </w:style>
  <w:style w:type="paragraph" w:customStyle="1" w:styleId="182">
    <w:name w:val="样式 标题 1 + 黑体 三号 非加粗 居中 段前: 6 磅 段后: 6 磅 行距: 固定值 20 磅"/>
    <w:basedOn w:val="3"/>
    <w:qFormat/>
    <w:uiPriority w:val="99"/>
    <w:pPr>
      <w:numPr>
        <w:numId w:val="0"/>
      </w:numPr>
      <w:spacing w:before="120" w:after="120" w:line="400" w:lineRule="exact"/>
    </w:pPr>
    <w:rPr>
      <w:rFonts w:ascii="黑体" w:hAnsi="黑体" w:eastAsia="黑体"/>
      <w:b w:val="0"/>
    </w:rPr>
  </w:style>
  <w:style w:type="paragraph" w:customStyle="1" w:styleId="183">
    <w:name w:val="1"/>
    <w:basedOn w:val="1"/>
    <w:next w:val="1"/>
    <w:qFormat/>
    <w:uiPriority w:val="99"/>
    <w:rPr>
      <w:rFonts w:ascii="Calibri" w:hAnsi="Calibri"/>
      <w:szCs w:val="22"/>
    </w:rPr>
  </w:style>
  <w:style w:type="paragraph" w:customStyle="1" w:styleId="184">
    <w:name w:val="Blockquote_0"/>
    <w:basedOn w:val="95"/>
    <w:qFormat/>
    <w:uiPriority w:val="99"/>
    <w:pPr>
      <w:autoSpaceDE w:val="0"/>
      <w:autoSpaceDN w:val="0"/>
      <w:adjustRightInd w:val="0"/>
      <w:spacing w:before="100" w:after="100"/>
      <w:ind w:left="360" w:right="360"/>
      <w:jc w:val="left"/>
    </w:pPr>
    <w:rPr>
      <w:rFonts w:ascii="Calibri" w:hAnsi="Calibri"/>
      <w:sz w:val="24"/>
      <w:szCs w:val="20"/>
    </w:rPr>
  </w:style>
  <w:style w:type="paragraph" w:customStyle="1" w:styleId="185">
    <w:name w:val="列出段落11"/>
    <w:basedOn w:val="1"/>
    <w:qFormat/>
    <w:uiPriority w:val="99"/>
    <w:pPr>
      <w:widowControl/>
      <w:ind w:left="720"/>
      <w:contextualSpacing/>
      <w:jc w:val="left"/>
    </w:pPr>
    <w:rPr>
      <w:rFonts w:ascii="Arial" w:hAnsi="Arial" w:eastAsia="黑体"/>
      <w:kern w:val="0"/>
      <w:sz w:val="24"/>
      <w:lang w:eastAsia="en-US"/>
    </w:rPr>
  </w:style>
  <w:style w:type="paragraph" w:customStyle="1" w:styleId="186">
    <w:name w:val="样式 标题 2 + Times New Roman 四号 非加粗 段前: 5 磅 段后: 0 磅 行距: 固定值 20..._0"/>
    <w:basedOn w:val="1"/>
    <w:qFormat/>
    <w:uiPriority w:val="99"/>
    <w:pPr>
      <w:keepNext/>
      <w:keepLines/>
      <w:spacing w:before="100" w:line="360" w:lineRule="auto"/>
      <w:outlineLvl w:val="1"/>
    </w:pPr>
    <w:rPr>
      <w:rFonts w:cs="宋体"/>
      <w:kern w:val="0"/>
      <w:sz w:val="28"/>
      <w:szCs w:val="20"/>
    </w:rPr>
  </w:style>
  <w:style w:type="paragraph" w:customStyle="1" w:styleId="187">
    <w:name w:val="op_mapdots_left"/>
    <w:basedOn w:val="1"/>
    <w:qFormat/>
    <w:uiPriority w:val="99"/>
    <w:pPr>
      <w:widowControl/>
      <w:spacing w:before="100" w:beforeAutospacing="1" w:after="100" w:afterAutospacing="1"/>
      <w:jc w:val="left"/>
    </w:pPr>
    <w:rPr>
      <w:rFonts w:ascii="宋体" w:hAnsi="宋体" w:cs="宋体"/>
      <w:kern w:val="0"/>
      <w:sz w:val="24"/>
    </w:rPr>
  </w:style>
  <w:style w:type="paragraph" w:customStyle="1" w:styleId="188">
    <w:name w:val="p0"/>
    <w:basedOn w:val="1"/>
    <w:qFormat/>
    <w:uiPriority w:val="99"/>
    <w:pPr>
      <w:widowControl/>
    </w:pPr>
    <w:rPr>
      <w:b/>
      <w:bCs/>
      <w:kern w:val="0"/>
      <w:sz w:val="24"/>
    </w:rPr>
  </w:style>
  <w:style w:type="paragraph" w:customStyle="1" w:styleId="189">
    <w:name w:val="Blockquote"/>
    <w:basedOn w:val="1"/>
    <w:qFormat/>
    <w:uiPriority w:val="99"/>
    <w:pPr>
      <w:autoSpaceDE w:val="0"/>
      <w:autoSpaceDN w:val="0"/>
      <w:adjustRightInd w:val="0"/>
      <w:spacing w:before="100" w:after="100"/>
      <w:ind w:left="360" w:right="360"/>
      <w:jc w:val="left"/>
    </w:pPr>
    <w:rPr>
      <w:rFonts w:ascii="Calibri" w:hAnsi="Calibri"/>
      <w:kern w:val="0"/>
      <w:sz w:val="24"/>
      <w:szCs w:val="22"/>
    </w:rPr>
  </w:style>
  <w:style w:type="paragraph" w:customStyle="1" w:styleId="190">
    <w:name w:val="3方案格式3"/>
    <w:basedOn w:val="176"/>
    <w:qFormat/>
    <w:uiPriority w:val="99"/>
    <w:pPr>
      <w:numPr>
        <w:ilvl w:val="2"/>
      </w:numPr>
      <w:outlineLvl w:val="2"/>
    </w:pPr>
    <w:rPr>
      <w:sz w:val="32"/>
    </w:rPr>
  </w:style>
  <w:style w:type="paragraph" w:customStyle="1" w:styleId="191">
    <w:name w:val="样式 标题 2 + Times New Roman 四号 非加粗 段前: 5 磅 段后: 0 磅 行距: 固定值 20..."/>
    <w:basedOn w:val="4"/>
    <w:qFormat/>
    <w:uiPriority w:val="99"/>
    <w:pPr>
      <w:numPr>
        <w:ilvl w:val="0"/>
        <w:numId w:val="0"/>
      </w:numPr>
      <w:spacing w:before="100" w:after="0" w:line="400" w:lineRule="exact"/>
    </w:pPr>
    <w:rPr>
      <w:rFonts w:ascii="Times New Roman" w:hAnsi="Times New Roman" w:eastAsia="黑体"/>
      <w:b w:val="0"/>
      <w:sz w:val="28"/>
    </w:rPr>
  </w:style>
  <w:style w:type="paragraph" w:customStyle="1" w:styleId="192">
    <w:name w:val="标题2"/>
    <w:basedOn w:val="4"/>
    <w:next w:val="20"/>
    <w:qFormat/>
    <w:uiPriority w:val="99"/>
    <w:pPr>
      <w:spacing w:before="156" w:after="156" w:line="360" w:lineRule="auto"/>
    </w:pPr>
    <w:rPr>
      <w:sz w:val="24"/>
    </w:rPr>
  </w:style>
  <w:style w:type="paragraph" w:customStyle="1" w:styleId="193">
    <w:name w:val="普通正文"/>
    <w:basedOn w:val="1"/>
    <w:qFormat/>
    <w:uiPriority w:val="99"/>
    <w:pPr>
      <w:adjustRightInd w:val="0"/>
      <w:spacing w:before="120" w:after="120" w:line="360" w:lineRule="auto"/>
      <w:ind w:firstLine="480"/>
      <w:jc w:val="left"/>
      <w:textAlignment w:val="baseline"/>
    </w:pPr>
    <w:rPr>
      <w:rFonts w:ascii="Arial" w:hAnsi="Arial"/>
      <w:kern w:val="0"/>
      <w:sz w:val="24"/>
    </w:rPr>
  </w:style>
  <w:style w:type="paragraph" w:customStyle="1" w:styleId="194">
    <w:name w:val="正文11"/>
    <w:qFormat/>
    <w:uiPriority w:val="99"/>
    <w:rPr>
      <w:rFonts w:ascii="Calibri" w:hAnsi="Calibri" w:eastAsia="宋体" w:cs="Calibri"/>
      <w:sz w:val="24"/>
      <w:szCs w:val="24"/>
      <w:lang w:val="en-US" w:eastAsia="zh-CN" w:bidi="ar-SA"/>
    </w:rPr>
  </w:style>
  <w:style w:type="paragraph" w:customStyle="1" w:styleId="195">
    <w:name w:val="正文2"/>
    <w:qFormat/>
    <w:uiPriority w:val="99"/>
    <w:rPr>
      <w:rFonts w:ascii="Times New Roman" w:hAnsi="Times New Roman" w:eastAsia="微软雅黑" w:cs="Times New Roman"/>
      <w:sz w:val="24"/>
      <w:szCs w:val="24"/>
      <w:lang w:val="en-US" w:eastAsia="zh-CN" w:bidi="ar-SA"/>
    </w:rPr>
  </w:style>
  <w:style w:type="paragraph" w:customStyle="1" w:styleId="196">
    <w:name w:val="列出段落3"/>
    <w:basedOn w:val="1"/>
    <w:qFormat/>
    <w:uiPriority w:val="99"/>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7">
    <w:name w:val="纯文本2"/>
    <w:basedOn w:val="1"/>
    <w:qFormat/>
    <w:uiPriority w:val="99"/>
    <w:pPr>
      <w:jc w:val="left"/>
    </w:pPr>
    <w:rPr>
      <w:rFonts w:ascii="宋体" w:hAnsi="宋体" w:cs="Courier New"/>
      <w:kern w:val="1"/>
      <w:sz w:val="24"/>
      <w:szCs w:val="20"/>
      <w:lang w:bidi="hi-IN"/>
    </w:rPr>
  </w:style>
  <w:style w:type="character" w:customStyle="1" w:styleId="198">
    <w:name w:val="表格文字 字符"/>
    <w:link w:val="167"/>
    <w:qFormat/>
    <w:locked/>
    <w:uiPriority w:val="99"/>
    <w:rPr>
      <w:rFonts w:ascii="Calibri" w:hAnsi="Calibri" w:eastAsia="宋体"/>
      <w:sz w:val="22"/>
    </w:rPr>
  </w:style>
  <w:style w:type="paragraph" w:customStyle="1" w:styleId="199">
    <w:name w:val="List Paragraph2"/>
    <w:basedOn w:val="1"/>
    <w:qFormat/>
    <w:uiPriority w:val="99"/>
    <w:pPr>
      <w:ind w:firstLine="420" w:firstLineChars="200"/>
    </w:pPr>
  </w:style>
  <w:style w:type="paragraph" w:customStyle="1" w:styleId="200">
    <w:name w:val="trs_editor"/>
    <w:basedOn w:val="1"/>
    <w:qFormat/>
    <w:uiPriority w:val="99"/>
    <w:pPr>
      <w:widowControl/>
      <w:spacing w:before="100" w:beforeAutospacing="1" w:after="100" w:afterAutospacing="1"/>
      <w:jc w:val="left"/>
    </w:pPr>
    <w:rPr>
      <w:rFonts w:ascii="宋体" w:hAnsi="宋体" w:cs="宋体"/>
      <w:kern w:val="0"/>
      <w:sz w:val="24"/>
    </w:rPr>
  </w:style>
  <w:style w:type="paragraph" w:customStyle="1" w:styleId="201">
    <w:name w:val="修订2"/>
    <w:hidden/>
    <w:qFormat/>
    <w:uiPriority w:val="99"/>
    <w:rPr>
      <w:rFonts w:ascii="Times New Roman" w:hAnsi="Times New Roman" w:eastAsia="宋体" w:cs="Times New Roman"/>
      <w:kern w:val="2"/>
      <w:sz w:val="21"/>
      <w:szCs w:val="24"/>
      <w:lang w:val="en-US" w:eastAsia="zh-CN" w:bidi="ar-SA"/>
    </w:rPr>
  </w:style>
  <w:style w:type="character" w:customStyle="1" w:styleId="202">
    <w:name w:val="t-tree-icon"/>
    <w:qFormat/>
    <w:uiPriority w:val="99"/>
  </w:style>
  <w:style w:type="character" w:customStyle="1" w:styleId="203">
    <w:name w:val="t-ajax-wait"/>
    <w:qFormat/>
    <w:uiPriority w:val="99"/>
  </w:style>
  <w:style w:type="character" w:customStyle="1" w:styleId="204">
    <w:name w:val="t-exception-class-name"/>
    <w:qFormat/>
    <w:uiPriority w:val="99"/>
    <w:rPr>
      <w:b/>
      <w:color w:val="0000FF"/>
      <w:sz w:val="24"/>
      <w:shd w:val="clear" w:color="auto" w:fill="E1E1E1"/>
    </w:rPr>
  </w:style>
  <w:style w:type="character" w:customStyle="1" w:styleId="205">
    <w:name w:val="t-exception-stack-controls"/>
    <w:qFormat/>
    <w:uiPriority w:val="99"/>
  </w:style>
  <w:style w:type="character" w:customStyle="1" w:styleId="206">
    <w:name w:val="current"/>
    <w:qFormat/>
    <w:uiPriority w:val="99"/>
    <w:rPr>
      <w:color w:val="FFFFFF"/>
      <w:sz w:val="27"/>
      <w:u w:val="none"/>
      <w:bdr w:val="single" w:color="C0C0C0" w:sz="4" w:space="0"/>
      <w:shd w:val="clear" w:color="auto" w:fill="809FFF"/>
    </w:rPr>
  </w:style>
  <w:style w:type="character" w:customStyle="1" w:styleId="207">
    <w:name w:val="t-render-object-error"/>
    <w:qFormat/>
    <w:uiPriority w:val="99"/>
    <w:rPr>
      <w:b/>
      <w:i/>
      <w:color w:val="FF0000"/>
    </w:rPr>
  </w:style>
  <w:style w:type="character" w:customStyle="1" w:styleId="208">
    <w:name w:val="t-tree-expanded"/>
    <w:qFormat/>
    <w:uiPriority w:val="99"/>
  </w:style>
  <w:style w:type="character" w:customStyle="1" w:styleId="209">
    <w:name w:val="hover13"/>
    <w:qFormat/>
    <w:uiPriority w:val="99"/>
    <w:rPr>
      <w:color w:val="FFFFFF"/>
      <w:shd w:val="clear" w:color="auto" w:fill="00C1B3"/>
    </w:rPr>
  </w:style>
  <w:style w:type="character" w:customStyle="1" w:styleId="210">
    <w:name w:val="hover14"/>
    <w:qFormat/>
    <w:uiPriority w:val="99"/>
    <w:rPr>
      <w:sz w:val="14"/>
    </w:rPr>
  </w:style>
  <w:style w:type="character" w:customStyle="1" w:styleId="211">
    <w:name w:val="hover15"/>
    <w:qFormat/>
    <w:uiPriority w:val="99"/>
    <w:rPr>
      <w:color w:val="FFFFFF"/>
      <w:shd w:val="clear" w:color="auto" w:fill="00C1B3"/>
    </w:rPr>
  </w:style>
  <w:style w:type="paragraph" w:customStyle="1" w:styleId="212">
    <w:name w:val="列表段落1"/>
    <w:basedOn w:val="1"/>
    <w:qFormat/>
    <w:uiPriority w:val="99"/>
    <w:pPr>
      <w:ind w:firstLine="420" w:firstLineChars="200"/>
    </w:pPr>
    <w:rPr>
      <w:rFonts w:ascii="Calibri" w:hAnsi="Calibri"/>
      <w:szCs w:val="22"/>
    </w:rPr>
  </w:style>
  <w:style w:type="paragraph" w:customStyle="1" w:styleId="213">
    <w:name w:val="Revision1"/>
    <w:hidden/>
    <w:semiHidden/>
    <w:qFormat/>
    <w:uiPriority w:val="99"/>
    <w:rPr>
      <w:rFonts w:ascii="Times New Roman" w:hAnsi="Times New Roman" w:eastAsia="宋体" w:cs="Times New Roman"/>
      <w:kern w:val="2"/>
      <w:sz w:val="21"/>
      <w:szCs w:val="24"/>
      <w:lang w:val="en-US" w:eastAsia="zh-CN" w:bidi="ar-SA"/>
    </w:rPr>
  </w:style>
  <w:style w:type="paragraph" w:customStyle="1" w:styleId="214">
    <w:name w:val="Revision2"/>
    <w:hidden/>
    <w:semiHidden/>
    <w:qFormat/>
    <w:uiPriority w:val="99"/>
    <w:rPr>
      <w:rFonts w:ascii="Times New Roman" w:hAnsi="Times New Roman" w:eastAsia="宋体" w:cs="Times New Roman"/>
      <w:kern w:val="2"/>
      <w:sz w:val="21"/>
      <w:szCs w:val="24"/>
      <w:lang w:val="en-US" w:eastAsia="zh-CN" w:bidi="ar-SA"/>
    </w:rPr>
  </w:style>
  <w:style w:type="table" w:customStyle="1" w:styleId="215">
    <w:name w:val="Table Normal1"/>
    <w:semiHidden/>
    <w:qFormat/>
    <w:uiPriority w:val="99"/>
    <w:pPr>
      <w:widowControl w:val="0"/>
      <w:autoSpaceDE w:val="0"/>
      <w:autoSpaceDN w:val="0"/>
    </w:pPr>
    <w:rPr>
      <w:sz w:val="22"/>
      <w:lang w:eastAsia="en-US"/>
    </w:rPr>
    <w:tblPr>
      <w:tblCellMar>
        <w:top w:w="0" w:type="dxa"/>
        <w:left w:w="0" w:type="dxa"/>
        <w:bottom w:w="0" w:type="dxa"/>
        <w:right w:w="0" w:type="dxa"/>
      </w:tblCellMar>
    </w:tblPr>
  </w:style>
  <w:style w:type="paragraph" w:customStyle="1" w:styleId="216">
    <w:name w:val="Table Paragraph"/>
    <w:basedOn w:val="1"/>
    <w:qFormat/>
    <w:uiPriority w:val="99"/>
    <w:pPr>
      <w:autoSpaceDE w:val="0"/>
      <w:autoSpaceDN w:val="0"/>
      <w:jc w:val="left"/>
    </w:pPr>
    <w:rPr>
      <w:rFonts w:ascii="宋体" w:hAnsi="宋体" w:cs="宋体"/>
      <w:kern w:val="0"/>
      <w:sz w:val="22"/>
      <w:szCs w:val="22"/>
      <w:lang w:val="zh-CN"/>
    </w:rPr>
  </w:style>
  <w:style w:type="character" w:customStyle="1" w:styleId="217">
    <w:name w:val="c-icon28"/>
    <w:qFormat/>
    <w:uiPriority w:val="99"/>
    <w:rPr>
      <w:rFonts w:cs="Times New Roman"/>
    </w:rPr>
  </w:style>
  <w:style w:type="character" w:customStyle="1" w:styleId="218">
    <w:name w:val="hover23"/>
    <w:qFormat/>
    <w:uiPriority w:val="99"/>
    <w:rPr>
      <w:rFonts w:cs="Times New Roman"/>
    </w:rPr>
  </w:style>
  <w:style w:type="character" w:customStyle="1" w:styleId="219">
    <w:name w:val="hover24"/>
    <w:qFormat/>
    <w:uiPriority w:val="99"/>
    <w:rPr>
      <w:rFonts w:cs="Times New Roman"/>
      <w:color w:val="315EFB"/>
    </w:rPr>
  </w:style>
  <w:style w:type="character" w:customStyle="1" w:styleId="220">
    <w:name w:val="on"/>
    <w:qFormat/>
    <w:uiPriority w:val="99"/>
    <w:rPr>
      <w:rFonts w:cs="Times New Roman"/>
    </w:rPr>
  </w:style>
  <w:style w:type="character" w:customStyle="1" w:styleId="221">
    <w:name w:val="font01"/>
    <w:qFormat/>
    <w:uiPriority w:val="0"/>
    <w:rPr>
      <w:rFonts w:ascii="宋体" w:hAnsi="宋体" w:eastAsia="宋体" w:cs="Times New Roman"/>
      <w:color w:val="000000"/>
      <w:sz w:val="22"/>
      <w:szCs w:val="22"/>
      <w:u w:val="none"/>
    </w:rPr>
  </w:style>
  <w:style w:type="paragraph" w:customStyle="1" w:styleId="222">
    <w:name w:val="列出段落4"/>
    <w:basedOn w:val="1"/>
    <w:qFormat/>
    <w:uiPriority w:val="34"/>
    <w:pPr>
      <w:ind w:firstLine="420" w:firstLineChars="200"/>
    </w:pPr>
  </w:style>
  <w:style w:type="character" w:customStyle="1" w:styleId="223">
    <w:name w:val="NormalCharacter"/>
    <w:qFormat/>
    <w:uiPriority w:val="0"/>
  </w:style>
  <w:style w:type="character" w:customStyle="1" w:styleId="224">
    <w:name w:val="font41"/>
    <w:basedOn w:val="51"/>
    <w:qFormat/>
    <w:uiPriority w:val="0"/>
    <w:rPr>
      <w:rFonts w:hint="eastAsia" w:ascii="宋体" w:hAnsi="宋体" w:eastAsia="宋体" w:cs="宋体"/>
      <w:color w:val="000000"/>
      <w:sz w:val="22"/>
      <w:szCs w:val="22"/>
      <w:u w:val="none"/>
    </w:rPr>
  </w:style>
  <w:style w:type="character" w:customStyle="1" w:styleId="225">
    <w:name w:val="font51"/>
    <w:basedOn w:val="51"/>
    <w:qFormat/>
    <w:uiPriority w:val="0"/>
    <w:rPr>
      <w:rFonts w:ascii="Arial" w:hAnsi="Arial" w:cs="Arial"/>
      <w:color w:val="000000"/>
      <w:sz w:val="22"/>
      <w:szCs w:val="22"/>
      <w:u w:val="none"/>
    </w:rPr>
  </w:style>
  <w:style w:type="character" w:customStyle="1" w:styleId="226">
    <w:name w:val="font61"/>
    <w:basedOn w:val="51"/>
    <w:qFormat/>
    <w:uiPriority w:val="0"/>
    <w:rPr>
      <w:rFonts w:hint="eastAsia" w:ascii="宋体" w:hAnsi="宋体" w:eastAsia="宋体" w:cs="宋体"/>
      <w:color w:val="000000"/>
      <w:sz w:val="22"/>
      <w:szCs w:val="22"/>
      <w:u w:val="none"/>
    </w:rPr>
  </w:style>
  <w:style w:type="character" w:customStyle="1" w:styleId="227">
    <w:name w:val="font71"/>
    <w:basedOn w:val="51"/>
    <w:qFormat/>
    <w:uiPriority w:val="0"/>
    <w:rPr>
      <w:rFonts w:hint="eastAsia" w:ascii="宋体" w:hAnsi="宋体" w:eastAsia="宋体" w:cs="宋体"/>
      <w:color w:val="000000"/>
      <w:sz w:val="22"/>
      <w:szCs w:val="22"/>
      <w:u w:val="none"/>
    </w:rPr>
  </w:style>
  <w:style w:type="paragraph" w:styleId="228">
    <w:name w:val="List Paragraph"/>
    <w:basedOn w:val="1"/>
    <w:qFormat/>
    <w:uiPriority w:val="34"/>
    <w:pPr>
      <w:ind w:firstLine="420" w:firstLineChars="200"/>
    </w:pPr>
  </w:style>
  <w:style w:type="character" w:customStyle="1" w:styleId="229">
    <w:name w:val="label"/>
    <w:basedOn w:val="51"/>
    <w:qFormat/>
    <w:uiPriority w:val="0"/>
    <w:rPr>
      <w:color w:val="999999"/>
    </w:rPr>
  </w:style>
  <w:style w:type="character" w:customStyle="1" w:styleId="230">
    <w:name w:val="layui-laypage-curr"/>
    <w:basedOn w:val="51"/>
    <w:qFormat/>
    <w:uiPriority w:val="0"/>
  </w:style>
  <w:style w:type="character" w:customStyle="1" w:styleId="231">
    <w:name w:val="hover11"/>
    <w:basedOn w:val="51"/>
    <w:qFormat/>
    <w:uiPriority w:val="0"/>
  </w:style>
  <w:style w:type="character" w:customStyle="1" w:styleId="232">
    <w:name w:val="批注文字 Char"/>
    <w:basedOn w:val="51"/>
    <w:link w:val="18"/>
    <w:qFormat/>
    <w:uiPriority w:val="0"/>
    <w:rPr>
      <w:rFonts w:hint="default" w:ascii="Calibri" w:hAnsi="Calibri" w:eastAsia="宋体" w:cs="Times New Roman"/>
      <w:kern w:val="2"/>
      <w:sz w:val="21"/>
      <w:szCs w:val="24"/>
    </w:rPr>
  </w:style>
  <w:style w:type="paragraph" w:customStyle="1" w:styleId="233">
    <w:name w:val="修订3"/>
    <w:hidden/>
    <w:unhideWhenUsed/>
    <w:qFormat/>
    <w:uiPriority w:val="99"/>
    <w:rPr>
      <w:rFonts w:ascii="Times New Roman" w:hAnsi="Times New Roman" w:eastAsia="宋体" w:cs="Times New Roman"/>
      <w:kern w:val="2"/>
      <w:sz w:val="21"/>
      <w:szCs w:val="24"/>
      <w:lang w:val="en-US" w:eastAsia="zh-CN" w:bidi="ar-SA"/>
    </w:rPr>
  </w:style>
  <w:style w:type="character" w:customStyle="1" w:styleId="234">
    <w:name w:val="未处理的提及1"/>
    <w:basedOn w:val="51"/>
    <w:semiHidden/>
    <w:unhideWhenUsed/>
    <w:qFormat/>
    <w:uiPriority w:val="99"/>
    <w:rPr>
      <w:color w:val="605E5C"/>
      <w:shd w:val="clear" w:color="auto" w:fill="E1DFDD"/>
    </w:rPr>
  </w:style>
  <w:style w:type="character" w:customStyle="1" w:styleId="235">
    <w:name w:val="正文缩进 Char"/>
    <w:link w:val="14"/>
    <w:qFormat/>
    <w:uiPriority w:val="0"/>
    <w:rPr>
      <w:b/>
      <w:kern w:val="2"/>
      <w:sz w:val="24"/>
    </w:rPr>
  </w:style>
  <w:style w:type="paragraph" w:customStyle="1" w:styleId="236">
    <w:name w:val="一级条标题"/>
    <w:basedOn w:val="237"/>
    <w:next w:val="238"/>
    <w:qFormat/>
    <w:uiPriority w:val="0"/>
    <w:pPr>
      <w:tabs>
        <w:tab w:val="left" w:pos="810"/>
        <w:tab w:val="left" w:pos="907"/>
        <w:tab w:val="left" w:pos="1265"/>
      </w:tabs>
      <w:spacing w:before="0" w:after="0"/>
      <w:ind w:left="907" w:hanging="907"/>
      <w:outlineLvl w:val="2"/>
    </w:pPr>
    <w:rPr>
      <w:rFonts w:ascii="Times New Roman" w:hAnsi="宋体" w:eastAsia="宋体"/>
      <w:kern w:val="0"/>
      <w:sz w:val="20"/>
      <w:szCs w:val="20"/>
    </w:rPr>
  </w:style>
  <w:style w:type="paragraph" w:customStyle="1" w:styleId="237">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23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239">
    <w:name w:val="脚注文本 Char"/>
    <w:basedOn w:val="51"/>
    <w:link w:val="37"/>
    <w:qFormat/>
    <w:uiPriority w:val="0"/>
    <w:rPr>
      <w:rFonts w:ascii="宋体" w:eastAsia="Times New Roman"/>
      <w:snapToGrid w:val="0"/>
      <w:kern w:val="21"/>
      <w:sz w:val="18"/>
      <w:szCs w:val="18"/>
    </w:rPr>
  </w:style>
  <w:style w:type="character" w:customStyle="1" w:styleId="240">
    <w:name w:val="正文首行缩进 2 Char"/>
    <w:basedOn w:val="79"/>
    <w:link w:val="48"/>
    <w:qFormat/>
    <w:uiPriority w:val="0"/>
    <w:rPr>
      <w:rFonts w:cs="Times New Roman"/>
      <w:kern w:val="2"/>
      <w:sz w:val="21"/>
      <w:szCs w:val="24"/>
    </w:rPr>
  </w:style>
  <w:style w:type="paragraph" w:customStyle="1" w:styleId="241">
    <w:name w:val="修订4"/>
    <w:hidden/>
    <w:unhideWhenUsed/>
    <w:qFormat/>
    <w:uiPriority w:val="99"/>
    <w:rPr>
      <w:rFonts w:ascii="Times New Roman" w:hAnsi="Times New Roman" w:eastAsia="宋体" w:cs="Times New Roman"/>
      <w:kern w:val="2"/>
      <w:sz w:val="21"/>
      <w:szCs w:val="24"/>
      <w:lang w:val="en-US" w:eastAsia="zh-CN" w:bidi="ar-SA"/>
    </w:rPr>
  </w:style>
  <w:style w:type="table" w:customStyle="1" w:styleId="242">
    <w:name w:val="Table Normal"/>
    <w:unhideWhenUsed/>
    <w:qFormat/>
    <w:uiPriority w:val="0"/>
    <w:tblPr>
      <w:tblCellMar>
        <w:top w:w="0" w:type="dxa"/>
        <w:left w:w="0" w:type="dxa"/>
        <w:bottom w:w="0" w:type="dxa"/>
        <w:right w:w="0" w:type="dxa"/>
      </w:tblCellMar>
    </w:tblPr>
  </w:style>
  <w:style w:type="paragraph" w:customStyle="1" w:styleId="243">
    <w:name w:val="纯文本1"/>
    <w:basedOn w:val="1"/>
    <w:qFormat/>
    <w:uiPriority w:val="0"/>
    <w:rPr>
      <w:rFonts w:ascii="宋体" w:hAnsi="Courier New"/>
      <w:sz w:val="20"/>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58</Pages>
  <Words>25415</Words>
  <Characters>26807</Characters>
  <Lines>222</Lines>
  <Paragraphs>62</Paragraphs>
  <TotalTime>25</TotalTime>
  <ScaleCrop>false</ScaleCrop>
  <LinksUpToDate>false</LinksUpToDate>
  <CharactersWithSpaces>27186</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2024-05-22T06:44:00Z</dcterms:created>
  <dc:creator>Lenovo User</dc:creator>
  <cp:lastModifiedBy>WH</cp:lastModifiedBy>
  <cp:lastPrinted>2024-06-18T06:40:00Z</cp:lastPrinted>
  <dcterms:modified xsi:type="dcterms:W3CDTF">2025-04-30T04:34:48Z</dcterms:modified>
  <dc:title>公开招标文件</dc:title>
  <cp:revision>174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699D65193A03403B9215DD491C414C9F</vt:lpwstr>
  </property>
  <property fmtid="{D5CDD505-2E9C-101B-9397-08002B2CF9AE}" pid="4" name="KSOTemplateDocerSaveRecord">
    <vt:lpwstr>eyJoZGlkIjoiNWY5ZDVjZmY2MTE5YWRlNjQ1M2EwMzM0OGY1NTE4NDkiLCJ1c2VySWQiOiI1NjE0NzAxMjEifQ==</vt:lpwstr>
  </property>
</Properties>
</file>