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rPr>
          <w:rFonts w:hint="eastAsia" w:ascii="宋体" w:hAnsi="宋体" w:eastAsia="宋体"/>
          <w:b/>
          <w:bCs/>
          <w:color w:val="auto"/>
          <w:sz w:val="36"/>
          <w:highlight w:val="none"/>
          <w:lang w:eastAsia="zh-CN"/>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JSZC-321000-SWGC-G2024-0070号</w:t>
      </w:r>
      <w:r/>
    </w:p>
    <w:p>
      <w:pPr>
        <w:jc w:val="center"/>
        <w:rPr>
          <w:rFonts w:hint="eastAsia" w:ascii="宋体" w:hAnsi="宋体"/>
          <w:b/>
          <w:bCs/>
          <w:color w:val="auto"/>
          <w:sz w:val="36"/>
          <w:highlight w:val="none"/>
          <w:lang w:eastAsia="zh-CN"/>
        </w:rPr>
      </w:pPr>
      <w:r>
        <w:rPr>
          <w:rFonts w:hint="eastAsia" w:ascii="宋体" w:hAnsi="宋体"/>
          <w:b/>
          <w:bCs/>
          <w:color w:val="auto"/>
          <w:sz w:val="36"/>
          <w:highlight w:val="none"/>
          <w:lang w:eastAsia="zh-CN"/>
        </w:rPr>
      </w:r>
      <w:r/>
    </w:p>
    <w:p>
      <w:pPr>
        <w:jc w:val="center"/>
        <w:rPr>
          <w:rFonts w:hint="eastAsia" w:ascii="宋体" w:hAnsi="宋体"/>
          <w:b/>
          <w:bCs/>
          <w:color w:val="auto"/>
          <w:sz w:val="36"/>
          <w:highlight w:val="none"/>
          <w:lang w:eastAsia="zh-CN"/>
        </w:rPr>
      </w:pPr>
      <w:r>
        <w:rPr>
          <w:rFonts w:hint="eastAsia" w:ascii="宋体" w:hAnsi="宋体"/>
          <w:b/>
          <w:bCs/>
          <w:color w:val="auto"/>
          <w:sz w:val="36"/>
          <w:highlight w:val="none"/>
          <w:lang w:eastAsia="zh-CN"/>
        </w:rPr>
      </w:r>
      <w:r/>
    </w:p>
    <w:p>
      <w:pPr>
        <w:jc w:val="center"/>
        <w:rPr>
          <w:rFonts w:hint="eastAsia" w:ascii="宋体" w:hAnsi="宋体"/>
          <w:b/>
          <w:bCs/>
          <w:color w:val="auto"/>
          <w:sz w:val="36"/>
          <w:highlight w:val="none"/>
          <w:lang w:val="en-US" w:eastAsia="zh-CN"/>
        </w:rPr>
      </w:pPr>
      <w:r>
        <w:rPr>
          <w:rFonts w:hint="eastAsia" w:ascii="宋体" w:hAnsi="宋体"/>
          <w:b/>
          <w:bCs/>
          <w:color w:val="auto"/>
          <w:sz w:val="36"/>
          <w:highlight w:val="none"/>
          <w:lang w:eastAsia="zh-CN"/>
        </w:rPr>
        <w:t xml:space="preserve">扬州市民政局扬州市区养老设施布局规划项目</w:t>
      </w:r>
      <w:r/>
    </w:p>
    <w:p>
      <w:pPr>
        <w:jc w:val="center"/>
        <w:rPr>
          <w:rFonts w:ascii="宋体" w:hAnsi="宋体"/>
          <w:b/>
          <w:bCs/>
          <w:color w:val="auto"/>
          <w:sz w:val="36"/>
          <w:highlight w:val="none"/>
        </w:rPr>
      </w:pPr>
      <w:r>
        <w:rPr>
          <w:rFonts w:hint="eastAsia" w:ascii="宋体" w:hAnsi="宋体"/>
          <w:b/>
          <w:bCs/>
          <w:color w:val="auto"/>
          <w:sz w:val="36"/>
          <w:highlight w:val="none"/>
        </w:rPr>
        <w:t xml:space="preserve">公开招标文件</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hint="eastAsia" w:ascii="宋体" w:hAnsi="宋体"/>
          <w:color w:val="auto"/>
          <w:sz w:val="36"/>
          <w:highlight w:val="none"/>
        </w:rPr>
        <mc:AlternateContent>
          <mc:Choice Requires="wpg">
            <w:drawing>
              <wp:inline xmlns:wp="http://schemas.openxmlformats.org/drawingml/2006/wordprocessingDrawing" distT="0" distB="0" distL="0" distR="0">
                <wp:extent cx="5266690" cy="324104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
                <v:path textboxrect="0,0,0,0"/>
                <v:imagedata r:id="rId16" o:title=""/>
              </v:shape>
            </w:pict>
          </mc:Fallback>
        </mc:AlternateContent>
      </w:r>
      <w:r/>
    </w:p>
    <w:p>
      <w:pPr>
        <w:pStyle w:val="939"/>
        <w:rPr>
          <w:color w:val="auto"/>
          <w:highlight w:val="none"/>
        </w:rPr>
      </w:pPr>
      <w:r>
        <w:rPr>
          <w:color w:val="auto"/>
          <w:highlight w:val="none"/>
        </w:rPr>
      </w:r>
      <w:r/>
    </w:p>
    <w:p>
      <w:pPr>
        <w:jc w:val="center"/>
        <w:rPr>
          <w:rFonts w:hint="eastAsia" w:ascii="宋体" w:hAnsi="宋体"/>
          <w:b/>
          <w:bCs/>
          <w:color w:val="auto"/>
          <w:sz w:val="36"/>
          <w:highlight w:val="none"/>
        </w:rPr>
      </w:pPr>
      <w:r>
        <w:rPr>
          <w:rFonts w:hint="eastAsia" w:ascii="宋体" w:hAnsi="宋体"/>
          <w:b/>
          <w:bCs/>
          <w:color w:val="auto"/>
          <w:sz w:val="36"/>
          <w:highlight w:val="none"/>
        </w:rPr>
        <w:t xml:space="preserve">江苏苏维工程管理有限公司</w:t>
      </w:r>
      <w:r/>
    </w:p>
    <w:p>
      <w:pPr>
        <w:jc w:val="center"/>
        <w:rPr>
          <w:rFonts w:ascii="宋体" w:hAnsi="宋体"/>
          <w:color w:val="auto"/>
          <w:sz w:val="36"/>
          <w:highlight w:val="none"/>
        </w:rPr>
      </w:pPr>
      <w:r>
        <w:rPr>
          <w:rFonts w:hint="eastAsia" w:ascii="宋体" w:hAnsi="宋体"/>
          <w:b/>
          <w:bCs/>
          <w:color w:val="auto"/>
          <w:sz w:val="36"/>
          <w:highlight w:val="none"/>
        </w:rPr>
        <w:t xml:space="preserve">202</w:t>
      </w:r>
      <w:r>
        <w:rPr>
          <w:rFonts w:hint="eastAsia" w:ascii="宋体" w:hAnsi="宋体"/>
          <w:b/>
          <w:bCs/>
          <w:color w:val="auto"/>
          <w:sz w:val="36"/>
          <w:highlight w:val="none"/>
          <w:lang w:val="en-US" w:eastAsia="zh-CN"/>
        </w:rPr>
        <w:t xml:space="preserve">4</w:t>
      </w:r>
      <w:r>
        <w:rPr>
          <w:rFonts w:hint="eastAsia" w:ascii="宋体" w:hAnsi="宋体"/>
          <w:b/>
          <w:bCs/>
          <w:color w:val="auto"/>
          <w:sz w:val="36"/>
          <w:highlight w:val="none"/>
        </w:rPr>
        <w:t xml:space="preserve">年</w:t>
      </w:r>
      <w:r>
        <w:rPr>
          <w:rFonts w:hint="eastAsia" w:ascii="宋体" w:hAnsi="宋体"/>
          <w:b/>
          <w:bCs/>
          <w:color w:val="auto"/>
          <w:sz w:val="36"/>
          <w:highlight w:val="none"/>
          <w:lang w:val="en-US" w:eastAsia="zh-CN"/>
        </w:rPr>
        <w:t xml:space="preserve">5</w:t>
      </w:r>
      <w:r>
        <w:rPr>
          <w:rFonts w:ascii="宋体" w:hAnsi="宋体"/>
          <w:b/>
          <w:bCs/>
          <w:color w:val="auto"/>
          <w:sz w:val="36"/>
          <w:highlight w:val="none"/>
        </w:rPr>
        <w:t xml:space="preserve">月</w:t>
      </w:r>
      <w:r>
        <w:rPr>
          <w:rFonts w:hint="eastAsia" w:ascii="宋体" w:hAnsi="宋体"/>
          <w:b/>
          <w:bCs/>
          <w:color w:val="auto"/>
          <w:sz w:val="36"/>
          <w:highlight w:val="none"/>
          <w:lang w:val="en-US" w:eastAsia="zh-CN"/>
        </w:rPr>
        <w:t xml:space="preserve">7</w:t>
      </w:r>
      <w:r>
        <w:rPr>
          <w:rFonts w:hint="eastAsia" w:ascii="宋体" w:hAnsi="宋体"/>
          <w:b/>
          <w:bCs/>
          <w:color w:val="auto"/>
          <w:sz w:val="36"/>
          <w:highlight w:val="none"/>
        </w:rPr>
        <w:t xml:space="preserve">日</w:t>
      </w:r>
      <w:r/>
    </w:p>
    <w:p>
      <w:pPr>
        <w:rPr>
          <w:color w:val="auto"/>
          <w:highlight w:val="none"/>
        </w:rPr>
      </w:pPr>
      <w:r>
        <w:rPr>
          <w:color w:val="auto"/>
          <w:highlight w:val="none"/>
        </w:rPr>
      </w:r>
      <w:r/>
    </w:p>
    <w:p>
      <w:pPr>
        <w:pStyle w:val="939"/>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宋体" w:hAnsi="宋体"/>
          <w:color w:val="auto"/>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auto"/>
          <w:sz w:val="32"/>
          <w:highlight w:val="none"/>
        </w:rPr>
      </w:r>
      <w:r/>
    </w:p>
    <w:p>
      <w:pPr>
        <w:jc w:val="center"/>
        <w:rPr>
          <w:rFonts w:hint="eastAsia" w:ascii="宋体" w:hAnsi="宋体"/>
          <w:color w:val="auto"/>
          <w:sz w:val="32"/>
          <w:highlight w:val="none"/>
        </w:rPr>
      </w:pPr>
      <w:r>
        <w:rPr>
          <w:rFonts w:hint="eastAsia" w:ascii="宋体" w:hAnsi="宋体"/>
          <w:color w:val="auto"/>
          <w:sz w:val="32"/>
          <w:highlight w:val="none"/>
        </w:rPr>
      </w:r>
      <w:r/>
    </w:p>
    <w:p>
      <w:pPr>
        <w:jc w:val="center"/>
        <w:spacing w:line="480" w:lineRule="auto"/>
        <w:rPr>
          <w:rFonts w:ascii="宋体" w:hAnsi="宋体"/>
          <w:color w:val="auto"/>
          <w:sz w:val="32"/>
          <w:highlight w:val="none"/>
        </w:rPr>
      </w:pPr>
      <w:r>
        <w:rPr>
          <w:rFonts w:hint="eastAsia" w:ascii="宋体" w:hAnsi="宋体"/>
          <w:color w:val="auto"/>
          <w:sz w:val="32"/>
          <w:highlight w:val="none"/>
        </w:rPr>
        <w:t xml:space="preserve">目 录</w:t>
      </w:r>
      <w:r/>
    </w:p>
    <w:p>
      <w:pPr>
        <w:pStyle w:val="768"/>
        <w:tabs>
          <w:tab w:val="right" w:pos="8306"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TOC \o "1-3" \f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第一章 </w:t>
      </w:r>
      <w:r>
        <w:rPr>
          <w:rFonts w:hint="eastAsia" w:ascii="宋体" w:hAnsi="宋体" w:cs="宋体"/>
          <w:color w:val="auto"/>
          <w:sz w:val="21"/>
          <w:szCs w:val="21"/>
          <w:highlight w:val="none"/>
          <w:lang w:eastAsia="zh-CN"/>
        </w:rPr>
        <w:t xml:space="preserve">扬州市民政局扬州市区养老设施布局规划项目</w:t>
      </w:r>
      <w:r>
        <w:rPr>
          <w:rFonts w:hint="eastAsia" w:ascii="宋体" w:hAnsi="宋体" w:eastAsia="宋体" w:cs="宋体"/>
          <w:color w:val="auto"/>
          <w:sz w:val="21"/>
          <w:szCs w:val="21"/>
          <w:highlight w:val="none"/>
        </w:rPr>
        <w:t xml:space="preserve">公告</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_Toc11107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fldChar w:fldCharType="end"/>
      </w:r>
      <w:r/>
    </w:p>
    <w:p>
      <w:pPr>
        <w:pStyle w:val="768"/>
        <w:tabs>
          <w:tab w:val="right" w:pos="8306"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第二章 投标人须知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_Toc9712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rPr>
        <w:fldChar w:fldCharType="end"/>
      </w:r>
      <w:r/>
    </w:p>
    <w:p>
      <w:pPr>
        <w:pStyle w:val="768"/>
        <w:tabs>
          <w:tab w:val="right" w:pos="8306"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第三章 合同条款及格式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_Toc32699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17</w:t>
      </w:r>
      <w:r>
        <w:rPr>
          <w:rFonts w:hint="eastAsia" w:ascii="宋体" w:hAnsi="宋体" w:eastAsia="宋体" w:cs="宋体"/>
          <w:color w:val="auto"/>
          <w:sz w:val="21"/>
          <w:szCs w:val="21"/>
          <w:highlight w:val="none"/>
        </w:rPr>
        <w:fldChar w:fldCharType="end"/>
      </w:r>
      <w:r/>
    </w:p>
    <w:p>
      <w:pPr>
        <w:pStyle w:val="768"/>
        <w:tabs>
          <w:tab w:val="right" w:pos="8306"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第四章 项目需求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_Toc5362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rPr>
        <w:fldChar w:fldCharType="end"/>
      </w:r>
      <w:r/>
    </w:p>
    <w:p>
      <w:pPr>
        <w:pStyle w:val="768"/>
        <w:tabs>
          <w:tab w:val="right" w:pos="8306"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第五章 评标方法及评标标准</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_Toc12472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27</w:t>
      </w:r>
      <w:r>
        <w:rPr>
          <w:rFonts w:hint="eastAsia" w:ascii="宋体" w:hAnsi="宋体" w:eastAsia="宋体" w:cs="宋体"/>
          <w:color w:val="auto"/>
          <w:sz w:val="21"/>
          <w:szCs w:val="21"/>
          <w:highlight w:val="none"/>
        </w:rPr>
        <w:fldChar w:fldCharType="end"/>
      </w:r>
      <w:r/>
    </w:p>
    <w:p>
      <w:pPr>
        <w:pStyle w:val="768"/>
        <w:tabs>
          <w:tab w:val="right" w:pos="8306"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第六章 投标文件格式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_Toc16788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fldChar w:fldCharType="end"/>
      </w:r>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end"/>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746"/>
        <w:rPr>
          <w:color w:val="auto"/>
          <w:highlight w:val="none"/>
        </w:rPr>
      </w:pPr>
      <w:r/>
      <w:bookmarkStart w:id="0" w:name="_Toc55204177"/>
      <w:r/>
      <w:bookmarkStart w:id="1" w:name="_Toc11107"/>
      <w:r>
        <w:rPr>
          <w:rFonts w:hint="eastAsia" w:ascii="宋体" w:hAnsi="宋体" w:eastAsia="宋体" w:cs="宋体"/>
          <w:color w:val="auto"/>
          <w:highlight w:val="none"/>
        </w:rPr>
        <w:t xml:space="preserve">第一章 </w:t>
      </w:r>
      <w:r>
        <w:rPr>
          <w:rFonts w:hint="eastAsia" w:ascii="宋体" w:hAnsi="宋体" w:cs="宋体"/>
          <w:color w:val="auto"/>
          <w:highlight w:val="none"/>
          <w:lang w:eastAsia="zh-CN"/>
        </w:rPr>
        <w:t xml:space="preserve">扬州市民政局扬州市区养老设施布局规划项目</w:t>
      </w:r>
      <w:r>
        <w:rPr>
          <w:rFonts w:hint="eastAsia" w:ascii="宋体" w:hAnsi="宋体" w:eastAsia="宋体" w:cs="宋体"/>
          <w:color w:val="auto"/>
          <w:highlight w:val="none"/>
        </w:rPr>
        <w:t xml:space="preserve">公告</w:t>
      </w:r>
      <w:bookmarkEnd w:id="0"/>
      <w:r/>
      <w:bookmarkEnd w:id="1"/>
      <w:r/>
      <w:r/>
    </w:p>
    <w:p>
      <w:pPr>
        <w:ind w:firstLine="420"/>
        <w:keepLines w:val="0"/>
        <w:keepNext w:val="0"/>
        <w:pageBreakBefore w:val="0"/>
        <w:spacing w:line="520" w:lineRule="exact"/>
        <w:widowControl w:val="off"/>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扬州市民政局</w:t>
      </w:r>
      <w:r>
        <w:rPr>
          <w:rFonts w:hint="eastAsia" w:ascii="宋体" w:hAnsi="宋体" w:cs="宋体"/>
          <w:color w:val="auto"/>
          <w:highlight w:val="none"/>
        </w:rPr>
        <w:t xml:space="preserve">的委托，</w:t>
      </w:r>
      <w:r>
        <w:rPr>
          <w:rFonts w:hint="eastAsia" w:ascii="宋体" w:hAnsi="宋体" w:cs="宋体"/>
          <w:color w:val="auto"/>
          <w:highlight w:val="none"/>
          <w:lang w:eastAsia="zh-CN"/>
        </w:rPr>
        <w:t xml:space="preserve">江苏苏维工程管理有限公司</w:t>
      </w:r>
      <w:r>
        <w:rPr>
          <w:rFonts w:hint="eastAsia" w:ascii="宋体" w:hAnsi="宋体" w:cs="宋体"/>
          <w:color w:val="auto"/>
          <w:highlight w:val="none"/>
        </w:rPr>
        <w:t xml:space="preserve">就</w:t>
      </w:r>
      <w:r>
        <w:rPr>
          <w:rFonts w:hint="eastAsia" w:ascii="宋体" w:hAnsi="宋体" w:cs="宋体"/>
          <w:color w:val="auto"/>
          <w:highlight w:val="none"/>
          <w:lang w:eastAsia="zh-CN"/>
        </w:rPr>
        <w:t xml:space="preserve">扬州市民政局扬州市区养老设施布局规划项目</w:t>
      </w:r>
      <w:r>
        <w:rPr>
          <w:rFonts w:hint="eastAsia" w:ascii="宋体" w:hAnsi="宋体" w:cs="宋体"/>
          <w:color w:val="auto"/>
          <w:highlight w:val="none"/>
        </w:rPr>
        <w:t xml:space="preserve">进行公开招标采购，欢迎符合条件的供应商投标。</w:t>
      </w:r>
      <w:r/>
    </w:p>
    <w:p>
      <w:pPr>
        <w:ind w:firstLine="422"/>
        <w:keepLines w:val="0"/>
        <w:keepNext w:val="0"/>
        <w:pageBreakBefore w:val="0"/>
        <w:spacing w:line="520" w:lineRule="exact"/>
        <w:widowControl w:val="off"/>
        <w:rPr>
          <w:rFonts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keepLines w:val="0"/>
        <w:keepNext w:val="0"/>
        <w:pageBreakBefore w:val="0"/>
        <w:spacing w:line="520" w:lineRule="exact"/>
        <w:widowControl w:val="off"/>
        <w:rPr>
          <w:rFonts w:hint="eastAsia" w:ascii="宋体" w:hAnsi="宋体" w:cs="宋体"/>
          <w:color w:val="auto"/>
          <w:highlight w:val="none"/>
          <w:u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none"/>
          <w:lang w:eastAsia="zh-CN"/>
        </w:rPr>
        <w:t xml:space="preserve">扬州市民政局扬州市区养老设施布局规划</w:t>
      </w:r>
      <w:r>
        <w:rPr>
          <w:rFonts w:hint="eastAsia" w:ascii="宋体" w:hAnsi="宋体" w:cs="宋体"/>
          <w:color w:val="auto"/>
          <w:highlight w:val="none"/>
          <w:u w:val="none"/>
          <w:lang w:val="en-US" w:eastAsia="zh-CN"/>
        </w:rPr>
        <w:t xml:space="preserve">服务</w:t>
      </w:r>
      <w:r>
        <w:rPr>
          <w:rFonts w:hint="eastAsia" w:ascii="宋体" w:hAnsi="宋体" w:cs="宋体"/>
          <w:color w:val="auto"/>
          <w:highlight w:val="none"/>
          <w:u w:val="none"/>
          <w:lang w:eastAsia="zh-CN"/>
        </w:rPr>
        <w:t xml:space="preserve">。</w:t>
      </w:r>
      <w:r/>
    </w:p>
    <w:p>
      <w:pPr>
        <w:ind w:firstLine="420"/>
        <w:keepLines w:val="0"/>
        <w:keepNext w:val="0"/>
        <w:pageBreakBefore w:val="0"/>
        <w:spacing w:line="520" w:lineRule="exact"/>
        <w:widowControl w:val="off"/>
        <w:rPr>
          <w:rFonts w:ascii="宋体" w:hAns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single"/>
          <w:lang w:eastAsia="zh-CN"/>
        </w:rPr>
        <w:t xml:space="preserve">扬州市民政局扬州市区养老设施布局规划项目</w:t>
      </w:r>
      <w:r>
        <w:rPr>
          <w:rFonts w:hint="eastAsia" w:ascii="宋体" w:hAnsi="宋体" w:cs="宋体"/>
          <w:color w:val="auto"/>
          <w:highlight w:val="none"/>
        </w:rPr>
        <w:t xml:space="preserve">的潜在投标人可在</w:t>
      </w:r>
      <w:r>
        <w:rPr>
          <w:rFonts w:hint="eastAsia" w:ascii="宋体" w:hAnsi="宋体" w:cs="宋体"/>
          <w:color w:val="auto"/>
          <w:highlight w:val="none"/>
          <w:u w:val="single"/>
          <w:lang w:eastAsia="zh-CN"/>
        </w:rPr>
        <w:t xml:space="preserve">“扬州市政府采购网”、“江苏省政府采购网”、“中国政府采购网”</w:t>
      </w:r>
      <w:r>
        <w:rPr>
          <w:rFonts w:hint="eastAsia" w:ascii="宋体" w:hAnsi="宋体" w:cs="宋体"/>
          <w:color w:val="auto"/>
          <w:highlight w:val="none"/>
          <w:u w:val="none"/>
        </w:rPr>
        <w:t xml:space="preserve">自行免费下载</w:t>
      </w:r>
      <w:r>
        <w:rPr>
          <w:rFonts w:hint="eastAsia" w:ascii="宋体" w:hAnsi="宋体" w:cs="宋体"/>
          <w:color w:val="auto"/>
          <w:highlight w:val="none"/>
        </w:rPr>
        <w:t xml:space="preserve">招标文件，并于</w:t>
      </w:r>
      <w:r>
        <w:rPr>
          <w:rFonts w:hint="eastAsia" w:ascii="宋体" w:hAnsi="宋体" w:cs="宋体"/>
          <w:color w:val="auto"/>
          <w:highlight w:val="none"/>
          <w:u w:val="single"/>
        </w:rPr>
        <w:t xml:space="preserve">2024年</w:t>
      </w:r>
      <w:r>
        <w:rPr>
          <w:rFonts w:hint="eastAsia" w:ascii="宋体" w:hAnsi="宋体" w:cs="宋体"/>
          <w:color w:val="auto"/>
          <w:highlight w:val="none"/>
          <w:u w:val="single"/>
          <w:lang w:val="en-US" w:eastAsia="zh-CN"/>
        </w:rPr>
        <w:t xml:space="preserve">5</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29</w:t>
      </w:r>
      <w:r>
        <w:rPr>
          <w:rFonts w:hint="eastAsia" w:ascii="宋体" w:hAnsi="宋体" w:cs="宋体"/>
          <w:color w:val="auto"/>
          <w:highlight w:val="none"/>
          <w:u w:val="single"/>
        </w:rPr>
        <w:t xml:space="preserve">日上午 9:30</w:t>
      </w:r>
      <w:r>
        <w:rPr>
          <w:rFonts w:hint="eastAsia" w:ascii="宋体" w:hAnsi="宋体" w:cs="宋体"/>
          <w:bCs/>
          <w:color w:val="auto"/>
          <w:highlight w:val="none"/>
          <w:u w:val="non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keepLines w:val="0"/>
        <w:keepNext w:val="0"/>
        <w:pageBreakBefore w:val="0"/>
        <w:spacing w:line="520" w:lineRule="exact"/>
        <w:tabs>
          <w:tab w:val="left" w:pos="266" w:leader="none"/>
        </w:tabs>
        <w:rPr>
          <w:rFonts w:ascii="宋体" w:hAnsi="宋体" w:cs="宋体"/>
          <w:b/>
          <w:bCs/>
          <w:color w:val="auto"/>
          <w:highlight w:val="none"/>
        </w:rPr>
      </w:pPr>
      <w:r/>
      <w:bookmarkStart w:id="2" w:name="_Toc28359002"/>
      <w:r/>
      <w:bookmarkStart w:id="3" w:name="_Toc38985263"/>
      <w:r/>
      <w:bookmarkStart w:id="4" w:name="_Toc28359079"/>
      <w:r/>
      <w:bookmarkStart w:id="5" w:name="_Toc35393790"/>
      <w:r/>
      <w:bookmarkStart w:id="6" w:name="_Toc35393621"/>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keepLines w:val="0"/>
        <w:keepNext w:val="0"/>
        <w:pageBreakBefore w:val="0"/>
        <w:spacing w:line="520" w:lineRule="exact"/>
        <w:rPr>
          <w:rFonts w:ascii="宋体" w:hAnsi="宋体" w:cs="宋体"/>
          <w:color w:val="auto"/>
          <w:szCs w:val="21"/>
          <w:highlight w:val="none"/>
        </w:rPr>
      </w:pPr>
      <w:r>
        <w:rPr>
          <w:rFonts w:hint="eastAsia" w:ascii="宋体" w:hAnsi="宋体" w:cs="宋体"/>
          <w:color w:val="auto"/>
          <w:highlight w:val="none"/>
        </w:rPr>
        <w:t xml:space="preserve">1.项目编</w:t>
      </w:r>
      <w:r>
        <w:rPr>
          <w:rFonts w:hint="eastAsia" w:ascii="宋体" w:hAnsi="宋体" w:cs="宋体"/>
          <w:color w:val="auto"/>
          <w:highlight w:val="none"/>
        </w:rPr>
        <w:t xml:space="preserve">号：</w:t>
      </w:r>
      <w:r>
        <w:rPr>
          <w:rFonts w:hint="eastAsia" w:ascii="宋体" w:hAnsi="宋体" w:cs="宋体"/>
          <w:color w:val="auto"/>
          <w:highlight w:val="none"/>
          <w:lang w:eastAsia="zh-CN"/>
        </w:rPr>
        <w:t xml:space="preserve">JSZC-321000-SWGC-G2024-0070号</w:t>
      </w:r>
      <w:r/>
    </w:p>
    <w:p>
      <w:pPr>
        <w:ind w:firstLine="420"/>
        <w:keepLines w:val="0"/>
        <w:keepNext w:val="0"/>
        <w:pageBreakBefore w:val="0"/>
        <w:spacing w:line="520" w:lineRule="exact"/>
        <w:rPr>
          <w:rFonts w:ascii="宋体" w:hAnsi="宋体" w:cs="宋体"/>
          <w:color w:val="auto"/>
          <w:highlight w:val="none"/>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扬州市民政局扬州市区养老设施布局规划项目</w:t>
      </w:r>
      <w:bookmarkEnd w:id="7"/>
      <w:r/>
      <w:r/>
    </w:p>
    <w:p>
      <w:pPr>
        <w:ind w:firstLine="420"/>
        <w:keepLines w:val="0"/>
        <w:keepNext w:val="0"/>
        <w:pageBreakBefore w:val="0"/>
        <w:spacing w:line="520" w:lineRule="exact"/>
        <w:rPr>
          <w:rFonts w:ascii="宋体" w:hAnsi="宋体" w:cs="宋体"/>
          <w:color w:val="auto"/>
          <w:highlight w:val="none"/>
        </w:rPr>
      </w:pPr>
      <w:r>
        <w:rPr>
          <w:rFonts w:hint="eastAsia" w:ascii="宋体" w:hAnsi="宋体" w:cs="宋体"/>
          <w:color w:val="auto"/>
          <w:highlight w:val="none"/>
        </w:rPr>
        <w:t xml:space="preserve">3.预算金额：</w:t>
      </w:r>
      <w:r>
        <w:rPr>
          <w:rFonts w:hint="eastAsia" w:ascii="宋体" w:hAnsi="宋体" w:cs="宋体"/>
          <w:color w:val="auto"/>
          <w:highlight w:val="none"/>
          <w:lang w:val="en-US" w:eastAsia="zh-CN"/>
        </w:rPr>
        <w:t xml:space="preserve">90</w:t>
      </w:r>
      <w:r>
        <w:rPr>
          <w:rFonts w:hint="eastAsia" w:ascii="宋体" w:hAnsi="宋体" w:cs="宋体"/>
          <w:color w:val="auto"/>
          <w:highlight w:val="none"/>
        </w:rPr>
        <w:t xml:space="preserve">万元</w:t>
      </w:r>
      <w:r/>
    </w:p>
    <w:p>
      <w:pPr>
        <w:ind w:firstLine="420"/>
        <w:keepLines w:val="0"/>
        <w:keepNext w:val="0"/>
        <w:pageBreakBefore w:val="0"/>
        <w:spacing w:line="520" w:lineRule="exac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4.本项目设置最高限价，最高限价</w:t>
      </w:r>
      <w:r>
        <w:rPr>
          <w:rFonts w:hint="eastAsia" w:ascii="宋体" w:hAnsi="宋体" w:cs="宋体"/>
          <w:color w:val="auto"/>
          <w:highlight w:val="none"/>
          <w:lang w:eastAsia="zh-CN"/>
        </w:rPr>
        <w:t xml:space="preserve">为</w:t>
      </w:r>
      <w:r>
        <w:rPr>
          <w:rFonts w:hint="eastAsia" w:ascii="宋体" w:hAnsi="宋体" w:cs="宋体"/>
          <w:color w:val="auto"/>
          <w:highlight w:val="none"/>
          <w:lang w:val="en-US" w:eastAsia="zh-CN"/>
        </w:rPr>
        <w:t xml:space="preserve">90万元</w:t>
      </w:r>
      <w:r/>
    </w:p>
    <w:p>
      <w:pPr>
        <w:ind w:firstLine="420"/>
        <w:keepLines w:val="0"/>
        <w:keepNext w:val="0"/>
        <w:pageBreakBefore w:val="0"/>
        <w:spacing w:line="520" w:lineRule="exact"/>
        <w:rPr>
          <w:rFonts w:ascii="宋体" w:hAnsi="宋体" w:cs="宋体"/>
          <w:color w:val="auto"/>
          <w:highlight w:val="none"/>
          <w:u w:val="single"/>
        </w:rPr>
      </w:pPr>
      <w:r>
        <w:rPr>
          <w:rFonts w:hint="eastAsia" w:ascii="宋体" w:hAnsi="宋体" w:cs="宋体"/>
          <w:color w:val="auto"/>
          <w:highlight w:val="none"/>
        </w:rPr>
        <w:t xml:space="preserve">5.采购需求：见招标文件第四章</w:t>
      </w:r>
      <w:r/>
    </w:p>
    <w:p>
      <w:pPr>
        <w:ind w:firstLine="420"/>
        <w:keepLines w:val="0"/>
        <w:keepNext w:val="0"/>
        <w:pageBreakBefore w:val="0"/>
        <w:spacing w:line="520" w:lineRule="exac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6.合同履行期限：60个日历</w:t>
      </w:r>
      <w:r>
        <w:rPr>
          <w:rFonts w:hint="eastAsia" w:ascii="宋体" w:hAnsi="宋体" w:cs="宋体"/>
          <w:color w:val="auto"/>
          <w:highlight w:val="none"/>
          <w:lang w:val="en-US" w:eastAsia="zh-CN"/>
        </w:rPr>
        <w:t xml:space="preserve">天</w:t>
      </w:r>
      <w:r>
        <w:rPr>
          <w:rFonts w:hint="eastAsia" w:ascii="宋体" w:hAnsi="宋体" w:cs="宋体"/>
          <w:color w:val="auto"/>
          <w:highlight w:val="none"/>
        </w:rPr>
        <w:t xml:space="preserve">。</w:t>
      </w:r>
      <w:r/>
    </w:p>
    <w:p>
      <w:pPr>
        <w:ind w:firstLine="420"/>
        <w:keepLines w:val="0"/>
        <w:keepNext w:val="0"/>
        <w:pageBreakBefore w:val="0"/>
        <w:spacing w:line="520" w:lineRule="exact"/>
        <w:rPr>
          <w:rFonts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color w:val="auto"/>
          <w:highlight w:val="none"/>
          <w:u w:val="single"/>
          <w:lang w:eastAsia="zh-CN"/>
        </w:rPr>
        <w:t xml:space="preserve">不接受</w:t>
      </w:r>
      <w:r>
        <w:rPr>
          <w:rFonts w:hint="eastAsia" w:ascii="宋体" w:hAnsi="宋体" w:cs="宋体"/>
          <w:color w:val="auto"/>
          <w:highlight w:val="none"/>
        </w:rPr>
        <w:t xml:space="preserve">联合体投标</w:t>
      </w:r>
      <w:r/>
    </w:p>
    <w:p>
      <w:pPr>
        <w:ind w:firstLine="420"/>
        <w:keepLines w:val="0"/>
        <w:keepNext w:val="0"/>
        <w:pageBreakBefore w:val="0"/>
        <w:spacing w:line="520" w:lineRule="exact"/>
        <w:rPr>
          <w:color w:val="auto"/>
          <w:highlight w:val="none"/>
        </w:rPr>
      </w:pPr>
      <w:r>
        <w:rPr>
          <w:rFonts w:hint="eastAsia" w:ascii="宋体" w:hAnsi="宋体" w:cs="宋体"/>
          <w:color w:val="auto"/>
          <w:highlight w:val="none"/>
        </w:rPr>
        <w:t xml:space="preserve">8.本项目</w:t>
      </w:r>
      <w:r>
        <w:rPr>
          <w:rFonts w:hint="eastAsia" w:ascii="宋体" w:hAnsi="宋体" w:cs="宋体"/>
          <w:color w:val="auto"/>
          <w:highlight w:val="none"/>
          <w:u w:val="single"/>
          <w:lang w:eastAsia="zh-CN"/>
        </w:rPr>
        <w:t xml:space="preserve">不接受</w:t>
      </w:r>
      <w:r>
        <w:rPr>
          <w:rFonts w:hint="eastAsia" w:ascii="宋体" w:hAnsi="宋体" w:cs="宋体"/>
          <w:color w:val="auto"/>
          <w:highlight w:val="none"/>
        </w:rPr>
        <w:t xml:space="preserve">进口产品投标</w:t>
      </w:r>
      <w:r/>
    </w:p>
    <w:p>
      <w:pPr>
        <w:keepLines w:val="0"/>
        <w:keepNext w:val="0"/>
        <w:pageBreakBefore w:val="0"/>
        <w:spacing w:line="520" w:lineRule="exact"/>
        <w:tabs>
          <w:tab w:val="left" w:pos="266" w:leader="none"/>
        </w:tabs>
        <w:rPr>
          <w:rFonts w:ascii="宋体" w:hAnsi="宋体" w:cs="宋体"/>
          <w:b/>
          <w:bCs/>
          <w:color w:val="auto"/>
          <w:highlight w:val="none"/>
        </w:rPr>
      </w:pPr>
      <w:r/>
      <w:bookmarkStart w:id="8" w:name="_Toc28359003"/>
      <w:r/>
      <w:bookmarkStart w:id="9" w:name="_Toc28359080"/>
      <w:r/>
      <w:bookmarkStart w:id="10" w:name="_Toc35393622"/>
      <w:r/>
      <w:bookmarkStart w:id="11" w:name="_Toc38985264"/>
      <w:r/>
      <w:bookmarkStart w:id="12" w:name="_Toc35393791"/>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keepLines w:val="0"/>
        <w:keepNext w:val="0"/>
        <w:pageBreakBefore w:val="0"/>
        <w:spacing w:line="520" w:lineRule="exact"/>
        <w:rPr>
          <w:rFonts w:ascii="宋体" w:hAnsi="宋体" w:cs="宋体"/>
          <w:color w:val="auto"/>
          <w:szCs w:val="21"/>
          <w:highlight w:val="none"/>
        </w:rPr>
      </w:pPr>
      <w:r/>
      <w:bookmarkStart w:id="13" w:name="_Toc38985265"/>
      <w:r/>
      <w:bookmarkStart w:id="14" w:name="_Toc35393792"/>
      <w:r/>
      <w:bookmarkStart w:id="15" w:name="_Toc28359081"/>
      <w:r/>
      <w:bookmarkStart w:id="16" w:name="_Toc35393623"/>
      <w:r/>
      <w:bookmarkStart w:id="17" w:name="_Toc28359004"/>
      <w:r>
        <w:rPr>
          <w:rFonts w:hint="eastAsia" w:ascii="宋体" w:hAnsi="宋体" w:cs="宋体"/>
          <w:color w:val="auto"/>
          <w:szCs w:val="21"/>
          <w:highlight w:val="none"/>
        </w:rPr>
        <w:t xml:space="preserve">1.满足《中华人民共和国政府采购法》第二十二条规定，并提供下列材料：</w:t>
      </w:r>
      <w:r/>
    </w:p>
    <w:p>
      <w:pPr>
        <w:ind w:firstLine="420"/>
        <w:keepLines w:val="0"/>
        <w:keepNext w:val="0"/>
        <w:pageBreakBefore w:val="0"/>
        <w:spacing w:line="52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keepLines w:val="0"/>
        <w:keepNext w:val="0"/>
        <w:pageBreakBefore w:val="0"/>
        <w:spacing w:line="52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p>
    <w:p>
      <w:pPr>
        <w:ind w:firstLine="420"/>
        <w:keepLines w:val="0"/>
        <w:keepNext w:val="0"/>
        <w:pageBreakBefore w:val="0"/>
        <w:spacing w:line="520" w:lineRule="exact"/>
        <w:rPr>
          <w:rFonts w:ascii="宋体" w:hAnsi="宋体"/>
          <w:b/>
          <w:bCs/>
          <w:i/>
          <w:iCs/>
          <w:color w:val="auto"/>
          <w:highlight w:val="none"/>
          <w:u w:val="single"/>
        </w:rPr>
      </w:pPr>
      <w:r>
        <w:rPr>
          <w:rFonts w:hint="eastAsia" w:ascii="宋体" w:hAnsi="宋体" w:cs="宋体"/>
          <w:i/>
          <w:iCs/>
          <w:color w:val="auto"/>
          <w:szCs w:val="21"/>
          <w:highlight w:val="none"/>
          <w:u w:val="single"/>
        </w:rPr>
        <w:t xml:space="preserve">1.3 投标人近三个月内任意一份依法纳税的缴款凭证</w:t>
      </w:r>
      <w:r>
        <w:rPr>
          <w:rFonts w:hint="eastAsia" w:ascii="宋体" w:hAnsi="宋体" w:cs="宋体"/>
          <w:b/>
          <w:bCs/>
          <w:i/>
          <w:iCs/>
          <w:color w:val="auto"/>
          <w:szCs w:val="21"/>
          <w:highlight w:val="none"/>
          <w:u w:val="single"/>
        </w:rPr>
        <w:t xml:space="preserve">（投标人依法享受缓缴、免缴的提供证明材料）</w:t>
      </w:r>
      <w:r/>
    </w:p>
    <w:p>
      <w:pPr>
        <w:ind w:firstLine="420"/>
        <w:keepLines w:val="0"/>
        <w:keepNext w:val="0"/>
        <w:pageBreakBefore w:val="0"/>
        <w:spacing w:line="520" w:lineRule="exact"/>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w:t>
      </w:r>
      <w:r>
        <w:rPr>
          <w:rFonts w:hint="eastAsia" w:ascii="宋体" w:hAnsi="宋体" w:cs="宋体"/>
          <w:i/>
          <w:iCs/>
          <w:color w:val="auto"/>
          <w:szCs w:val="21"/>
          <w:highlight w:val="none"/>
          <w:u w:val="single"/>
          <w:lang w:val="en-US" w:eastAsia="zh-CN"/>
        </w:rPr>
        <w:t xml:space="preserve">上一年度</w:t>
      </w:r>
      <w:r>
        <w:rPr>
          <w:rFonts w:hint="eastAsia" w:ascii="宋体" w:hAnsi="宋体" w:cs="宋体"/>
          <w:i/>
          <w:iCs/>
          <w:color w:val="auto"/>
          <w:szCs w:val="21"/>
          <w:highlight w:val="none"/>
          <w:u w:val="single"/>
          <w:lang w:eastAsia="zh-CN"/>
        </w:rPr>
        <w:t xml:space="preserve">的财务报告情况</w:t>
      </w:r>
      <w:r>
        <w:rPr>
          <w:rFonts w:hint="eastAsia" w:ascii="宋体" w:hAnsi="宋体" w:cs="宋体"/>
          <w:b/>
          <w:bCs/>
          <w:i/>
          <w:iCs/>
          <w:color w:val="auto"/>
          <w:szCs w:val="21"/>
          <w:highlight w:val="none"/>
          <w:u w:val="single"/>
        </w:rPr>
        <w:t xml:space="preserve">（成立不满一年不需提供）</w:t>
      </w:r>
      <w:r/>
    </w:p>
    <w:p>
      <w:pPr>
        <w:ind w:firstLine="420"/>
        <w:keepLines w:val="0"/>
        <w:keepNext w:val="0"/>
        <w:pageBreakBefore w:val="0"/>
        <w:spacing w:line="52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keepLines w:val="0"/>
        <w:keepNext w:val="0"/>
        <w:pageBreakBefore w:val="0"/>
        <w:spacing w:line="52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keepLines w:val="0"/>
        <w:keepNext w:val="0"/>
        <w:pageBreakBefore w:val="0"/>
        <w:spacing w:line="520" w:lineRule="exact"/>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keepLines w:val="0"/>
        <w:keepNext w:val="0"/>
        <w:pageBreakBefore w:val="0"/>
        <w:spacing w:line="52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keepLines w:val="0"/>
        <w:keepNext w:val="0"/>
        <w:pageBreakBefore w:val="0"/>
        <w:spacing w:line="520" w:lineRule="exact"/>
        <w:rPr>
          <w:rFonts w:hint="eastAsia" w:ascii="宋体" w:hAnsi="宋体" w:eastAsia="宋体" w:cs="宋体"/>
          <w:i/>
          <w:iCs/>
          <w:color w:val="auto"/>
          <w:szCs w:val="21"/>
          <w:highlight w:val="none"/>
          <w:u w:val="single"/>
          <w:lang w:eastAsia="zh-CN"/>
        </w:rPr>
      </w:pPr>
      <w:r>
        <w:rPr>
          <w:rFonts w:hint="eastAsia" w:ascii="宋体" w:hAnsi="宋体" w:cs="宋体"/>
          <w:color w:val="auto"/>
          <w:szCs w:val="21"/>
          <w:highlight w:val="none"/>
        </w:rPr>
        <w:t xml:space="preserve">2.落实政府采购政策需满足的资格要求：</w:t>
      </w:r>
      <w:r>
        <w:rPr>
          <w:rFonts w:hint="eastAsia" w:ascii="宋体" w:hAnsi="宋体" w:eastAsia="宋体" w:cs="Times New Roman"/>
          <w:i/>
          <w:iCs/>
          <w:color w:val="auto"/>
          <w:sz w:val="21"/>
          <w:szCs w:val="21"/>
          <w:highlight w:val="none"/>
          <w:u w:val="single"/>
          <w:lang w:val="en-US" w:eastAsia="zh-CN" w:bidi="ar-SA"/>
        </w:rPr>
        <w:t xml:space="preserve">根据《政府采购促进中小企业发展管理办法》，本项目专门面向中小企业采购。</w:t>
      </w:r>
      <w:r>
        <w:rPr>
          <w:rFonts w:hint="eastAsia" w:ascii="宋体" w:hAnsi="宋体" w:cs="宋体"/>
          <w:i/>
          <w:iCs/>
          <w:color w:val="auto"/>
          <w:szCs w:val="21"/>
          <w:highlight w:val="none"/>
          <w:u w:val="single"/>
        </w:rPr>
        <w:t xml:space="preserve">投标人</w:t>
      </w:r>
      <w:r>
        <w:rPr>
          <w:rFonts w:hint="eastAsia" w:ascii="宋体" w:hAnsi="宋体" w:eastAsia="宋体" w:cs="Times New Roman"/>
          <w:i/>
          <w:iCs/>
          <w:color w:val="auto"/>
          <w:sz w:val="21"/>
          <w:szCs w:val="21"/>
          <w:highlight w:val="none"/>
          <w:u w:val="single"/>
          <w:lang w:val="en-US" w:eastAsia="zh-CN" w:bidi="ar-SA"/>
        </w:rPr>
        <w:t xml:space="preserve">参加投标时须提供《中小企业声明函》，《中小企业声明函》不符合要求或未提供的，投标文件无效。</w:t>
      </w:r>
      <w:r/>
    </w:p>
    <w:p>
      <w:pPr>
        <w:ind w:firstLine="420"/>
        <w:keepLines w:val="0"/>
        <w:keepNext w:val="0"/>
        <w:pageBreakBefore w:val="0"/>
        <w:spacing w:line="520" w:lineRule="exact"/>
        <w:rPr>
          <w:rFonts w:hint="eastAsia" w:ascii="宋体" w:hAnsi="宋体" w:eastAsia="宋体" w:cs="宋体"/>
          <w:i/>
          <w:iCs/>
          <w:color w:val="auto"/>
          <w:szCs w:val="21"/>
          <w:highlight w:val="none"/>
          <w:u w:val="single"/>
        </w:rPr>
      </w:pPr>
      <w:r>
        <w:rPr>
          <w:rFonts w:hint="eastAsia" w:ascii="宋体" w:hAnsi="宋体" w:eastAsia="宋体" w:cs="宋体"/>
          <w:color w:val="auto"/>
          <w:szCs w:val="21"/>
          <w:highlight w:val="none"/>
        </w:rPr>
        <w:t xml:space="preserve">3.本项目的特定资格要求</w:t>
      </w:r>
      <w:r>
        <w:rPr>
          <w:rFonts w:hint="eastAsia" w:ascii="宋体" w:hAnsi="宋体" w:cs="宋体"/>
          <w:color w:val="auto"/>
          <w:szCs w:val="21"/>
          <w:highlight w:val="none"/>
          <w:lang w:eastAsia="zh-CN"/>
        </w:rPr>
        <w:t xml:space="preserve">：</w:t>
      </w:r>
      <w:r>
        <w:rPr>
          <w:rFonts w:hint="eastAsia" w:ascii="宋体" w:hAnsi="宋体" w:cs="宋体"/>
          <w:i/>
          <w:iCs/>
          <w:color w:val="auto"/>
          <w:szCs w:val="21"/>
          <w:highlight w:val="none"/>
          <w:u w:val="single"/>
          <w:lang w:val="en-US" w:eastAsia="zh-CN"/>
        </w:rPr>
        <w:t xml:space="preserve">投标人具有城乡规划编制乙级及以上资质（证书原件扫描件上传）</w:t>
      </w:r>
      <w:r/>
    </w:p>
    <w:p>
      <w:pPr>
        <w:keepLines w:val="0"/>
        <w:keepNext w:val="0"/>
        <w:pageBreakBefore w:val="0"/>
        <w:spacing w:line="520" w:lineRule="exact"/>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ind w:firstLine="540"/>
        <w:keepLines w:val="0"/>
        <w:keepNext w:val="0"/>
        <w:pageBreakBefore w:val="0"/>
        <w:spacing w:line="520" w:lineRule="exact"/>
        <w:rPr>
          <w:rFonts w:ascii="宋体" w:hAnsi="宋体" w:cs="宋体"/>
          <w:color w:val="auto"/>
          <w:highlight w:val="none"/>
        </w:rPr>
      </w:pPr>
      <w:r/>
      <w:bookmarkStart w:id="18" w:name="_Toc35393624"/>
      <w:r/>
      <w:bookmarkStart w:id="19" w:name="_Toc28359005"/>
      <w:r/>
      <w:bookmarkStart w:id="20" w:name="_Toc28359082"/>
      <w:r/>
      <w:bookmarkStart w:id="21" w:name="_Toc38985266"/>
      <w:r/>
      <w:bookmarkStart w:id="22" w:name="_Toc35393793"/>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540"/>
        <w:keepLines w:val="0"/>
        <w:keepNext w:val="0"/>
        <w:pageBreakBefore w:val="0"/>
        <w:spacing w:line="520" w:lineRule="exact"/>
        <w:rPr>
          <w:rFonts w:ascii="宋体" w:hAnsi="宋体" w:cs="宋体"/>
          <w:b/>
          <w:bCs/>
          <w:color w:val="auto"/>
          <w:highlight w:val="none"/>
        </w:rPr>
      </w:pPr>
      <w:r>
        <w:rPr>
          <w:rFonts w:hint="eastAsia" w:ascii="宋体" w:hAnsi="宋体" w:cs="宋体"/>
          <w:b/>
          <w:bCs/>
          <w:color w:val="auto"/>
          <w:highlight w:val="none"/>
        </w:rPr>
        <w:t xml:space="preserve">2.获取方式：本项目采用网上注册登记方式。</w:t>
      </w:r>
      <w:r/>
    </w:p>
    <w:p>
      <w:pPr>
        <w:ind w:firstLine="540"/>
        <w:keepLines w:val="0"/>
        <w:keepNext w:val="0"/>
        <w:pageBreakBefore w:val="0"/>
        <w:spacing w:line="520" w:lineRule="exact"/>
        <w:rPr>
          <w:rFonts w:ascii="宋体" w:hAnsi="宋体"/>
          <w:b/>
          <w:bCs/>
          <w:color w:val="auto"/>
          <w:szCs w:val="21"/>
          <w:highlight w:val="none"/>
        </w:rPr>
      </w:pPr>
      <w:r>
        <w:rPr>
          <w:rFonts w:hint="eastAsia" w:ascii="宋体" w:hAnsi="宋体"/>
          <w:b/>
          <w:bCs/>
          <w:color w:val="auto"/>
          <w:szCs w:val="21"/>
          <w:highlight w:val="none"/>
        </w:rPr>
        <w:t xml:space="preserve">3.潜在供应商访问政府采购管理交易系统（苏采云）的网络地址和方法：</w:t>
      </w:r>
      <w:r/>
    </w:p>
    <w:p>
      <w:pPr>
        <w:ind w:firstLine="540"/>
        <w:keepLines w:val="0"/>
        <w:keepNext w:val="0"/>
        <w:pageBreakBefore w:val="0"/>
        <w:spacing w:line="520" w:lineRule="exact"/>
        <w:rPr>
          <w:rFonts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keepLines w:val="0"/>
        <w:keepNext w:val="0"/>
        <w:pageBreakBefore w:val="0"/>
        <w:spacing w:line="520" w:lineRule="exact"/>
        <w:rPr>
          <w:rFonts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keepLines w:val="0"/>
        <w:keepNext w:val="0"/>
        <w:pageBreakBefore w:val="0"/>
        <w:spacing w:line="520" w:lineRule="exact"/>
        <w:rPr>
          <w:rFonts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ind w:firstLine="540"/>
        <w:keepLines w:val="0"/>
        <w:keepNext w:val="0"/>
        <w:pageBreakBefore w:val="0"/>
        <w:spacing w:line="520" w:lineRule="exact"/>
        <w:rPr>
          <w:rFonts w:ascii="宋体" w:hAnsi="宋体"/>
          <w:b/>
          <w:bCs/>
          <w:color w:val="auto"/>
          <w:szCs w:val="21"/>
          <w:highlight w:val="none"/>
        </w:rPr>
      </w:pPr>
      <w:r>
        <w:rPr>
          <w:rFonts w:hint="eastAsia" w:ascii="宋体" w:hAnsi="宋体"/>
          <w:b/>
          <w:bCs/>
          <w:color w:val="auto"/>
          <w:szCs w:val="21"/>
          <w:highlight w:val="none"/>
        </w:rPr>
        <w:t xml:space="preserve">http://zfcg.yangzhou.gov.cn/zfcg/xzzx/202309/4d7de1f7865f4a2894fc22bc452f94d8.shtml。</w:t>
      </w:r>
      <w:r/>
    </w:p>
    <w:p>
      <w:pPr>
        <w:ind w:firstLine="540"/>
        <w:keepLines w:val="0"/>
        <w:keepNext w:val="0"/>
        <w:pageBreakBefore w:val="0"/>
        <w:spacing w:line="520" w:lineRule="exact"/>
        <w:rPr>
          <w:rFonts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540"/>
        <w:keepLines w:val="0"/>
        <w:keepNext w:val="0"/>
        <w:pageBreakBefore w:val="0"/>
        <w:spacing w:line="520" w:lineRule="exact"/>
        <w:rPr>
          <w:rFonts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keepLines w:val="0"/>
        <w:keepNext w:val="0"/>
        <w:pageBreakBefore w:val="0"/>
        <w:spacing w:line="520" w:lineRule="exact"/>
        <w:rPr>
          <w:rFonts w:hint="eastAsia" w:ascii="宋体" w:hAnsi="宋体" w:eastAsia="宋体" w:cs="Times New Roman"/>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w:t>
      </w:r>
      <w:r>
        <w:rPr>
          <w:rFonts w:hint="eastAsia" w:ascii="宋体" w:hAnsi="宋体" w:eastAsia="宋体" w:cs="Times New Roman"/>
          <w:b/>
          <w:bCs/>
          <w:color w:val="auto"/>
          <w:szCs w:val="21"/>
          <w:highlight w:val="none"/>
        </w:rPr>
        <w:t xml:space="preserve">系统，供潜在供应商下载或者查阅。     </w:t>
      </w:r>
      <w:r/>
    </w:p>
    <w:p>
      <w:pPr>
        <w:ind w:firstLine="540"/>
        <w:keepLines w:val="0"/>
        <w:keepNext w:val="0"/>
        <w:pageBreakBefore w:val="0"/>
        <w:spacing w:line="520" w:lineRule="exact"/>
        <w:rPr>
          <w:color w:val="auto"/>
          <w:highlight w:val="none"/>
        </w:rPr>
      </w:pPr>
      <w:r>
        <w:rPr>
          <w:rFonts w:hint="eastAsia" w:ascii="宋体" w:hAnsi="宋体" w:eastAsia="宋体" w:cs="Times New Roman"/>
          <w:b/>
          <w:bCs/>
          <w:color w:val="auto"/>
          <w:szCs w:val="21"/>
          <w:highlight w:val="none"/>
        </w:rPr>
        <w:t xml:space="preserve">（7）苏采云系统使用谷歌浏览器参与不见面开标</w:t>
      </w:r>
      <w:r>
        <w:rPr>
          <w:rFonts w:hint="eastAsia" w:ascii="宋体" w:hAnsi="宋体"/>
          <w:b/>
          <w:bCs/>
          <w:color w:val="auto"/>
          <w:szCs w:val="21"/>
          <w:highlight w:val="none"/>
        </w:rPr>
        <w:t xml:space="preserve">。</w:t>
      </w:r>
      <w:bookmarkEnd w:id="18"/>
      <w:r/>
      <w:bookmarkEnd w:id="19"/>
      <w:r/>
      <w:bookmarkEnd w:id="20"/>
      <w:r/>
      <w:bookmarkEnd w:id="21"/>
      <w:r/>
      <w:bookmarkEnd w:id="22"/>
      <w:r/>
      <w:r/>
    </w:p>
    <w:p>
      <w:pPr>
        <w:keepLines w:val="0"/>
        <w:keepNext w:val="0"/>
        <w:pageBreakBefore w:val="0"/>
        <w:spacing w:line="520" w:lineRule="exact"/>
        <w:tabs>
          <w:tab w:val="left" w:pos="266" w:leader="none"/>
        </w:tabs>
        <w:rPr>
          <w:rFonts w:ascii="宋体" w:hAnsi="宋体" w:cs="宋体"/>
          <w:b/>
          <w:bCs/>
          <w:color w:val="auto"/>
          <w:highlight w:val="none"/>
        </w:rPr>
      </w:pPr>
      <w:r/>
      <w:bookmarkStart w:id="23" w:name="_Toc35393794"/>
      <w:r/>
      <w:bookmarkStart w:id="24" w:name="_Toc35393625"/>
      <w:r/>
      <w:bookmarkStart w:id="25" w:name="_Toc28359084"/>
      <w:r/>
      <w:bookmarkStart w:id="26" w:name="_Toc28359007"/>
      <w:r/>
      <w:bookmarkStart w:id="27" w:name="_Toc38985267"/>
      <w:r>
        <w:rPr>
          <w:rFonts w:hint="eastAsia" w:ascii="宋体" w:hAnsi="宋体" w:cs="宋体"/>
          <w:b/>
          <w:bCs/>
          <w:color w:val="auto"/>
          <w:highlight w:val="none"/>
        </w:rPr>
        <w:t xml:space="preserve">四、提交投标文件截止时间、开标时间和地点</w:t>
      </w:r>
      <w:r/>
    </w:p>
    <w:p>
      <w:pPr>
        <w:ind w:firstLine="420"/>
        <w:keepLines w:val="0"/>
        <w:keepNext w:val="0"/>
        <w:pageBreakBefore w:val="0"/>
        <w:spacing w:line="520" w:lineRule="exact"/>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lang w:eastAsia="zh-CN"/>
        </w:rPr>
        <w:t xml:space="preserve">202</w:t>
      </w:r>
      <w:r>
        <w:rPr>
          <w:rFonts w:hint="eastAsia" w:ascii="宋体" w:hAnsi="宋体" w:cs="宋体"/>
          <w:bCs/>
          <w:color w:val="auto"/>
          <w:highlight w:val="none"/>
          <w:u w:val="single"/>
          <w:lang w:val="en-US" w:eastAsia="zh-CN"/>
        </w:rPr>
        <w:t xml:space="preserve">4</w:t>
      </w:r>
      <w:r>
        <w:rPr>
          <w:rFonts w:hint="eastAsia" w:ascii="宋体" w:hAnsi="宋体" w:cs="宋体"/>
          <w:bCs/>
          <w:color w:val="auto"/>
          <w:highlight w:val="none"/>
          <w:u w:val="single"/>
          <w:lang w:eastAsia="zh-CN"/>
        </w:rPr>
        <w:t xml:space="preserve">年</w:t>
      </w:r>
      <w:r>
        <w:rPr>
          <w:rFonts w:hint="eastAsia" w:ascii="宋体" w:hAnsi="宋体" w:cs="宋体"/>
          <w:bCs/>
          <w:color w:val="auto"/>
          <w:highlight w:val="none"/>
          <w:u w:val="single"/>
          <w:lang w:val="en-US" w:eastAsia="zh-CN"/>
        </w:rPr>
        <w:t xml:space="preserve">5</w:t>
      </w:r>
      <w:r>
        <w:rPr>
          <w:rFonts w:hint="eastAsia" w:ascii="宋体" w:hAnsi="宋体" w:cs="宋体"/>
          <w:bCs/>
          <w:color w:val="auto"/>
          <w:highlight w:val="none"/>
          <w:u w:val="single"/>
          <w:lang w:eastAsia="zh-CN"/>
        </w:rPr>
        <w:t xml:space="preserve">月</w:t>
      </w:r>
      <w:r>
        <w:rPr>
          <w:rFonts w:hint="eastAsia" w:ascii="宋体" w:hAnsi="宋体" w:cs="宋体"/>
          <w:bCs/>
          <w:color w:val="auto"/>
          <w:highlight w:val="none"/>
          <w:u w:val="single"/>
          <w:lang w:val="en-US" w:eastAsia="zh-CN"/>
        </w:rPr>
        <w:t xml:space="preserve">29</w:t>
      </w:r>
      <w:r>
        <w:rPr>
          <w:rFonts w:hint="eastAsia" w:ascii="宋体" w:hAnsi="宋体" w:cs="宋体"/>
          <w:bCs/>
          <w:color w:val="auto"/>
          <w:highlight w:val="none"/>
          <w:u w:val="single"/>
          <w:lang w:eastAsia="zh-CN"/>
        </w:rPr>
        <w:t xml:space="preserve">日上午 </w:t>
      </w:r>
      <w:r>
        <w:rPr>
          <w:rFonts w:hint="eastAsia" w:ascii="宋体" w:hAnsi="宋体" w:cs="宋体"/>
          <w:bCs/>
          <w:color w:val="auto"/>
          <w:highlight w:val="none"/>
          <w:u w:val="single"/>
          <w:lang w:val="en-US" w:eastAsia="zh-CN"/>
        </w:rPr>
        <w:t xml:space="preserve">9</w:t>
      </w:r>
      <w:r>
        <w:rPr>
          <w:rFonts w:hint="eastAsia" w:ascii="宋体" w:hAnsi="宋体" w:cs="宋体"/>
          <w:bCs/>
          <w:color w:val="auto"/>
          <w:highlight w:val="none"/>
          <w:u w:val="single"/>
          <w:lang w:eastAsia="zh-CN"/>
        </w:rPr>
        <w:t xml:space="preserve">:30</w:t>
      </w:r>
      <w:r>
        <w:rPr>
          <w:rFonts w:hint="eastAsia" w:ascii="宋体" w:hAnsi="宋体" w:cs="宋体"/>
          <w:bCs/>
          <w:color w:val="auto"/>
          <w:highlight w:val="none"/>
        </w:rPr>
        <w:t xml:space="preserve">（北京时间）</w:t>
      </w:r>
      <w:r/>
    </w:p>
    <w:p>
      <w:pPr>
        <w:ind w:firstLine="420"/>
        <w:keepLines w:val="0"/>
        <w:keepNext w:val="0"/>
        <w:pageBreakBefore w:val="0"/>
        <w:spacing w:line="520" w:lineRule="exact"/>
        <w:rPr>
          <w:rFonts w:hint="eastAsia" w:ascii="宋体" w:hAnsi="宋体"/>
          <w:b/>
          <w:bCs w:val="0"/>
          <w:color w:val="auto"/>
          <w:sz w:val="21"/>
          <w:szCs w:val="21"/>
          <w:highlight w:val="none"/>
          <w:lang w:eastAsia="zh-CN"/>
        </w:rPr>
      </w:pP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开标</w:t>
      </w:r>
      <w:r>
        <w:rPr>
          <w:rFonts w:hint="eastAsia" w:ascii="宋体" w:hAnsi="宋体" w:cs="宋体"/>
          <w:color w:val="auto"/>
          <w:highlight w:val="none"/>
        </w:rPr>
        <w:t xml:space="preserve">地点：</w:t>
      </w:r>
      <w:r>
        <w:rPr>
          <w:rFonts w:hint="eastAsia" w:ascii="宋体" w:hAnsi="宋体"/>
          <w:b/>
          <w:bCs w:val="0"/>
          <w:color w:val="auto"/>
          <w:sz w:val="21"/>
          <w:szCs w:val="21"/>
          <w:highlight w:val="none"/>
          <w:lang w:eastAsia="zh-CN"/>
        </w:rPr>
        <w:t xml:space="preserve">“苏采云”系统（网址：</w:t>
      </w:r>
      <w:r>
        <w:rPr>
          <w:rFonts w:hint="eastAsia" w:ascii="宋体" w:hAnsi="宋体"/>
          <w:b/>
          <w:bCs w:val="0"/>
          <w:color w:val="auto"/>
          <w:sz w:val="21"/>
          <w:szCs w:val="21"/>
          <w:highlight w:val="none"/>
          <w:lang w:eastAsia="zh-CN"/>
        </w:rPr>
        <w:fldChar w:fldCharType="begin"/>
      </w:r>
      <w:r>
        <w:rPr>
          <w:rFonts w:hint="eastAsia" w:ascii="宋体" w:hAnsi="宋体"/>
          <w:b/>
          <w:bCs w:val="0"/>
          <w:color w:val="auto"/>
          <w:sz w:val="21"/>
          <w:szCs w:val="21"/>
          <w:highlight w:val="none"/>
          <w:lang w:eastAsia="zh-CN"/>
        </w:rPr>
        <w:instrText xml:space="preserve"> HYPERLINK "http://jszfcg.jsczt.cn/）\“开标大厅\”" </w:instrText>
      </w:r>
      <w:r>
        <w:rPr>
          <w:rFonts w:hint="eastAsia" w:ascii="宋体" w:hAnsi="宋体"/>
          <w:b/>
          <w:bCs w:val="0"/>
          <w:color w:val="auto"/>
          <w:sz w:val="21"/>
          <w:szCs w:val="21"/>
          <w:highlight w:val="none"/>
          <w:lang w:eastAsia="zh-CN"/>
        </w:rPr>
        <w:fldChar w:fldCharType="separate"/>
      </w:r>
      <w:r>
        <w:rPr>
          <w:rFonts w:hint="eastAsia" w:ascii="宋体" w:hAnsi="宋体"/>
          <w:b/>
          <w:bCs w:val="0"/>
          <w:color w:val="auto"/>
          <w:sz w:val="21"/>
          <w:szCs w:val="21"/>
          <w:highlight w:val="none"/>
          <w:lang w:eastAsia="zh-CN"/>
        </w:rPr>
        <w:t xml:space="preserve">http://jszfcg.jsczt.cn/）“</w:t>
      </w:r>
      <w:r>
        <w:rPr>
          <w:rFonts w:hint="eastAsia" w:ascii="宋体" w:hAnsi="宋体"/>
          <w:b/>
          <w:bCs w:val="0"/>
          <w:color w:val="auto"/>
          <w:sz w:val="21"/>
          <w:szCs w:val="21"/>
          <w:highlight w:val="none"/>
          <w:lang w:val="en-US" w:eastAsia="zh-CN"/>
        </w:rPr>
        <w:t xml:space="preserve">开标大厅</w:t>
      </w:r>
      <w:r>
        <w:rPr>
          <w:rFonts w:hint="eastAsia"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eastAsia="zh-CN"/>
        </w:rPr>
        <w:fldChar w:fldCharType="end"/>
      </w:r>
      <w:bookmarkEnd w:id="23"/>
      <w:r/>
      <w:bookmarkEnd w:id="24"/>
      <w:r/>
      <w:bookmarkEnd w:id="25"/>
      <w:r/>
      <w:bookmarkEnd w:id="26"/>
      <w:r/>
      <w:bookmarkEnd w:id="27"/>
      <w:r/>
      <w:r/>
    </w:p>
    <w:p>
      <w:pPr>
        <w:keepLines w:val="0"/>
        <w:keepNext w:val="0"/>
        <w:pageBreakBefore w:val="0"/>
        <w:spacing w:line="520" w:lineRule="exact"/>
        <w:tabs>
          <w:tab w:val="left" w:pos="266" w:leader="none"/>
        </w:tabs>
        <w:rPr>
          <w:rFonts w:ascii="宋体" w:hAnsi="宋体" w:cs="宋体"/>
          <w:b/>
          <w:bCs/>
          <w:color w:val="auto"/>
          <w:highlight w:val="none"/>
        </w:rPr>
      </w:pPr>
      <w:r/>
      <w:bookmarkStart w:id="28" w:name="_Toc35393795"/>
      <w:r/>
      <w:bookmarkStart w:id="29" w:name="_Toc38985268"/>
      <w:r/>
      <w:bookmarkStart w:id="30" w:name="_Toc35393626"/>
      <w:r>
        <w:rPr>
          <w:rFonts w:hint="eastAsia" w:ascii="宋体" w:hAnsi="宋体" w:cs="宋体"/>
          <w:b/>
          <w:bCs/>
          <w:color w:val="auto"/>
          <w:highlight w:val="none"/>
        </w:rPr>
        <w:t xml:space="preserve">五、公告期限</w:t>
      </w:r>
      <w:r/>
    </w:p>
    <w:p>
      <w:pPr>
        <w:ind w:firstLine="420"/>
        <w:keepLines w:val="0"/>
        <w:keepNext w:val="0"/>
        <w:pageBreakBefore w:val="0"/>
        <w:spacing w:line="520" w:lineRule="exact"/>
        <w:rPr>
          <w:rFonts w:ascii="宋体" w:hAnsi="宋体" w:cs="宋体"/>
          <w:color w:val="auto"/>
          <w:highlight w:val="none"/>
        </w:rPr>
      </w:pPr>
      <w:r>
        <w:rPr>
          <w:rFonts w:hint="eastAsia" w:ascii="宋体" w:hAnsi="宋体" w:cs="宋体"/>
          <w:color w:val="auto"/>
          <w:highlight w:val="none"/>
        </w:rPr>
        <w:t xml:space="preserve">招标公告及招标文件公告期限为自本公告发布之日起5个工作日。</w:t>
      </w:r>
      <w:r/>
    </w:p>
    <w:p>
      <w:pPr>
        <w:keepLines w:val="0"/>
        <w:keepNext w:val="0"/>
        <w:pageBreakBefore w:val="0"/>
        <w:spacing w:line="520" w:lineRule="exact"/>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ind w:firstLine="540"/>
        <w:keepLines w:val="0"/>
        <w:keepNext w:val="0"/>
        <w:pageBreakBefore w:val="0"/>
        <w:spacing w:line="520" w:lineRule="exact"/>
        <w:rPr>
          <w:rFonts w:ascii="宋体" w:hAnsi="宋体" w:cs="宋体"/>
          <w:b/>
          <w:bCs/>
          <w:color w:val="auto"/>
          <w:highlight w:val="none"/>
        </w:rPr>
      </w:pPr>
      <w:r/>
      <w:bookmarkStart w:id="31" w:name="_Toc28359085"/>
      <w:r/>
      <w:bookmarkStart w:id="32" w:name="_Toc35393796"/>
      <w:r/>
      <w:bookmarkStart w:id="33" w:name="_Toc38985269"/>
      <w:r/>
      <w:bookmarkStart w:id="34" w:name="_Toc28359008"/>
      <w:r/>
      <w:bookmarkStart w:id="35" w:name="_Toc35393627"/>
      <w:r>
        <w:rPr>
          <w:rFonts w:hint="eastAsia" w:ascii="宋体" w:hAnsi="宋体" w:cs="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540"/>
        <w:keepLines w:val="0"/>
        <w:keepNext w:val="0"/>
        <w:pageBreakBefore w:val="0"/>
        <w:spacing w:line="520" w:lineRule="exact"/>
        <w:rPr>
          <w:rFonts w:ascii="宋体" w:hAnsi="宋体" w:cs="宋体"/>
          <w:b/>
          <w:bCs/>
          <w:color w:val="auto"/>
          <w:highlight w:val="none"/>
        </w:rPr>
      </w:pPr>
      <w:r>
        <w:rPr>
          <w:rFonts w:hint="eastAsia" w:ascii="宋体" w:hAnsi="宋体" w:cs="宋体"/>
          <w:b/>
          <w:bCs/>
          <w:color w:val="auto"/>
          <w:highlight w:val="none"/>
        </w:rPr>
        <w:t xml:space="preserve">2.供应商如确定参加</w:t>
      </w:r>
      <w:r>
        <w:rPr>
          <w:rFonts w:hint="eastAsia" w:ascii="宋体" w:hAnsi="宋体" w:cs="宋体"/>
          <w:b/>
          <w:bCs/>
          <w:color w:val="auto"/>
          <w:highlight w:val="none"/>
          <w:lang w:eastAsia="zh-CN"/>
        </w:rPr>
        <w:t xml:space="preserve">投标</w:t>
      </w:r>
      <w:r>
        <w:rPr>
          <w:rFonts w:hint="eastAsia" w:ascii="宋体" w:hAnsi="宋体" w:cs="宋体"/>
          <w:b/>
          <w:bCs/>
          <w:color w:val="auto"/>
          <w:highlight w:val="none"/>
        </w:rPr>
        <w:t xml:space="preserve">，可自行下载采购文件及有关资料，按照《操作手册》进行注册，领取CA和办理电子签章，并按《操作手册》要求制作、上传电子投标文件，技术支持联系方式：13813140731。</w:t>
      </w:r>
      <w:r/>
    </w:p>
    <w:p>
      <w:pPr>
        <w:ind w:firstLine="420"/>
        <w:keepLines w:val="0"/>
        <w:keepNext w:val="0"/>
        <w:pageBreakBefore w:val="0"/>
        <w:spacing w:line="520" w:lineRule="exact"/>
        <w:rPr>
          <w:rFonts w:ascii="宋体" w:hAnsi="宋体" w:cs="宋体"/>
          <w:bCs/>
          <w:color w:val="auto"/>
          <w:highlight w:val="none"/>
        </w:rPr>
      </w:pPr>
      <w:r>
        <w:rPr>
          <w:rFonts w:hint="eastAsia" w:ascii="宋体" w:hAnsi="宋体" w:cs="宋体"/>
          <w:bCs/>
          <w:color w:val="auto"/>
          <w:szCs w:val="21"/>
          <w:highlight w:val="none"/>
        </w:rPr>
        <w:t xml:space="preserve">3.</w:t>
      </w:r>
      <w:r>
        <w:rPr>
          <w:rFonts w:hint="eastAsia" w:ascii="宋体" w:hAnsi="宋体"/>
          <w:color w:val="auto"/>
          <w:highlight w:val="none"/>
        </w:rPr>
        <w:t xml:space="preserve">本次招标不收取投标保证金。</w:t>
      </w:r>
      <w:r/>
    </w:p>
    <w:p>
      <w:pPr>
        <w:ind w:firstLine="420"/>
        <w:keepLines w:val="0"/>
        <w:keepNext w:val="0"/>
        <w:pageBreakBefore w:val="0"/>
        <w:spacing w:line="520" w:lineRule="exact"/>
        <w:rPr>
          <w:rFonts w:ascii="宋体" w:hAnsi="宋体" w:cs="宋体"/>
          <w:bCs/>
          <w:color w:val="auto"/>
          <w:highlight w:val="none"/>
        </w:rPr>
      </w:pPr>
      <w:r>
        <w:rPr>
          <w:rFonts w:hint="eastAsia" w:ascii="宋体" w:hAnsi="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w:t>
      </w:r>
      <w:r>
        <w:rPr>
          <w:rFonts w:hint="eastAsia" w:ascii="宋体" w:hAnsi="宋体"/>
          <w:bCs/>
          <w:color w:val="auto"/>
          <w:szCs w:val="21"/>
          <w:highlight w:val="none"/>
          <w:lang w:eastAsia="zh-CN"/>
        </w:rPr>
        <w:t xml:space="preserve">“扬州市政府采购网”、“江苏省政府采购网”、“中国政府采购网”</w:t>
      </w:r>
      <w:r>
        <w:rPr>
          <w:rFonts w:hint="eastAsia" w:ascii="宋体" w:hAnsi="宋体" w:cs="宋体"/>
          <w:bCs/>
          <w:color w:val="auto"/>
          <w:highlight w:val="none"/>
        </w:rPr>
        <w:t xml:space="preserve">发布的信息。</w:t>
      </w:r>
      <w:r/>
    </w:p>
    <w:p>
      <w:pPr>
        <w:ind w:firstLine="422"/>
        <w:keepLines w:val="0"/>
        <w:keepNext w:val="0"/>
        <w:pageBreakBefore w:val="0"/>
        <w:spacing w:line="520" w:lineRule="exact"/>
        <w:tabs>
          <w:tab w:val="left" w:pos="266" w:leader="none"/>
        </w:tabs>
        <w:rPr>
          <w:rFonts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keepLines w:val="0"/>
        <w:keepNext w:val="0"/>
        <w:pageBreakBefore w:val="0"/>
        <w:spacing w:line="520" w:lineRule="exact"/>
        <w:tabs>
          <w:tab w:val="left" w:pos="266" w:leader="none"/>
        </w:tabs>
        <w:rPr>
          <w:rFonts w:ascii="宋体" w:hAnsi="宋体" w:cs="宋体"/>
          <w:bCs/>
          <w:color w:val="auto"/>
          <w:highlight w:val="none"/>
        </w:rPr>
      </w:pPr>
      <w:r>
        <w:rPr>
          <w:rFonts w:hint="eastAsia" w:ascii="宋体" w:hAnsi="宋体" w:cs="宋体"/>
          <w:bCs/>
          <w:color w:val="auto"/>
          <w:highlight w:val="none"/>
        </w:rPr>
        <w:t xml:space="preserve">6.如在开标时间发生系统崩溃等不可预见的情况，造成开评标活动无法正常进行的，将延迟开评标，具体开评标时间另行通知。</w:t>
      </w:r>
      <w:r/>
    </w:p>
    <w:p>
      <w:pPr>
        <w:ind w:firstLine="420"/>
        <w:keepLines w:val="0"/>
        <w:keepNext w:val="0"/>
        <w:pageBreakBefore w:val="0"/>
        <w:spacing w:line="520" w:lineRule="exact"/>
        <w:tabs>
          <w:tab w:val="left" w:pos="266" w:leader="none"/>
        </w:tabs>
        <w:rPr>
          <w:rFonts w:ascii="宋体" w:hAnsi="宋体" w:cs="宋体"/>
          <w:bCs/>
          <w:color w:val="auto"/>
          <w:highlight w:val="none"/>
        </w:rPr>
      </w:pPr>
      <w:r>
        <w:rPr>
          <w:rFonts w:hint="eastAsia" w:ascii="宋体" w:hAnsi="宋体" w:cs="宋体"/>
          <w:bCs/>
          <w:color w:val="auto"/>
          <w:highlight w:val="none"/>
        </w:rPr>
        <w:t xml:space="preserve">7.为落实好政府采购履约资金扶持政策，中标/成交供应商可凭政府采购合同办理融资贷款，详见江苏政府采购网“政采贷”专栏。</w:t>
      </w:r>
      <w:r/>
    </w:p>
    <w:p>
      <w:pPr>
        <w:ind w:firstLine="420"/>
        <w:keepLines w:val="0"/>
        <w:keepNext w:val="0"/>
        <w:pageBreakBefore w:val="0"/>
        <w:spacing w:line="520" w:lineRule="exact"/>
        <w:tabs>
          <w:tab w:val="left" w:pos="266" w:leader="none"/>
        </w:tabs>
        <w:rPr>
          <w:rFonts w:ascii="宋体" w:hAnsi="宋体" w:cs="宋体"/>
          <w:bCs/>
          <w:color w:val="auto"/>
          <w:highlight w:val="none"/>
        </w:rPr>
      </w:pPr>
      <w:r>
        <w:rPr>
          <w:rFonts w:hint="eastAsia" w:ascii="宋体" w:hAnsi="宋体" w:cs="宋体"/>
          <w:bCs/>
          <w:color w:val="auto"/>
          <w:highlight w:val="none"/>
        </w:rPr>
        <w:t xml:space="preserve">8.本项目严格执行政府采购关于支持节能产品、环境</w:t>
      </w:r>
      <w:r>
        <w:rPr>
          <w:rFonts w:hint="eastAsia" w:ascii="宋体" w:hAnsi="宋体" w:cs="宋体"/>
          <w:bCs/>
          <w:color w:val="auto"/>
          <w:highlight w:val="none"/>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520" w:lineRule="exact"/>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9.供应商对于所投产品的包装应按照“财办库〔2020〕123号《关于印发《商品包装政府采购需求标准（试行）》、《快递包装政府采购需求标准（试行）》的通知》”执行。</w:t>
      </w:r>
      <w:r/>
    </w:p>
    <w:p>
      <w:pPr>
        <w:keepLines w:val="0"/>
        <w:keepNext w:val="0"/>
        <w:pageBreakBefore w:val="0"/>
        <w:spacing w:line="520" w:lineRule="exact"/>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ind w:firstLine="420"/>
        <w:jc w:val="left"/>
        <w:keepLines w:val="0"/>
        <w:keepNext w:val="0"/>
        <w:pageBreakBefore w:val="0"/>
        <w:spacing w:line="520" w:lineRule="exact"/>
        <w:widowControl/>
        <w:rPr>
          <w:rFonts w:ascii="宋体" w:hAnsi="宋体" w:cs="宋体"/>
          <w:color w:val="auto"/>
          <w:szCs w:val="21"/>
          <w:highlight w:val="none"/>
        </w:rPr>
      </w:pPr>
      <w:r>
        <w:rPr>
          <w:rFonts w:hint="eastAsia" w:ascii="宋体" w:hAnsi="宋体" w:cs="宋体"/>
          <w:color w:val="auto"/>
          <w:highlight w:val="none"/>
        </w:rPr>
        <w:t xml:space="preserve">1.采购人信息</w:t>
      </w:r>
      <w:r/>
    </w:p>
    <w:p>
      <w:pPr>
        <w:ind w:firstLine="420"/>
        <w:jc w:val="left"/>
        <w:keepLines w:val="0"/>
        <w:keepNext w:val="0"/>
        <w:pageBreakBefore w:val="0"/>
        <w:spacing w:line="520" w:lineRule="exac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名 称：</w:t>
      </w:r>
      <w:r>
        <w:rPr>
          <w:rFonts w:hint="eastAsia" w:ascii="宋体" w:hAnsi="宋体" w:cs="Times New Roman"/>
          <w:color w:val="auto"/>
          <w:szCs w:val="21"/>
          <w:highlight w:val="none"/>
          <w:lang w:eastAsia="zh-CN"/>
        </w:rPr>
        <w:t xml:space="preserve">扬州市民政局</w:t>
      </w:r>
      <w:r/>
    </w:p>
    <w:p>
      <w:pPr>
        <w:ind w:firstLine="420"/>
        <w:jc w:val="left"/>
        <w:keepLines w:val="0"/>
        <w:keepNext w:val="0"/>
        <w:pageBreakBefore w:val="0"/>
        <w:spacing w:line="520" w:lineRule="exac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地 址：</w:t>
      </w:r>
      <w:r>
        <w:rPr>
          <w:rFonts w:hint="eastAsia" w:ascii="宋体" w:hAnsi="宋体" w:cs="Times New Roman"/>
          <w:color w:val="auto"/>
          <w:szCs w:val="21"/>
          <w:highlight w:val="none"/>
          <w:lang w:val="en-US" w:eastAsia="zh-CN"/>
        </w:rPr>
        <w:t xml:space="preserve"> 扬州市文昌中路460号</w:t>
      </w:r>
      <w:r/>
    </w:p>
    <w:p>
      <w:pPr>
        <w:ind w:firstLine="420"/>
        <w:jc w:val="left"/>
        <w:keepLines w:val="0"/>
        <w:keepNext w:val="0"/>
        <w:pageBreakBefore w:val="0"/>
        <w:spacing w:line="52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eastAsia="zh-CN"/>
        </w:rPr>
        <w:t xml:space="preserve">联系人：</w:t>
      </w:r>
      <w:r>
        <w:rPr>
          <w:rFonts w:hint="eastAsia" w:ascii="宋体" w:hAnsi="宋体" w:cs="Times New Roman"/>
          <w:color w:val="auto"/>
          <w:szCs w:val="21"/>
          <w:highlight w:val="none"/>
          <w:lang w:val="en-US" w:eastAsia="zh-CN"/>
        </w:rPr>
        <w:t xml:space="preserve">李真 </w:t>
      </w:r>
      <w:r/>
    </w:p>
    <w:p>
      <w:pPr>
        <w:ind w:firstLine="420"/>
        <w:jc w:val="left"/>
        <w:keepLines w:val="0"/>
        <w:keepNext w:val="0"/>
        <w:pageBreakBefore w:val="0"/>
        <w:spacing w:line="52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eastAsia="zh-CN"/>
        </w:rPr>
        <w:t xml:space="preserve">联系方式：</w:t>
      </w:r>
      <w:r>
        <w:rPr>
          <w:rFonts w:hint="eastAsia" w:ascii="宋体" w:hAnsi="宋体" w:cs="Times New Roman"/>
          <w:color w:val="auto"/>
          <w:szCs w:val="21"/>
          <w:highlight w:val="none"/>
          <w:lang w:val="en-US" w:eastAsia="zh-CN"/>
        </w:rPr>
        <w:t xml:space="preserve">0514-87340799 </w:t>
      </w:r>
      <w:r/>
    </w:p>
    <w:p>
      <w:pPr>
        <w:numPr>
          <w:ilvl w:val="0"/>
          <w:numId w:val="0"/>
        </w:numPr>
        <w:ind w:firstLine="420"/>
        <w:jc w:val="left"/>
        <w:keepLines w:val="0"/>
        <w:keepNext w:val="0"/>
        <w:pageBreakBefore w:val="0"/>
        <w:spacing w:line="520" w:lineRule="exact"/>
        <w:rPr>
          <w:rFonts w:hint="eastAsia" w:ascii="宋体" w:hAnsi="宋体"/>
          <w:color w:val="auto"/>
          <w:szCs w:val="21"/>
          <w:highlight w:val="none"/>
          <w:lang w:eastAsia="zh-CN"/>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代理机构</w:t>
      </w:r>
      <w:r>
        <w:rPr>
          <w:rFonts w:hint="eastAsia" w:ascii="宋体" w:hAnsi="宋体"/>
          <w:color w:val="auto"/>
          <w:szCs w:val="21"/>
          <w:highlight w:val="none"/>
          <w:lang w:eastAsia="zh-CN"/>
        </w:rPr>
        <w:t xml:space="preserve">信息</w:t>
      </w:r>
      <w:r/>
    </w:p>
    <w:p>
      <w:pPr>
        <w:numPr>
          <w:ilvl w:val="0"/>
          <w:numId w:val="0"/>
        </w:numPr>
        <w:ind w:firstLine="420"/>
        <w:jc w:val="left"/>
        <w:keepLines w:val="0"/>
        <w:keepNext w:val="0"/>
        <w:pageBreakBefore w:val="0"/>
        <w:spacing w:line="520" w:lineRule="exact"/>
        <w:rPr>
          <w:rFonts w:ascii="宋体" w:hAnsi="宋体" w:cs="宋体"/>
          <w:color w:val="auto"/>
          <w:highlight w:val="none"/>
        </w:rPr>
      </w:pPr>
      <w:r>
        <w:rPr>
          <w:rFonts w:hint="eastAsia" w:ascii="宋体" w:hAnsi="宋体" w:cs="宋体"/>
          <w:color w:val="auto"/>
          <w:highlight w:val="none"/>
        </w:rPr>
        <w:t xml:space="preserve">名 称：</w:t>
      </w:r>
      <w:r>
        <w:rPr>
          <w:rFonts w:hint="eastAsia" w:ascii="宋体" w:hAnsi="宋体"/>
          <w:color w:val="auto"/>
          <w:szCs w:val="21"/>
          <w:highlight w:val="none"/>
        </w:rPr>
        <w:t xml:space="preserve">江苏苏维工程管理有限公司</w:t>
      </w:r>
      <w:r/>
    </w:p>
    <w:p>
      <w:pPr>
        <w:ind w:firstLine="420"/>
        <w:keepLines w:val="0"/>
        <w:keepNext w:val="0"/>
        <w:pageBreakBefore w:val="0"/>
        <w:spacing w:line="520" w:lineRule="exact"/>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olor w:val="auto"/>
          <w:szCs w:val="21"/>
          <w:highlight w:val="none"/>
        </w:rPr>
        <w:t xml:space="preserve">扬州市翠岗路48号</w:t>
      </w:r>
      <w:r/>
    </w:p>
    <w:p>
      <w:pPr>
        <w:ind w:firstLine="420"/>
        <w:keepLines w:val="0"/>
        <w:keepNext w:val="0"/>
        <w:pageBreakBefore w:val="0"/>
        <w:spacing w:line="520" w:lineRule="exact"/>
        <w:rPr>
          <w:rFonts w:hint="eastAsia" w:ascii="宋体" w:hAnsi="宋体" w:eastAsia="宋体" w:cs="宋体"/>
          <w:color w:val="auto"/>
          <w:highlight w:val="none"/>
          <w:lang w:eastAsia="zh-CN"/>
        </w:rPr>
      </w:pPr>
      <w:r/>
      <w:bookmarkStart w:id="36" w:name="_Toc28359010"/>
      <w:r/>
      <w:bookmarkStart w:id="37" w:name="_Toc28359087"/>
      <w:r>
        <w:rPr>
          <w:rFonts w:hint="eastAsia" w:ascii="宋体" w:hAnsi="宋体" w:cs="宋体"/>
          <w:color w:val="auto"/>
          <w:highlight w:val="none"/>
        </w:rPr>
        <w:t xml:space="preserve">联系人：</w:t>
      </w:r>
      <w:r>
        <w:rPr>
          <w:rFonts w:hint="eastAsia" w:ascii="宋体" w:hAnsi="宋体"/>
          <w:color w:val="auto"/>
          <w:szCs w:val="21"/>
          <w:highlight w:val="none"/>
          <w:lang w:val="en-US" w:eastAsia="zh-CN"/>
        </w:rPr>
        <w:t xml:space="preserve">孙玉君</w:t>
      </w:r>
      <w:r/>
    </w:p>
    <w:p>
      <w:pPr>
        <w:ind w:firstLine="420"/>
        <w:keepLines w:val="0"/>
        <w:keepNext w:val="0"/>
        <w:pageBreakBefore w:val="0"/>
        <w:spacing w:line="520" w:lineRule="exact"/>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联系方式：</w:t>
      </w:r>
      <w:r>
        <w:rPr>
          <w:rFonts w:ascii="宋体" w:hAnsi="宋体"/>
          <w:color w:val="auto"/>
          <w:szCs w:val="21"/>
          <w:highlight w:val="none"/>
        </w:rPr>
        <w:t xml:space="preserve">0514-</w:t>
      </w:r>
      <w:r>
        <w:rPr>
          <w:rFonts w:hint="eastAsia" w:ascii="宋体" w:hAnsi="宋体"/>
          <w:color w:val="auto"/>
          <w:szCs w:val="21"/>
          <w:highlight w:val="none"/>
          <w:lang w:val="en-US" w:eastAsia="zh-CN"/>
        </w:rPr>
        <w:t xml:space="preserve">82129121</w:t>
      </w:r>
      <w:bookmarkEnd w:id="36"/>
      <w:r/>
      <w:bookmarkEnd w:id="37"/>
      <w:r/>
      <w:r/>
    </w:p>
    <w:p>
      <w:pPr>
        <w:jc w:val="right"/>
        <w:keepLines w:val="0"/>
        <w:keepNext w:val="0"/>
        <w:pageBreakBefore w:val="0"/>
        <w:spacing w:line="520" w:lineRule="exact"/>
        <w:rPr>
          <w:rFonts w:hint="eastAsia" w:ascii="宋体" w:hAnsi="宋体"/>
          <w:color w:val="auto"/>
          <w:szCs w:val="21"/>
          <w:highlight w:val="none"/>
        </w:rPr>
      </w:pPr>
      <w:r>
        <w:rPr>
          <w:rFonts w:hint="eastAsia" w:ascii="宋体" w:hAnsi="宋体"/>
          <w:color w:val="auto"/>
          <w:szCs w:val="21"/>
          <w:highlight w:val="none"/>
        </w:rPr>
        <w:t xml:space="preserve">江苏苏维工程管理有限公司</w:t>
      </w:r>
      <w:r/>
    </w:p>
    <w:p>
      <w:pPr>
        <w:jc w:val="right"/>
        <w:keepLines w:val="0"/>
        <w:keepNext w:val="0"/>
        <w:pageBreakBefore w:val="0"/>
        <w:spacing w:line="520" w:lineRule="exact"/>
        <w:rPr>
          <w:rFonts w:ascii="宋体" w:hAnsi="宋体" w:eastAsia="宋体"/>
          <w:color w:val="auto"/>
          <w:szCs w:val="21"/>
          <w:highlight w:val="none"/>
          <w:lang w:val="en-US" w:eastAsia="zh-CN"/>
        </w:rPr>
        <w:sectPr>
          <w:footerReference w:type="default" r:id="rId13"/>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color w:val="auto"/>
          <w:szCs w:val="21"/>
          <w:highlight w:val="none"/>
        </w:rPr>
        <w:t xml:space="preserve">202</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年</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月</w:t>
      </w:r>
      <w:r>
        <w:rPr>
          <w:rFonts w:hint="eastAsia" w:ascii="宋体" w:hAnsi="宋体"/>
          <w:color w:val="auto"/>
          <w:szCs w:val="21"/>
          <w:highlight w:val="none"/>
          <w:lang w:val="en-US" w:eastAsia="zh-CN"/>
        </w:rPr>
        <w:t xml:space="preserve">7</w:t>
      </w:r>
      <w:bookmarkStart w:id="79" w:name="_GoBack"/>
      <w:r/>
      <w:bookmarkEnd w:id="79"/>
      <w:r>
        <w:rPr>
          <w:rFonts w:hint="eastAsia" w:ascii="宋体" w:hAnsi="宋体"/>
          <w:color w:val="auto"/>
          <w:szCs w:val="21"/>
          <w:highlight w:val="none"/>
        </w:rPr>
        <w:t xml:space="preserve">日</w:t>
      </w:r>
      <w:r>
        <w:rPr>
          <w:rFonts w:hint="eastAsia" w:ascii="宋体" w:hAnsi="宋体"/>
          <w:color w:val="auto"/>
          <w:szCs w:val="21"/>
          <w:highlight w:val="none"/>
          <w:lang w:val="en-US" w:eastAsia="zh-CN"/>
        </w:rPr>
        <w:t xml:space="preserve">   </w:t>
      </w:r>
      <w:r/>
    </w:p>
    <w:p>
      <w:pPr>
        <w:pStyle w:val="746"/>
        <w:rPr>
          <w:color w:val="auto"/>
          <w:highlight w:val="none"/>
        </w:rPr>
      </w:pPr>
      <w:r/>
      <w:bookmarkStart w:id="38" w:name="_Toc55204178"/>
      <w:r/>
      <w:bookmarkStart w:id="39" w:name="_Toc9712"/>
      <w:r>
        <w:rPr>
          <w:rFonts w:hint="eastAsia"/>
          <w:color w:val="auto"/>
          <w:highlight w:val="none"/>
        </w:rPr>
        <w:t xml:space="preserve">第二章 投标人须知</w:t>
      </w:r>
      <w:bookmarkEnd w:id="38"/>
      <w:r/>
      <w:bookmarkEnd w:id="39"/>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1、招标方式</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eastAsia="zh-CN"/>
        </w:rPr>
        <w:t xml:space="preserve">JSZC-321000-SWGC-G2024-0070号</w:t>
      </w:r>
      <w:r>
        <w:rPr>
          <w:rFonts w:hint="eastAsia" w:ascii="宋体" w:hAnsi="宋体"/>
          <w:bCs/>
          <w:color w:val="auto"/>
          <w:szCs w:val="21"/>
          <w:highlight w:val="none"/>
        </w:rPr>
        <w:t xml:space="preserve">项目。</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keepLines w:val="0"/>
        <w:keepNext w:val="0"/>
        <w:pageBreakBefore w:val="0"/>
        <w:spacing w:line="360" w:lineRule="auto"/>
        <w:widowControl w:val="off"/>
        <w:rPr>
          <w:color w:val="auto"/>
          <w:highlight w:val="none"/>
        </w:rPr>
      </w:pPr>
      <w:r>
        <w:rPr>
          <w:color w:val="auto"/>
          <w:highlight w:val="none"/>
        </w:rPr>
        <w:t xml:space="preserve">4.1 投标人应自行承担所有与参加投标有关的费用，无论投标过程中的做法和结果如 何，代理机构在任何情况下均无义务和责任承担这些费用。 </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b/>
          <w:color w:val="auto"/>
          <w:szCs w:val="21"/>
          <w:highlight w:val="none"/>
        </w:rPr>
        <w:t xml:space="preserve">4.2</w:t>
      </w:r>
      <w:r>
        <w:rPr>
          <w:rFonts w:hint="eastAsia" w:ascii="宋体" w:hAnsi="宋体" w:cs="宋体"/>
          <w:b/>
          <w:bCs/>
          <w:color w:val="auto"/>
          <w:szCs w:val="21"/>
          <w:highlight w:val="none"/>
        </w:rPr>
        <w:t xml:space="preserve">本次采购由中标人在领取中标通知书前参照《招标采购代理规范》相关规定服务类标准的七折</w:t>
      </w:r>
      <w:r>
        <w:rPr>
          <w:rFonts w:hint="eastAsia" w:ascii="宋体" w:hAnsi="宋体" w:cs="宋体"/>
          <w:b/>
          <w:bCs/>
          <w:color w:val="auto"/>
          <w:szCs w:val="21"/>
          <w:highlight w:val="none"/>
          <w:lang w:val="en-US" w:eastAsia="zh-CN"/>
        </w:rPr>
        <w:t xml:space="preserve">（不满叁仟元按叁仟元计取）</w:t>
      </w:r>
      <w:r>
        <w:rPr>
          <w:rFonts w:hint="eastAsia" w:ascii="宋体" w:hAnsi="宋体" w:cs="宋体"/>
          <w:b/>
          <w:bCs/>
          <w:color w:val="auto"/>
          <w:szCs w:val="21"/>
          <w:highlight w:val="none"/>
        </w:rPr>
        <w:t xml:space="preserve">一次性支付给招标代理机构代理服务费。</w:t>
      </w:r>
      <w:r>
        <w:rPr>
          <w:rFonts w:hint="eastAsia" w:ascii="宋体" w:hAnsi="宋体" w:cs="宋体"/>
          <w:b/>
          <w:bCs/>
          <w:color w:val="auto"/>
          <w:szCs w:val="21"/>
          <w:highlight w:val="none"/>
        </w:rPr>
        <w:t xml:space="preserve"> </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）代理服务费以人民币支付；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）代理服务费一次性以电汇、转账等非现金形式支付；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）招标代理服务费不在投标报价中单列，包含在投标总价中，由中标单位支付给代理机构。</w:t>
      </w:r>
      <w:r/>
    </w:p>
    <w:p>
      <w:pPr>
        <w:ind w:firstLine="422"/>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招标代理服务费开户银行：中国工商银行扬州雍华府支行</w:t>
      </w:r>
      <w:r>
        <w:rPr>
          <w:rFonts w:hint="eastAsia" w:ascii="宋体" w:hAnsi="宋体" w:cs="宋体"/>
          <w:b/>
          <w:bCs/>
          <w:color w:val="auto"/>
          <w:szCs w:val="21"/>
          <w:highlight w:val="none"/>
        </w:rPr>
        <w:br w:type="textWrapping" w:clear="all"/>
      </w:r>
      <w:r>
        <w:rPr>
          <w:rFonts w:hint="eastAsia" w:ascii="宋体" w:hAnsi="宋体" w:cs="宋体"/>
          <w:b/>
          <w:bCs/>
          <w:color w:val="auto"/>
          <w:szCs w:val="21"/>
          <w:highlight w:val="none"/>
        </w:rPr>
        <w:t xml:space="preserve">    开户名称：江苏苏维工程管理有限公司</w:t>
      </w:r>
      <w:r>
        <w:rPr>
          <w:rFonts w:hint="eastAsia" w:ascii="宋体" w:hAnsi="宋体" w:cs="宋体"/>
          <w:b/>
          <w:bCs/>
          <w:color w:val="auto"/>
          <w:szCs w:val="21"/>
          <w:highlight w:val="none"/>
        </w:rPr>
        <w:br w:type="textWrapping" w:clear="all"/>
      </w:r>
      <w:r>
        <w:rPr>
          <w:rFonts w:hint="eastAsia" w:ascii="宋体" w:hAnsi="宋体" w:cs="宋体"/>
          <w:b/>
          <w:bCs/>
          <w:color w:val="auto"/>
          <w:szCs w:val="21"/>
          <w:highlight w:val="none"/>
        </w:rPr>
        <w:t xml:space="preserve">    开户帐号：1108020819100000612</w:t>
      </w:r>
      <w:r/>
    </w:p>
    <w:p>
      <w:pPr>
        <w:ind w:firstLine="422"/>
        <w:jc w:val="left"/>
        <w:keepLines w:val="0"/>
        <w:keepNext w:val="0"/>
        <w:pageBreakBefore w:val="0"/>
        <w:spacing w:line="360" w:lineRule="auto"/>
        <w:widowControl w:val="off"/>
        <w:rPr>
          <w:rFonts w:hint="eastAsia" w:eastAsia="宋体" w:cs="宋体"/>
          <w:b/>
          <w:bCs/>
          <w:color w:val="auto"/>
          <w:szCs w:val="21"/>
          <w:highlight w:val="none"/>
          <w:lang w:val="en-US" w:eastAsia="zh-CN"/>
        </w:rPr>
      </w:pPr>
      <w:r>
        <w:rPr>
          <w:rFonts w:hint="eastAsia" w:ascii="宋体" w:hAnsi="宋体" w:cs="宋体"/>
          <w:b/>
          <w:bCs/>
          <w:color w:val="auto"/>
          <w:szCs w:val="21"/>
          <w:highlight w:val="none"/>
        </w:rPr>
        <w:t xml:space="preserve">4.3专家评审费按《扬州市财政局关于进一步规范扬州市政府采购专家评审费标准的通知》（扬财购〔2020〕40号）执行。</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8.3招标文件的修改将在</w:t>
      </w:r>
      <w:r>
        <w:rPr>
          <w:rFonts w:hint="eastAsia" w:ascii="宋体" w:hAnsi="宋体"/>
          <w:bCs/>
          <w:color w:val="auto"/>
          <w:szCs w:val="21"/>
          <w:highlight w:val="none"/>
          <w:lang w:eastAsia="zh-CN"/>
        </w:rPr>
        <w:t xml:space="preserve">“扬州市政府采购网”、“江苏省政府采购网”、“中国政府采购网”</w:t>
      </w:r>
      <w:r>
        <w:rPr>
          <w:rFonts w:hint="eastAsia" w:ascii="宋体" w:hAnsi="宋体"/>
          <w:bCs/>
          <w:color w:val="auto"/>
          <w:szCs w:val="21"/>
          <w:highlight w:val="none"/>
        </w:rPr>
        <w:t xml:space="preserve">公布，补充文件将作为招标文件的组成部分，并对投标人具有约束力。</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left="420"/>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12、</w:t>
      </w:r>
      <w:r>
        <w:rPr>
          <w:rFonts w:hint="eastAsia"/>
          <w:b/>
          <w:bCs/>
          <w:color w:val="auto"/>
          <w:highlight w:val="none"/>
        </w:rPr>
        <w:t xml:space="preserve">分项报价表</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12.3其它费用处理</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招标文件未列明，而投标人认为必需的费用也需列入报价。</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12.4投标货币</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投标文件中的服务单价和总价无特殊规定的采用人民币报价，以元为单位标注。招标文件中另有规定的按规定执行。</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ascii="宋体" w:hAnsi="宋体"/>
          <w:b/>
          <w:color w:val="auto"/>
          <w:szCs w:val="21"/>
          <w:highlight w:val="none"/>
        </w:rPr>
      </w:pPr>
      <w:r/>
      <w:bookmarkStart w:id="40" w:name="_Toc20823297"/>
      <w:r/>
      <w:bookmarkStart w:id="41" w:name="_Toc513029225"/>
      <w:r/>
      <w:bookmarkStart w:id="42" w:name="_Toc16938541"/>
      <w:r/>
      <w:bookmarkStart w:id="43" w:name="_Toc462564084"/>
      <w:r>
        <w:rPr>
          <w:rFonts w:hint="eastAsia" w:ascii="宋体" w:hAnsi="宋体"/>
          <w:b/>
          <w:color w:val="auto"/>
          <w:szCs w:val="21"/>
          <w:highlight w:val="none"/>
        </w:rPr>
        <w:t xml:space="preserve">17、投标文件</w:t>
      </w:r>
      <w:bookmarkEnd w:id="40"/>
      <w:r/>
      <w:bookmarkEnd w:id="41"/>
      <w:r/>
      <w:bookmarkEnd w:id="42"/>
      <w:r/>
      <w:bookmarkEnd w:id="43"/>
      <w:r>
        <w:rPr>
          <w:rFonts w:hint="eastAsia" w:ascii="宋体" w:hAnsi="宋体"/>
          <w:b/>
          <w:color w:val="auto"/>
          <w:szCs w:val="21"/>
          <w:highlight w:val="none"/>
        </w:rPr>
        <w:t xml:space="preserve">的递交</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44" w:name="_Toc20823298"/>
      <w:r/>
      <w:bookmarkStart w:id="45" w:name="_Toc513029226"/>
      <w:r/>
      <w:bookmarkStart w:id="46" w:name="_Toc16938542"/>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keepLines w:val="0"/>
        <w:keepNext w:val="0"/>
        <w:pageBreakBefore w:val="0"/>
        <w:spacing w:line="360" w:lineRule="auto"/>
        <w:widowControl w:val="off"/>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18、投标截止日期</w:t>
      </w:r>
      <w:bookmarkEnd w:id="44"/>
      <w:r/>
      <w:bookmarkEnd w:id="45"/>
      <w:r/>
      <w:bookmarkEnd w:id="46"/>
      <w:r/>
      <w:r/>
    </w:p>
    <w:p>
      <w:pPr>
        <w:ind w:firstLine="420"/>
        <w:keepLines w:val="0"/>
        <w:keepNext w:val="0"/>
        <w:pageBreakBefore w:val="0"/>
        <w:spacing w:line="360" w:lineRule="auto"/>
        <w:widowControl w:val="off"/>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60" w:lineRule="auto"/>
        <w:widowControl w:val="off"/>
        <w:rPr>
          <w:rFonts w:ascii="宋体" w:hAnsi="宋体"/>
          <w:b/>
          <w:color w:val="auto"/>
          <w:szCs w:val="21"/>
          <w:highlight w:val="none"/>
        </w:rPr>
      </w:pPr>
      <w:r/>
      <w:bookmarkStart w:id="47" w:name="_Toc513029227"/>
      <w:r/>
      <w:bookmarkStart w:id="48" w:name="_Toc16938543"/>
      <w:r/>
      <w:bookmarkStart w:id="49" w:name="_Toc20823299"/>
      <w:r>
        <w:rPr>
          <w:rFonts w:hint="eastAsia" w:ascii="宋体" w:hAnsi="宋体"/>
          <w:b/>
          <w:color w:val="auto"/>
          <w:szCs w:val="21"/>
          <w:highlight w:val="none"/>
        </w:rPr>
        <w:t xml:space="preserve">19、投标文件</w:t>
      </w:r>
      <w:bookmarkEnd w:id="47"/>
      <w:r/>
      <w:bookmarkEnd w:id="48"/>
      <w:r/>
      <w:bookmarkEnd w:id="49"/>
      <w:r>
        <w:rPr>
          <w:rFonts w:hint="eastAsia" w:ascii="宋体" w:hAnsi="宋体"/>
          <w:b/>
          <w:color w:val="auto"/>
          <w:szCs w:val="21"/>
          <w:highlight w:val="none"/>
        </w:rPr>
        <w:t xml:space="preserve">的拒收</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keepLines w:val="0"/>
        <w:keepNext w:val="0"/>
        <w:pageBreakBefore w:val="0"/>
        <w:spacing w:line="360" w:lineRule="auto"/>
        <w:widowControl w:val="off"/>
        <w:rPr>
          <w:rFonts w:ascii="宋体" w:hAnsi="宋体"/>
          <w:b/>
          <w:color w:val="auto"/>
          <w:szCs w:val="21"/>
          <w:highlight w:val="none"/>
        </w:rPr>
      </w:pPr>
      <w:r/>
      <w:bookmarkStart w:id="50" w:name="_Toc513029228"/>
      <w:r/>
      <w:bookmarkStart w:id="51" w:name="_Toc16938544"/>
      <w:r/>
      <w:bookmarkStart w:id="52" w:name="_Toc20823300"/>
      <w:r>
        <w:rPr>
          <w:rFonts w:hint="eastAsia" w:ascii="宋体" w:hAnsi="宋体"/>
          <w:b/>
          <w:color w:val="auto"/>
          <w:szCs w:val="21"/>
          <w:highlight w:val="none"/>
        </w:rPr>
        <w:t xml:space="preserve">20、投标文件的撤回和修改</w:t>
      </w:r>
      <w:bookmarkEnd w:id="50"/>
      <w:r/>
      <w:bookmarkEnd w:id="51"/>
      <w:r/>
      <w:bookmarkEnd w:id="52"/>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 xml:space="preserve">21.3开标仪式由代理机构主持。“政府采购管理交易系统（苏采云）”将自动对项目进行开标，并宣读各投标人的《开标一览表》。</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22、评标委员会</w:t>
      </w:r>
      <w:r/>
    </w:p>
    <w:p>
      <w:pPr>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25.7 投标人在开、评标全过程中应保持通讯畅通，并安排专人与代理机构及评委会联系。</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26.2废标条款：</w:t>
      </w:r>
      <w:r/>
    </w:p>
    <w:p>
      <w:pPr>
        <w:ind w:left="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26.2.1符合专业条件的供应商或者对招标文件作实质响应的供应商不足三家的。26.2.2出现影响采购公正的违法、违规行为的。</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27.3代理机构将在</w:t>
      </w:r>
      <w:r>
        <w:rPr>
          <w:rFonts w:hint="eastAsia" w:ascii="宋体" w:hAnsi="宋体"/>
          <w:bCs/>
          <w:color w:val="auto"/>
          <w:szCs w:val="21"/>
          <w:highlight w:val="none"/>
          <w:lang w:eastAsia="zh-CN"/>
        </w:rPr>
        <w:t xml:space="preserve">“扬州市政府采购网”、“江苏省政府采购网”、“中国政府采购网”</w:t>
      </w:r>
      <w:r>
        <w:rPr>
          <w:rFonts w:hint="eastAsia" w:ascii="宋体" w:hAnsi="宋体"/>
          <w:bCs/>
          <w:color w:val="auto"/>
          <w:szCs w:val="21"/>
          <w:highlight w:val="none"/>
        </w:rPr>
        <w:t xml:space="preserve">发布中标公告，公告期限为1个工作日。</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bCs/>
          <w:color w:val="auto"/>
          <w:szCs w:val="21"/>
          <w:highlight w:val="none"/>
        </w:rPr>
        <w:br w:type="textWrapping" w:clear="all"/>
      </w:r>
      <w:r>
        <w:rPr>
          <w:rFonts w:hint="eastAsia" w:ascii="宋体" w:hAnsi="宋体"/>
          <w:bCs/>
          <w:color w:val="auto"/>
          <w:szCs w:val="21"/>
          <w:highlight w:val="none"/>
        </w:rPr>
        <w:t xml:space="preserve">    28.2.2对采购过程提出质疑的，为各采购程序环节结束之日起7个工作日内提出。</w:t>
      </w:r>
      <w:r>
        <w:rPr>
          <w:rFonts w:hint="eastAsia" w:ascii="宋体" w:hAnsi="宋体"/>
          <w:bCs/>
          <w:color w:val="auto"/>
          <w:szCs w:val="21"/>
          <w:highlight w:val="none"/>
        </w:rPr>
        <w:br w:type="textWrapping" w:clear="all"/>
      </w:r>
      <w:r>
        <w:rPr>
          <w:rFonts w:hint="eastAsia" w:ascii="宋体" w:hAnsi="宋体"/>
          <w:bCs/>
          <w:color w:val="auto"/>
          <w:szCs w:val="21"/>
          <w:highlight w:val="none"/>
        </w:rPr>
        <w:t xml:space="preserve">    28.2.3对中标结果提出质疑的，为中标结果公告期限届满之日起7个工作日内提出。</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rPr>
          <w:rFonts w:hint="eastAsia" w:ascii="宋体" w:hAnsi="宋体"/>
          <w:b/>
          <w:color w:val="auto"/>
          <w:szCs w:val="21"/>
          <w:highlight w:val="none"/>
          <w:u w:val="single"/>
        </w:rPr>
        <w:t xml:space="preserve">同时需与采购代理机构经办人确认是否收到《质疑函》，如供应商未按上述要求去做，将自行承担所产生的风险。</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w:t>
      </w:r>
      <w:r>
        <w:rPr>
          <w:rFonts w:hint="eastAsia"/>
          <w:color w:val="auto"/>
          <w:highlight w:val="none"/>
          <w:lang w:val="en-US" w:eastAsia="zh-CN"/>
        </w:rPr>
        <w:t xml:space="preserve">三十</w:t>
      </w:r>
      <w:r>
        <w:rPr>
          <w:rFonts w:hint="eastAsia" w:ascii="宋体" w:hAnsi="宋体"/>
          <w:bCs/>
          <w:color w:val="auto"/>
          <w:szCs w:val="21"/>
          <w:highlight w:val="none"/>
        </w:rPr>
        <w:t xml:space="preserve">日内，按照招标文件确定的事项与采购人签订政府采购合同。</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。未经采购人同意，中标人也不得采用分包的形式履行合同，否则采购人有权终止合同，中标人的履约保证金</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如有</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将不予退还。转包或分包造成采购人损失的，中标人应承担赔偿责任。</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keepLines w:val="0"/>
        <w:keepNext w:val="0"/>
        <w:pageBreakBefore w:val="0"/>
        <w:spacing w:line="360" w:lineRule="auto"/>
        <w:widowControl w:val="off"/>
        <w:rPr>
          <w:rFonts w:ascii="宋体" w:hAnsi="宋体"/>
          <w:bCs/>
          <w:color w:val="auto"/>
          <w:szCs w:val="21"/>
          <w:highlight w:val="none"/>
        </w:rPr>
      </w:pPr>
      <w:r>
        <w:rPr>
          <w:b/>
          <w:bCs/>
          <w:color w:val="auto"/>
          <w:highlight w:val="none"/>
        </w:rPr>
        <w:t xml:space="preserve">3</w:t>
      </w:r>
      <w:r>
        <w:rPr>
          <w:rFonts w:hint="eastAsia"/>
          <w:b/>
          <w:bCs/>
          <w:color w:val="auto"/>
          <w:highlight w:val="none"/>
        </w:rPr>
        <w:t xml:space="preserve">1其他</w:t>
      </w:r>
      <w:r>
        <w:rPr>
          <w:color w:val="auto"/>
          <w:highlight w:val="none"/>
        </w:rPr>
        <w:br w:type="textWrapping" w:clear="all"/>
      </w:r>
      <w:r>
        <w:rPr>
          <w:color w:val="auto"/>
          <w:highlight w:val="none"/>
        </w:rPr>
        <w:t xml:space="preserve">    3</w:t>
      </w:r>
      <w:r>
        <w:rPr>
          <w:rFonts w:hint="eastAsia"/>
          <w:color w:val="auto"/>
          <w:highlight w:val="none"/>
        </w:rPr>
        <w:t xml:space="preserve">1</w:t>
      </w:r>
      <w:r>
        <w:rPr>
          <w:color w:val="auto"/>
          <w:highlight w:val="none"/>
        </w:rPr>
        <w:t xml:space="preserve">.1 </w:t>
      </w:r>
      <w:r>
        <w:rPr>
          <w:rFonts w:hint="eastAsia"/>
          <w:color w:val="auto"/>
          <w:highlight w:val="none"/>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color w:val="auto"/>
          <w:highlight w:val="none"/>
        </w:rPr>
      </w:pPr>
      <w:r>
        <w:rPr>
          <w:rFonts w:hint="eastAsia" w:ascii="宋体" w:hAnsi="宋体"/>
          <w:bCs/>
          <w:color w:val="auto"/>
          <w:szCs w:val="21"/>
          <w:highlight w:val="none"/>
        </w:rPr>
        <w:br w:type="page" w:clear="all"/>
      </w:r>
      <w:r/>
    </w:p>
    <w:p>
      <w:pPr>
        <w:pStyle w:val="746"/>
        <w:rPr>
          <w:color w:val="auto"/>
          <w:highlight w:val="none"/>
        </w:rPr>
      </w:pPr>
      <w:r/>
      <w:bookmarkStart w:id="53" w:name="_Toc55204179"/>
      <w:r/>
      <w:bookmarkStart w:id="54" w:name="_Toc32699"/>
      <w:r/>
      <w:bookmarkStart w:id="55" w:name="_Hlk69392822"/>
      <w:r>
        <w:rPr>
          <w:rFonts w:hint="eastAsia"/>
          <w:color w:val="auto"/>
          <w:highlight w:val="none"/>
        </w:rPr>
        <w:t xml:space="preserve">第三章 合同条款及格式</w:t>
      </w:r>
      <w:bookmarkEnd w:id="53"/>
      <w:r/>
      <w:bookmarkEnd w:id="54"/>
      <w:r/>
      <w:r/>
    </w:p>
    <w:p>
      <w:pPr>
        <w:pStyle w:val="945"/>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945"/>
        <w:ind w:firstLine="422"/>
        <w:jc w:val="center"/>
        <w:spacing w:before="120" w:after="120" w:line="360" w:lineRule="auto"/>
        <w:rPr>
          <w:rFonts w:hAnsi="宋体"/>
          <w:b/>
          <w:bCs/>
          <w:color w:val="auto"/>
          <w:sz w:val="21"/>
          <w:highlight w:val="none"/>
        </w:rPr>
      </w:pPr>
      <w:r>
        <w:rPr>
          <w:rFonts w:hint="eastAsia" w:hAnsi="宋体"/>
          <w:b/>
          <w:bCs/>
          <w:color w:val="auto"/>
          <w:sz w:val="21"/>
          <w:highlight w:val="none"/>
        </w:rPr>
        <w:t xml:space="preserve">扬州市政府采购合同（服务)（合同编号）</w:t>
      </w:r>
      <w:r/>
    </w:p>
    <w:p>
      <w:pPr>
        <w:pStyle w:val="945"/>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项目名称：</w:t>
      </w:r>
      <w:r>
        <w:rPr>
          <w:rFonts w:hint="eastAsia" w:hAnsi="宋体"/>
          <w:color w:val="auto"/>
          <w:sz w:val="21"/>
          <w:highlight w:val="none"/>
          <w:lang w:eastAsia="zh-CN"/>
        </w:rPr>
        <w:t xml:space="preserve">扬州市民政局扬州市区养老设施布局规划项目</w:t>
      </w:r>
      <w:r>
        <w:rPr>
          <w:rFonts w:hint="eastAsia" w:hAnsi="宋体"/>
          <w:color w:val="auto"/>
          <w:sz w:val="21"/>
          <w:highlight w:val="none"/>
        </w:rPr>
        <w:t xml:space="preserve">               </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JSZC-321000-SWGC-G2024-0070</w:t>
      </w:r>
      <w:r>
        <w:rPr>
          <w:rFonts w:hint="eastAsia" w:ascii="宋体" w:hAnsi="宋体" w:eastAsia="宋体" w:cs="宋体"/>
          <w:color w:val="auto"/>
          <w:sz w:val="21"/>
          <w:szCs w:val="21"/>
          <w:highlight w:val="none"/>
          <w:lang w:eastAsia="zh-CN"/>
        </w:rPr>
        <w:t xml:space="preserve">号</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甲方：（买方）</w:t>
      </w:r>
      <w:r>
        <w:rPr>
          <w:rFonts w:hint="eastAsia" w:hAnsi="宋体" w:cs="宋体"/>
          <w:color w:val="auto"/>
          <w:sz w:val="21"/>
          <w:szCs w:val="21"/>
          <w:highlight w:val="none"/>
          <w:lang w:eastAsia="zh-CN"/>
        </w:rPr>
        <w:t xml:space="preserve">扬州市民政局</w:t>
      </w:r>
      <w:r/>
    </w:p>
    <w:p>
      <w:pPr>
        <w:pStyle w:val="945"/>
        <w:ind w:firstLine="420"/>
        <w:keepLines w:val="0"/>
        <w:keepNext w:val="0"/>
        <w:pageBreakBefore w:val="0"/>
        <w:spacing w:before="120" w:after="120" w:line="360" w:lineRule="auto"/>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乙方：（卖方）</w:t>
      </w:r>
      <w:r>
        <w:rPr>
          <w:rFonts w:hint="eastAsia" w:hAnsi="宋体" w:cs="宋体"/>
          <w:color w:val="auto"/>
          <w:sz w:val="21"/>
          <w:szCs w:val="21"/>
          <w:highlight w:val="none"/>
          <w:u w:val="single"/>
          <w:lang w:val="en-US" w:eastAsia="zh-CN"/>
        </w:rPr>
        <w:t xml:space="preserve">              </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见证方：</w:t>
      </w:r>
      <w:r>
        <w:rPr>
          <w:rFonts w:hint="eastAsia" w:ascii="宋体" w:hAnsi="宋体" w:eastAsia="宋体" w:cs="宋体"/>
          <w:color w:val="auto"/>
          <w:sz w:val="21"/>
          <w:szCs w:val="21"/>
          <w:highlight w:val="none"/>
          <w:lang w:eastAsia="zh-CN"/>
        </w:rPr>
        <w:t xml:space="preserve">江苏苏维工程管理有限公司</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lang w:eastAsia="zh-CN"/>
        </w:rPr>
        <w:t xml:space="preserve">江苏苏维工程管理有限公司</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项目公开招标的结果，签署本合同。</w:t>
      </w:r>
      <w:r/>
    </w:p>
    <w:p>
      <w:pPr>
        <w:pStyle w:val="945"/>
        <w:ind w:firstLine="422"/>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一、服务及货物</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服务及货物名称：</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型号规格：</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数量（单位）</w:t>
      </w:r>
      <w:r/>
    </w:p>
    <w:p>
      <w:pPr>
        <w:pStyle w:val="945"/>
        <w:ind w:firstLine="422"/>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二、合同金额</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本合同金额为（大写）：__________________圆（_______________元）人民币。</w:t>
      </w:r>
      <w:r/>
    </w:p>
    <w:p>
      <w:pPr>
        <w:pStyle w:val="945"/>
        <w:ind w:firstLine="422"/>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三、技术资料</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3.1乙方应按招标文件规定的时间向甲方提供使用货物及服务的有关技术资料。</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5"/>
        <w:ind w:firstLine="422"/>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四、知识产权</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45"/>
        <w:ind w:firstLine="422"/>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五、产权担保</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乙方保证所交付的货物及服务的所有权完全属于乙方且无任何抵押、查封等产权瑕疵。</w:t>
      </w:r>
      <w:r/>
    </w:p>
    <w:p>
      <w:pPr>
        <w:pStyle w:val="945"/>
        <w:ind w:firstLine="422"/>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六、履约保证金</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 履约保证金收取：无</w:t>
      </w:r>
      <w:r/>
    </w:p>
    <w:p>
      <w:pPr>
        <w:pStyle w:val="945"/>
        <w:ind w:firstLine="422"/>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七、转包或分包</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7.1本合同范围的货物及服务，应由乙方直接供应，不得转让他人供应；</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除非得到甲方的书面同意，乙方不得部分分包给他人供应。</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7.3如有转让和未经甲方同意的分包行为，甲方有权给予终止合同。</w:t>
      </w:r>
      <w:r/>
    </w:p>
    <w:p>
      <w:pPr>
        <w:pStyle w:val="945"/>
        <w:ind w:left="315" w:firstLine="105"/>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八、服务期</w:t>
      </w:r>
      <w:r/>
    </w:p>
    <w:p>
      <w:pPr>
        <w:pStyle w:val="945"/>
        <w:ind w:firstLine="400"/>
        <w:keepLines w:val="0"/>
        <w:keepNext w:val="0"/>
        <w:pageBreakBefore w:val="0"/>
        <w:spacing w:before="120" w:after="120" w:line="360" w:lineRule="auto"/>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8.1 </w:t>
      </w:r>
      <w:r>
        <w:rPr>
          <w:rFonts w:hint="eastAsia" w:ascii="宋体" w:hAnsi="宋体" w:eastAsia="宋体" w:cs="宋体"/>
          <w:color w:val="auto"/>
          <w:sz w:val="21"/>
          <w:szCs w:val="21"/>
          <w:highlight w:val="none"/>
          <w:lang w:val="en-US" w:eastAsia="zh-CN"/>
        </w:rPr>
        <w:t xml:space="preserve">服务期：</w:t>
      </w:r>
      <w:r>
        <w:rPr>
          <w:rFonts w:hint="eastAsia" w:hAnsi="宋体" w:cs="宋体"/>
          <w:color w:val="auto"/>
          <w:sz w:val="21"/>
          <w:szCs w:val="21"/>
          <w:highlight w:val="none"/>
          <w:u w:val="single"/>
          <w:lang w:val="en-US" w:eastAsia="zh-CN"/>
        </w:rPr>
        <w:t xml:space="preserve">               </w:t>
      </w:r>
      <w:r/>
    </w:p>
    <w:p>
      <w:pPr>
        <w:pStyle w:val="945"/>
        <w:ind w:firstLine="422"/>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九、交付期、交付方式及交付地点</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9.1 交付期：</w:t>
      </w:r>
      <w:r>
        <w:rPr>
          <w:rFonts w:hint="eastAsia" w:ascii="宋体" w:hAnsi="宋体" w:eastAsia="宋体" w:cs="宋体"/>
          <w:color w:val="auto"/>
          <w:sz w:val="21"/>
          <w:szCs w:val="21"/>
          <w:highlight w:val="none"/>
          <w:u w:val="single"/>
          <w:lang w:val="en-US" w:eastAsia="zh-CN"/>
        </w:rPr>
        <w:t xml:space="preserve">   </w:t>
      </w:r>
      <w:r>
        <w:rPr>
          <w:rFonts w:hint="eastAsia"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lang w:val="en-US" w:eastAsia="zh-CN"/>
        </w:rPr>
        <w:t xml:space="preserve">          </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9.2 交付方式：</w:t>
      </w:r>
      <w:r>
        <w:rPr>
          <w:rFonts w:hint="eastAsia" w:ascii="宋体" w:hAnsi="宋体" w:eastAsia="宋体" w:cs="宋体"/>
          <w:color w:val="auto"/>
          <w:sz w:val="21"/>
          <w:szCs w:val="21"/>
          <w:highlight w:val="none"/>
          <w:u w:val="single"/>
          <w:lang w:val="en-US" w:eastAsia="zh-CN"/>
        </w:rPr>
        <w:t xml:space="preserve">甲方指定方式</w:t>
      </w:r>
      <w:r>
        <w:rPr>
          <w:rFonts w:hint="eastAsia" w:ascii="宋体" w:hAnsi="宋体" w:eastAsia="宋体" w:cs="宋体"/>
          <w:color w:val="auto"/>
          <w:sz w:val="21"/>
          <w:szCs w:val="21"/>
          <w:highlight w:val="none"/>
          <w:lang w:val="en-US" w:eastAsia="zh-CN"/>
        </w:rPr>
        <w:t xml:space="preserve"> </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9.3 交付地点：</w:t>
      </w:r>
      <w:r>
        <w:rPr>
          <w:rFonts w:hint="eastAsia" w:ascii="宋体" w:hAnsi="宋体" w:eastAsia="宋体" w:cs="宋体"/>
          <w:color w:val="auto"/>
          <w:sz w:val="21"/>
          <w:szCs w:val="21"/>
          <w:highlight w:val="none"/>
          <w:u w:val="single"/>
          <w:lang w:val="en-US" w:eastAsia="zh-CN"/>
        </w:rPr>
        <w:t xml:space="preserve">甲方指定地点</w:t>
      </w:r>
      <w:r/>
    </w:p>
    <w:p>
      <w:pPr>
        <w:pStyle w:val="945"/>
        <w:ind w:firstLine="422"/>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十、货款支付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本合同项下所有款项均以人民币支付。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本合同项下的采购资金由甲方支付，付款前乙方向甲方开具发票。</w:t>
      </w:r>
      <w:r/>
    </w:p>
    <w:p>
      <w:pPr>
        <w:pStyle w:val="945"/>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10.3 付款方式：</w:t>
      </w:r>
      <w:r>
        <w:rPr>
          <w:rFonts w:hint="eastAsia" w:ascii="宋体" w:hAnsi="宋体" w:eastAsia="宋体" w:cs="宋体"/>
          <w:color w:val="auto"/>
          <w:sz w:val="21"/>
          <w:szCs w:val="21"/>
          <w:highlight w:val="none"/>
          <w:u w:val="single"/>
          <w:lang w:val="en-US" w:eastAsia="zh-CN" w:bidi="ar-SA"/>
        </w:rPr>
        <w:t xml:space="preserve">合同签订，乙方向甲方开具发票，甲方自收到发票后</w:t>
      </w:r>
      <w:r>
        <w:rPr>
          <w:rFonts w:hint="eastAsia" w:hAnsi="宋体" w:cs="宋体"/>
          <w:color w:val="auto"/>
          <w:sz w:val="21"/>
          <w:szCs w:val="21"/>
          <w:highlight w:val="none"/>
          <w:u w:val="single"/>
          <w:lang w:val="en-US" w:eastAsia="zh-CN" w:bidi="ar-SA"/>
        </w:rPr>
        <w:t xml:space="preserve">10个工作日</w:t>
      </w:r>
      <w:r>
        <w:rPr>
          <w:rFonts w:hint="eastAsia" w:ascii="宋体" w:hAnsi="宋体" w:eastAsia="宋体" w:cs="宋体"/>
          <w:color w:val="auto"/>
          <w:sz w:val="21"/>
          <w:szCs w:val="21"/>
          <w:highlight w:val="none"/>
          <w:u w:val="single"/>
          <w:lang w:val="en-US" w:eastAsia="zh-CN" w:bidi="ar-SA"/>
        </w:rPr>
        <w:t xml:space="preserve">内，付至合同价的30%；提交成果并通过验收后乙方向甲方开具发票，甲方自收到发票后</w:t>
      </w:r>
      <w:r>
        <w:rPr>
          <w:rFonts w:hint="eastAsia" w:hAnsi="宋体" w:cs="宋体"/>
          <w:color w:val="auto"/>
          <w:sz w:val="21"/>
          <w:szCs w:val="21"/>
          <w:highlight w:val="none"/>
          <w:u w:val="single"/>
          <w:lang w:val="en-US" w:eastAsia="zh-CN" w:bidi="ar-SA"/>
        </w:rPr>
        <w:t xml:space="preserve">10个工作日</w:t>
      </w:r>
      <w:r>
        <w:rPr>
          <w:rFonts w:hint="eastAsia" w:ascii="宋体" w:hAnsi="宋体" w:eastAsia="宋体" w:cs="宋体"/>
          <w:color w:val="auto"/>
          <w:sz w:val="21"/>
          <w:szCs w:val="21"/>
          <w:highlight w:val="none"/>
          <w:u w:val="single"/>
          <w:lang w:val="en-US" w:eastAsia="zh-CN" w:bidi="ar-SA"/>
        </w:rPr>
        <w:t xml:space="preserve">内付清余款。</w:t>
      </w:r>
      <w:r/>
    </w:p>
    <w:p>
      <w:pPr>
        <w:pStyle w:val="945"/>
        <w:ind w:firstLine="422"/>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十一、税费</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11.1本合同执行中相关的一切税费均由乙方负担。</w:t>
      </w:r>
      <w:r/>
    </w:p>
    <w:p>
      <w:pPr>
        <w:pStyle w:val="945"/>
        <w:ind w:firstLine="422"/>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十二、质量保证及售后服务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乙方应按招标文件规定及响应文件承诺的技术性能、技术要求、质量标准向甲方提供服务；若无特殊说明，则按国家有关部门最新颁布的标准及规范为准。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12.2乙方应保证其提供的服务是全面和规范的，并完全符合招投标文件。如因乙方提供的服务有瑕疵造成甲方损失的，所需费用由乙方承担。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如在使用过程中发生质量问题，乙方在接到甲方通知后在___小时内到达甲方现场。</w:t>
      </w:r>
      <w:r/>
    </w:p>
    <w:p>
      <w:pPr>
        <w:pStyle w:val="945"/>
        <w:ind w:firstLine="422"/>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十三、</w:t>
      </w:r>
      <w:r>
        <w:rPr>
          <w:rFonts w:hint="eastAsia" w:ascii="宋体" w:hAnsi="宋体" w:eastAsia="宋体" w:cs="宋体"/>
          <w:b/>
          <w:bCs/>
          <w:color w:val="auto"/>
          <w:sz w:val="21"/>
          <w:szCs w:val="21"/>
          <w:highlight w:val="none"/>
          <w:lang w:eastAsia="zh-CN"/>
        </w:rPr>
        <w:t xml:space="preserve">交付</w:t>
      </w:r>
      <w:r>
        <w:rPr>
          <w:rFonts w:hint="eastAsia" w:ascii="宋体" w:hAnsi="宋体" w:eastAsia="宋体" w:cs="宋体"/>
          <w:b/>
          <w:bCs/>
          <w:color w:val="auto"/>
          <w:sz w:val="21"/>
          <w:szCs w:val="21"/>
          <w:highlight w:val="none"/>
        </w:rPr>
        <w:t xml:space="preserve">和验收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乙方应当在合同签订后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天内完成服务事项，招标文件有约定的，从其约定。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在交付前，乙方应作出全面检查和对验收文件进行整理，并列出清单，作为甲方初验收和使用的技术条件依据，检验的结果交甲方。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验收标准：按乙方投标文件的承诺，并不低于国家相关标准。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对于乙方要交付的服务，甲乙双方须在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工作日内初验收，甲方对乙方提交的服务依据招标文件上的技术要求和国家有关质量标准进行现场初步验收，符合招标文件技术要求的，给予签收，初步验收不合格的不予签收。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甲乙双方关于</w:t>
      </w:r>
      <w:r>
        <w:rPr>
          <w:rFonts w:hint="eastAsia" w:ascii="宋体" w:hAnsi="宋体" w:eastAsia="宋体" w:cs="宋体"/>
          <w:color w:val="auto"/>
          <w:sz w:val="21"/>
          <w:szCs w:val="21"/>
          <w:highlight w:val="none"/>
          <w:lang w:eastAsia="zh-CN"/>
        </w:rPr>
        <w:t xml:space="preserve">交付</w:t>
      </w:r>
      <w:r>
        <w:rPr>
          <w:rFonts w:hint="eastAsia" w:ascii="宋体" w:hAnsi="宋体" w:eastAsia="宋体" w:cs="宋体"/>
          <w:color w:val="auto"/>
          <w:sz w:val="21"/>
          <w:szCs w:val="21"/>
          <w:highlight w:val="none"/>
        </w:rPr>
        <w:t xml:space="preserve">和验收的其他约定：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45"/>
        <w:ind w:firstLine="422"/>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十四</w:t>
      </w:r>
      <w:r>
        <w:rPr>
          <w:rFonts w:hint="eastAsia" w:ascii="宋体" w:hAnsi="宋体" w:eastAsia="宋体" w:cs="宋体"/>
          <w:b/>
          <w:bCs/>
          <w:color w:val="auto"/>
          <w:sz w:val="21"/>
          <w:szCs w:val="21"/>
          <w:highlight w:val="none"/>
        </w:rPr>
        <w:t xml:space="preserve">、违约责任</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甲方无正当理由拒收服务的，甲方向乙方偿付拒收款项总值的百分之五违约金。</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 甲方无故逾期验收和办理款项支付手续的,甲方应按逾期付款总额每日万分之五向乙方支付违约金。</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.4 乙方所交的服务数量、质量不符合合同规定及招标文件规定标准的，甲方有权拒收该服务，乙方愿意更换服务但逾期交付的，按乙方逾期交付处理。乙方拒绝更换服务的，甲方可单方面解除合同。</w:t>
      </w:r>
      <w:r/>
    </w:p>
    <w:p>
      <w:pPr>
        <w:pStyle w:val="945"/>
        <w:ind w:firstLine="422"/>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w:t>
      </w:r>
      <w:r>
        <w:rPr>
          <w:rFonts w:hint="eastAsia" w:ascii="宋体" w:hAnsi="宋体" w:eastAsia="宋体" w:cs="宋体"/>
          <w:b/>
          <w:bCs/>
          <w:color w:val="auto"/>
          <w:sz w:val="21"/>
          <w:szCs w:val="21"/>
          <w:highlight w:val="none"/>
          <w:lang w:eastAsia="zh-CN"/>
        </w:rPr>
        <w:t xml:space="preserve">五</w:t>
      </w:r>
      <w:r>
        <w:rPr>
          <w:rFonts w:hint="eastAsia" w:ascii="宋体" w:hAnsi="宋体" w:eastAsia="宋体" w:cs="宋体"/>
          <w:b/>
          <w:bCs/>
          <w:color w:val="auto"/>
          <w:sz w:val="21"/>
          <w:szCs w:val="21"/>
          <w:highlight w:val="none"/>
        </w:rPr>
        <w:t xml:space="preserve">、不可抗力事件处理</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 在合同有效期内，任何一方因不可抗力事件导致不能履行合同，则合同履行期可延长，其延长期与不可抗力影响期相同。</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.2 不可抗力事件发生后，应立即通知对方，并寄送有关权威机构出具的证明。</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.3 不可抗力事件延续120天以上，双方应通过友好协商，确定是否继续履行合同。</w:t>
      </w:r>
      <w:r/>
    </w:p>
    <w:p>
      <w:pPr>
        <w:pStyle w:val="945"/>
        <w:ind w:firstLine="422"/>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w:t>
      </w:r>
      <w:r>
        <w:rPr>
          <w:rFonts w:hint="eastAsia" w:ascii="宋体" w:hAnsi="宋体" w:eastAsia="宋体" w:cs="宋体"/>
          <w:b/>
          <w:bCs/>
          <w:color w:val="auto"/>
          <w:sz w:val="21"/>
          <w:szCs w:val="21"/>
          <w:highlight w:val="none"/>
          <w:lang w:eastAsia="zh-CN"/>
        </w:rPr>
        <w:t xml:space="preserve">六</w:t>
      </w:r>
      <w:r>
        <w:rPr>
          <w:rFonts w:hint="eastAsia" w:ascii="宋体" w:hAnsi="宋体" w:eastAsia="宋体" w:cs="宋体"/>
          <w:b/>
          <w:bCs/>
          <w:color w:val="auto"/>
          <w:sz w:val="21"/>
          <w:szCs w:val="21"/>
          <w:highlight w:val="none"/>
        </w:rPr>
        <w:t xml:space="preserve">、诉讼</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 双方在执行合同中所发生的一切争议，应通过协商解决。如协商不成，可向合同签订地法院起诉，合同签订地在此约定为扬州市。</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w:t>
      </w:r>
      <w:r>
        <w:rPr>
          <w:rFonts w:hint="eastAsia" w:ascii="宋体" w:hAnsi="宋体" w:eastAsia="宋体" w:cs="宋体"/>
          <w:b/>
          <w:bCs/>
          <w:color w:val="auto"/>
          <w:sz w:val="21"/>
          <w:szCs w:val="21"/>
          <w:highlight w:val="none"/>
          <w:lang w:eastAsia="zh-CN"/>
        </w:rPr>
        <w:t xml:space="preserve">七</w:t>
      </w:r>
      <w:r>
        <w:rPr>
          <w:rFonts w:hint="eastAsia" w:ascii="宋体" w:hAnsi="宋体" w:eastAsia="宋体" w:cs="宋体"/>
          <w:b/>
          <w:bCs/>
          <w:color w:val="auto"/>
          <w:sz w:val="21"/>
          <w:szCs w:val="21"/>
          <w:highlight w:val="none"/>
        </w:rPr>
        <w:t xml:space="preserve">、</w:t>
      </w:r>
      <w:r>
        <w:rPr>
          <w:rFonts w:hint="eastAsia" w:ascii="宋体" w:hAnsi="宋体" w:eastAsia="宋体" w:cs="宋体"/>
          <w:bCs/>
          <w:color w:val="auto"/>
          <w:sz w:val="21"/>
          <w:szCs w:val="21"/>
          <w:highlight w:val="none"/>
        </w:rPr>
        <w:t xml:space="preserve">为落实好政府采购履约资金扶持政策，</w:t>
      </w:r>
      <w:r>
        <w:rPr>
          <w:rFonts w:hint="eastAsia" w:ascii="宋体" w:hAnsi="宋体" w:eastAsia="宋体" w:cs="宋体"/>
          <w:bCs/>
          <w:color w:val="auto"/>
          <w:sz w:val="21"/>
          <w:szCs w:val="21"/>
          <w:highlight w:val="none"/>
          <w:lang w:eastAsia="zh-CN"/>
        </w:rPr>
        <w:t xml:space="preserve">乙方</w:t>
      </w:r>
      <w:r>
        <w:rPr>
          <w:rFonts w:hint="eastAsia" w:ascii="宋体" w:hAnsi="宋体" w:eastAsia="宋体" w:cs="宋体"/>
          <w:bCs/>
          <w:color w:val="auto"/>
          <w:sz w:val="21"/>
          <w:szCs w:val="21"/>
          <w:highlight w:val="none"/>
        </w:rPr>
        <w:t xml:space="preserve">可凭政府采购合同办理融资贷款，详见江苏政府采购网“政采贷”专栏</w:t>
      </w:r>
      <w:r>
        <w:rPr>
          <w:rFonts w:hint="eastAsia" w:ascii="宋体" w:hAnsi="宋体" w:eastAsia="宋体" w:cs="宋体"/>
          <w:color w:val="auto"/>
          <w:sz w:val="21"/>
          <w:szCs w:val="21"/>
          <w:highlight w:val="none"/>
        </w:rPr>
        <w:t xml:space="preserve">。</w:t>
      </w:r>
      <w:r/>
    </w:p>
    <w:p>
      <w:pPr>
        <w:pStyle w:val="945"/>
        <w:ind w:firstLine="422"/>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w:t>
      </w:r>
      <w:r>
        <w:rPr>
          <w:rFonts w:hint="eastAsia" w:ascii="宋体" w:hAnsi="宋体" w:eastAsia="宋体" w:cs="宋体"/>
          <w:b/>
          <w:bCs/>
          <w:color w:val="auto"/>
          <w:sz w:val="21"/>
          <w:szCs w:val="21"/>
          <w:highlight w:val="none"/>
          <w:lang w:eastAsia="zh-CN"/>
        </w:rPr>
        <w:t xml:space="preserve">八</w:t>
      </w:r>
      <w:r>
        <w:rPr>
          <w:rFonts w:hint="eastAsia" w:ascii="宋体" w:hAnsi="宋体" w:eastAsia="宋体" w:cs="宋体"/>
          <w:b/>
          <w:bCs/>
          <w:color w:val="auto"/>
          <w:sz w:val="21"/>
          <w:szCs w:val="21"/>
          <w:highlight w:val="none"/>
        </w:rPr>
        <w:t xml:space="preserve">、合同生效及其它</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 合同经双方法定代表人签章并加盖单位公章，并经</w:t>
      </w:r>
      <w:r>
        <w:rPr>
          <w:rFonts w:hint="eastAsia" w:ascii="宋体" w:hAnsi="宋体" w:eastAsia="宋体" w:cs="宋体"/>
          <w:color w:val="auto"/>
          <w:sz w:val="21"/>
          <w:szCs w:val="21"/>
          <w:highlight w:val="none"/>
          <w:lang w:eastAsia="zh-CN"/>
        </w:rPr>
        <w:t xml:space="preserve">江苏苏维工程管理有限公司</w:t>
      </w:r>
      <w:r>
        <w:rPr>
          <w:rFonts w:hint="eastAsia" w:ascii="宋体" w:hAnsi="宋体" w:eastAsia="宋体" w:cs="宋体"/>
          <w:color w:val="auto"/>
          <w:sz w:val="21"/>
          <w:szCs w:val="21"/>
          <w:highlight w:val="none"/>
        </w:rPr>
        <w:t xml:space="preserve">见证盖章后生效。</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.2本合同未尽事宜，遵照《民法典》有关条文执行。</w:t>
      </w:r>
      <w:r/>
    </w:p>
    <w:p>
      <w:pPr>
        <w:pStyle w:val="945"/>
        <w:ind w:firstLine="420"/>
        <w:keepLines w:val="0"/>
        <w:keepNext w:val="0"/>
        <w:pageBreakBefore w:val="0"/>
        <w:spacing w:before="120" w:after="120" w:line="360" w:lineRule="auto"/>
        <w:widowControl w:val="off"/>
        <w:rPr>
          <w:rFonts w:hAnsi="宋体"/>
          <w:color w:val="auto"/>
          <w:sz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 本合同正本一式四份，具有同等法律效力，甲方、乙方、见证方及财政监管部门各执一份。 </w:t>
      </w:r>
      <w:r>
        <w:rPr>
          <w:rFonts w:hint="eastAsia" w:hAnsi="宋体"/>
          <w:color w:val="auto"/>
          <w:sz w:val="21"/>
          <w:highlight w:val="none"/>
        </w:rPr>
        <w:t xml:space="preserve"> </w:t>
      </w:r>
      <w:r/>
    </w:p>
    <w:tbl>
      <w:tblPr>
        <w:tblStyle w:val="756"/>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5"/>
              <w:spacing w:before="120" w:after="120" w:line="360" w:lineRule="auto"/>
              <w:rPr>
                <w:rFonts w:hint="eastAsia" w:hAnsi="宋体" w:eastAsia="宋体"/>
                <w:color w:val="auto"/>
                <w:sz w:val="21"/>
                <w:szCs w:val="21"/>
                <w:highlight w:val="none"/>
                <w:lang w:eastAsia="zh-CN"/>
              </w:rPr>
            </w:pPr>
            <w:r>
              <w:rPr>
                <w:rFonts w:hint="eastAsia" w:hAnsi="宋体"/>
                <w:color w:val="auto"/>
                <w:sz w:val="21"/>
                <w:szCs w:val="21"/>
                <w:highlight w:val="none"/>
              </w:rPr>
              <w:t xml:space="preserve">甲方：</w:t>
            </w:r>
            <w:r>
              <w:rPr>
                <w:rFonts w:hint="eastAsia" w:hAnsi="宋体"/>
                <w:color w:val="auto"/>
                <w:sz w:val="21"/>
                <w:szCs w:val="21"/>
                <w:highlight w:val="none"/>
                <w:lang w:val="en-US" w:eastAsia="zh-CN"/>
              </w:rPr>
              <w:t xml:space="preserve"> 扬州市民政局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5"/>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5"/>
              <w:spacing w:before="120" w:after="120" w:line="360" w:lineRule="auto"/>
              <w:rPr>
                <w:rFonts w:hint="eastAsia" w:hAnsi="宋体" w:eastAsia="宋体"/>
                <w:color w:val="auto"/>
                <w:sz w:val="21"/>
                <w:szCs w:val="21"/>
                <w:highlight w:val="none"/>
                <w:lang w:eastAsia="zh-CN"/>
              </w:rPr>
            </w:pPr>
            <w:r>
              <w:rPr>
                <w:rFonts w:hint="eastAsia" w:hAnsi="宋体"/>
                <w:color w:val="auto"/>
                <w:sz w:val="21"/>
                <w:szCs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5"/>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5"/>
              <w:spacing w:before="120" w:after="120" w:line="360" w:lineRule="auto"/>
              <w:rPr>
                <w:rFonts w:hAnsi="宋体"/>
                <w:color w:val="auto"/>
                <w:sz w:val="21"/>
                <w:szCs w:val="21"/>
                <w:highlight w:val="none"/>
              </w:rPr>
            </w:pPr>
            <w:r>
              <w:rPr>
                <w:rFonts w:hint="eastAsia" w:hAnsi="宋体"/>
                <w:color w:val="auto"/>
                <w:sz w:val="21"/>
                <w:szCs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5"/>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5"/>
              <w:spacing w:before="120" w:after="120" w:line="360" w:lineRule="auto"/>
              <w:rPr>
                <w:rFonts w:hAnsi="宋体"/>
                <w:color w:val="auto"/>
                <w:sz w:val="21"/>
                <w:szCs w:val="21"/>
                <w:highlight w:val="none"/>
              </w:rPr>
            </w:pPr>
            <w:r>
              <w:rPr>
                <w:rFonts w:hint="eastAsia" w:hAnsi="宋体"/>
                <w:color w:val="auto"/>
                <w:sz w:val="21"/>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5"/>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5"/>
              <w:spacing w:before="120" w:after="120" w:line="360" w:lineRule="auto"/>
              <w:rPr>
                <w:rFonts w:hAnsi="宋体"/>
                <w:color w:val="auto"/>
                <w:sz w:val="21"/>
                <w:szCs w:val="21"/>
                <w:highlight w:val="none"/>
              </w:rPr>
            </w:pPr>
            <w:r>
              <w:rPr>
                <w:rFonts w:hint="eastAsia" w:hAnsi="宋体"/>
                <w:color w:val="auto"/>
                <w:sz w:val="21"/>
                <w:szCs w:val="21"/>
                <w:highlight w:val="none"/>
              </w:rPr>
              <w:t xml:space="preserve">日期：</w:t>
            </w:r>
            <w:r>
              <w:rPr>
                <w:rFonts w:hint="eastAsia" w:hAnsi="宋体"/>
                <w:color w:val="auto"/>
                <w:sz w:val="21"/>
                <w:szCs w:val="21"/>
                <w:highlight w:val="none"/>
                <w:lang w:val="en-US" w:eastAsia="zh-CN"/>
              </w:rPr>
              <w:t xml:space="preserve">2024</w:t>
            </w:r>
            <w:r>
              <w:rPr>
                <w:rFonts w:hint="eastAsia" w:hAnsi="宋体"/>
                <w:color w:val="auto"/>
                <w:sz w:val="21"/>
                <w:szCs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5"/>
              <w:spacing w:before="120" w:after="120" w:line="360" w:lineRule="auto"/>
              <w:rPr>
                <w:rFonts w:hAnsi="宋体"/>
                <w:color w:val="auto"/>
                <w:sz w:val="21"/>
                <w:highlight w:val="none"/>
              </w:rPr>
            </w:pPr>
            <w:r>
              <w:rPr>
                <w:rFonts w:hint="eastAsia" w:hAnsi="宋体"/>
                <w:color w:val="auto"/>
                <w:sz w:val="21"/>
                <w:highlight w:val="none"/>
              </w:rPr>
              <w:t xml:space="preserve">日期：</w:t>
            </w:r>
            <w:r>
              <w:rPr>
                <w:rFonts w:hint="eastAsia" w:hAnsi="宋体"/>
                <w:color w:val="auto"/>
                <w:sz w:val="21"/>
                <w:highlight w:val="none"/>
                <w:lang w:val="en-US" w:eastAsia="zh-CN"/>
              </w:rPr>
              <w:t xml:space="preserve">2024</w:t>
            </w:r>
            <w:r>
              <w:rPr>
                <w:rFonts w:hint="eastAsia" w:hAnsi="宋体"/>
                <w:color w:val="auto"/>
                <w:sz w:val="21"/>
                <w:highlight w:val="none"/>
              </w:rPr>
              <w:t xml:space="preserve">年    月    日</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5"/>
              <w:spacing w:before="120" w:after="120" w:line="360" w:lineRule="auto"/>
              <w:rPr>
                <w:rFonts w:hint="eastAsia" w:hAnsi="宋体"/>
                <w:color w:val="auto"/>
                <w:sz w:val="21"/>
                <w:szCs w:val="21"/>
                <w:highlight w:val="none"/>
              </w:rPr>
            </w:pPr>
            <w:r>
              <w:rPr>
                <w:rFonts w:hint="eastAsia" w:hAnsi="宋体"/>
                <w:color w:val="auto"/>
                <w:sz w:val="21"/>
                <w:szCs w:val="21"/>
                <w:highlight w:val="none"/>
              </w:rPr>
              <w:t xml:space="preserve">见证方：</w:t>
            </w:r>
            <w:r>
              <w:rPr>
                <w:rFonts w:hint="eastAsia" w:hAnsi="宋体"/>
                <w:color w:val="auto"/>
                <w:sz w:val="21"/>
                <w:szCs w:val="21"/>
                <w:highlight w:val="none"/>
                <w:lang w:eastAsia="zh-CN"/>
              </w:rPr>
              <w:t xml:space="preserve">江苏苏维工程管理有限公司</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5"/>
              <w:spacing w:before="120" w:after="120" w:line="360" w:lineRule="auto"/>
              <w:rPr>
                <w:rFonts w:hint="eastAsia" w:hAnsi="宋体"/>
                <w:color w:val="auto"/>
                <w:sz w:val="21"/>
                <w:highlight w:val="none"/>
              </w:rPr>
            </w:pPr>
            <w:r>
              <w:rPr>
                <w:rFonts w:hint="eastAsia"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5"/>
              <w:spacing w:before="120" w:after="120" w:line="360" w:lineRule="auto"/>
              <w:rPr>
                <w:rFonts w:hint="eastAsia" w:hAnsi="宋体"/>
                <w:color w:val="auto"/>
                <w:sz w:val="21"/>
                <w:szCs w:val="21"/>
                <w:highlight w:val="none"/>
              </w:rPr>
            </w:pPr>
            <w:r>
              <w:rPr>
                <w:rFonts w:hint="eastAsia" w:hAnsi="宋体"/>
                <w:color w:val="auto"/>
                <w:sz w:val="21"/>
                <w:szCs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5"/>
              <w:spacing w:before="120" w:after="120" w:line="360" w:lineRule="auto"/>
              <w:rPr>
                <w:rFonts w:hint="eastAsia" w:hAnsi="宋体"/>
                <w:color w:val="auto"/>
                <w:sz w:val="21"/>
                <w:highlight w:val="none"/>
              </w:rPr>
            </w:pPr>
            <w:r>
              <w:rPr>
                <w:rFonts w:hint="eastAsia"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5"/>
              <w:spacing w:before="120" w:after="120" w:line="360" w:lineRule="auto"/>
              <w:rPr>
                <w:rFonts w:hint="eastAsia" w:hAnsi="宋体"/>
                <w:color w:val="auto"/>
                <w:sz w:val="21"/>
                <w:szCs w:val="21"/>
                <w:highlight w:val="none"/>
              </w:rPr>
            </w:pPr>
            <w:r>
              <w:rPr>
                <w:rFonts w:hint="eastAsia" w:hAnsi="宋体"/>
                <w:color w:val="auto"/>
                <w:sz w:val="21"/>
                <w:szCs w:val="21"/>
                <w:highlight w:val="none"/>
              </w:rPr>
              <w:t xml:space="preserve">日期：</w:t>
            </w:r>
            <w:r>
              <w:rPr>
                <w:rFonts w:hint="eastAsia" w:hAnsi="宋体"/>
                <w:color w:val="auto"/>
                <w:sz w:val="21"/>
                <w:szCs w:val="21"/>
                <w:highlight w:val="none"/>
                <w:lang w:val="en-US" w:eastAsia="zh-CN"/>
              </w:rPr>
              <w:t xml:space="preserve">2024</w:t>
            </w:r>
            <w:r>
              <w:rPr>
                <w:rFonts w:hint="eastAsia" w:hAnsi="宋体"/>
                <w:color w:val="auto"/>
                <w:sz w:val="21"/>
                <w:szCs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5"/>
              <w:spacing w:before="120" w:after="120" w:line="360" w:lineRule="auto"/>
              <w:rPr>
                <w:rFonts w:hint="eastAsia" w:hAnsi="宋体"/>
                <w:color w:val="auto"/>
                <w:sz w:val="21"/>
                <w:highlight w:val="none"/>
              </w:rPr>
            </w:pPr>
            <w:r>
              <w:rPr>
                <w:rFonts w:hint="eastAsia" w:hAnsi="宋体"/>
                <w:color w:val="auto"/>
                <w:sz w:val="21"/>
                <w:highlight w:val="none"/>
              </w:rPr>
            </w:r>
            <w:r/>
          </w:p>
        </w:tc>
      </w:tr>
    </w:tbl>
    <w:p>
      <w:pPr>
        <w:pStyle w:val="945"/>
        <w:spacing w:before="120" w:after="120" w:line="360" w:lineRule="auto"/>
        <w:rPr>
          <w:color w:val="auto"/>
          <w:highlight w:val="none"/>
        </w:rPr>
      </w:pPr>
      <w:r>
        <w:rPr>
          <w:rFonts w:hint="eastAsia" w:hAnsi="宋体"/>
          <w:color w:val="auto"/>
          <w:sz w:val="21"/>
          <w:highlight w:val="none"/>
        </w:rPr>
        <w:t xml:space="preserve">  </w:t>
      </w:r>
      <w:bookmarkEnd w:id="55"/>
      <w:r/>
      <w:r/>
    </w:p>
    <w:p>
      <w:pPr>
        <w:pStyle w:val="746"/>
        <w:numPr>
          <w:ilvl w:val="0"/>
          <w:numId w:val="1"/>
        </w:numPr>
        <w:rPr>
          <w:color w:val="auto"/>
          <w:highlight w:val="none"/>
        </w:rPr>
      </w:pPr>
      <w:r/>
      <w:bookmarkStart w:id="56" w:name="_Toc5362"/>
      <w:r>
        <w:rPr>
          <w:rFonts w:hint="eastAsia"/>
          <w:color w:val="auto"/>
          <w:highlight w:val="none"/>
        </w:rPr>
        <w:t xml:space="preserve">项目需求</w:t>
      </w:r>
      <w:bookmarkEnd w:id="56"/>
      <w:r/>
      <w:r/>
    </w:p>
    <w:p>
      <w:pPr>
        <w:pStyle w:val="945"/>
        <w:ind w:firstLine="420"/>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一、规划背景</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第七次全国人口普查结果表明，扬州是人口老龄化程度较高的城市，预计“十四五”时期，扬州人口老龄化程度将持续加深。面对严峻的人口老龄化形势，近几年来，我市各级政府和相关部门高度重视养老服务工作，全市老龄工作取得了显著的成绩。但随着人口老龄化程度日益加深，老年人多层次多样化养老服务需求与服务供给之间的矛盾愈发凸显，还存在设施配建不足、有效供给不充分、医养结合不紧密、人才队伍不专业等问题，需要在“十四五”时期以及今后一段时间认真研究加以解决。</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为深入贯彻落实党中央、国务院积极应对人口老龄化的系列重大决策部署，建立适应扬州市人口与老龄化发展趋势、符合扬州特色的现代养老服务设施体系，满足多层次、多样化的养老服务需求，科学指导养老设施建设和管理，亟需编制《扬州市区养老服务设施专项规划（2024-2035年）》。</w:t>
      </w:r>
      <w:r/>
    </w:p>
    <w:p>
      <w:pPr>
        <w:pStyle w:val="945"/>
        <w:ind w:firstLine="420"/>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二、规划目标</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规划到2035年，按照扬州市深度老龄化和养老服务发展的趋势，不断更新养老服务设施服务对象和服务内容，优化基本养老服务内涵加强与国土空间总体规划、详细规划的衔接，逐步实现养老服务对常住人口的覆盖，构建居家、社区、机构相衔接，高、中、低档相配套，医、养、康、护功能齐全，公办、社会投资兴办、合作经营等多种形式并行、分层分类、布局合理的养老服务发展格局，满足老年群体人多样化、多层次养老服务需求。</w:t>
      </w:r>
      <w:r/>
    </w:p>
    <w:p>
      <w:pPr>
        <w:pStyle w:val="945"/>
        <w:ind w:firstLine="420"/>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三、规划原则</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1.服务均等，分级分类</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推进基本公共服务覆盖常住人口，逐步实现养老服务均等化。着力确保养老基本服务15分钟生活圈全覆盖，提升对独居、高龄、失能失智等重点老年人群的服务能力。加强区域统筹，因地制宜实行分类引导，明确差异化指标要求。</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2.城乡统筹，突出重点</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强化中心城区的优质养老服务资源配置，加强对薄弱地区的倾斜扶持，促进市区养老服务设施布局城乡均衡发展。提升乡村地区养老服务能力，因地制宜配置符合乡村人口生活习惯的养老服务设施。</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3.统筹兼顾，适度前瞻</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统筹处理好养老服务当前与长远、局部与整体、速度与质量之间的关系。结合扬州经济社会发展趋势，适度提高养老服务设施的建设标准和配套要求，落实和预留好养老设施建设空间，与不断加速的城市化、老龄化进程相适应。</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4.整合存量，扩大增量</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从实际出发，对现有养老资源进行挖潜、整合，通过改（扩）建等方式，充分发掘现有养老设施的潜力，提高现有养老设施的服务能力和服务水平；根据需求，对新建养老设施进行统筹规划，大力提高养老设施的服务能力，满足未来发展需求。集约高效利用土地，在满足服务、保证环境的前提下，适当增加机构养老设施的建设强度。</w:t>
      </w:r>
      <w:r/>
    </w:p>
    <w:p>
      <w:pPr>
        <w:pStyle w:val="945"/>
        <w:ind w:firstLine="420"/>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四、规划范围和期限</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规划范围为扬州市区行政管辖范围，涉及邗江区、广陵区、江都区、扬州经济技术开发区、生态科技新城和蜀冈-瘦西湖风景名胜区全域。</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规划期限为2024-2035年，其中近期为2025—2030年；远期为2030—2035年。</w:t>
      </w:r>
      <w:r/>
    </w:p>
    <w:p>
      <w:pPr>
        <w:pStyle w:val="945"/>
        <w:ind w:firstLine="420"/>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五、规划依据</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1、法律法规</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《中华人民共和国老年人权益保障法》（2018年）</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《江苏省养老服务条例》(2022年)</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2、政策文件</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《国务院关于加快发展养老服务业的若干意见》（国发〔2013〕35号）</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《国务院办公厅关于促进养老托育服务健康发展的意见》（国办发〔2020〕52号）</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《中共中央国务院关于加强新时代老龄工作的意见》（2021年）</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《住房城乡建设部等部门关于加强养老服务设施规划建设工作的通知》（建标〔2014〕23号）</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《省政府关于进一步推进养老服务高质量发展的实施意见》（苏政发〔2019〕85号）</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《省政府办公厅关于促进养老托育服务高质量发展的实施意见》（苏政办发〔2021〕75号）</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《扬州市居家养老服务条例</w:t>
      </w:r>
      <w:r>
        <w:rPr>
          <w:rFonts w:hint="eastAsia" w:hAnsi="宋体" w:cs="宋体"/>
          <w:color w:val="auto"/>
          <w:sz w:val="21"/>
          <w:szCs w:val="21"/>
          <w:highlight w:val="none"/>
          <w:lang w:val="en-US" w:eastAsia="zh-CN"/>
        </w:rPr>
        <w:t xml:space="preserve">》</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3.规范标准</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（1）《老年养护院建设标准》（建标144-2010）</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（2）《社区老年人日间照料中心建设标准》（建标143-2010）</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（3）《综合社会福利院建设标准》（建标179-2016）</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（4）《特困人员供养服务设施（敬老院）建设标准》（建标-184-2017）</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（5）《城市居住区规划设计标准》（GB 50180-2018）</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4.相关规划</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（1）《国家积极应对人口老龄化中长期规划》（中发〔2019〕25号）</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（2）《江苏省“十四五”养老服务发展规划》</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（3）《江苏省居家社区养老服务能力提升三年行动工作方案（2022-2024）》</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（4）《扬州市“十四五”养老服务发展规划》</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（5）《扬州市国土空间总体规划（2021-2035年）》</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5.其他相关法律法规、规范标准、政策文件等。</w:t>
      </w:r>
      <w:r/>
    </w:p>
    <w:p>
      <w:pPr>
        <w:pStyle w:val="945"/>
        <w:ind w:firstLine="420"/>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六、规划对象</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规划对象为养老服务设施，主要是指由民政部门指导和推动建设、提供养老服务的基本公共服务设施，主要分为“机构养老服务设施”和“居家社区养老服务设施”。其中机构养老服务设施包括但不限于公办养老机构（如社会福利院（中心）、敬老院）和民办养老机构；普通养老机构、专业护理院以及养老机构综合体等。居家社区养老服务设施包括但不限于街（镇）日间照料中心、综合性养老服务中心、社区居家养老服务站、长者驿家等。</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在此基础上，结合扬州实际，因地制宜，适度规划，推进“老年颐养社区”建设。</w:t>
      </w:r>
      <w:r/>
    </w:p>
    <w:p>
      <w:pPr>
        <w:pStyle w:val="945"/>
        <w:ind w:firstLine="420"/>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七、规划内容</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1.对扬州市老龄人口现状（年龄结构、身体状况、生活状况、经济状况等）以及老年人养老方式、养老服务需求进行调研，并对老龄化发展趋势进行预测分析。</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2.对市区范围内养老服务设施现状（设施规模、分布情况、功能布局、运营情况等）及存在问题等进行调研分析。</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现状调查的基础上，根据相关标准、规范，结合扬州老龄人口规模、老龄化率和配建指标，对养老设施需求量进行预测，制定详细的配建指标体系，明确养老服务设施类型及规模，合理确定养老服务设施建设层次和配建标准。</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4.结合扬州市国土空间总体规划，对各类别的养老服务设施体系在空间上进行布局规划。形成覆盖城乡、区域均衡、层级清晰、功能完善、适度超前、惠及全民的养老设施网络。</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5.以大健康、大养老的视角，积极探索“多支撑”养老服务体系，进一步完善老年服务体系，在单一的基本养老服务基础上，促进老年人社会性生活的大环境建设，构建促进乐老、适老环境建设。</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6.与扬州市医疗卫生体系充分衔接，积极推进“医养结合”，搭建利于医养服务和信息智慧的支撑体系，推动老年人由“养老”向“享老”迈进，提升老年人的生活品质。</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7.对各类养老服务设施的建设做出时序安排，重点对近期建设规划目标及重点项目进行落实。</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8.提出养老机构和居家社区养老服务设施规划实施建议，并针对医养结合、智慧养老、人才队伍、政策保障机制与部门协调机制等方面提出规划措施和建议。</w:t>
      </w:r>
      <w:r/>
    </w:p>
    <w:p>
      <w:pPr>
        <w:pStyle w:val="945"/>
        <w:ind w:firstLine="420"/>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八、规范成果</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1.成果构成</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规划成果应包括规划文本、规划图纸及说明书。规划文本是对规划最简练、最重要的文字说明；规划图纸是反映规划意图的必要图纸；规划说明书是对规划文本的具体阐述。</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2.成果形式</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⑴中间成果及论证材料各5套，最终成果包括规划说明、规划文本及附图，统一装订为A4格式，5套；</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⑵用于展示不小于A1比例的彩图一套；</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⑶CAD图纸（*.dwg）格式的电子文件一套（按照扬州市国土空间规划电子数据标准）；</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⑷所有成果资料的电子文件一套（包括多媒体汇报材料）。</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3.成果要求</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（1）规划设计成果必须符合法律法规、政策文件、规范标准的相关要求。</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（2）图纸和文本文件必须做到清晰、完整、准确，同类图纸规格应尽量统一。</w:t>
      </w:r>
      <w:r/>
    </w:p>
    <w:p>
      <w:pPr>
        <w:pStyle w:val="945"/>
        <w:ind w:firstLine="420"/>
        <w:keepLines w:val="0"/>
        <w:keepNext w:val="0"/>
        <w:pageBreakBefore w:val="0"/>
        <w:spacing w:before="120" w:after="120" w:line="360" w:lineRule="auto"/>
        <w:widowControl w:val="off"/>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4、人员要求</w:t>
      </w:r>
      <w:r/>
    </w:p>
    <w:p>
      <w:pPr>
        <w:pStyle w:val="945"/>
        <w:ind w:firstLine="420"/>
        <w:keepLines w:val="0"/>
        <w:keepNext w:val="0"/>
        <w:pageBreakBefore w:val="0"/>
        <w:spacing w:before="120" w:after="120" w:line="360" w:lineRule="auto"/>
        <w:widowControl w:val="off"/>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投标人拟派项目组成员（包含项目负责人）人数须达到6人</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以上。</w:t>
      </w:r>
      <w:r/>
    </w:p>
    <w:p>
      <w:pPr>
        <w:pStyle w:val="945"/>
        <w:ind w:firstLine="420"/>
        <w:keepLines w:val="0"/>
        <w:keepNext w:val="0"/>
        <w:pageBreakBefore w:val="0"/>
        <w:spacing w:before="120" w:after="120"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九、规划设计时间要求</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本项目合同履行期限为60个日历天，具体进度节点要求为：</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（1）合同签订后，在15个日历天内完成项目初稿。</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（2）初稿汇报后15个日历天内完成中期成果，并征求部门意见。</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（3）中期成果完成后15个日历天内完成专家评审稿，并组织专家评审。</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（4）通过专家评审后15个日历天内完成最终成果报规委会。</w:t>
      </w:r>
      <w:r/>
    </w:p>
    <w:p>
      <w:pPr>
        <w:pStyle w:val="945"/>
        <w:ind w:firstLine="420"/>
        <w:keepLines w:val="0"/>
        <w:keepNext w:val="0"/>
        <w:pageBreakBefore w:val="0"/>
        <w:spacing w:before="120" w:after="12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十、其他要求</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规划需明确扬州市养老发展目标、构建养老服务体系、确定各类养老服务设施配置标准和要求，总体深度应达到专项规划的相关要求，市级、区级养老设施应绘制虚拟红线，明确市级、区级各类养老服务设施的规划布局和建设规模。</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2.投标人在项目编制过程中，需要做好充分的现状调研。</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w:t>
      </w:r>
      <w:r>
        <w:rPr>
          <w:rFonts w:hint="eastAsia" w:hAnsi="宋体" w:cs="宋体"/>
          <w:color w:val="auto"/>
          <w:sz w:val="21"/>
          <w:szCs w:val="21"/>
          <w:highlight w:val="none"/>
          <w:lang w:val="en-US" w:eastAsia="zh-CN"/>
        </w:rPr>
        <w:t xml:space="preserve">投标单位</w:t>
      </w:r>
      <w:r>
        <w:rPr>
          <w:rFonts w:hint="eastAsia" w:ascii="宋体" w:hAnsi="宋体" w:eastAsia="宋体" w:cs="宋体"/>
          <w:color w:val="auto"/>
          <w:sz w:val="21"/>
          <w:szCs w:val="21"/>
          <w:highlight w:val="none"/>
          <w:lang w:val="en-US" w:eastAsia="zh-CN"/>
        </w:rPr>
        <w:t xml:space="preserve">要充分了解现状情况，充分收集相关资料，听取有关部门意见。</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w:t>
      </w:r>
      <w:r>
        <w:rPr>
          <w:rFonts w:hint="eastAsia" w:hAnsi="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lang w:val="en-US" w:eastAsia="zh-CN"/>
        </w:rPr>
        <w:t xml:space="preserve">向</w:t>
      </w:r>
      <w:r>
        <w:rPr>
          <w:rFonts w:hint="eastAsia" w:hAnsi="宋体" w:cs="宋体"/>
          <w:color w:val="auto"/>
          <w:sz w:val="21"/>
          <w:szCs w:val="21"/>
          <w:highlight w:val="none"/>
          <w:lang w:val="en-US" w:eastAsia="zh-CN"/>
        </w:rPr>
        <w:t xml:space="preserve">招标人</w:t>
      </w:r>
      <w:r>
        <w:rPr>
          <w:rFonts w:hint="eastAsia" w:ascii="宋体" w:hAnsi="宋体" w:eastAsia="宋体" w:cs="宋体"/>
          <w:color w:val="auto"/>
          <w:sz w:val="21"/>
          <w:szCs w:val="21"/>
          <w:highlight w:val="none"/>
          <w:lang w:val="en-US" w:eastAsia="zh-CN"/>
        </w:rPr>
        <w:t xml:space="preserve">进行中间汇报和讨论不得少于3次，一般安排在初步方案阶段和论证成果阶段，在进行中间汇报时需要提供汇报提纲及成果简本若干套。</w:t>
      </w:r>
      <w:r>
        <w:rPr>
          <w:rFonts w:hint="eastAsia"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en-US" w:eastAsia="zh-CN"/>
        </w:rPr>
        <w:t xml:space="preserve">还应根据</w:t>
      </w:r>
      <w:r>
        <w:rPr>
          <w:rFonts w:hint="eastAsia" w:hAnsi="宋体" w:cs="宋体"/>
          <w:color w:val="auto"/>
          <w:sz w:val="21"/>
          <w:szCs w:val="21"/>
          <w:highlight w:val="none"/>
          <w:lang w:val="en-US" w:eastAsia="zh-CN"/>
        </w:rPr>
        <w:t xml:space="preserve">招标人</w:t>
      </w:r>
      <w:r>
        <w:rPr>
          <w:rFonts w:hint="eastAsia" w:ascii="宋体" w:hAnsi="宋体" w:eastAsia="宋体" w:cs="宋体"/>
          <w:color w:val="auto"/>
          <w:sz w:val="21"/>
          <w:szCs w:val="21"/>
          <w:highlight w:val="none"/>
          <w:lang w:val="en-US" w:eastAsia="zh-CN"/>
        </w:rPr>
        <w:t xml:space="preserve">组织专家论证等需要进行汇报。</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w:t>
      </w:r>
      <w:r>
        <w:rPr>
          <w:rFonts w:hint="eastAsia" w:hAnsi="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lang w:val="en-US" w:eastAsia="zh-CN"/>
        </w:rPr>
        <w:t xml:space="preserve">按照</w:t>
      </w:r>
      <w:r>
        <w:rPr>
          <w:rFonts w:hint="eastAsia" w:hAnsi="宋体" w:cs="宋体"/>
          <w:color w:val="auto"/>
          <w:sz w:val="21"/>
          <w:szCs w:val="21"/>
          <w:highlight w:val="none"/>
          <w:lang w:val="en-US" w:eastAsia="zh-CN"/>
        </w:rPr>
        <w:t xml:space="preserve">招标人</w:t>
      </w:r>
      <w:r>
        <w:rPr>
          <w:rFonts w:hint="eastAsia" w:ascii="宋体" w:hAnsi="宋体" w:eastAsia="宋体" w:cs="宋体"/>
          <w:color w:val="auto"/>
          <w:sz w:val="21"/>
          <w:szCs w:val="21"/>
          <w:highlight w:val="none"/>
          <w:lang w:val="en-US" w:eastAsia="zh-CN"/>
        </w:rPr>
        <w:t xml:space="preserve">要求提供制作规划公示及汇报简本的电子文件。</w:t>
      </w:r>
      <w:r/>
    </w:p>
    <w:p>
      <w:pPr>
        <w:pStyle w:val="945"/>
        <w:ind w:firstLine="420"/>
        <w:keepLines w:val="0"/>
        <w:keepNext w:val="0"/>
        <w:pageBreakBefore w:val="0"/>
        <w:spacing w:before="120" w:after="120" w:line="360" w:lineRule="auto"/>
        <w:widowControl w:val="off"/>
        <w:rPr>
          <w:color w:val="auto"/>
          <w:highlight w:val="none"/>
        </w:rPr>
      </w:pP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.根据</w:t>
      </w:r>
      <w:r>
        <w:rPr>
          <w:rFonts w:hint="eastAsia"/>
          <w:color w:val="auto"/>
          <w:highlight w:val="none"/>
          <w:lang w:val="en-US" w:eastAsia="zh-CN"/>
        </w:rPr>
        <w:t xml:space="preserve">招标人</w:t>
      </w:r>
      <w:r>
        <w:rPr>
          <w:rFonts w:hint="eastAsia" w:ascii="宋体" w:hAnsi="宋体" w:eastAsia="宋体" w:cs="宋体"/>
          <w:color w:val="auto"/>
          <w:sz w:val="21"/>
          <w:szCs w:val="21"/>
          <w:highlight w:val="none"/>
          <w:lang w:val="en-US" w:eastAsia="zh-CN"/>
        </w:rPr>
        <w:t xml:space="preserve">要求配合参与公众活动。</w:t>
      </w:r>
      <w:r/>
    </w:p>
    <w:p>
      <w:pPr>
        <w:pStyle w:val="945"/>
        <w:ind w:firstLine="420"/>
        <w:keepLines w:val="0"/>
        <w:keepNext w:val="0"/>
        <w:pageBreakBefore w:val="0"/>
        <w:spacing w:before="120" w:after="120"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十一、报价要求</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次招标项目所需市场调研、规划编制、往返交通、人员食宿、材料使用、文本（含图表、图纸等）打印装订及应纳税金含专家论证等各项费用均包含在报价内；请各投标人认真考虑各种风险因素。除合同另有规定之外，招标人不再另行支付。</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各投标人须依据招标内容进行投标报价，但可以在采购服务范围内对采购内容进行合理补充，采购编制服务内容、验收标准等都是招标文件的有效组成部分，功能实现是本次服务项目的目的，各投标人不得遗漏工作量。如因遗漏工作量无法实现功能，遗漏部分由投标人自行承担。</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3、本次招标的规划编制服务，由中标单位负责提供给招标人，编制和成果交接过程中产生的相关费用均由中标单位承担。</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4、项目服务成果由中标单位交付至至招标人指定地点，成果验收交付前存放及保管（含信息保密）概由中标单位负责。</w:t>
      </w:r>
      <w:r/>
    </w:p>
    <w:p>
      <w:pPr>
        <w:pStyle w:val="945"/>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5、免费后续服务支持：按常规或为了确保服务成果正常使用，中标人需向招标人提供免费后续咨询、跟踪服务。</w:t>
      </w:r>
      <w:r/>
    </w:p>
    <w:p>
      <w:pPr>
        <w:ind w:firstLine="422"/>
        <w:jc w:val="left"/>
        <w:spacing w:line="360" w:lineRule="auto"/>
        <w:rPr>
          <w:rFonts w:ascii="Times New Roman" w:hAnsi="Times New Roman" w:eastAsia="方正仿宋_GBK"/>
          <w:color w:val="auto"/>
          <w:sz w:val="32"/>
          <w:szCs w:val="32"/>
          <w:highlight w:val="none"/>
        </w:rPr>
      </w:pPr>
      <w:r>
        <w:rPr>
          <w:rFonts w:hint="eastAsia" w:ascii="宋体" w:hAnsi="宋体" w:cs="宋体"/>
          <w:b/>
          <w:bCs/>
          <w:iCs/>
          <w:color w:val="auto"/>
          <w:szCs w:val="21"/>
          <w:highlight w:val="none"/>
        </w:rPr>
        <w:t xml:space="preserve">十</w:t>
      </w:r>
      <w:r>
        <w:rPr>
          <w:rFonts w:hint="eastAsia" w:ascii="宋体" w:hAnsi="宋体" w:cs="宋体"/>
          <w:b/>
          <w:bCs/>
          <w:iCs/>
          <w:color w:val="auto"/>
          <w:szCs w:val="21"/>
          <w:highlight w:val="none"/>
          <w:lang w:val="en-US" w:eastAsia="zh-CN"/>
        </w:rPr>
        <w:t xml:space="preserve">二</w:t>
      </w:r>
      <w:r>
        <w:rPr>
          <w:rFonts w:hint="eastAsia" w:ascii="宋体" w:hAnsi="宋体" w:cs="宋体"/>
          <w:b/>
          <w:bCs/>
          <w:iCs/>
          <w:color w:val="auto"/>
          <w:szCs w:val="21"/>
          <w:highlight w:val="none"/>
        </w:rPr>
        <w:t xml:space="preserve">、</w:t>
      </w:r>
      <w:r>
        <w:rPr>
          <w:rFonts w:ascii="宋体" w:hAnsi="宋体" w:cs="宋体"/>
          <w:b/>
          <w:bCs/>
          <w:iCs/>
          <w:color w:val="auto"/>
          <w:szCs w:val="21"/>
          <w:highlight w:val="none"/>
        </w:rPr>
        <w:t xml:space="preserve">节能产品：</w:t>
      </w:r>
      <w:r>
        <w:rPr>
          <w:rFonts w:ascii="宋体" w:hAnsi="宋体" w:cs="宋体"/>
          <w:iCs/>
          <w:color w:val="auto"/>
          <w:szCs w:val="21"/>
          <w:highlight w:val="none"/>
        </w:rPr>
        <w:t xml:space="preserve">本次拟采购的产品属于《节能产品政府采购品目清单》中强制采购范围内产品，各</w:t>
      </w:r>
      <w:r>
        <w:rPr>
          <w:rFonts w:hint="eastAsia" w:ascii="宋体" w:hAnsi="宋体" w:cs="宋体"/>
          <w:iCs/>
          <w:color w:val="auto"/>
          <w:szCs w:val="21"/>
          <w:highlight w:val="none"/>
        </w:rPr>
        <w:t xml:space="preserve">投标人</w:t>
      </w:r>
      <w:r>
        <w:rPr>
          <w:rFonts w:ascii="宋体" w:hAnsi="宋体" w:cs="宋体"/>
          <w:iCs/>
          <w:color w:val="auto"/>
          <w:szCs w:val="21"/>
          <w:highlight w:val="none"/>
        </w:rPr>
        <w:t xml:space="preserve">应当提供获得国家确定的认证机构出具的、有效期之内的节能产品认证证书的产品，上述品目清单可通过“中国政府采购网”（http://www.ccgp.gov.cn/zcfg/mof/201904/t20190403_11849836.htm）查询,</w:t>
      </w:r>
      <w:r>
        <w:rPr>
          <w:rFonts w:ascii="宋体" w:hAnsi="宋体" w:cs="宋体"/>
          <w:i/>
          <w:iCs/>
          <w:color w:val="auto"/>
          <w:szCs w:val="21"/>
          <w:highlight w:val="none"/>
          <w:u w:val="single"/>
        </w:rPr>
        <w:t xml:space="preserve">并在</w:t>
      </w:r>
      <w:r>
        <w:rPr>
          <w:rFonts w:hint="eastAsia" w:ascii="宋体" w:hAnsi="宋体" w:cs="宋体"/>
          <w:i/>
          <w:iCs/>
          <w:color w:val="auto"/>
          <w:szCs w:val="21"/>
          <w:highlight w:val="none"/>
          <w:u w:val="single"/>
        </w:rPr>
        <w:t xml:space="preserve">投标</w:t>
      </w:r>
      <w:r>
        <w:rPr>
          <w:rFonts w:ascii="宋体" w:hAnsi="宋体" w:cs="宋体"/>
          <w:i/>
          <w:iCs/>
          <w:color w:val="auto"/>
          <w:szCs w:val="21"/>
          <w:highlight w:val="none"/>
          <w:u w:val="single"/>
        </w:rPr>
        <w:t xml:space="preserve">文件内提供由国家确定的认证机构出具的、处于有效期之内的节能产品认证证书原件，扫描上传，否则视为无效</w:t>
      </w:r>
      <w:r>
        <w:rPr>
          <w:rFonts w:hint="eastAsia" w:ascii="宋体" w:hAnsi="宋体" w:cs="宋体"/>
          <w:i/>
          <w:iCs/>
          <w:color w:val="auto"/>
          <w:szCs w:val="21"/>
          <w:highlight w:val="none"/>
          <w:u w:val="single"/>
        </w:rPr>
        <w:t xml:space="preserve">投标</w:t>
      </w:r>
      <w:r>
        <w:rPr>
          <w:rFonts w:ascii="宋体" w:hAnsi="宋体" w:cs="宋体"/>
          <w:i/>
          <w:iCs/>
          <w:color w:val="auto"/>
          <w:szCs w:val="21"/>
          <w:highlight w:val="none"/>
          <w:u w:val="single"/>
        </w:rPr>
        <w:t xml:space="preserve">。（本项目涉及强制采购范围内产品有：</w:t>
      </w:r>
      <w:r>
        <w:rPr>
          <w:rFonts w:hint="eastAsia" w:ascii="宋体" w:hAnsi="宋体" w:cs="宋体"/>
          <w:i/>
          <w:iCs/>
          <w:color w:val="auto"/>
          <w:szCs w:val="21"/>
          <w:highlight w:val="none"/>
          <w:u w:val="single"/>
        </w:rPr>
        <w:t xml:space="preserve">无</w:t>
      </w:r>
      <w:r>
        <w:rPr>
          <w:rFonts w:ascii="宋体" w:hAnsi="宋体" w:cs="宋体"/>
          <w:i/>
          <w:iCs/>
          <w:color w:val="auto"/>
          <w:szCs w:val="21"/>
          <w:highlight w:val="none"/>
          <w:u w:val="single"/>
        </w:rPr>
        <w:t xml:space="preserve">）</w:t>
      </w:r>
      <w:r/>
    </w:p>
    <w:p>
      <w:pPr>
        <w:spacing w:line="360" w:lineRule="auto"/>
        <w:rPr>
          <w:color w:val="auto"/>
          <w:highlight w:val="none"/>
        </w:rPr>
      </w:pPr>
      <w:r>
        <w:rPr>
          <w:color w:val="auto"/>
          <w:highlight w:val="none"/>
        </w:rPr>
        <w:br w:type="page" w:clear="all"/>
      </w:r>
      <w:r/>
    </w:p>
    <w:p>
      <w:pPr>
        <w:pStyle w:val="746"/>
        <w:rPr>
          <w:color w:val="auto"/>
          <w:highlight w:val="none"/>
        </w:rPr>
      </w:pPr>
      <w:r/>
      <w:bookmarkStart w:id="57" w:name="_Toc12472"/>
      <w:r/>
      <w:bookmarkStart w:id="58" w:name="_Toc55204181"/>
      <w:r>
        <w:rPr>
          <w:rFonts w:hint="eastAsia"/>
          <w:color w:val="auto"/>
          <w:highlight w:val="none"/>
        </w:rPr>
        <w:t xml:space="preserve">第五</w:t>
      </w:r>
      <w:r>
        <w:rPr>
          <w:rFonts w:hint="eastAsia"/>
          <w:color w:val="auto"/>
          <w:highlight w:val="none"/>
        </w:rPr>
        <w:t xml:space="preserve">章 评标方法及评标标准</w:t>
      </w:r>
      <w:bookmarkEnd w:id="57"/>
      <w:r/>
      <w:bookmarkEnd w:id="58"/>
      <w:r/>
      <w:r/>
    </w:p>
    <w:p>
      <w:pPr>
        <w:pStyle w:val="958"/>
        <w:ind w:firstLine="422"/>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pStyle w:val="958"/>
        <w:ind w:firstLine="42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bookmarkStart w:id="59" w:name="_Toc449016388"/>
      <w:r/>
      <w:bookmarkStart w:id="60" w:name="_Toc449017024"/>
      <w:r>
        <w:rPr>
          <w:rFonts w:hint="eastAsia" w:ascii="宋体" w:hAnsi="宋体" w:eastAsia="宋体" w:cs="宋体"/>
          <w:b/>
          <w:color w:val="auto"/>
          <w:sz w:val="21"/>
          <w:szCs w:val="21"/>
          <w:highlight w:val="none"/>
        </w:rPr>
        <w:t xml:space="preserve">二、政府采购政策功能落实</w:t>
      </w:r>
      <w:bookmarkEnd w:id="59"/>
      <w:r/>
      <w:bookmarkEnd w:id="60"/>
      <w:r/>
      <w:r/>
    </w:p>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58"/>
        <w:ind w:left="315" w:firstLine="105"/>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958"/>
        <w:ind w:firstLine="42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（1）本项目对小型和微型企业产品给予20%的扣除价格，用扣除后的价格参与评审。</w:t>
      </w:r>
      <w:r/>
    </w:p>
    <w:p>
      <w:pPr>
        <w:pStyle w:val="958"/>
        <w:ind w:firstLine="42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w:t>
      </w:r>
      <w:r>
        <w:rPr>
          <w:rFonts w:hint="eastAsia" w:ascii="宋体" w:hAnsi="宋体" w:eastAsia="宋体" w:cs="宋体"/>
          <w:color w:val="auto"/>
          <w:sz w:val="21"/>
          <w:szCs w:val="21"/>
          <w:highlight w:val="none"/>
          <w:lang w:val="en-US" w:eastAsia="zh-CN"/>
        </w:rPr>
        <w:t xml:space="preserve">中小</w:t>
      </w:r>
      <w:r>
        <w:rPr>
          <w:rFonts w:hint="eastAsia" w:ascii="宋体" w:hAnsi="宋体" w:eastAsia="宋体" w:cs="宋体"/>
          <w:color w:val="auto"/>
          <w:sz w:val="21"/>
          <w:szCs w:val="21"/>
          <w:highlight w:val="none"/>
        </w:rPr>
        <w:t xml:space="preserve">企业声明函》。</w:t>
      </w:r>
      <w:r/>
    </w:p>
    <w:p>
      <w:pPr>
        <w:pStyle w:val="958"/>
        <w:ind w:left="420"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958"/>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（1）本项目对残疾人福利性单位视同小型、微型企业，给予20%的价格扣除，用扣除后的价格参与评审。</w:t>
      </w:r>
      <w:r/>
    </w:p>
    <w:p>
      <w:pPr>
        <w:pStyle w:val="958"/>
        <w:ind w:left="420"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958"/>
        <w:ind w:firstLine="42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958"/>
        <w:ind w:left="420"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958"/>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（1）本项目对监狱和戒毒企业（简称监狱企业）视同小型、微型企业，给予20%的价格扣除，用扣除后的价格参与评审。</w:t>
      </w:r>
      <w:r/>
    </w:p>
    <w:p>
      <w:pPr>
        <w:pStyle w:val="958"/>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含新疆生产建设兵团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出具的属于监狱企业的证明文件。供应商如不提供上述证明文件，价格将不做相应扣除。</w:t>
      </w:r>
      <w:r/>
    </w:p>
    <w:p>
      <w:pPr>
        <w:pStyle w:val="958"/>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958"/>
        <w:ind w:firstLine="42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958"/>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958"/>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6、联合体各方均为小型、微型企业（残疾人福利单位、监狱企业）的，联合体享受20%价格扣除，用扣除后的价格参与评审。</w:t>
      </w:r>
      <w:r/>
    </w:p>
    <w:p>
      <w:pPr>
        <w:pStyle w:val="958"/>
        <w:ind w:firstLine="42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ind w:firstLine="422"/>
        <w:keepLines w:val="0"/>
        <w:keepNext w:val="0"/>
        <w:pageBreakBefore w:val="0"/>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三、评标标准</w:t>
      </w:r>
      <w:r/>
    </w:p>
    <w:tbl>
      <w:tblPr>
        <w:tblStyle w:val="756"/>
        <w:tblW w:w="9354" w:type="dxa"/>
        <w:tblInd w:w="-4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4"/>
        <w:gridCol w:w="1795"/>
        <w:gridCol w:w="6305"/>
      </w:tblGrid>
      <w:tr>
        <w:trPr>
          <w:trHeight w:val="2598"/>
        </w:trPr>
        <w:tc>
          <w:tcPr>
            <w:shd w:val="clear" w:color="auto" w:fill="auto"/>
            <w:tcW w:w="1254" w:type="dxa"/>
            <w:vAlign w:val="center"/>
            <w:textDirection w:val="lrTb"/>
            <w:noWrap w:val="false"/>
          </w:tcPr>
          <w:p>
            <w:pPr>
              <w:pStyle w:val="958"/>
              <w:ind w:lef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pStyle w:val="958"/>
              <w:ind w:lef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tc>
        <w:tc>
          <w:tcPr>
            <w:gridSpan w:val="2"/>
            <w:shd w:val="clear" w:color="auto" w:fill="auto"/>
            <w:tcW w:w="8100" w:type="dxa"/>
            <w:textDirection w:val="lrTb"/>
            <w:noWrap w:val="false"/>
          </w:tcPr>
          <w:p>
            <w:pPr>
              <w:pStyle w:val="958"/>
              <w:ind w:left="0" w:firstLine="0"/>
              <w:keepLines w:val="0"/>
              <w:keepNext w:val="0"/>
              <w:pageBreakBefore w:val="0"/>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以满足招标文件要求的最低报价为基准价，得10分；其它报价得分＝（基准价/其他报价）×10×100％。（保留2位小数）</w:t>
            </w:r>
            <w:r/>
          </w:p>
          <w:p>
            <w:pPr>
              <w:pStyle w:val="958"/>
              <w:ind w:left="0"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tc>
          <w:tcPr>
            <w:shd w:val="clear" w:color="auto" w:fill="auto"/>
            <w:tcW w:w="1254" w:type="dxa"/>
            <w:vAlign w:val="center"/>
            <w:vMerge w:val="restart"/>
            <w:textDirection w:val="lrTb"/>
            <w:noWrap w:val="false"/>
          </w:tcPr>
          <w:p>
            <w:pPr>
              <w:pStyle w:val="958"/>
              <w:ind w:lef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技术方案评价(</w:t>
            </w:r>
            <w:r>
              <w:rPr>
                <w:rFonts w:hint="eastAsia" w:ascii="宋体" w:hAnsi="宋体" w:eastAsia="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rPr>
              <w:t xml:space="preserve">分)</w:t>
            </w:r>
            <w:r/>
          </w:p>
        </w:tc>
        <w:tc>
          <w:tcPr>
            <w:shd w:val="clear" w:color="auto" w:fill="auto"/>
            <w:tcW w:w="179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项目背景解读 (10分)</w:t>
            </w:r>
            <w:r/>
          </w:p>
        </w:tc>
        <w:tc>
          <w:tcPr>
            <w:shd w:val="clear" w:color="auto" w:fill="auto"/>
            <w:tcW w:w="6305" w:type="dxa"/>
            <w:vAlign w:val="top"/>
            <w:textDirection w:val="lrTb"/>
            <w:noWrap w:val="false"/>
          </w:tcPr>
          <w:p>
            <w:pPr>
              <w:rPr>
                <w:rFonts w:ascii="Times New Roman" w:hAnsi="Times New Roman"/>
                <w:color w:val="auto"/>
                <w:highlight w:val="none"/>
              </w:rPr>
            </w:pPr>
            <w:r>
              <w:rPr>
                <w:rFonts w:hint="eastAsia" w:ascii="Times New Roman" w:hAnsi="Times New Roman"/>
                <w:color w:val="auto"/>
                <w:highlight w:val="none"/>
              </w:rPr>
              <w:t xml:space="preserve">投标人针对招标文件要求进行项目的背景解读，对上位和相关规划解析。</w:t>
            </w:r>
            <w:r/>
          </w:p>
          <w:p>
            <w:pPr>
              <w:jc w:val="left"/>
              <w:spacing w:line="360" w:lineRule="auto"/>
              <w:rPr>
                <w:rFonts w:hint="eastAsia" w:ascii="Times New Roman" w:hAnsi="Times New Roman"/>
                <w:color w:val="auto"/>
                <w:highlight w:val="none"/>
              </w:rPr>
            </w:pPr>
            <w:r>
              <w:rPr>
                <w:rFonts w:hint="eastAsia" w:ascii="Times New Roman" w:hAnsi="Times New Roman"/>
                <w:color w:val="auto"/>
                <w:highlight w:val="none"/>
              </w:rPr>
              <w:t xml:space="preserve">内容完整、认知准确的得</w:t>
            </w:r>
            <w:r>
              <w:rPr>
                <w:rFonts w:ascii="Times New Roman" w:hAnsi="Times New Roman"/>
                <w:color w:val="auto"/>
                <w:highlight w:val="none"/>
              </w:rPr>
              <w:t xml:space="preserve">10</w:t>
            </w:r>
            <w:r>
              <w:rPr>
                <w:rFonts w:hint="eastAsia" w:ascii="Times New Roman" w:hAnsi="Times New Roman"/>
                <w:color w:val="auto"/>
                <w:highlight w:val="none"/>
              </w:rPr>
              <w:t xml:space="preserve">分；</w:t>
            </w:r>
            <w:r/>
          </w:p>
          <w:p>
            <w:pPr>
              <w:jc w:val="left"/>
              <w:spacing w:line="360" w:lineRule="auto"/>
              <w:rPr>
                <w:rFonts w:hint="eastAsia" w:ascii="Times New Roman" w:hAnsi="Times New Roman"/>
                <w:color w:val="auto"/>
                <w:highlight w:val="none"/>
              </w:rPr>
            </w:pPr>
            <w:r>
              <w:rPr>
                <w:rFonts w:hint="eastAsia" w:ascii="Times New Roman" w:hAnsi="Times New Roman"/>
                <w:color w:val="auto"/>
                <w:highlight w:val="none"/>
              </w:rPr>
              <w:t xml:space="preserve">内容较完整、认知较准确的得</w:t>
            </w:r>
            <w:r>
              <w:rPr>
                <w:rFonts w:ascii="Times New Roman" w:hAnsi="Times New Roman"/>
                <w:color w:val="auto"/>
                <w:highlight w:val="none"/>
              </w:rPr>
              <w:t xml:space="preserve">7</w:t>
            </w:r>
            <w:r>
              <w:rPr>
                <w:rFonts w:hint="eastAsia" w:ascii="Times New Roman" w:hAnsi="Times New Roman"/>
                <w:color w:val="auto"/>
                <w:highlight w:val="none"/>
              </w:rPr>
              <w:t xml:space="preserve">分；</w:t>
            </w:r>
            <w:r/>
          </w:p>
          <w:p>
            <w:pPr>
              <w:jc w:val="left"/>
              <w:spacing w:line="360" w:lineRule="auto"/>
              <w:rPr>
                <w:rFonts w:hint="eastAsia" w:ascii="Times New Roman" w:hAnsi="Times New Roman"/>
                <w:color w:val="auto"/>
                <w:highlight w:val="none"/>
              </w:rPr>
            </w:pPr>
            <w:r>
              <w:rPr>
                <w:rFonts w:hint="eastAsia" w:ascii="Times New Roman" w:hAnsi="Times New Roman"/>
                <w:color w:val="auto"/>
                <w:highlight w:val="none"/>
              </w:rPr>
              <w:t xml:space="preserve">内容一般，认知一般的得4分，</w:t>
            </w:r>
            <w:r/>
          </w:p>
          <w:p>
            <w:pPr>
              <w:jc w:val="left"/>
              <w:spacing w:line="360" w:lineRule="auto"/>
              <w:rPr>
                <w:rFonts w:hint="eastAsia" w:ascii="Times New Roman" w:hAnsi="Times New Roman"/>
                <w:color w:val="auto"/>
                <w:highlight w:val="none"/>
              </w:rPr>
            </w:pPr>
            <w:r>
              <w:rPr>
                <w:rFonts w:hint="eastAsia" w:ascii="Times New Roman" w:hAnsi="Times New Roman"/>
                <w:color w:val="auto"/>
                <w:highlight w:val="none"/>
              </w:rPr>
              <w:t xml:space="preserve">内容不完整、认知不准确得</w:t>
            </w:r>
            <w:r>
              <w:rPr>
                <w:rFonts w:ascii="Times New Roman" w:hAnsi="Times New Roman"/>
                <w:color w:val="auto"/>
                <w:highlight w:val="none"/>
              </w:rPr>
              <w:t xml:space="preserve">1</w:t>
            </w:r>
            <w:r>
              <w:rPr>
                <w:rFonts w:hint="eastAsia" w:ascii="Times New Roman" w:hAnsi="Times New Roman"/>
                <w:color w:val="auto"/>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Times New Roman" w:hAnsi="Times New Roman"/>
                <w:color w:val="auto"/>
                <w:highlight w:val="none"/>
              </w:rPr>
              <w:t xml:space="preserve">其余不得分。</w:t>
            </w:r>
            <w:r/>
          </w:p>
        </w:tc>
      </w:tr>
      <w:tr>
        <w:trPr/>
        <w:tc>
          <w:tcPr>
            <w:shd w:val="clear" w:color="auto" w:fill="auto"/>
            <w:tcW w:w="1254" w:type="dxa"/>
            <w:vAlign w:val="center"/>
            <w:vMerge w:val="continue"/>
            <w:textDirection w:val="lrTb"/>
            <w:noWrap w:val="false"/>
          </w:tcPr>
          <w:p>
            <w:pPr>
              <w:pStyle w:val="958"/>
              <w:ind w:lef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795" w:type="dxa"/>
            <w:vAlign w:val="center"/>
            <w:textDirection w:val="lrTb"/>
            <w:noWrap w:val="false"/>
          </w:tcPr>
          <w:p>
            <w:pPr>
              <w:pStyle w:val="958"/>
              <w:ind w:lef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现状认知与分析评估(</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shd w:val="clear" w:color="auto" w:fill="auto"/>
            <w:tcW w:w="6305" w:type="dxa"/>
            <w:vAlign w:val="center"/>
            <w:textDirection w:val="lrTb"/>
            <w:noWrap w:val="false"/>
          </w:tcPr>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投标人针对招标文件要求进行项目的现实研判，并对上位规划及相关规划进行综合评估，分析市区</w:t>
            </w:r>
            <w:r>
              <w:rPr>
                <w:rFonts w:hint="eastAsia" w:ascii="宋体" w:hAnsi="宋体" w:eastAsia="宋体" w:cs="宋体"/>
                <w:color w:val="auto"/>
                <w:sz w:val="21"/>
                <w:szCs w:val="21"/>
                <w:highlight w:val="none"/>
                <w:lang w:val="en-US" w:eastAsia="zh-CN"/>
              </w:rPr>
              <w:t xml:space="preserve">养老服务</w:t>
            </w:r>
            <w:r>
              <w:rPr>
                <w:rFonts w:hint="eastAsia" w:ascii="宋体" w:hAnsi="宋体" w:eastAsia="宋体" w:cs="宋体"/>
                <w:color w:val="auto"/>
                <w:sz w:val="21"/>
                <w:szCs w:val="21"/>
                <w:highlight w:val="none"/>
              </w:rPr>
              <w:t xml:space="preserve">设施存在问题。</w:t>
            </w:r>
            <w:r/>
          </w:p>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现状分析内容完善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认知准确的得10分；</w:t>
            </w:r>
            <w:r/>
          </w:p>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内容较完整、认知较准确的得7分；</w:t>
            </w:r>
            <w:r/>
          </w:p>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内容一般，认知一般的得4分，</w:t>
            </w:r>
            <w:r/>
          </w:p>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内容不完整、认知不准确得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其余不得分。</w:t>
            </w:r>
            <w:r/>
          </w:p>
        </w:tc>
      </w:tr>
      <w:tr>
        <w:trPr/>
        <w:tc>
          <w:tcPr>
            <w:shd w:val="clear" w:color="auto" w:fill="auto"/>
            <w:tcW w:w="1254" w:type="dxa"/>
            <w:vAlign w:val="center"/>
            <w:vMerge w:val="continue"/>
            <w:textDirection w:val="lrTb"/>
            <w:noWrap w:val="false"/>
          </w:tcPr>
          <w:p>
            <w:pPr>
              <w:pStyle w:val="958"/>
              <w:ind w:firstLine="42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795" w:type="dxa"/>
            <w:vAlign w:val="center"/>
            <w:textDirection w:val="lrTb"/>
            <w:noWrap w:val="false"/>
          </w:tcPr>
          <w:p>
            <w:pPr>
              <w:pStyle w:val="958"/>
              <w:ind w:lef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工作思路、重点和技术路线(</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shd w:val="clear" w:color="auto" w:fill="auto"/>
            <w:tcW w:w="6305" w:type="dxa"/>
            <w:vAlign w:val="center"/>
            <w:textDirection w:val="lrTb"/>
            <w:noWrap w:val="false"/>
          </w:tcPr>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合理把握项目重点，提出科学合理的工作思路和技术路线。</w:t>
            </w:r>
            <w:r/>
          </w:p>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工作重点把握准确，工作思路清晰，技术路线内容合理，可实施性强，得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工作重点把握基本正确、工作思路较清晰，技术路线较合理，得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工作重点把握不准确、工作思路不清晰，技术路线不合理，得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工作重点不准确</w:t>
            </w:r>
            <w:r>
              <w:rPr>
                <w:rFonts w:hint="eastAsia" w:ascii="宋体" w:hAnsi="宋体" w:eastAsia="宋体" w:cs="宋体"/>
                <w:color w:val="auto"/>
                <w:sz w:val="21"/>
                <w:szCs w:val="21"/>
                <w:highlight w:val="none"/>
              </w:rPr>
              <w:t xml:space="preserve">，表述的内容</w:t>
            </w:r>
            <w:r>
              <w:rPr>
                <w:rFonts w:hint="eastAsia" w:ascii="宋体" w:hAnsi="宋体" w:eastAsia="宋体" w:cs="宋体"/>
                <w:color w:val="auto"/>
                <w:sz w:val="21"/>
                <w:szCs w:val="21"/>
                <w:highlight w:val="none"/>
                <w:lang w:val="en-US" w:eastAsia="zh-CN"/>
              </w:rPr>
              <w:t xml:space="preserve">少</w:t>
            </w:r>
            <w:r>
              <w:rPr>
                <w:rFonts w:hint="eastAsia" w:ascii="宋体" w:hAnsi="宋体" w:eastAsia="宋体" w:cs="宋体"/>
                <w:color w:val="auto"/>
                <w:sz w:val="21"/>
                <w:szCs w:val="21"/>
                <w:highlight w:val="none"/>
              </w:rPr>
              <w:t xml:space="preserve">的得1分</w:t>
            </w:r>
            <w:r>
              <w:rPr>
                <w:rFonts w:hint="eastAsia" w:ascii="宋体" w:hAnsi="宋体" w:eastAsia="宋体" w:cs="宋体"/>
                <w:color w:val="auto"/>
                <w:sz w:val="21"/>
                <w:szCs w:val="21"/>
                <w:highlight w:val="none"/>
                <w:lang w:eastAsia="zh-CN"/>
              </w:rPr>
              <w:t xml:space="preserve">；</w:t>
            </w:r>
            <w:r/>
          </w:p>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其余不得分。</w:t>
            </w:r>
            <w:r/>
          </w:p>
        </w:tc>
      </w:tr>
      <w:tr>
        <w:trPr/>
        <w:tc>
          <w:tcPr>
            <w:shd w:val="clear" w:color="auto" w:fill="auto"/>
            <w:tcW w:w="1254" w:type="dxa"/>
            <w:vAlign w:val="center"/>
            <w:vMerge w:val="continue"/>
            <w:textDirection w:val="lrTb"/>
            <w:noWrap w:val="false"/>
          </w:tcPr>
          <w:p>
            <w:pPr>
              <w:pStyle w:val="958"/>
              <w:ind w:firstLine="42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795" w:type="dxa"/>
            <w:vAlign w:val="center"/>
            <w:textDirection w:val="lrTb"/>
            <w:noWrap w:val="false"/>
          </w:tcPr>
          <w:p>
            <w:pPr>
              <w:pStyle w:val="958"/>
              <w:ind w:left="0"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规划理念和方案构思(</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tc>
        <w:tc>
          <w:tcPr>
            <w:shd w:val="clear" w:color="auto" w:fill="auto"/>
            <w:tcW w:w="6305" w:type="dxa"/>
            <w:vAlign w:val="center"/>
            <w:textDirection w:val="lrTb"/>
            <w:noWrap w:val="false"/>
          </w:tcPr>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结合项目现状认知和工作重点，根据投标人对招标文件要求提出项目科学的规划理念，制定针对性强、科学性高的初步构思方案</w:t>
            </w:r>
            <w:r>
              <w:rPr>
                <w:rFonts w:hint="eastAsia" w:ascii="宋体" w:hAnsi="宋体" w:eastAsia="宋体" w:cs="宋体"/>
                <w:color w:val="auto"/>
                <w:sz w:val="21"/>
                <w:szCs w:val="21"/>
                <w:highlight w:val="none"/>
                <w:lang w:eastAsia="zh-CN"/>
              </w:rPr>
              <w:t xml:space="preserve">（科学预测养老服务设施的需求量；养老服务设施发展策略和配套标准；明确各类养老服务设施的具体位置、用地规模、建设标准等）。</w:t>
            </w:r>
            <w:r/>
          </w:p>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规划理念科学而有创新的，提出的预测方案和选址布局科学而又符合地区发展实际的得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eastAsia="zh-CN"/>
              </w:rPr>
              <w:t xml:space="preserve">分；</w:t>
            </w:r>
            <w:r/>
          </w:p>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规划理念基本合理，有关于方案构思的初步设想基本合理的得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eastAsia="zh-CN"/>
              </w:rPr>
              <w:t xml:space="preserve">分；</w:t>
            </w:r>
            <w:r/>
          </w:p>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提出了规划理念和初步构思，但不尽合理或缺少规划理念和初步方案构思的，得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分；</w:t>
            </w:r>
            <w:r/>
          </w:p>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对规划理念基本合理，总体构思的谋划不太得当，规划结构方案</w:t>
            </w:r>
            <w:r>
              <w:rPr>
                <w:rFonts w:hint="eastAsia" w:ascii="宋体" w:hAnsi="宋体" w:eastAsia="宋体" w:cs="宋体"/>
                <w:color w:val="auto"/>
                <w:sz w:val="21"/>
                <w:szCs w:val="21"/>
                <w:highlight w:val="none"/>
                <w:lang w:val="en-US" w:eastAsia="zh-CN"/>
              </w:rPr>
              <w:t xml:space="preserve">不完整，</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w:t>
            </w:r>
            <w:r/>
          </w:p>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规划理念构思内容无科学性，无针对性得3分。</w:t>
            </w:r>
            <w:r/>
          </w:p>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未提供不得分。</w:t>
            </w:r>
            <w:r/>
          </w:p>
        </w:tc>
      </w:tr>
      <w:tr>
        <w:trPr/>
        <w:tc>
          <w:tcPr>
            <w:shd w:val="clear" w:color="auto" w:fill="auto"/>
            <w:tcW w:w="1254" w:type="dxa"/>
            <w:vAlign w:val="center"/>
            <w:vMerge w:val="continue"/>
            <w:textDirection w:val="lrTb"/>
            <w:noWrap w:val="false"/>
          </w:tcPr>
          <w:p>
            <w:pPr>
              <w:pStyle w:val="958"/>
              <w:ind w:firstLine="42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795" w:type="dxa"/>
            <w:vAlign w:val="center"/>
            <w:textDirection w:val="lrTb"/>
            <w:noWrap w:val="false"/>
          </w:tcPr>
          <w:p>
            <w:pPr>
              <w:pStyle w:val="958"/>
              <w:ind w:left="0"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成果框架和工作方案(</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shd w:val="clear" w:color="auto" w:fill="auto"/>
            <w:tcW w:w="6305" w:type="dxa"/>
            <w:vAlign w:val="center"/>
            <w:textDirection w:val="lrTb"/>
            <w:noWrap w:val="false"/>
          </w:tcPr>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拟定科学详尽、合理的成果框架、工作方案和时间进度安排。</w:t>
            </w:r>
            <w:r/>
          </w:p>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成果框架、工作方案、进度计划符合要求，安排详尽，可操作性强，得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分；</w:t>
            </w:r>
            <w:r/>
          </w:p>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成果框架、工作方案较完整，进度计划较合理，符合时间要求，得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分；</w:t>
            </w:r>
            <w:r/>
          </w:p>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成果框架、工作方案完整</w:t>
            </w:r>
            <w:r>
              <w:rPr>
                <w:rFonts w:hint="eastAsia" w:ascii="宋体" w:hAnsi="宋体" w:eastAsia="宋体" w:cs="宋体"/>
                <w:color w:val="auto"/>
                <w:sz w:val="21"/>
                <w:szCs w:val="21"/>
                <w:highlight w:val="none"/>
                <w:lang w:val="en-US" w:eastAsia="zh-CN"/>
              </w:rPr>
              <w:t xml:space="preserve">度欠缺</w:t>
            </w:r>
            <w:r>
              <w:rPr>
                <w:rFonts w:hint="eastAsia" w:ascii="宋体" w:hAnsi="宋体" w:eastAsia="宋体" w:cs="宋体"/>
                <w:color w:val="auto"/>
                <w:sz w:val="21"/>
                <w:szCs w:val="21"/>
                <w:highlight w:val="none"/>
                <w:lang w:eastAsia="zh-CN"/>
              </w:rPr>
              <w:t xml:space="preserve">，进度计划</w:t>
            </w:r>
            <w:r>
              <w:rPr>
                <w:rFonts w:hint="eastAsia" w:ascii="宋体" w:hAnsi="宋体" w:eastAsia="宋体" w:cs="宋体"/>
                <w:color w:val="auto"/>
                <w:sz w:val="21"/>
                <w:szCs w:val="21"/>
                <w:highlight w:val="none"/>
                <w:lang w:val="en-US" w:eastAsia="zh-CN"/>
              </w:rPr>
              <w:t xml:space="preserve">不详细</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p>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成果框架、工作方案不完整，或进度计划不符合要求，得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p>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未提供不得分。</w:t>
            </w:r>
            <w:r/>
          </w:p>
        </w:tc>
      </w:tr>
      <w:tr>
        <w:trPr/>
        <w:tc>
          <w:tcPr>
            <w:shd w:val="clear" w:color="auto" w:fill="auto"/>
            <w:tcW w:w="1254" w:type="dxa"/>
            <w:vAlign w:val="center"/>
            <w:textDirection w:val="lrTb"/>
            <w:noWrap w:val="false"/>
          </w:tcPr>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服务承诺</w:t>
            </w:r>
            <w:r/>
          </w:p>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w:t>
            </w:r>
            <w:r/>
          </w:p>
        </w:tc>
        <w:tc>
          <w:tcPr>
            <w:gridSpan w:val="2"/>
            <w:shd w:val="clear" w:color="auto" w:fill="auto"/>
            <w:tcW w:w="8100" w:type="dxa"/>
            <w:vAlign w:val="center"/>
            <w:textDirection w:val="lrTb"/>
            <w:noWrap w:val="false"/>
          </w:tcPr>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1、投标人</w:t>
            </w:r>
            <w:r>
              <w:rPr>
                <w:rFonts w:hint="eastAsia" w:ascii="宋体" w:hAnsi="宋体" w:eastAsia="宋体" w:cs="宋体"/>
                <w:color w:val="auto"/>
                <w:sz w:val="21"/>
                <w:szCs w:val="21"/>
                <w:highlight w:val="none"/>
                <w:lang w:eastAsia="zh-CN"/>
              </w:rPr>
              <w:t xml:space="preserve">承诺项目编制过程中，现状调研不少于</w:t>
            </w:r>
            <w:r>
              <w:rPr>
                <w:rFonts w:hint="eastAsia" w:ascii="宋体" w:hAnsi="宋体" w:eastAsia="宋体" w:cs="宋体"/>
                <w:color w:val="auto"/>
                <w:sz w:val="21"/>
                <w:szCs w:val="21"/>
                <w:highlight w:val="none"/>
                <w:lang w:val="en-US" w:eastAsia="zh-CN"/>
              </w:rPr>
              <w:t xml:space="preserve">10天</w:t>
            </w:r>
            <w:r>
              <w:rPr>
                <w:rFonts w:hint="eastAsia" w:ascii="宋体" w:hAnsi="宋体" w:eastAsia="宋体" w:cs="宋体"/>
                <w:color w:val="auto"/>
                <w:sz w:val="21"/>
                <w:szCs w:val="21"/>
                <w:highlight w:val="none"/>
                <w:lang w:eastAsia="zh-CN"/>
              </w:rPr>
              <w:t xml:space="preserve">，承诺项目负责人全程负责本项目，得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color w:val="auto"/>
                <w:sz w:val="21"/>
                <w:szCs w:val="21"/>
                <w:highlight w:val="none"/>
                <w:lang w:val="en-US" w:eastAsia="zh-CN"/>
              </w:rPr>
              <w:t xml:space="preserve">未承诺或有缺漏本项不得分。</w:t>
            </w:r>
            <w:r>
              <w:rPr>
                <w:rFonts w:hint="eastAsia" w:ascii="宋体" w:hAnsi="宋体" w:eastAsia="宋体" w:cs="宋体"/>
                <w:b/>
                <w:bCs/>
                <w:color w:val="auto"/>
                <w:sz w:val="21"/>
                <w:szCs w:val="21"/>
                <w:highlight w:val="none"/>
                <w:lang w:val="zh-CN" w:eastAsia="zh-CN"/>
              </w:rPr>
              <w:t xml:space="preserve">（提供</w:t>
            </w:r>
            <w:r>
              <w:rPr>
                <w:rFonts w:hint="eastAsia" w:ascii="宋体" w:hAnsi="宋体" w:eastAsia="宋体" w:cs="宋体"/>
                <w:b/>
                <w:bCs/>
                <w:color w:val="auto"/>
                <w:sz w:val="21"/>
                <w:szCs w:val="21"/>
                <w:highlight w:val="none"/>
                <w:lang w:val="en-US" w:eastAsia="zh-CN"/>
              </w:rPr>
              <w:t xml:space="preserve">承诺书</w:t>
            </w:r>
            <w:r>
              <w:rPr>
                <w:rFonts w:hint="eastAsia" w:ascii="宋体" w:hAnsi="宋体" w:eastAsia="宋体" w:cs="宋体"/>
                <w:b/>
                <w:bCs/>
                <w:color w:val="auto"/>
                <w:sz w:val="21"/>
                <w:szCs w:val="21"/>
                <w:highlight w:val="none"/>
                <w:lang w:val="zh-CN" w:eastAsia="zh-CN"/>
              </w:rPr>
              <w:t xml:space="preserve">原件扫描上传）</w:t>
            </w:r>
            <w:r/>
          </w:p>
          <w:p>
            <w:pPr>
              <w:pStyle w:val="958"/>
              <w:ind w:left="0" w:firstLine="0"/>
              <w:keepLines w:val="0"/>
              <w:keepNext w:val="0"/>
              <w:pageBreakBefore w:val="0"/>
              <w:spacing w:before="0" w:after="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2、投标人</w:t>
            </w:r>
            <w:r>
              <w:rPr>
                <w:rFonts w:hint="eastAsia" w:ascii="宋体" w:hAnsi="宋体" w:eastAsia="宋体" w:cs="宋体"/>
                <w:color w:val="auto"/>
                <w:sz w:val="21"/>
                <w:szCs w:val="21"/>
                <w:highlight w:val="none"/>
                <w:lang w:eastAsia="zh-CN"/>
              </w:rPr>
              <w:t xml:space="preserve">承诺保质保量按期完成编制核定工作，得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b/>
                <w:bCs/>
                <w:color w:val="auto"/>
                <w:sz w:val="21"/>
                <w:szCs w:val="21"/>
                <w:highlight w:val="none"/>
                <w:lang w:val="zh-CN" w:eastAsia="zh-CN"/>
              </w:rPr>
              <w:t xml:space="preserve">（提供</w:t>
            </w:r>
            <w:r>
              <w:rPr>
                <w:rFonts w:hint="eastAsia" w:ascii="宋体" w:hAnsi="宋体" w:eastAsia="宋体" w:cs="宋体"/>
                <w:b/>
                <w:bCs/>
                <w:color w:val="auto"/>
                <w:sz w:val="21"/>
                <w:szCs w:val="21"/>
                <w:highlight w:val="none"/>
                <w:lang w:val="en-US" w:eastAsia="zh-CN"/>
              </w:rPr>
              <w:t xml:space="preserve">承诺书</w:t>
            </w:r>
            <w:r>
              <w:rPr>
                <w:rFonts w:hint="eastAsia" w:ascii="宋体" w:hAnsi="宋体" w:eastAsia="宋体" w:cs="宋体"/>
                <w:b/>
                <w:bCs/>
                <w:color w:val="auto"/>
                <w:sz w:val="21"/>
                <w:szCs w:val="21"/>
                <w:highlight w:val="none"/>
                <w:lang w:val="zh-CN" w:eastAsia="zh-CN"/>
              </w:rPr>
              <w:t xml:space="preserve">原件扫描上传）</w:t>
            </w:r>
            <w:r/>
          </w:p>
        </w:tc>
      </w:tr>
      <w:tr>
        <w:trPr/>
        <w:tc>
          <w:tcPr>
            <w:shd w:val="clear" w:color="auto" w:fill="auto"/>
            <w:tcW w:w="1254" w:type="dxa"/>
            <w:vAlign w:val="center"/>
            <w:textDirection w:val="lrTb"/>
            <w:noWrap w:val="false"/>
          </w:tcPr>
          <w:p>
            <w:pPr>
              <w:pStyle w:val="958"/>
              <w:ind w:lef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企业实力（</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分）</w:t>
            </w:r>
            <w:r/>
          </w:p>
        </w:tc>
        <w:tc>
          <w:tcPr>
            <w:gridSpan w:val="2"/>
            <w:shd w:val="clear" w:color="auto" w:fill="auto"/>
            <w:tcW w:w="8100" w:type="dxa"/>
            <w:textDirection w:val="lrTb"/>
            <w:noWrap w:val="false"/>
          </w:tcPr>
          <w:p>
            <w:pPr>
              <w:spacing w:line="360" w:lineRule="auto"/>
              <w:rPr>
                <w:rFonts w:hint="eastAsia"/>
                <w:b/>
                <w:bCs/>
                <w:color w:val="auto"/>
                <w:highlight w:val="none"/>
                <w:lang w:val="zh-CN"/>
              </w:rPr>
            </w:pPr>
            <w:r>
              <w:rPr>
                <w:rFonts w:hint="eastAsia"/>
                <w:color w:val="auto"/>
                <w:highlight w:val="none"/>
                <w:lang w:val="zh-CN"/>
              </w:rPr>
              <w:t xml:space="preserve">1、</w:t>
            </w:r>
            <w:r>
              <w:rPr>
                <w:rFonts w:hint="eastAsia" w:ascii="宋体" w:hAnsi="宋体" w:cs="宋体"/>
                <w:color w:val="auto"/>
                <w:szCs w:val="21"/>
                <w:highlight w:val="none"/>
                <w:lang w:val="zh-CN"/>
              </w:rPr>
              <w:t xml:space="preserve">投标人具有有效的质量管理体系认证得</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分。</w:t>
            </w:r>
            <w:r>
              <w:rPr>
                <w:rFonts w:hint="eastAsia" w:ascii="宋体" w:hAnsi="宋体" w:cs="宋体"/>
                <w:b/>
                <w:bCs/>
                <w:color w:val="auto"/>
                <w:szCs w:val="21"/>
                <w:highlight w:val="none"/>
                <w:lang w:val="zh-CN"/>
              </w:rPr>
              <w:t xml:space="preserve">（提供证书原件扫描上传，并附国家认监委网站查询截图）</w:t>
            </w:r>
            <w:r/>
          </w:p>
          <w:p>
            <w:pPr>
              <w:spacing w:line="360" w:lineRule="auto"/>
              <w:rPr>
                <w:rFonts w:hint="eastAsia"/>
                <w:b/>
                <w:bCs/>
                <w:color w:val="auto"/>
                <w:highlight w:val="none"/>
                <w:lang w:val="zh-CN"/>
              </w:rPr>
            </w:pPr>
            <w:r>
              <w:rPr>
                <w:rFonts w:hint="eastAsia"/>
                <w:color w:val="auto"/>
                <w:highlight w:val="none"/>
                <w:lang w:val="zh-CN"/>
              </w:rPr>
              <w:t xml:space="preserve">2、投标人具有有效的环境管理体系认证得</w:t>
            </w:r>
            <w:r>
              <w:rPr>
                <w:rFonts w:hint="eastAsia"/>
                <w:color w:val="auto"/>
                <w:highlight w:val="none"/>
              </w:rPr>
              <w:t xml:space="preserve">1</w:t>
            </w:r>
            <w:r>
              <w:rPr>
                <w:rFonts w:hint="eastAsia"/>
                <w:color w:val="auto"/>
                <w:highlight w:val="none"/>
                <w:lang w:val="zh-CN"/>
              </w:rPr>
              <w:t xml:space="preserve">分。</w:t>
            </w:r>
            <w:r>
              <w:rPr>
                <w:rFonts w:hint="eastAsia"/>
                <w:b/>
                <w:bCs/>
                <w:color w:val="auto"/>
                <w:highlight w:val="none"/>
                <w:lang w:val="zh-CN"/>
              </w:rPr>
              <w:t xml:space="preserve">（提供证书原件扫描上传，并附国家认监委网站查询截图）</w:t>
            </w:r>
            <w:r/>
          </w:p>
          <w:p>
            <w:pPr>
              <w:spacing w:line="360" w:lineRule="auto"/>
              <w:rPr>
                <w:rFonts w:hint="eastAsia"/>
                <w:b/>
                <w:bCs/>
                <w:color w:val="auto"/>
                <w:highlight w:val="none"/>
                <w:lang w:val="zh-CN"/>
              </w:rPr>
            </w:pPr>
            <w:r>
              <w:rPr>
                <w:rFonts w:hint="eastAsia"/>
                <w:color w:val="auto"/>
                <w:highlight w:val="none"/>
                <w:lang w:val="zh-CN"/>
              </w:rPr>
              <w:t xml:space="preserve">3、投标人具有有效的职业健康与安全管理体系认证得</w:t>
            </w:r>
            <w:r>
              <w:rPr>
                <w:rFonts w:hint="eastAsia"/>
                <w:color w:val="auto"/>
                <w:highlight w:val="none"/>
              </w:rPr>
              <w:t xml:space="preserve">1</w:t>
            </w:r>
            <w:r>
              <w:rPr>
                <w:rFonts w:hint="eastAsia"/>
                <w:color w:val="auto"/>
                <w:highlight w:val="none"/>
                <w:lang w:val="zh-CN"/>
              </w:rPr>
              <w:t xml:space="preserve">分。</w:t>
            </w:r>
            <w:r>
              <w:rPr>
                <w:rFonts w:hint="eastAsia"/>
                <w:b/>
                <w:bCs/>
                <w:color w:val="auto"/>
                <w:highlight w:val="none"/>
                <w:lang w:val="zh-CN"/>
              </w:rPr>
              <w:t xml:space="preserve">（提供证书原件扫描上传，并附国家认监委网站查询截图）</w:t>
            </w:r>
            <w:r/>
          </w:p>
          <w:p>
            <w:pPr>
              <w:pStyle w:val="7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、自20</w:t>
            </w: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年1月1日以来承担过</w:t>
            </w:r>
            <w:r>
              <w:rPr>
                <w:rFonts w:hint="eastAsia"/>
                <w:color w:val="auto"/>
                <w:highlight w:val="none"/>
                <w:lang w:val="en-US" w:eastAsia="zh-CN"/>
              </w:rPr>
              <w:t xml:space="preserve">类似</w:t>
            </w:r>
            <w:r>
              <w:rPr>
                <w:rFonts w:hint="eastAsia" w:ascii="宋体" w:hAnsi="宋体" w:eastAsia="宋体" w:cs="宋体"/>
                <w:color w:val="auto"/>
                <w:sz w:val="21"/>
                <w:szCs w:val="21"/>
                <w:highlight w:val="none"/>
              </w:rPr>
              <w:t xml:space="preserve">规划或规划研究项目，获得市级奖项的有1个得0.5分；获得省级及以上奖项的有1个得1分。本项满分</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（同一项目奖项按最高奖项计算得分，不重复计分。以获奖证书颁发时间为准，提供获奖证书原件扫描上传）</w:t>
            </w:r>
            <w:r/>
          </w:p>
        </w:tc>
      </w:tr>
      <w:tr>
        <w:trPr>
          <w:trHeight w:val="699"/>
        </w:trPr>
        <w:tc>
          <w:tcPr>
            <w:shd w:val="clear" w:color="auto" w:fill="auto"/>
            <w:tcW w:w="1254" w:type="dxa"/>
            <w:vAlign w:val="center"/>
            <w:textDirection w:val="lrTb"/>
            <w:noWrap w:val="false"/>
          </w:tcPr>
          <w:p>
            <w:pPr>
              <w:pStyle w:val="958"/>
              <w:ind w:lef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团队实力（</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gridSpan w:val="2"/>
            <w:shd w:val="clear" w:color="auto" w:fill="auto"/>
            <w:tcW w:w="8100" w:type="dxa"/>
            <w:textDirection w:val="lrTb"/>
            <w:noWrap w:val="false"/>
          </w:tcPr>
          <w:p>
            <w:pPr>
              <w:pStyle w:val="958"/>
              <w:ind w:left="0"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1、项目负责人：</w:t>
            </w:r>
            <w:r>
              <w:rPr>
                <w:rFonts w:hint="eastAsia" w:ascii="宋体" w:hAnsi="宋体" w:cs="宋体"/>
                <w:color w:val="auto"/>
                <w:sz w:val="21"/>
                <w:szCs w:val="21"/>
                <w:highlight w:val="none"/>
                <w:lang w:val="en-US" w:eastAsia="zh-CN"/>
              </w:rPr>
              <w:t xml:space="preserve">同时具</w:t>
            </w:r>
            <w:r>
              <w:rPr>
                <w:rFonts w:hint="eastAsia" w:ascii="宋体" w:hAnsi="宋体" w:eastAsia="宋体" w:cs="宋体"/>
                <w:color w:val="auto"/>
                <w:sz w:val="21"/>
                <w:szCs w:val="21"/>
                <w:highlight w:val="none"/>
              </w:rPr>
              <w:t xml:space="preserve">有高级职称和国家注册城市（乡）规划师证书的得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（须提供证书及投标人近三个月内任意一个月为其缴纳社保的证明，原件扫描上传）</w:t>
            </w:r>
            <w:r/>
          </w:p>
          <w:p>
            <w:pPr>
              <w:pStyle w:val="958"/>
              <w:ind w:left="0" w:firstLine="0"/>
              <w:keepLines w:val="0"/>
              <w:keepNext w:val="0"/>
              <w:pageBreakBefore w:val="0"/>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2、项目组成员（除项目负责人外）：</w:t>
            </w:r>
            <w:r>
              <w:rPr>
                <w:rFonts w:hint="eastAsia" w:ascii="宋体" w:hAnsi="宋体" w:cs="宋体"/>
                <w:color w:val="auto"/>
                <w:sz w:val="21"/>
                <w:szCs w:val="21"/>
                <w:highlight w:val="none"/>
                <w:lang w:val="en-US" w:eastAsia="zh-CN"/>
              </w:rPr>
              <w:t xml:space="preserve">             </w:t>
            </w:r>
            <w:r/>
          </w:p>
          <w:p>
            <w:pPr>
              <w:pStyle w:val="958"/>
              <w:ind w:left="0"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（1）项目组成员具备注册城市（乡）规划师的，</w:t>
            </w:r>
            <w:r>
              <w:rPr>
                <w:rFonts w:hint="eastAsia" w:ascii="宋体" w:hAnsi="宋体" w:eastAsia="宋体" w:cs="宋体"/>
                <w:color w:val="auto"/>
                <w:sz w:val="21"/>
                <w:szCs w:val="21"/>
                <w:highlight w:val="none"/>
                <w:lang w:val="zh-CN"/>
              </w:rPr>
              <w:t xml:space="preserve">每有一人得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分，满分</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分</w:t>
            </w:r>
            <w:r>
              <w:rPr>
                <w:rFonts w:hint="eastAsia" w:ascii="宋体" w:hAnsi="宋体" w:eastAsia="宋体" w:cs="宋体"/>
                <w:color w:val="auto"/>
                <w:sz w:val="21"/>
                <w:szCs w:val="21"/>
                <w:highlight w:val="none"/>
              </w:rPr>
              <w:t xml:space="preserve">。</w:t>
            </w:r>
            <w:r/>
          </w:p>
          <w:p>
            <w:pPr>
              <w:pStyle w:val="958"/>
              <w:ind w:left="0" w:firstLine="0"/>
              <w:keepLines w:val="0"/>
              <w:keepNext w:val="0"/>
              <w:pageBreakBefore w:val="0"/>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项目组成员需包含建筑、景观、交通专业，具有高级及以上技术职称。</w:t>
            </w:r>
            <w:r/>
          </w:p>
          <w:p>
            <w:pPr>
              <w:pStyle w:val="958"/>
              <w:ind w:left="0" w:firstLine="210"/>
              <w:keepLines w:val="0"/>
              <w:keepNext w:val="0"/>
              <w:pageBreakBefore w:val="0"/>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建筑专业负责人具有一级注册建筑师资格的同时具有高级及以上技术职称人员，</w:t>
            </w:r>
            <w:r>
              <w:rPr>
                <w:rFonts w:hint="eastAsia" w:ascii="宋体" w:hAnsi="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lang w:val="zh-CN"/>
              </w:rPr>
              <w:t xml:space="preserve">一人得1分；</w:t>
            </w:r>
            <w:r/>
          </w:p>
          <w:p>
            <w:pPr>
              <w:pStyle w:val="958"/>
              <w:ind w:left="0" w:firstLine="210"/>
              <w:keepLines w:val="0"/>
              <w:keepNext w:val="0"/>
              <w:pageBreakBefore w:val="0"/>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景观专业负责人具有高级及以上技术职称人员，</w:t>
            </w:r>
            <w:r>
              <w:rPr>
                <w:rFonts w:hint="eastAsia" w:ascii="宋体" w:hAnsi="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lang w:val="zh-CN"/>
              </w:rPr>
              <w:t xml:space="preserve">一人得1分；</w:t>
            </w:r>
            <w:r/>
          </w:p>
          <w:p>
            <w:pPr>
              <w:pStyle w:val="958"/>
              <w:ind w:left="0" w:firstLine="210"/>
              <w:keepLines w:val="0"/>
              <w:keepNext w:val="0"/>
              <w:pageBreakBefore w:val="0"/>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交通专业负责人具有高级及以上技术职称人员，</w:t>
            </w:r>
            <w:r>
              <w:rPr>
                <w:rFonts w:hint="eastAsia" w:ascii="宋体" w:hAnsi="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lang w:val="zh-CN"/>
              </w:rPr>
              <w:t xml:space="preserve">一人得1分；</w:t>
            </w:r>
            <w:r/>
          </w:p>
          <w:p>
            <w:pPr>
              <w:pStyle w:val="958"/>
              <w:ind w:left="0" w:firstLine="210"/>
              <w:keepLines w:val="0"/>
              <w:keepNext w:val="0"/>
              <w:pageBreakBefore w:val="0"/>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本项满分3分。</w:t>
            </w:r>
            <w:r/>
          </w:p>
          <w:p>
            <w:pPr>
              <w:pStyle w:val="958"/>
              <w:ind w:left="0"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以上均</w:t>
            </w:r>
            <w:r>
              <w:rPr>
                <w:rFonts w:hint="eastAsia" w:ascii="宋体" w:hAnsi="宋体" w:eastAsia="宋体" w:cs="宋体"/>
                <w:b/>
                <w:bCs/>
                <w:color w:val="auto"/>
                <w:sz w:val="21"/>
                <w:szCs w:val="21"/>
                <w:highlight w:val="none"/>
              </w:rPr>
              <w:t xml:space="preserve">须需提供相关人员毕业证书、职称证书及投标人近三个月内任意一个月为其缴纳社保的证明，原件扫描上传）</w:t>
            </w:r>
            <w:r/>
          </w:p>
        </w:tc>
      </w:tr>
      <w:tr>
        <w:trPr>
          <w:trHeight w:val="2108"/>
        </w:trPr>
        <w:tc>
          <w:tcPr>
            <w:shd w:val="clear" w:color="auto" w:fill="auto"/>
            <w:tcW w:w="1254" w:type="dxa"/>
            <w:vAlign w:val="center"/>
            <w:textDirection w:val="lrTb"/>
            <w:noWrap w:val="false"/>
          </w:tcPr>
          <w:p>
            <w:pPr>
              <w:pStyle w:val="958"/>
              <w:ind w:left="0"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相关业绩</w:t>
            </w:r>
            <w:r/>
          </w:p>
          <w:p>
            <w:pPr>
              <w:pStyle w:val="958"/>
              <w:ind w:left="0"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gridSpan w:val="2"/>
            <w:shd w:val="clear" w:color="auto" w:fill="auto"/>
            <w:tcW w:w="8100" w:type="dxa"/>
            <w:textDirection w:val="lrTb"/>
            <w:noWrap w:val="false"/>
          </w:tcPr>
          <w:p>
            <w:pPr>
              <w:pStyle w:val="958"/>
              <w:ind w:left="0" w:firstLine="0"/>
              <w:keepLines w:val="0"/>
              <w:keepNext w:val="0"/>
              <w:pageBreakBefore w:val="0"/>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1、投标人201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CN"/>
              </w:rPr>
              <w:t xml:space="preserve">年1月1日以来有参与</w:t>
            </w:r>
            <w:r>
              <w:rPr>
                <w:rFonts w:hint="eastAsia" w:ascii="宋体" w:hAnsi="宋体" w:eastAsia="宋体" w:cs="宋体"/>
                <w:color w:val="auto"/>
                <w:sz w:val="21"/>
                <w:szCs w:val="21"/>
                <w:highlight w:val="none"/>
                <w:lang w:val="en-US" w:eastAsia="zh-CN"/>
              </w:rPr>
              <w:t xml:space="preserve">过区（县）级及以上的规划编制（涉及城市</w:t>
            </w:r>
            <w:r>
              <w:rPr>
                <w:rFonts w:hint="eastAsia" w:ascii="宋体" w:hAnsi="宋体" w:eastAsia="宋体" w:cs="宋体"/>
                <w:color w:val="auto"/>
                <w:sz w:val="21"/>
                <w:szCs w:val="21"/>
                <w:highlight w:val="none"/>
                <w:lang w:val="zh-CN"/>
              </w:rPr>
              <w:t xml:space="preserve">国土空间总体规划编制</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zh-CN" w:eastAsia="zh-CN"/>
              </w:rPr>
              <w:t xml:space="preserve">规划大纲编制或国土空间分区规划</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每提供一个</w:t>
            </w:r>
            <w:r>
              <w:rPr>
                <w:rFonts w:hint="eastAsia" w:ascii="宋体" w:hAnsi="宋体" w:cs="宋体"/>
                <w:color w:val="auto"/>
                <w:sz w:val="21"/>
                <w:szCs w:val="21"/>
                <w:highlight w:val="none"/>
                <w:lang w:val="en-US" w:eastAsia="zh-CN"/>
              </w:rPr>
              <w:t xml:space="preserve">合同</w:t>
            </w:r>
            <w:r>
              <w:rPr>
                <w:rFonts w:hint="eastAsia" w:ascii="宋体" w:hAnsi="宋体" w:eastAsia="宋体" w:cs="宋体"/>
                <w:color w:val="auto"/>
                <w:sz w:val="21"/>
                <w:szCs w:val="21"/>
                <w:highlight w:val="none"/>
                <w:lang w:val="zh-CN" w:eastAsia="zh-CN"/>
              </w:rPr>
              <w:t xml:space="preserve">得2分。本项满分4分。</w:t>
            </w:r>
            <w:r/>
          </w:p>
          <w:p>
            <w:pPr>
              <w:pStyle w:val="958"/>
              <w:ind w:left="0" w:firstLine="0"/>
              <w:keepLines w:val="0"/>
              <w:keepNext w:val="0"/>
              <w:pageBreakBefore w:val="0"/>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2、投标人201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CN"/>
              </w:rPr>
              <w:t xml:space="preserve">年1月1日以来</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zh-CN"/>
              </w:rPr>
              <w:t xml:space="preserve">独立承担过类似项目（</w:t>
            </w:r>
            <w:r>
              <w:rPr>
                <w:rFonts w:hint="eastAsia" w:ascii="宋体" w:hAnsi="宋体" w:eastAsia="宋体" w:cs="宋体"/>
                <w:color w:val="auto"/>
                <w:sz w:val="21"/>
                <w:szCs w:val="21"/>
                <w:highlight w:val="none"/>
                <w:lang w:val="en-US" w:eastAsia="zh-CN"/>
              </w:rPr>
              <w:t xml:space="preserve">例如：</w:t>
            </w:r>
            <w:r>
              <w:rPr>
                <w:rFonts w:hint="eastAsia" w:ascii="宋体" w:hAnsi="宋体" w:eastAsia="宋体" w:cs="宋体"/>
                <w:color w:val="auto"/>
                <w:sz w:val="21"/>
                <w:szCs w:val="21"/>
                <w:highlight w:val="none"/>
                <w:lang w:val="zh-CN"/>
              </w:rPr>
              <w:t xml:space="preserve">养老设施布局规划、民政事业规划、社会福利设施规划）业绩的，每</w:t>
            </w:r>
            <w:r>
              <w:rPr>
                <w:rFonts w:hint="eastAsia" w:ascii="宋体" w:hAnsi="宋体" w:eastAsia="宋体" w:cs="宋体"/>
                <w:color w:val="auto"/>
                <w:sz w:val="21"/>
                <w:szCs w:val="21"/>
                <w:highlight w:val="none"/>
                <w:lang w:val="en-US" w:eastAsia="zh-CN"/>
              </w:rPr>
              <w:t xml:space="preserve">提供一个</w:t>
            </w:r>
            <w:r>
              <w:rPr>
                <w:rFonts w:hint="eastAsia" w:ascii="宋体" w:hAnsi="宋体" w:eastAsia="宋体" w:cs="宋体"/>
                <w:color w:val="auto"/>
                <w:sz w:val="21"/>
                <w:szCs w:val="21"/>
                <w:highlight w:val="none"/>
                <w:lang w:val="zh-CN"/>
              </w:rPr>
              <w:t xml:space="preserve">合同得2分,满分</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分。</w:t>
            </w:r>
            <w:r/>
          </w:p>
          <w:p>
            <w:pPr>
              <w:pStyle w:val="958"/>
              <w:ind w:left="0"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zh-CN"/>
              </w:rPr>
              <w:t xml:space="preserve">（时间以合同签定的时间为准，提供合同</w:t>
            </w:r>
            <w:r>
              <w:rPr>
                <w:rFonts w:hint="eastAsia" w:ascii="宋体" w:hAnsi="宋体" w:eastAsia="宋体" w:cs="宋体"/>
                <w:b/>
                <w:bCs/>
                <w:color w:val="auto"/>
                <w:sz w:val="21"/>
                <w:szCs w:val="21"/>
                <w:highlight w:val="none"/>
              </w:rPr>
              <w:t xml:space="preserve">原件扫描上传，若合同无法体现项目内容的需额外提供证明材料</w:t>
            </w:r>
            <w:r>
              <w:rPr>
                <w:rFonts w:hint="eastAsia" w:ascii="宋体" w:hAnsi="宋体" w:eastAsia="宋体" w:cs="宋体"/>
                <w:b/>
                <w:bCs/>
                <w:color w:val="auto"/>
                <w:sz w:val="21"/>
                <w:szCs w:val="21"/>
                <w:highlight w:val="none"/>
                <w:lang w:val="zh-CN"/>
              </w:rPr>
              <w:t xml:space="preserve">）</w:t>
            </w:r>
            <w:r/>
          </w:p>
        </w:tc>
      </w:tr>
    </w:tbl>
    <w:p>
      <w:pPr>
        <w:ind w:firstLine="422"/>
        <w:keepLines w:val="0"/>
        <w:keepNext w:val="0"/>
        <w:pageBreakBefore w:val="0"/>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936"/>
        <w:jc w:val="center"/>
        <w:rPr>
          <w:rFonts w:hint="eastAsia" w:ascii="宋体" w:hAnsi="宋体"/>
          <w:color w:val="auto"/>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auto"/>
          <w:highlight w:val="none"/>
        </w:rPr>
      </w:r>
      <w:r/>
    </w:p>
    <w:p>
      <w:pPr>
        <w:pStyle w:val="746"/>
        <w:rPr>
          <w:color w:val="auto"/>
          <w:highlight w:val="none"/>
        </w:rPr>
      </w:pPr>
      <w:r/>
      <w:bookmarkStart w:id="61" w:name="_Toc16788"/>
      <w:r>
        <w:rPr>
          <w:rFonts w:hint="eastAsia"/>
          <w:color w:val="auto"/>
          <w:highlight w:val="none"/>
        </w:rPr>
        <w:t xml:space="preserve">第六章 投标文件格式</w:t>
      </w:r>
      <w:bookmarkEnd w:id="61"/>
      <w:r>
        <w:rPr>
          <w:rFonts w:hint="eastAsia"/>
          <w:color w:val="auto"/>
          <w:highlight w:val="none"/>
        </w:rPr>
        <w:t xml:space="preserve">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ind w:firstLine="48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firstLine="48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一、资格审查响应对照表</w:t>
      </w:r>
      <w:r/>
    </w:p>
    <w:p>
      <w:pPr>
        <w:ind w:firstLine="48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二、符合性审查响应对照表</w:t>
      </w:r>
      <w:r/>
    </w:p>
    <w:p>
      <w:pPr>
        <w:ind w:firstLine="48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三、非实质性响应对照表</w:t>
      </w:r>
      <w:r/>
    </w:p>
    <w:p>
      <w:pPr>
        <w:ind w:firstLine="48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四、开标一览表</w:t>
      </w:r>
      <w:r/>
    </w:p>
    <w:p>
      <w:pPr>
        <w:ind w:firstLine="48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五、分项报价表</w:t>
      </w:r>
      <w:r/>
    </w:p>
    <w:p>
      <w:pPr>
        <w:ind w:firstLine="48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六、技术参数响应及偏离表</w:t>
      </w:r>
      <w:r/>
    </w:p>
    <w:p>
      <w:pPr>
        <w:ind w:firstLine="48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七、商务条款响应及偏离表</w:t>
      </w:r>
      <w:r/>
    </w:p>
    <w:p>
      <w:pPr>
        <w:ind w:firstLine="48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八、拟投入人员一览表</w:t>
      </w:r>
      <w:r/>
    </w:p>
    <w:p>
      <w:pPr>
        <w:ind w:firstLine="48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937"/>
        <w:rPr>
          <w:rFonts w:ascii="宋体" w:hAnsi="宋体" w:eastAsia="宋体"/>
          <w:b w:val="0"/>
          <w:color w:val="auto"/>
          <w:sz w:val="32"/>
          <w:szCs w:val="32"/>
          <w:highlight w:val="none"/>
        </w:rPr>
      </w:pPr>
      <w:r>
        <w:rPr>
          <w:rFonts w:hint="eastAsia" w:ascii="宋体" w:hAnsi="宋体"/>
          <w:color w:val="auto"/>
          <w:sz w:val="32"/>
          <w:szCs w:val="32"/>
          <w:highlight w:val="none"/>
        </w:rPr>
        <w:br w:type="page" w:clear="all"/>
      </w:r>
      <w:bookmarkStart w:id="62" w:name="_Toc16163"/>
      <w:r>
        <w:rPr>
          <w:rFonts w:hint="eastAsia" w:ascii="宋体" w:hAnsi="宋体" w:eastAsia="宋体"/>
          <w:color w:val="auto"/>
          <w:sz w:val="32"/>
          <w:highlight w:val="none"/>
        </w:rPr>
        <w:t xml:space="preserve">一、资格审查响应对照表</w:t>
      </w:r>
      <w:bookmarkEnd w:id="62"/>
      <w:r/>
      <w:r/>
    </w:p>
    <w:tbl>
      <w:tblPr>
        <w:tblStyle w:val="756"/>
        <w:tblW w:w="858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579"/>
        <w:gridCol w:w="1362"/>
      </w:tblGrid>
      <w:tr>
        <w:trPr>
          <w:trHeight w:val="647"/>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tcW w:w="6579"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1362"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587"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6579"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法人或者其他组织的营业执照等证明文件，自然人的身份证明</w:t>
            </w:r>
            <w:r>
              <w:rPr>
                <w:rFonts w:hint="eastAsia" w:ascii="宋体" w:hAnsi="宋体"/>
                <w:b/>
                <w:bCs/>
                <w:color w:val="auto"/>
                <w:szCs w:val="21"/>
                <w:highlight w:val="none"/>
              </w:rPr>
              <w:t xml:space="preserve">（身份证为正、反面）</w:t>
            </w:r>
            <w:r/>
          </w:p>
        </w:tc>
        <w:tc>
          <w:tcPr>
            <w:tcW w:w="1362"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6579"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依法缴纳职工社会保障资金的证明材料</w:t>
            </w:r>
            <w:r>
              <w:rPr>
                <w:rFonts w:hint="eastAsia" w:ascii="宋体" w:hAnsi="宋体"/>
                <w:b/>
                <w:bCs/>
                <w:iCs/>
                <w:color w:val="auto"/>
                <w:szCs w:val="21"/>
                <w:highlight w:val="none"/>
              </w:rPr>
              <w:t xml:space="preserve">(税务、银行或社会保险基金管理部门出具的近三个月内任意一个月缴纳职工社会保障资金的缴款凭证或缴款证明)（投标人依法享受缓缴、免缴的提供证明材料）</w:t>
            </w:r>
            <w:r/>
          </w:p>
        </w:tc>
        <w:tc>
          <w:tcPr>
            <w:tcW w:w="136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6579"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投标人近三个月内任意一份依法纳税的缴款凭证</w:t>
            </w:r>
            <w:r>
              <w:rPr>
                <w:rFonts w:hint="eastAsia" w:ascii="宋体" w:hAnsi="宋体"/>
                <w:b/>
                <w:bCs/>
                <w:iCs/>
                <w:color w:val="auto"/>
                <w:szCs w:val="21"/>
                <w:highlight w:val="none"/>
              </w:rPr>
              <w:t xml:space="preserve">（投标人依法享受缓缴、免缴的提供证明材料）</w:t>
            </w:r>
            <w:r/>
          </w:p>
        </w:tc>
        <w:tc>
          <w:tcPr>
            <w:tcW w:w="136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6579"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 2022年度或2023年度的财务报告情况</w:t>
            </w:r>
            <w:r>
              <w:rPr>
                <w:rFonts w:hint="eastAsia" w:ascii="宋体" w:hAnsi="宋体"/>
                <w:b/>
                <w:bCs/>
                <w:iCs/>
                <w:color w:val="auto"/>
                <w:szCs w:val="21"/>
                <w:highlight w:val="none"/>
              </w:rPr>
              <w:t xml:space="preserve">（成立不满一年不需提供）</w:t>
            </w:r>
            <w:r/>
          </w:p>
        </w:tc>
        <w:tc>
          <w:tcPr>
            <w:tcW w:w="136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6579"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具备履行合同所必需的设备和专业技术能力的证明材料</w:t>
            </w:r>
            <w:r/>
          </w:p>
        </w:tc>
        <w:tc>
          <w:tcPr>
            <w:tcW w:w="136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6579"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参加本次政府采购活动前3年内在经营活动中没有重大违法记录的书面声明</w:t>
            </w:r>
            <w:r/>
          </w:p>
        </w:tc>
        <w:tc>
          <w:tcPr>
            <w:tcW w:w="136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W w:w="6579"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136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9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tcW w:w="6579"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36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587"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525"/>
        </w:trPr>
        <w:tc>
          <w:tcPr>
            <w:tcW w:w="646" w:type="dxa"/>
            <w:vAlign w:val="center"/>
            <w:textDirection w:val="lrTb"/>
            <w:noWrap w:val="false"/>
          </w:tcPr>
          <w:p>
            <w:pPr>
              <w:ind w:firstLine="210"/>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9</w:t>
            </w:r>
            <w:r/>
          </w:p>
        </w:tc>
        <w:tc>
          <w:tcPr>
            <w:tcW w:w="6579"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根据《政府采购促进中小企业发展管理办法》，本项目专门面向中小企业采购。投标人参加投标时须提供《中小企业声明函》，《中小企业声明函》不符合要求或未提供的，投标文件无效。</w:t>
            </w:r>
            <w:r/>
          </w:p>
        </w:tc>
        <w:tc>
          <w:tcPr>
            <w:tcW w:w="136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587"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6579" w:type="dxa"/>
            <w:vAlign w:val="center"/>
            <w:textDirection w:val="lrTb"/>
            <w:noWrap w:val="false"/>
          </w:tcPr>
          <w:p>
            <w:pPr>
              <w:keepLines w:val="0"/>
              <w:keepNext w:val="0"/>
              <w:pageBreakBefore w:val="0"/>
              <w:spacing w:line="520" w:lineRule="exact"/>
              <w:rPr>
                <w:rFonts w:hint="eastAsia" w:ascii="宋体" w:hAnsi="宋体" w:eastAsia="宋体" w:cs="宋体"/>
                <w:color w:val="auto"/>
                <w:szCs w:val="21"/>
                <w:highlight w:val="none"/>
              </w:rPr>
            </w:pPr>
            <w:r>
              <w:rPr>
                <w:rFonts w:hint="eastAsia" w:ascii="宋体" w:hAnsi="宋体" w:cs="宋体"/>
                <w:i w:val="0"/>
                <w:iCs w:val="0"/>
                <w:color w:val="auto"/>
                <w:szCs w:val="21"/>
                <w:highlight w:val="none"/>
                <w:u w:val="none"/>
                <w:lang w:val="en-US" w:eastAsia="zh-CN"/>
              </w:rPr>
              <w:t xml:space="preserve">投标人具有城乡规划编制乙级及以上资质（证书原件扫描件上传）</w:t>
            </w:r>
            <w:r/>
          </w:p>
        </w:tc>
        <w:tc>
          <w:tcPr>
            <w:tcW w:w="136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587"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11</w:t>
            </w:r>
            <w:r/>
          </w:p>
        </w:tc>
        <w:tc>
          <w:tcPr>
            <w:tcW w:w="6579"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136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12</w:t>
            </w:r>
            <w:r/>
          </w:p>
        </w:tc>
        <w:tc>
          <w:tcPr>
            <w:tcW w:w="6579"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136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hint="eastAsia" w:ascii="宋体" w:hAnsi="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auto"/>
          <w:highlight w:val="none"/>
        </w:rPr>
      </w:r>
      <w:r/>
    </w:p>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pStyle w:val="939"/>
        <w:rPr>
          <w:color w:val="auto"/>
          <w:highlight w:val="none"/>
        </w:rPr>
      </w:pPr>
      <w:r>
        <w:rPr>
          <w:color w:val="auto"/>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______</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500" w:lineRule="exact"/>
        <w:rPr>
          <w:rFonts w:ascii="方正仿宋_GBK"/>
          <w:color w:val="auto"/>
          <w:szCs w:val="32"/>
          <w:highlight w:val="none"/>
        </w:rPr>
      </w:pPr>
      <w:r>
        <w:rPr>
          <w:rFonts w:ascii="方正仿宋_GBK"/>
          <w:color w:val="auto"/>
          <w:szCs w:val="32"/>
          <w:highlight w:val="none"/>
        </w:rPr>
      </w:r>
      <w:r/>
    </w:p>
    <w:p>
      <w:pPr>
        <w:spacing w:line="560" w:lineRule="exact"/>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560" w:lineRule="exact"/>
        <w:rPr>
          <w:rFonts w:ascii="宋体" w:hAnsi="宋体"/>
          <w:color w:val="auto"/>
          <w:szCs w:val="21"/>
          <w:highlight w:val="none"/>
        </w:rPr>
      </w:pPr>
      <w:r>
        <w:rPr>
          <w:rFonts w:hint="eastAsia" w:ascii="宋体" w:hAnsi="宋体"/>
          <w:color w:val="auto"/>
          <w:szCs w:val="21"/>
          <w:highlight w:val="none"/>
        </w:rPr>
        <w:t xml:space="preserve">统一社会信用代码：</w:t>
      </w:r>
      <w:r/>
    </w:p>
    <w:p>
      <w:pPr>
        <w:spacing w:line="560" w:lineRule="exact"/>
        <w:rPr>
          <w:rFonts w:ascii="宋体" w:hAnsi="宋体"/>
          <w:color w:val="auto"/>
          <w:szCs w:val="21"/>
          <w:highlight w:val="none"/>
        </w:rPr>
      </w:pPr>
      <w:r>
        <w:rPr>
          <w:rFonts w:ascii="宋体" w:hAnsi="宋体"/>
          <w:color w:val="auto"/>
          <w:szCs w:val="21"/>
          <w:highlight w:val="none"/>
        </w:rPr>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560" w:lineRule="exact"/>
        <w:rPr>
          <w:rFonts w:ascii="宋体" w:hAnsi="宋体"/>
          <w:color w:val="auto"/>
          <w:szCs w:val="21"/>
          <w:highlight w:val="none"/>
        </w:rPr>
      </w:pPr>
      <w:r>
        <w:rPr>
          <w:rFonts w:ascii="宋体" w:hAnsi="宋体"/>
          <w:color w:val="auto"/>
          <w:szCs w:val="21"/>
          <w:highlight w:val="none"/>
        </w:rPr>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958"/>
        <w:ind w:firstLine="0"/>
        <w:spacing w:before="0" w:after="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hAnsi="宋体"/>
          <w:color w:val="auto"/>
          <w:sz w:val="21"/>
          <w:highlight w:val="none"/>
          <w:lang w:eastAsia="zh-CN"/>
        </w:rPr>
        <w:t xml:space="preserve">江苏苏维工程管理有限公司</w:t>
      </w:r>
      <w:r/>
    </w:p>
    <w:p>
      <w:pPr>
        <w:pStyle w:val="95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5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5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5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5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58"/>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58"/>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58"/>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58"/>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5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5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5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5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5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5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5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5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59"/>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5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5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59"/>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5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__</w:t>
      </w:r>
      <w:r>
        <w:rPr>
          <w:rFonts w:hint="eastAsia" w:ascii="宋体" w:hAnsi="宋体"/>
          <w:color w:val="auto"/>
          <w:sz w:val="21"/>
          <w:szCs w:val="21"/>
          <w:highlight w:val="none"/>
        </w:rPr>
        <w:t xml:space="preserve">     </w:t>
      </w:r>
      <w:r/>
    </w:p>
    <w:p>
      <w:pPr>
        <w:pStyle w:val="959"/>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59"/>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59"/>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59"/>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hint="eastAsia" w:ascii="宋体" w:hAnsi="宋体" w:eastAsia="宋体"/>
          <w:bCs/>
          <w:color w:val="auto"/>
          <w:highlight w:val="none"/>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auto"/>
          <w:highlight w:val="none"/>
        </w:rPr>
        <w:t xml:space="preserve">被授权人身份证</w:t>
      </w:r>
      <w:r>
        <w:rPr>
          <w:rFonts w:hint="eastAsia" w:ascii="宋体" w:hAnsi="宋体"/>
          <w:bCs/>
          <w:color w:val="auto"/>
          <w:highlight w:val="none"/>
          <w:lang w:eastAsia="zh-CN"/>
        </w:rPr>
        <w:t xml:space="preserve">复印件</w:t>
      </w:r>
      <w:r/>
    </w:p>
    <w:p>
      <w:pPr>
        <w:rPr>
          <w:rFonts w:ascii="宋体" w:hAnsi="宋体"/>
          <w:b/>
          <w:color w:val="auto"/>
          <w:sz w:val="32"/>
          <w:szCs w:val="32"/>
          <w:highlight w:val="none"/>
        </w:rPr>
      </w:pPr>
      <w:r>
        <w:rPr>
          <w:rFonts w:ascii="宋体" w:hAnsi="宋体"/>
          <w:b/>
          <w:color w:val="auto"/>
          <w:sz w:val="32"/>
          <w:szCs w:val="32"/>
          <w:highlight w:val="none"/>
        </w:rPr>
      </w:r>
      <w:r/>
    </w:p>
    <w:p>
      <w:pPr>
        <w:pStyle w:val="937"/>
        <w:rPr>
          <w:rFonts w:ascii="宋体" w:hAnsi="宋体" w:eastAsia="宋体"/>
          <w:color w:val="auto"/>
          <w:sz w:val="32"/>
          <w:highlight w:val="none"/>
        </w:rPr>
      </w:pPr>
      <w:r/>
      <w:bookmarkStart w:id="63" w:name="_Toc24578"/>
      <w:r>
        <w:rPr>
          <w:rFonts w:hint="eastAsia" w:ascii="宋体" w:hAnsi="宋体" w:eastAsia="宋体"/>
          <w:color w:val="auto"/>
          <w:sz w:val="32"/>
          <w:highlight w:val="none"/>
        </w:rPr>
        <w:t xml:space="preserve">二、符合性审查响应对照表</w:t>
      </w:r>
      <w:bookmarkEnd w:id="63"/>
      <w:r/>
      <w:r/>
    </w:p>
    <w:p>
      <w:pPr>
        <w:rPr>
          <w:rFonts w:ascii="宋体" w:hAnsi="宋体"/>
          <w:b/>
          <w:color w:val="auto"/>
          <w:sz w:val="32"/>
          <w:szCs w:val="32"/>
          <w:highlight w:val="none"/>
        </w:rPr>
      </w:pPr>
      <w:r>
        <w:rPr>
          <w:rFonts w:ascii="宋体" w:hAnsi="宋体"/>
          <w:b/>
          <w:color w:val="auto"/>
          <w:sz w:val="32"/>
          <w:szCs w:val="32"/>
          <w:highlight w:val="none"/>
        </w:rPr>
      </w:r>
      <w:r/>
    </w:p>
    <w:tbl>
      <w:tblPr>
        <w:tblStyle w:val="756"/>
        <w:tblW w:w="90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235"/>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3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eastAsia="宋体" w:cs="Times New Roman"/>
                <w:iCs/>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3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4"/>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3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4"/>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3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4"/>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3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4"/>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3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937"/>
        <w:rPr>
          <w:rFonts w:ascii="宋体" w:hAnsi="宋体" w:eastAsia="宋体"/>
          <w:color w:val="auto"/>
          <w:sz w:val="32"/>
          <w:highlight w:val="none"/>
        </w:rPr>
      </w:pPr>
      <w:r/>
      <w:bookmarkStart w:id="64" w:name="_Toc29427"/>
      <w:r>
        <w:rPr>
          <w:rFonts w:hint="eastAsia" w:ascii="宋体" w:hAnsi="宋体" w:eastAsia="宋体"/>
          <w:color w:val="auto"/>
          <w:sz w:val="32"/>
          <w:highlight w:val="none"/>
        </w:rPr>
        <w:t xml:space="preserve">三、非实质性响应对照表</w:t>
      </w:r>
      <w:bookmarkEnd w:id="64"/>
      <w:r/>
      <w:r/>
    </w:p>
    <w:p>
      <w:pPr>
        <w:rPr>
          <w:rFonts w:ascii="宋体" w:hAnsi="宋体"/>
          <w:b/>
          <w:color w:val="auto"/>
          <w:sz w:val="32"/>
          <w:szCs w:val="32"/>
          <w:highlight w:val="none"/>
        </w:rPr>
      </w:pPr>
      <w:r>
        <w:rPr>
          <w:rFonts w:ascii="宋体" w:hAnsi="宋体"/>
          <w:b/>
          <w:color w:val="auto"/>
          <w:sz w:val="32"/>
          <w:szCs w:val="32"/>
          <w:highlight w:val="none"/>
        </w:rPr>
      </w:r>
      <w:r/>
    </w:p>
    <w:tbl>
      <w:tblPr>
        <w:tblStyle w:val="756"/>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643"/>
        </w:trPr>
        <w:tc>
          <w:tcPr>
            <w:tcW w:w="646" w:type="dxa"/>
            <w:vAlign w:val="center"/>
            <w:textDirection w:val="lrTb"/>
            <w:noWrap w:val="false"/>
          </w:tcPr>
          <w:p>
            <w:pPr>
              <w:jc w:val="center"/>
              <w:rPr>
                <w:rFonts w:ascii="宋体" w:hAnsi="宋体"/>
                <w:b/>
                <w:color w:val="auto"/>
                <w:szCs w:val="21"/>
                <w:highlight w:val="none"/>
              </w:rPr>
            </w:pPr>
            <w:r>
              <w:rPr>
                <w:rFonts w:hint="eastAsia" w:ascii="Times New Roman" w:hAnsi="Times New Roman" w:eastAsia="宋体" w:cs="Times New Roman"/>
                <w:color w:val="auto"/>
                <w:szCs w:val="21"/>
                <w:highlight w:val="none"/>
              </w:rPr>
              <w:t xml:space="preserve">1</w:t>
            </w:r>
            <w:r/>
          </w:p>
        </w:tc>
        <w:tc>
          <w:tcPr>
            <w:tcW w:w="5447" w:type="dxa"/>
            <w:vAlign w:val="center"/>
            <w:textDirection w:val="lrTb"/>
            <w:noWrap w:val="false"/>
          </w:tcPr>
          <w:p>
            <w:pPr>
              <w:pageBreakBefore w:val="0"/>
              <w:spacing w:line="360" w:lineRule="auto"/>
              <w:rPr>
                <w:rFonts w:ascii="宋体" w:hAnsi="宋体"/>
                <w:iCs/>
                <w:color w:val="auto"/>
                <w:szCs w:val="21"/>
                <w:highlight w:val="none"/>
              </w:rPr>
            </w:pPr>
            <w:r>
              <w:rPr>
                <w:rFonts w:hint="eastAsia" w:ascii="Times New Roman" w:hAnsi="Times New Roman" w:eastAsia="宋体"/>
                <w:color w:val="auto"/>
                <w:szCs w:val="21"/>
                <w:highlight w:val="none"/>
              </w:rPr>
              <w:t xml:space="preserve">《</w:t>
            </w:r>
            <w:r>
              <w:rPr>
                <w:rFonts w:hint="eastAsia" w:ascii="Times New Roman" w:hAnsi="Times New Roman" w:eastAsia="宋体"/>
                <w:color w:val="auto"/>
                <w:szCs w:val="21"/>
                <w:highlight w:val="none"/>
                <w:lang w:eastAsia="zh-CN"/>
              </w:rPr>
              <w:t xml:space="preserve">中小</w:t>
            </w:r>
            <w:r>
              <w:rPr>
                <w:rFonts w:hint="eastAsia" w:ascii="Times New Roman" w:hAnsi="Times New Roman" w:eastAsia="宋体"/>
                <w:color w:val="auto"/>
                <w:szCs w:val="21"/>
                <w:highlight w:val="none"/>
              </w:rPr>
              <w:t xml:space="preserve">企业声明函》</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643"/>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pageBreakBefore w:val="0"/>
              <w:spacing w:line="360" w:lineRule="auto"/>
              <w:rPr>
                <w:rFonts w:ascii="宋体" w:hAnsi="宋体"/>
                <w:iCs/>
                <w:color w:val="auto"/>
                <w:szCs w:val="21"/>
                <w:highlight w:val="none"/>
              </w:rPr>
            </w:pPr>
            <w:r>
              <w:rPr>
                <w:rFonts w:hint="eastAsia" w:ascii="Times New Roman" w:hAnsi="Times New Roman" w:eastAsia="宋体"/>
                <w:color w:val="auto"/>
                <w:szCs w:val="21"/>
                <w:highlight w:val="none"/>
              </w:rPr>
              <w:t xml:space="preserve">《残疾人福利性单位声明函》</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643"/>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rPr>
          <w:rFonts w:hint="eastAsia"/>
          <w:b/>
          <w:bCs/>
          <w:color w:val="auto"/>
          <w:highlight w:val="none"/>
        </w:rPr>
      </w:pPr>
      <w:r>
        <w:rPr>
          <w:rFonts w:hint="eastAsia"/>
          <w:b/>
          <w:bCs/>
          <w:color w:val="auto"/>
          <w:highlight w:val="none"/>
        </w:rPr>
        <w:br w:type="page" w:clear="all"/>
      </w: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ascii="Times New Roman" w:hAnsi="Times New Roman" w:eastAsia="宋体"/>
          <w:b/>
          <w:bCs/>
          <w:color w:val="auto"/>
          <w:highlight w:val="none"/>
          <w:u w:val="single"/>
        </w:rPr>
        <w:t xml:space="preserve">（其他未列明行业）</w:t>
      </w:r>
      <w:r>
        <w:rPr>
          <w:rFonts w:hint="eastAsia" w:ascii="宋体" w:hAnsi="宋体"/>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ascii="Times New Roman" w:hAnsi="Times New Roman" w:eastAsia="宋体"/>
          <w:b/>
          <w:bCs/>
          <w:color w:val="auto"/>
          <w:highlight w:val="none"/>
          <w:u w:val="single"/>
        </w:rPr>
        <w:t xml:space="preserve">（其他未列明行业）</w:t>
      </w:r>
      <w:r>
        <w:rPr>
          <w:rFonts w:hint="eastAsia"/>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注：1、从业人员（不仅指在职职工）、营业收入、资产总额填报上一年度数据，无上一年度数据的新成立企业可不填报。</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2、供应商如不提供此声明函，价格将不做相应扣除。</w:t>
      </w:r>
      <w:r/>
    </w:p>
    <w:p>
      <w:pPr>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    3、</w:t>
      </w:r>
      <w:r>
        <w:rPr>
          <w:rFonts w:hint="eastAsia" w:ascii="宋体" w:hAnsi="宋体" w:eastAsia="宋体" w:cs="Times New Roman"/>
          <w:color w:val="auto"/>
          <w:highlight w:val="none"/>
          <w:lang w:eastAsia="zh-CN"/>
        </w:rPr>
        <w:t xml:space="preserve">中小</w:t>
      </w:r>
      <w:r>
        <w:rPr>
          <w:rFonts w:hint="eastAsia" w:ascii="宋体" w:hAnsi="宋体" w:eastAsia="宋体" w:cs="Times New Roman"/>
          <w:color w:val="auto"/>
          <w:highlight w:val="none"/>
        </w:rPr>
        <w:t xml:space="preserve">企业声明函请完整填写，中标后将公示。</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5、中小企业不得属于大企业的分支机构，不得存在控股股东为大企业的情形，不得存在与大企业的负责人为同一人的情形。</w:t>
      </w:r>
      <w:r/>
    </w:p>
    <w:p>
      <w:pPr>
        <w:ind w:firstLine="420"/>
        <w:spacing w:line="360" w:lineRule="auto"/>
        <w:rPr>
          <w:color w:val="auto"/>
          <w:highlight w:val="none"/>
        </w:rPr>
      </w:pPr>
      <w:r>
        <w:rPr>
          <w:rFonts w:hint="eastAsia" w:ascii="宋体" w:hAnsi="宋体" w:eastAsia="宋体" w:cs="Times New Roman"/>
          <w:color w:val="auto"/>
          <w:highlight w:val="none"/>
        </w:rPr>
        <w:t xml:space="preserve">6、</w:t>
      </w:r>
      <w:r>
        <w:rPr>
          <w:rFonts w:hint="eastAsia"/>
          <w:color w:val="auto"/>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color w:val="auto"/>
          <w:highlight w:val="none"/>
        </w:rPr>
      </w:pPr>
      <w:r>
        <w:rPr>
          <w:rFonts w:hint="eastAsia"/>
          <w:color w:val="auto"/>
          <w:highlight w:val="none"/>
        </w:rPr>
        <w:t xml:space="preserve">日 期：</w:t>
      </w:r>
      <w:r/>
    </w:p>
    <w:p>
      <w:pPr>
        <w:pStyle w:val="937"/>
        <w:spacing w:before="300" w:after="300" w:line="360" w:lineRule="auto"/>
        <w:widowControl/>
        <w:rPr>
          <w:rFonts w:ascii="宋体" w:hAnsi="宋体" w:eastAsia="宋体"/>
          <w:color w:val="auto"/>
          <w:sz w:val="21"/>
          <w:szCs w:val="21"/>
          <w:highlight w:val="none"/>
        </w:rPr>
      </w:pPr>
      <w:r/>
      <w:bookmarkStart w:id="65" w:name="_Toc21217"/>
      <w:r>
        <w:rPr>
          <w:rFonts w:hint="eastAsia" w:ascii="宋体" w:hAnsi="宋体" w:eastAsia="宋体" w:cs="微软雅黑"/>
          <w:bCs w:val="0"/>
          <w:color w:val="auto"/>
          <w:sz w:val="21"/>
          <w:szCs w:val="21"/>
          <w:highlight w:val="none"/>
        </w:rPr>
        <w:t xml:space="preserve">中小微企业划型标准 </w:t>
      </w:r>
      <w:bookmarkEnd w:id="65"/>
      <w:r/>
      <w:r/>
    </w:p>
    <w:p>
      <w:pPr>
        <w:pStyle w:val="953"/>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55"/>
          <w:rFonts w:hint="eastAsia" w:ascii="宋体" w:hAnsi="宋体" w:cs="仿宋"/>
          <w:color w:val="auto"/>
          <w:sz w:val="21"/>
          <w:szCs w:val="21"/>
          <w:highlight w:val="none"/>
        </w:rPr>
        <w:t xml:space="preserve">中小微企业划型标准如下：</w:t>
      </w:r>
      <w:r/>
    </w:p>
    <w:tbl>
      <w:tblPr>
        <w:tblStyle w:val="756"/>
        <w:tblW w:w="8988" w:type="dxa"/>
        <w:tblCellSpacing w:w="15" w:type="dxa"/>
        <w:tblInd w:w="-147"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53"/>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53"/>
              <w:ind w:firstLine="420"/>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53"/>
              <w:jc w:val="center"/>
              <w:spacing w:after="150" w:line="360" w:lineRule="auto"/>
              <w:widowControl/>
              <w:rPr>
                <w:rFonts w:ascii="宋体" w:hAnsi="宋体"/>
                <w:color w:val="auto"/>
                <w:sz w:val="21"/>
                <w:szCs w:val="21"/>
                <w:highlight w:val="none"/>
              </w:rPr>
            </w:pPr>
            <w:r>
              <w:rPr>
                <w:rStyle w:val="955"/>
                <w:rFonts w:hint="eastAsia" w:ascii="宋体" w:hAnsi="宋体" w:cs="仿宋"/>
                <w:color w:val="auto"/>
                <w:sz w:val="21"/>
                <w:szCs w:val="21"/>
                <w:highlight w:val="none"/>
              </w:rPr>
              <w:t xml:space="preserve">X＜10</w:t>
            </w:r>
            <w:r/>
          </w:p>
        </w:tc>
      </w:tr>
    </w:tbl>
    <w:p>
      <w:pPr>
        <w:pStyle w:val="953"/>
        <w:ind w:firstLine="810"/>
        <w:spacing w:before="300" w:after="452" w:line="360" w:lineRule="auto"/>
        <w:widowControl/>
        <w:rPr>
          <w:rStyle w:val="955"/>
          <w:rFonts w:ascii="宋体" w:hAnsi="宋体" w:cs="仿宋"/>
          <w:color w:val="auto"/>
          <w:sz w:val="21"/>
          <w:szCs w:val="21"/>
          <w:highlight w:val="none"/>
        </w:rPr>
      </w:pPr>
      <w:r>
        <w:rPr>
          <w:rStyle w:val="955"/>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939"/>
        <w:rPr>
          <w:rStyle w:val="955"/>
          <w:rFonts w:cs="仿宋"/>
          <w:b w:val="0"/>
          <w:color w:val="auto"/>
          <w:sz w:val="21"/>
          <w:szCs w:val="21"/>
          <w:highlight w:val="none"/>
        </w:rPr>
      </w:pPr>
      <w:r>
        <w:rPr>
          <w:rStyle w:val="955"/>
          <w:rFonts w:ascii="宋体" w:hAnsi="宋体" w:cs="仿宋"/>
          <w:b w:val="0"/>
          <w:color w:val="auto"/>
          <w:sz w:val="21"/>
          <w:szCs w:val="21"/>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color w:val="auto"/>
          <w:sz w:val="32"/>
          <w:szCs w:val="32"/>
          <w:highlight w:val="none"/>
        </w:rPr>
      </w:pPr>
      <w:r>
        <w:rPr>
          <w:rFonts w:hint="eastAsia" w:ascii="宋体" w:hAnsi="宋体"/>
          <w:b/>
          <w:color w:val="auto"/>
          <w:sz w:val="32"/>
          <w:szCs w:val="32"/>
          <w:highlight w:val="none"/>
        </w:rPr>
        <w:br w:type="page" w:clear="all"/>
      </w:r>
      <w:r/>
    </w:p>
    <w:p>
      <w:pPr>
        <w:pStyle w:val="937"/>
        <w:ind w:firstLine="3213"/>
        <w:jc w:val="both"/>
        <w:spacing w:line="360" w:lineRule="auto"/>
        <w:rPr>
          <w:rFonts w:eastAsia="仿宋_GB2312"/>
          <w:color w:val="auto"/>
          <w:sz w:val="24"/>
          <w:szCs w:val="20"/>
          <w:highlight w:val="none"/>
        </w:rPr>
      </w:pPr>
      <w:r/>
      <w:bookmarkStart w:id="66" w:name="_Toc15491"/>
      <w:r>
        <w:rPr>
          <w:rFonts w:hint="eastAsia" w:ascii="宋体" w:hAnsi="宋体" w:eastAsia="宋体" w:cs="Times New Roman"/>
          <w:bCs w:val="0"/>
          <w:color w:val="auto"/>
          <w:sz w:val="32"/>
          <w:szCs w:val="32"/>
          <w:highlight w:val="none"/>
        </w:rPr>
        <w:t xml:space="preserve">四、</w:t>
      </w:r>
      <w:r>
        <w:rPr>
          <w:rFonts w:hint="eastAsia" w:ascii="宋体" w:hAnsi="宋体"/>
          <w:color w:val="auto"/>
          <w:sz w:val="32"/>
          <w:szCs w:val="32"/>
          <w:highlight w:val="none"/>
        </w:rPr>
        <w:t xml:space="preserve">开标一览表</w:t>
      </w:r>
      <w:bookmarkEnd w:id="66"/>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756"/>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43"/>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405" w:type="dxa"/>
            <w:vAlign w:val="center"/>
            <w:textDirection w:val="lrTb"/>
            <w:noWrap w:val="false"/>
          </w:tcPr>
          <w:p>
            <w:pPr>
              <w:rPr>
                <w:rFonts w:hint="eastAsia" w:ascii="宋体" w:hAnsi="宋体" w:eastAsia="宋体"/>
                <w:color w:val="auto"/>
                <w:szCs w:val="21"/>
                <w:highlight w:val="none"/>
                <w:lang w:eastAsia="zh-CN"/>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投标报价</w:t>
            </w:r>
            <w:r/>
          </w:p>
        </w:tc>
      </w:tr>
      <w:tr>
        <w:trPr>
          <w:cantSplit/>
          <w:trHeight w:val="1697"/>
        </w:trPr>
        <w:tc>
          <w:tcPr>
            <w:tcW w:w="2481" w:type="dxa"/>
            <w:vAlign w:val="center"/>
            <w:textDirection w:val="lrTb"/>
            <w:noWrap w:val="false"/>
          </w:tcPr>
          <w:p>
            <w:pPr>
              <w:pStyle w:val="943"/>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958"/>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958"/>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w:t>
            </w:r>
            <w:r>
              <w:rPr>
                <w:rFonts w:hint="eastAsia" w:ascii="宋体" w:hAnsi="宋体" w:cs="宋体"/>
                <w:b/>
                <w:bCs/>
                <w:color w:val="auto"/>
                <w:sz w:val="21"/>
                <w:szCs w:val="21"/>
                <w:highlight w:val="none"/>
              </w:rPr>
              <w:t xml:space="preserve">（人民币：元 ）</w:t>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937"/>
        <w:ind w:firstLine="3213"/>
        <w:jc w:val="both"/>
        <w:rPr>
          <w:rFonts w:ascii="宋体" w:hAnsi="宋体" w:eastAsia="宋体" w:cs="Times New Roman"/>
          <w:bCs w:val="0"/>
          <w:color w:val="auto"/>
          <w:sz w:val="32"/>
          <w:szCs w:val="32"/>
          <w:highlight w:val="none"/>
        </w:rPr>
      </w:pPr>
      <w:r>
        <w:rPr>
          <w:rFonts w:ascii="宋体" w:hAnsi="宋体" w:eastAsia="宋体" w:cs="Times New Roman"/>
          <w:bCs w:val="0"/>
          <w:color w:val="auto"/>
          <w:sz w:val="32"/>
          <w:szCs w:val="32"/>
          <w:highlight w:val="none"/>
        </w:rPr>
      </w:r>
      <w:r/>
    </w:p>
    <w:p>
      <w:pPr>
        <w:pStyle w:val="938"/>
        <w:ind w:firstLine="640"/>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937"/>
        <w:jc w:val="center"/>
        <w:rPr>
          <w:rFonts w:hint="eastAsia" w:ascii="宋体" w:hAnsi="宋体" w:eastAsia="宋体" w:cs="Times New Roman"/>
          <w:bCs w:val="0"/>
          <w:color w:val="auto"/>
          <w:sz w:val="32"/>
          <w:szCs w:val="32"/>
          <w:highlight w:val="none"/>
          <w:lang w:eastAsia="zh-CN"/>
        </w:rPr>
      </w:pPr>
      <w:r/>
      <w:bookmarkStart w:id="67" w:name="_Toc113352361"/>
      <w:r/>
      <w:bookmarkStart w:id="68" w:name="_Toc10311"/>
      <w:r>
        <w:rPr>
          <w:rFonts w:hint="eastAsia" w:ascii="宋体" w:hAnsi="宋体" w:eastAsia="宋体" w:cs="Times New Roman"/>
          <w:bCs w:val="0"/>
          <w:color w:val="auto"/>
          <w:sz w:val="32"/>
          <w:szCs w:val="32"/>
          <w:highlight w:val="none"/>
        </w:rPr>
        <w:t xml:space="preserve">五、分项报价表</w:t>
      </w:r>
      <w:bookmarkEnd w:id="67"/>
      <w:r/>
      <w:bookmarkEnd w:id="68"/>
      <w:r/>
      <w:r/>
    </w:p>
    <w:tbl>
      <w:tblPr>
        <w:tblStyle w:val="756"/>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W w:w="75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序号</w:t>
            </w:r>
            <w:r/>
          </w:p>
        </w:tc>
        <w:tc>
          <w:tcPr>
            <w:tcW w:w="202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名称</w:t>
            </w:r>
            <w:r/>
          </w:p>
        </w:tc>
        <w:tc>
          <w:tcPr>
            <w:tcW w:w="145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单位</w:t>
            </w:r>
            <w:r/>
          </w:p>
        </w:tc>
        <w:tc>
          <w:tcPr>
            <w:tcW w:w="124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数量</w:t>
            </w:r>
            <w:r/>
          </w:p>
        </w:tc>
        <w:tc>
          <w:tcPr>
            <w:tcW w:w="133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单价</w:t>
            </w:r>
            <w:r/>
          </w:p>
          <w:p>
            <w:pPr>
              <w:jc w:val="center"/>
              <w:spacing w:line="360" w:lineRule="auto"/>
              <w:rPr>
                <w:rFonts w:ascii="宋体" w:hAnsi="宋体"/>
                <w:color w:val="auto"/>
                <w:szCs w:val="21"/>
                <w:highlight w:val="none"/>
              </w:rPr>
            </w:pPr>
            <w:r>
              <w:rPr>
                <w:rFonts w:hint="eastAsia" w:ascii="宋体" w:hAnsi="宋体"/>
                <w:color w:val="auto"/>
                <w:highlight w:val="none"/>
              </w:rPr>
              <w:t xml:space="preserve">（元）</w:t>
            </w:r>
            <w:r/>
          </w:p>
        </w:tc>
        <w:tc>
          <w:tcPr>
            <w:tcW w:w="1691"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单项合计价</w:t>
            </w:r>
            <w:r/>
          </w:p>
          <w:p>
            <w:pPr>
              <w:jc w:val="center"/>
              <w:spacing w:line="360" w:lineRule="auto"/>
              <w:rPr>
                <w:rFonts w:ascii="宋体" w:hAnsi="宋体"/>
                <w:color w:val="auto"/>
                <w:szCs w:val="21"/>
                <w:highlight w:val="none"/>
              </w:rPr>
            </w:pPr>
            <w:r>
              <w:rPr>
                <w:rFonts w:hint="eastAsia" w:ascii="宋体" w:hAnsi="宋体"/>
                <w:color w:val="auto"/>
                <w:highlight w:val="none"/>
              </w:rPr>
              <w:t xml:space="preserve">（元）</w:t>
            </w:r>
            <w:r/>
          </w:p>
        </w:tc>
      </w:tr>
      <w:tr>
        <w:trPr>
          <w:cantSplit/>
          <w:trHeight w:val="500"/>
        </w:trPr>
        <w:tc>
          <w:tcPr>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gridSpan w:val="3"/>
            <w:tcW w:w="423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总报价</w:t>
            </w:r>
            <w:r/>
          </w:p>
        </w:tc>
        <w:tc>
          <w:tcPr>
            <w:gridSpan w:val="3"/>
            <w:tcW w:w="4271"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highlight w:val="none"/>
              </w:rPr>
              <w:t xml:space="preserve">人民币（大写）：</w:t>
            </w:r>
            <w:r>
              <w:rPr>
                <w:rFonts w:hint="eastAsia" w:ascii="宋体" w:hAnsi="宋体"/>
                <w:color w:val="auto"/>
                <w:highlight w:val="none"/>
                <w:u w:val="single"/>
              </w:rPr>
              <w:t xml:space="preserve">      </w:t>
            </w:r>
            <w:r>
              <w:rPr>
                <w:rFonts w:hint="eastAsia" w:ascii="宋体" w:hAnsi="宋体"/>
                <w:color w:val="auto"/>
                <w:highlight w:val="none"/>
              </w:rPr>
              <w:t xml:space="preserve"> 圆整</w:t>
            </w:r>
            <w:r/>
          </w:p>
          <w:p>
            <w:pPr>
              <w:spacing w:line="360" w:lineRule="auto"/>
              <w:rPr>
                <w:rFonts w:ascii="宋体" w:hAnsi="宋体"/>
                <w:color w:val="auto"/>
                <w:szCs w:val="21"/>
                <w:highlight w:val="none"/>
                <w:u w:val="single"/>
              </w:rPr>
            </w:pPr>
            <w:r>
              <w:rPr>
                <w:rFonts w:hint="eastAsia" w:ascii="宋体" w:hAnsi="宋体"/>
                <w:color w:val="auto"/>
                <w:highlight w:val="none"/>
              </w:rPr>
              <w:t xml:space="preserve">￥：</w:t>
            </w:r>
            <w:r>
              <w:rPr>
                <w:rFonts w:hint="eastAsia" w:ascii="宋体" w:hAnsi="宋体"/>
                <w:color w:val="auto"/>
                <w:highlight w:val="none"/>
                <w:u w:val="single"/>
              </w:rPr>
              <w:t xml:space="preserve">           </w:t>
            </w:r>
            <w:r/>
          </w:p>
        </w:tc>
      </w:tr>
    </w:tbl>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注：各供应商可以根据实际情况合理安排，对上述项目适当予以调整。</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937"/>
        <w:rPr>
          <w:rFonts w:hint="eastAsia" w:ascii="宋体" w:hAnsi="宋体" w:eastAsia="宋体"/>
          <w:color w:val="auto"/>
          <w:sz w:val="32"/>
          <w:highlight w:val="non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olor w:val="auto"/>
          <w:sz w:val="32"/>
          <w:highlight w:val="none"/>
        </w:rPr>
      </w:r>
      <w:r/>
    </w:p>
    <w:p>
      <w:pPr>
        <w:pStyle w:val="937"/>
        <w:rPr>
          <w:rFonts w:ascii="宋体" w:hAnsi="宋体" w:eastAsia="宋体"/>
          <w:color w:val="auto"/>
          <w:sz w:val="32"/>
          <w:highlight w:val="none"/>
        </w:rPr>
      </w:pPr>
      <w:r/>
      <w:bookmarkStart w:id="69" w:name="_Toc23596"/>
      <w:r>
        <w:rPr>
          <w:rFonts w:hint="eastAsia" w:ascii="宋体" w:hAnsi="宋体" w:eastAsia="宋体"/>
          <w:color w:val="auto"/>
          <w:sz w:val="32"/>
          <w:highlight w:val="none"/>
        </w:rPr>
        <w:t xml:space="preserve">六、技术参数响应及偏离表</w:t>
      </w:r>
      <w:bookmarkEnd w:id="69"/>
      <w:r/>
      <w:r/>
    </w:p>
    <w:tbl>
      <w:tblPr>
        <w:tblStyle w:val="756"/>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3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17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hint="eastAsia" w:ascii="黑体" w:hAnsi="Arial" w:eastAsia="黑体"/>
          <w:color w:val="auto"/>
          <w:sz w:val="32"/>
          <w:highlight w:val="none"/>
        </w:rPr>
        <w:br w:type="page" w:clear="all"/>
      </w:r>
      <w:r/>
    </w:p>
    <w:p>
      <w:pPr>
        <w:pStyle w:val="937"/>
        <w:rPr>
          <w:rFonts w:ascii="宋体" w:hAnsi="宋体" w:eastAsia="宋体" w:cs="Times New Roman"/>
          <w:bCs w:val="0"/>
          <w:color w:val="auto"/>
          <w:sz w:val="32"/>
          <w:szCs w:val="32"/>
          <w:highlight w:val="none"/>
        </w:rPr>
      </w:pPr>
      <w:r/>
      <w:bookmarkStart w:id="70" w:name="_Hlt26955054"/>
      <w:r/>
      <w:bookmarkEnd w:id="70"/>
      <w:r/>
      <w:bookmarkStart w:id="71" w:name="_Toc18269"/>
      <w:r/>
      <w:bookmarkStart w:id="72" w:name="_Toc113352363"/>
      <w:r>
        <w:rPr>
          <w:rFonts w:hint="eastAsia" w:ascii="宋体" w:hAnsi="宋体" w:eastAsia="宋体" w:cs="Times New Roman"/>
          <w:bCs w:val="0"/>
          <w:color w:val="auto"/>
          <w:sz w:val="32"/>
          <w:szCs w:val="32"/>
          <w:highlight w:val="none"/>
        </w:rPr>
        <w:t xml:space="preserve">七、商务条款响应及偏离表</w:t>
      </w:r>
      <w:bookmarkEnd w:id="71"/>
      <w:r/>
      <w:bookmarkEnd w:id="72"/>
      <w:r/>
      <w:r/>
    </w:p>
    <w:tbl>
      <w:tblPr>
        <w:tblStyle w:val="756"/>
        <w:tblW w:w="85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lang w:val="en-US" w:eastAsia="zh-CN"/>
              </w:rPr>
              <w:t xml:space="preserve">服务</w:t>
            </w:r>
            <w:r>
              <w:rPr>
                <w:rFonts w:hint="eastAsia" w:ascii="仿宋_GB2312"/>
                <w:color w:val="auto"/>
                <w:szCs w:val="21"/>
                <w:highlight w:val="none"/>
              </w:rPr>
              <w:t xml:space="preserve">时间</w:t>
            </w:r>
            <w:r/>
          </w:p>
        </w:tc>
        <w:tc>
          <w:tcPr>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lang w:val="en-US" w:eastAsia="zh-CN"/>
              </w:rPr>
              <w:t xml:space="preserve">服务</w:t>
            </w:r>
            <w:r>
              <w:rPr>
                <w:rFonts w:hint="eastAsia" w:ascii="仿宋_GB2312"/>
                <w:color w:val="auto"/>
                <w:szCs w:val="21"/>
                <w:highlight w:val="none"/>
              </w:rPr>
              <w:t xml:space="preserve">方式</w:t>
            </w:r>
            <w:r/>
          </w:p>
        </w:tc>
        <w:tc>
          <w:tcPr>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lang w:val="en-US" w:eastAsia="zh-CN"/>
              </w:rPr>
              <w:t xml:space="preserve">服务</w:t>
            </w:r>
            <w:r>
              <w:rPr>
                <w:rFonts w:hint="eastAsia" w:ascii="仿宋_GB2312"/>
                <w:color w:val="auto"/>
                <w:szCs w:val="21"/>
                <w:highlight w:val="none"/>
              </w:rPr>
              <w:t xml:space="preserve">地点</w:t>
            </w:r>
            <w:r/>
          </w:p>
        </w:tc>
        <w:tc>
          <w:tcPr>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W w:w="2502" w:type="dxa"/>
            <w:vAlign w:val="top"/>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938"/>
        <w:ind w:firstLine="480"/>
        <w:rPr>
          <w:rFonts w:ascii="宋体" w:hAnsi="宋体"/>
          <w:color w:val="auto"/>
          <w:sz w:val="24"/>
          <w:highlight w:val="none"/>
        </w:rPr>
      </w:pPr>
      <w:r/>
      <w:bookmarkStart w:id="73" w:name="_Hlt26609389"/>
      <w:r/>
      <w:bookmarkEnd w:id="73"/>
      <w:r/>
      <w:bookmarkStart w:id="74" w:name="_Hlt26671374"/>
      <w:r/>
      <w:bookmarkEnd w:id="74"/>
      <w:r/>
      <w:bookmarkStart w:id="75" w:name="_Hlt26955066"/>
      <w:r/>
      <w:bookmarkEnd w:id="75"/>
      <w:r/>
      <w:bookmarkStart w:id="76" w:name="_Toc462564146"/>
      <w:r/>
      <w:r/>
    </w:p>
    <w:p>
      <w:pPr>
        <w:pStyle w:val="938"/>
        <w:ind w:firstLine="480"/>
        <w:rPr>
          <w:rFonts w:ascii="宋体" w:hAnsi="宋体"/>
          <w:color w:val="auto"/>
          <w:sz w:val="24"/>
          <w:highlight w:val="none"/>
        </w:rPr>
      </w:pPr>
      <w:r>
        <w:rPr>
          <w:rFonts w:ascii="宋体" w:hAnsi="宋体"/>
          <w:color w:val="auto"/>
          <w:sz w:val="24"/>
          <w:highlight w:val="none"/>
        </w:rPr>
      </w:r>
      <w:r/>
    </w:p>
    <w:p>
      <w:pPr>
        <w:pStyle w:val="938"/>
        <w:ind w:firstLine="480"/>
        <w:rPr>
          <w:rFonts w:ascii="宋体" w:hAnsi="宋体"/>
          <w:color w:val="auto"/>
          <w:sz w:val="24"/>
          <w:highlight w:val="none"/>
        </w:rPr>
      </w:pPr>
      <w:r>
        <w:rPr>
          <w:rFonts w:ascii="宋体" w:hAnsi="宋体"/>
          <w:color w:val="auto"/>
          <w:sz w:val="24"/>
          <w:highlight w:val="none"/>
        </w:rPr>
      </w:r>
      <w:r/>
    </w:p>
    <w:p>
      <w:pPr>
        <w:pStyle w:val="938"/>
        <w:ind w:firstLine="480"/>
        <w:rPr>
          <w:rFonts w:ascii="宋体" w:hAnsi="宋体"/>
          <w:color w:val="auto"/>
          <w:sz w:val="24"/>
          <w:highlight w:val="none"/>
        </w:rPr>
      </w:pPr>
      <w:r>
        <w:rPr>
          <w:rFonts w:ascii="宋体" w:hAnsi="宋体"/>
          <w:color w:val="auto"/>
          <w:sz w:val="24"/>
          <w:highlight w:val="none"/>
        </w:rPr>
      </w:r>
      <w:r/>
    </w:p>
    <w:p>
      <w:pPr>
        <w:pStyle w:val="938"/>
        <w:ind w:firstLine="480"/>
        <w:rPr>
          <w:rFonts w:ascii="宋体" w:hAnsi="宋体"/>
          <w:color w:val="auto"/>
          <w:sz w:val="24"/>
          <w:highlight w:val="none"/>
        </w:rPr>
      </w:pPr>
      <w:r>
        <w:rPr>
          <w:rFonts w:hint="eastAsia" w:ascii="宋体" w:hAnsi="宋体"/>
          <w:color w:val="auto"/>
          <w:sz w:val="24"/>
          <w:highlight w:val="none"/>
        </w:rPr>
        <w:t xml:space="preserve">.</w:t>
      </w:r>
      <w:r/>
    </w:p>
    <w:p>
      <w:pPr>
        <w:pStyle w:val="938"/>
        <w:ind w:firstLine="480"/>
        <w:rPr>
          <w:rFonts w:ascii="宋体" w:hAnsi="宋体"/>
          <w:color w:val="auto"/>
          <w:sz w:val="24"/>
          <w:highlight w:val="none"/>
        </w:rPr>
      </w:pPr>
      <w:r>
        <w:rPr>
          <w:rFonts w:ascii="宋体" w:hAnsi="宋体"/>
          <w:color w:val="auto"/>
          <w:sz w:val="24"/>
          <w:highlight w:val="none"/>
        </w:rPr>
      </w:r>
      <w:r/>
    </w:p>
    <w:p>
      <w:pPr>
        <w:pStyle w:val="938"/>
        <w:ind w:firstLine="480"/>
        <w:rPr>
          <w:rFonts w:ascii="宋体" w:hAnsi="宋体"/>
          <w:color w:val="auto"/>
          <w:sz w:val="24"/>
          <w:highlight w:val="none"/>
        </w:rPr>
      </w:pPr>
      <w:r>
        <w:rPr>
          <w:rFonts w:ascii="宋体" w:hAnsi="宋体"/>
          <w:color w:val="auto"/>
          <w:sz w:val="24"/>
          <w:highlight w:val="none"/>
        </w:rPr>
      </w:r>
      <w:r/>
    </w:p>
    <w:p>
      <w:pPr>
        <w:pStyle w:val="938"/>
        <w:ind w:firstLine="480"/>
        <w:rPr>
          <w:rFonts w:ascii="宋体" w:hAnsi="宋体"/>
          <w:color w:val="auto"/>
          <w:sz w:val="24"/>
          <w:highlight w:val="none"/>
        </w:rPr>
      </w:pPr>
      <w:r>
        <w:rPr>
          <w:rFonts w:ascii="宋体" w:hAnsi="宋体"/>
          <w:color w:val="auto"/>
          <w:sz w:val="24"/>
          <w:highlight w:val="none"/>
        </w:rPr>
      </w:r>
      <w:r/>
    </w:p>
    <w:p>
      <w:pPr>
        <w:pStyle w:val="938"/>
        <w:ind w:firstLine="480"/>
        <w:rPr>
          <w:rFonts w:ascii="宋体" w:hAnsi="宋体"/>
          <w:color w:val="auto"/>
          <w:sz w:val="24"/>
          <w:highlight w:val="none"/>
        </w:rPr>
      </w:pPr>
      <w:r>
        <w:rPr>
          <w:rFonts w:ascii="宋体" w:hAnsi="宋体"/>
          <w:color w:val="auto"/>
          <w:sz w:val="24"/>
          <w:highlight w:val="none"/>
        </w:rPr>
      </w:r>
      <w:r/>
    </w:p>
    <w:p>
      <w:pPr>
        <w:pStyle w:val="938"/>
        <w:ind w:firstLine="480"/>
        <w:rPr>
          <w:rFonts w:ascii="宋体" w:hAnsi="宋体"/>
          <w:color w:val="auto"/>
          <w:sz w:val="24"/>
          <w:highlight w:val="none"/>
        </w:rPr>
      </w:pPr>
      <w:r>
        <w:rPr>
          <w:rFonts w:ascii="宋体" w:hAnsi="宋体"/>
          <w:color w:val="auto"/>
          <w:sz w:val="24"/>
          <w:highlight w:val="none"/>
        </w:rPr>
      </w:r>
      <w:r/>
    </w:p>
    <w:p>
      <w:pPr>
        <w:pStyle w:val="938"/>
        <w:ind w:firstLine="480"/>
        <w:rPr>
          <w:rFonts w:ascii="宋体" w:hAnsi="宋体"/>
          <w:color w:val="auto"/>
          <w:sz w:val="24"/>
          <w:highlight w:val="none"/>
        </w:rPr>
      </w:pPr>
      <w:r>
        <w:rPr>
          <w:rFonts w:ascii="宋体" w:hAnsi="宋体"/>
          <w:color w:val="auto"/>
          <w:sz w:val="24"/>
          <w:highlight w:val="none"/>
        </w:rPr>
      </w:r>
      <w:r/>
    </w:p>
    <w:p>
      <w:pPr>
        <w:pStyle w:val="938"/>
        <w:ind w:firstLine="480"/>
        <w:rPr>
          <w:rFonts w:ascii="宋体" w:hAnsi="宋体"/>
          <w:color w:val="auto"/>
          <w:sz w:val="24"/>
          <w:highlight w:val="none"/>
        </w:rPr>
      </w:pPr>
      <w:r>
        <w:rPr>
          <w:rFonts w:ascii="宋体" w:hAnsi="宋体"/>
          <w:color w:val="auto"/>
          <w:sz w:val="24"/>
          <w:highlight w:val="none"/>
        </w:rPr>
      </w:r>
      <w:r/>
    </w:p>
    <w:p>
      <w:pPr>
        <w:pStyle w:val="938"/>
        <w:ind w:firstLine="480"/>
        <w:rPr>
          <w:rFonts w:ascii="宋体" w:hAnsi="宋体"/>
          <w:color w:val="auto"/>
          <w:sz w:val="24"/>
          <w:highlight w:val="none"/>
        </w:rPr>
      </w:pPr>
      <w:r>
        <w:rPr>
          <w:rFonts w:ascii="宋体" w:hAnsi="宋体"/>
          <w:color w:val="auto"/>
          <w:sz w:val="24"/>
          <w:highlight w:val="none"/>
        </w:rPr>
      </w:r>
      <w:r/>
    </w:p>
    <w:p>
      <w:pPr>
        <w:pStyle w:val="938"/>
        <w:ind w:firstLine="480"/>
        <w:rPr>
          <w:rFonts w:ascii="宋体" w:hAnsi="宋体"/>
          <w:color w:val="auto"/>
          <w:sz w:val="24"/>
          <w:highlight w:val="none"/>
        </w:rPr>
      </w:pPr>
      <w:r>
        <w:rPr>
          <w:rFonts w:ascii="宋体" w:hAnsi="宋体"/>
          <w:color w:val="auto"/>
          <w:sz w:val="24"/>
          <w:highlight w:val="none"/>
        </w:rPr>
      </w:r>
      <w:r/>
    </w:p>
    <w:p>
      <w:pPr>
        <w:pStyle w:val="938"/>
        <w:ind w:firstLine="480"/>
        <w:rPr>
          <w:rFonts w:ascii="宋体" w:hAnsi="宋体"/>
          <w:color w:val="auto"/>
          <w:sz w:val="24"/>
          <w:highlight w:val="none"/>
        </w:rPr>
      </w:pPr>
      <w:r>
        <w:rPr>
          <w:rFonts w:ascii="宋体" w:hAnsi="宋体"/>
          <w:color w:val="auto"/>
          <w:sz w:val="24"/>
          <w:highlight w:val="none"/>
        </w:rPr>
      </w:r>
      <w:r/>
    </w:p>
    <w:p>
      <w:pPr>
        <w:pStyle w:val="938"/>
        <w:ind w:firstLine="480"/>
        <w:rPr>
          <w:rFonts w:ascii="宋体" w:hAnsi="宋体"/>
          <w:color w:val="auto"/>
          <w:sz w:val="24"/>
          <w:highlight w:val="none"/>
        </w:rPr>
      </w:pPr>
      <w:r>
        <w:rPr>
          <w:rFonts w:ascii="宋体" w:hAnsi="宋体"/>
          <w:color w:val="auto"/>
          <w:sz w:val="24"/>
          <w:highlight w:val="none"/>
        </w:rPr>
      </w:r>
      <w:r/>
    </w:p>
    <w:p>
      <w:pPr>
        <w:pStyle w:val="938"/>
        <w:ind w:firstLine="480"/>
        <w:rPr>
          <w:rFonts w:ascii="宋体" w:hAnsi="宋体"/>
          <w:color w:val="auto"/>
          <w:sz w:val="24"/>
          <w:highlight w:val="none"/>
        </w:rPr>
      </w:pPr>
      <w:r>
        <w:rPr>
          <w:rFonts w:ascii="宋体" w:hAnsi="宋体"/>
          <w:color w:val="auto"/>
          <w:sz w:val="24"/>
          <w:highlight w:val="none"/>
        </w:rPr>
      </w:r>
      <w:r/>
    </w:p>
    <w:p>
      <w:pPr>
        <w:pStyle w:val="938"/>
        <w:ind w:firstLine="480"/>
        <w:rPr>
          <w:rFonts w:ascii="宋体" w:hAnsi="宋体"/>
          <w:color w:val="auto"/>
          <w:sz w:val="24"/>
          <w:highlight w:val="none"/>
        </w:rPr>
      </w:pPr>
      <w:r>
        <w:rPr>
          <w:rFonts w:ascii="宋体" w:hAnsi="宋体"/>
          <w:color w:val="auto"/>
          <w:sz w:val="24"/>
          <w:highlight w:val="none"/>
        </w:rPr>
      </w:r>
      <w:r/>
    </w:p>
    <w:p>
      <w:pPr>
        <w:pStyle w:val="938"/>
        <w:ind w:firstLine="480"/>
        <w:rPr>
          <w:rFonts w:ascii="宋体" w:hAnsi="宋体"/>
          <w:color w:val="auto"/>
          <w:sz w:val="24"/>
          <w:highlight w:val="none"/>
        </w:rPr>
      </w:pPr>
      <w:r>
        <w:rPr>
          <w:rFonts w:ascii="宋体" w:hAnsi="宋体"/>
          <w:color w:val="auto"/>
          <w:sz w:val="24"/>
          <w:highlight w:val="none"/>
        </w:rPr>
      </w:r>
      <w:r/>
    </w:p>
    <w:p>
      <w:pPr>
        <w:pStyle w:val="938"/>
        <w:ind w:firstLine="480"/>
        <w:rPr>
          <w:rFonts w:ascii="宋体" w:hAnsi="宋体"/>
          <w:color w:val="auto"/>
          <w:sz w:val="24"/>
          <w:highlight w:val="none"/>
        </w:rPr>
      </w:pPr>
      <w:r>
        <w:rPr>
          <w:rFonts w:ascii="宋体" w:hAnsi="宋体"/>
          <w:color w:val="auto"/>
          <w:sz w:val="24"/>
          <w:highlight w:val="none"/>
        </w:rPr>
      </w:r>
      <w:r/>
    </w:p>
    <w:p>
      <w:pPr>
        <w:pStyle w:val="938"/>
        <w:ind w:firstLine="480"/>
        <w:rPr>
          <w:rFonts w:ascii="宋体" w:hAnsi="宋体"/>
          <w:color w:val="auto"/>
          <w:sz w:val="24"/>
          <w:highlight w:val="none"/>
        </w:rPr>
      </w:pPr>
      <w:r>
        <w:rPr>
          <w:rFonts w:ascii="宋体" w:hAnsi="宋体"/>
          <w:color w:val="auto"/>
          <w:sz w:val="24"/>
          <w:highlight w:val="none"/>
        </w:rPr>
      </w:r>
      <w:r/>
    </w:p>
    <w:p>
      <w:pPr>
        <w:pStyle w:val="938"/>
        <w:ind w:firstLine="480"/>
        <w:rPr>
          <w:rFonts w:ascii="宋体" w:hAnsi="宋体"/>
          <w:color w:val="auto"/>
          <w:sz w:val="24"/>
          <w:highlight w:val="none"/>
        </w:rPr>
      </w:pPr>
      <w:r>
        <w:rPr>
          <w:rFonts w:ascii="宋体" w:hAnsi="宋体"/>
          <w:color w:val="auto"/>
          <w:sz w:val="24"/>
          <w:highlight w:val="none"/>
        </w:rPr>
      </w:r>
      <w:r/>
    </w:p>
    <w:p>
      <w:pPr>
        <w:pStyle w:val="938"/>
        <w:ind w:firstLine="480"/>
        <w:rPr>
          <w:rFonts w:ascii="宋体" w:hAnsi="宋体"/>
          <w:color w:val="auto"/>
          <w:sz w:val="24"/>
          <w:highlight w:val="none"/>
        </w:rPr>
      </w:pPr>
      <w:r>
        <w:rPr>
          <w:rFonts w:ascii="宋体" w:hAnsi="宋体"/>
          <w:color w:val="auto"/>
          <w:sz w:val="24"/>
          <w:highlight w:val="none"/>
        </w:rPr>
      </w:r>
      <w:r/>
    </w:p>
    <w:p>
      <w:pPr>
        <w:pStyle w:val="938"/>
        <w:ind w:firstLine="480"/>
        <w:rPr>
          <w:rFonts w:ascii="宋体" w:hAnsi="宋体"/>
          <w:color w:val="auto"/>
          <w:sz w:val="24"/>
          <w:highlight w:val="none"/>
        </w:rPr>
      </w:pPr>
      <w:r>
        <w:rPr>
          <w:rFonts w:ascii="宋体" w:hAnsi="宋体"/>
          <w:color w:val="auto"/>
          <w:sz w:val="24"/>
          <w:highlight w:val="none"/>
        </w:rPr>
      </w:r>
      <w:bookmarkEnd w:id="76"/>
      <w:r/>
      <w:r/>
    </w:p>
    <w:p>
      <w:pPr>
        <w:jc w:val="left"/>
        <w:widowControl/>
        <w:rPr>
          <w:rFonts w:ascii="宋体" w:hAnsi="宋体"/>
          <w:b/>
          <w:color w:val="auto"/>
          <w:highlight w:val="none"/>
        </w:rPr>
      </w:pPr>
      <w:r/>
      <w:bookmarkStart w:id="77" w:name="_格式2__法定代表人授权书"/>
      <w:r/>
      <w:bookmarkEnd w:id="77"/>
      <w:r>
        <w:rPr>
          <w:rFonts w:ascii="宋体" w:hAnsi="宋体"/>
          <w:b/>
          <w:color w:val="auto"/>
          <w:highlight w:val="none"/>
        </w:rPr>
        <w:br w:type="page" w:clear="all"/>
      </w:r>
      <w:r/>
    </w:p>
    <w:p>
      <w:pPr>
        <w:pStyle w:val="937"/>
        <w:rPr>
          <w:rFonts w:hint="eastAsia" w:ascii="宋体" w:hAnsi="宋体" w:eastAsia="宋体" w:cs="Times New Roman"/>
          <w:bCs w:val="0"/>
          <w:color w:val="auto"/>
          <w:sz w:val="32"/>
          <w:szCs w:val="32"/>
          <w:highlight w:val="none"/>
        </w:rPr>
      </w:pPr>
      <w:r/>
      <w:bookmarkStart w:id="78" w:name="_Toc27612"/>
      <w:r>
        <w:rPr>
          <w:rFonts w:hint="eastAsia" w:ascii="宋体" w:hAnsi="宋体" w:eastAsia="宋体" w:cs="Times New Roman"/>
          <w:bCs w:val="0"/>
          <w:color w:val="auto"/>
          <w:sz w:val="32"/>
          <w:szCs w:val="32"/>
          <w:highlight w:val="none"/>
          <w:lang w:val="en-US" w:eastAsia="zh-CN"/>
        </w:rPr>
        <w:t xml:space="preserve">八</w:t>
      </w:r>
      <w:r>
        <w:rPr>
          <w:rFonts w:hint="eastAsia" w:ascii="宋体" w:hAnsi="宋体" w:eastAsia="宋体" w:cs="Times New Roman"/>
          <w:bCs w:val="0"/>
          <w:color w:val="auto"/>
          <w:sz w:val="32"/>
          <w:szCs w:val="32"/>
          <w:highlight w:val="none"/>
        </w:rPr>
        <w:t xml:space="preserve">、拟投入人员一览表</w:t>
      </w:r>
      <w:bookmarkEnd w:id="78"/>
      <w:r/>
      <w:r/>
    </w:p>
    <w:tbl>
      <w:tblPr>
        <w:tblStyle w:val="756"/>
        <w:tblW w:w="863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8"/>
        <w:gridCol w:w="1078"/>
        <w:gridCol w:w="1079"/>
        <w:gridCol w:w="1079"/>
        <w:gridCol w:w="1079"/>
        <w:gridCol w:w="1079"/>
        <w:gridCol w:w="1079"/>
        <w:gridCol w:w="1079"/>
      </w:tblGrid>
      <w:tr>
        <w:trPr>
          <w:trHeight w:val="781"/>
        </w:trPr>
        <w:tc>
          <w:tcPr>
            <w:tcMar>
              <w:left w:w="108" w:type="dxa"/>
              <w:top w:w="0" w:type="dxa"/>
              <w:right w:w="108" w:type="dxa"/>
              <w:bottom w:w="0" w:type="dxa"/>
            </w:tcMar>
            <w:tcW w:w="1078" w:type="dxa"/>
            <w:vAlign w:val="center"/>
            <w:textDirection w:val="lrTb"/>
            <w:noWrap w:val="false"/>
          </w:tcPr>
          <w:p>
            <w:pPr>
              <w:ind w:right="-2"/>
              <w:jc w:val="center"/>
              <w:spacing w:before="312"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序号</w:t>
            </w:r>
            <w:r/>
          </w:p>
        </w:tc>
        <w:tc>
          <w:tcPr>
            <w:tcMar>
              <w:left w:w="108" w:type="dxa"/>
              <w:top w:w="0" w:type="dxa"/>
              <w:right w:w="108" w:type="dxa"/>
              <w:bottom w:w="0" w:type="dxa"/>
            </w:tcMar>
            <w:tcW w:w="1078" w:type="dxa"/>
            <w:vAlign w:val="center"/>
            <w:textDirection w:val="lrTb"/>
            <w:noWrap w:val="false"/>
          </w:tcPr>
          <w:p>
            <w:pPr>
              <w:ind w:right="-2"/>
              <w:jc w:val="center"/>
              <w:spacing w:before="312"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岗位</w:t>
            </w:r>
            <w:r/>
          </w:p>
        </w:tc>
        <w:tc>
          <w:tcPr>
            <w:tcMar>
              <w:left w:w="108" w:type="dxa"/>
              <w:top w:w="0" w:type="dxa"/>
              <w:right w:w="108" w:type="dxa"/>
              <w:bottom w:w="0" w:type="dxa"/>
            </w:tcMar>
            <w:tcW w:w="1079" w:type="dxa"/>
            <w:vAlign w:val="center"/>
            <w:textDirection w:val="lrTb"/>
            <w:noWrap w:val="false"/>
          </w:tcPr>
          <w:p>
            <w:pPr>
              <w:ind w:right="-2"/>
              <w:jc w:val="center"/>
              <w:spacing w:before="312"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姓 名</w:t>
            </w:r>
            <w:r/>
          </w:p>
        </w:tc>
        <w:tc>
          <w:tcPr>
            <w:tcMar>
              <w:left w:w="108" w:type="dxa"/>
              <w:top w:w="0" w:type="dxa"/>
              <w:right w:w="108" w:type="dxa"/>
              <w:bottom w:w="0" w:type="dxa"/>
            </w:tcMar>
            <w:tcW w:w="1079" w:type="dxa"/>
            <w:vAlign w:val="center"/>
            <w:textDirection w:val="lrTb"/>
            <w:noWrap w:val="false"/>
          </w:tcPr>
          <w:p>
            <w:pPr>
              <w:ind w:right="-2"/>
              <w:jc w:val="center"/>
              <w:spacing w:before="312"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性别</w:t>
            </w:r>
            <w:r/>
          </w:p>
        </w:tc>
        <w:tc>
          <w:tcPr>
            <w:tcMar>
              <w:left w:w="108" w:type="dxa"/>
              <w:top w:w="0" w:type="dxa"/>
              <w:right w:w="108" w:type="dxa"/>
              <w:bottom w:w="0" w:type="dxa"/>
            </w:tcMar>
            <w:tcW w:w="1079" w:type="dxa"/>
            <w:vAlign w:val="center"/>
            <w:textDirection w:val="lrTb"/>
            <w:noWrap w:val="false"/>
          </w:tcPr>
          <w:p>
            <w:pPr>
              <w:ind w:right="-2"/>
              <w:jc w:val="center"/>
              <w:spacing w:before="312"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学历</w:t>
            </w:r>
            <w:r/>
          </w:p>
        </w:tc>
        <w:tc>
          <w:tcPr>
            <w:tcMar>
              <w:left w:w="108" w:type="dxa"/>
              <w:top w:w="0" w:type="dxa"/>
              <w:right w:w="108" w:type="dxa"/>
              <w:bottom w:w="0" w:type="dxa"/>
            </w:tcMar>
            <w:tcW w:w="1079" w:type="dxa"/>
            <w:vAlign w:val="center"/>
            <w:textDirection w:val="lrTb"/>
            <w:noWrap w:val="false"/>
          </w:tcPr>
          <w:p>
            <w:pPr>
              <w:ind w:right="-2"/>
              <w:jc w:val="center"/>
              <w:spacing w:before="312"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出生年月</w:t>
            </w:r>
            <w:r/>
          </w:p>
        </w:tc>
        <w:tc>
          <w:tcPr>
            <w:tcMar>
              <w:left w:w="108" w:type="dxa"/>
              <w:top w:w="0" w:type="dxa"/>
              <w:right w:w="108" w:type="dxa"/>
              <w:bottom w:w="0" w:type="dxa"/>
            </w:tcMar>
            <w:tcW w:w="1079" w:type="dxa"/>
            <w:vAlign w:val="center"/>
            <w:textDirection w:val="lrTb"/>
            <w:noWrap w:val="false"/>
          </w:tcPr>
          <w:p>
            <w:pPr>
              <w:ind w:right="-2"/>
              <w:jc w:val="center"/>
              <w:spacing w:before="312"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专业</w:t>
            </w:r>
            <w:r/>
          </w:p>
        </w:tc>
        <w:tc>
          <w:tcPr>
            <w:tcMar>
              <w:left w:w="108" w:type="dxa"/>
              <w:top w:w="0" w:type="dxa"/>
              <w:right w:w="108" w:type="dxa"/>
              <w:bottom w:w="0" w:type="dxa"/>
            </w:tcMar>
            <w:tcW w:w="1079" w:type="dxa"/>
            <w:vAlign w:val="center"/>
            <w:textDirection w:val="lrTb"/>
            <w:noWrap w:val="false"/>
          </w:tcPr>
          <w:p>
            <w:pPr>
              <w:ind w:right="-2"/>
              <w:jc w:val="center"/>
              <w:spacing w:before="312"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备注</w:t>
            </w:r>
            <w:r/>
          </w:p>
        </w:tc>
      </w:tr>
      <w:tr>
        <w:trPr>
          <w:trHeight w:val="473"/>
        </w:trPr>
        <w:tc>
          <w:tcPr>
            <w:tcMar>
              <w:left w:w="108" w:type="dxa"/>
              <w:top w:w="0" w:type="dxa"/>
              <w:right w:w="108" w:type="dxa"/>
              <w:bottom w:w="0" w:type="dxa"/>
            </w:tcMar>
            <w:tcW w:w="1078"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8"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r>
      <w:tr>
        <w:trPr>
          <w:trHeight w:val="473"/>
        </w:trPr>
        <w:tc>
          <w:tcPr>
            <w:tcMar>
              <w:left w:w="108" w:type="dxa"/>
              <w:top w:w="0" w:type="dxa"/>
              <w:right w:w="108" w:type="dxa"/>
              <w:bottom w:w="0" w:type="dxa"/>
            </w:tcMar>
            <w:tcW w:w="1078"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8"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r>
      <w:tr>
        <w:trPr>
          <w:trHeight w:val="473"/>
        </w:trPr>
        <w:tc>
          <w:tcPr>
            <w:tcMar>
              <w:left w:w="108" w:type="dxa"/>
              <w:top w:w="0" w:type="dxa"/>
              <w:right w:w="108" w:type="dxa"/>
              <w:bottom w:w="0" w:type="dxa"/>
            </w:tcMar>
            <w:tcW w:w="1078"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8"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r>
      <w:tr>
        <w:trPr>
          <w:trHeight w:val="473"/>
        </w:trPr>
        <w:tc>
          <w:tcPr>
            <w:tcMar>
              <w:left w:w="108" w:type="dxa"/>
              <w:top w:w="0" w:type="dxa"/>
              <w:right w:w="108" w:type="dxa"/>
              <w:bottom w:w="0" w:type="dxa"/>
            </w:tcMar>
            <w:tcW w:w="1078"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8"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r>
      <w:tr>
        <w:trPr>
          <w:trHeight w:val="473"/>
        </w:trPr>
        <w:tc>
          <w:tcPr>
            <w:tcMar>
              <w:left w:w="108" w:type="dxa"/>
              <w:top w:w="0" w:type="dxa"/>
              <w:right w:w="108" w:type="dxa"/>
              <w:bottom w:w="0" w:type="dxa"/>
            </w:tcMar>
            <w:tcW w:w="1078"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8"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r>
      <w:tr>
        <w:trPr>
          <w:trHeight w:val="473"/>
        </w:trPr>
        <w:tc>
          <w:tcPr>
            <w:tcMar>
              <w:left w:w="108" w:type="dxa"/>
              <w:top w:w="0" w:type="dxa"/>
              <w:right w:w="108" w:type="dxa"/>
              <w:bottom w:w="0" w:type="dxa"/>
            </w:tcMar>
            <w:tcW w:w="1078"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8"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r>
      <w:tr>
        <w:trPr>
          <w:trHeight w:val="473"/>
        </w:trPr>
        <w:tc>
          <w:tcPr>
            <w:tcMar>
              <w:left w:w="108" w:type="dxa"/>
              <w:top w:w="0" w:type="dxa"/>
              <w:right w:w="108" w:type="dxa"/>
              <w:bottom w:w="0" w:type="dxa"/>
            </w:tcMar>
            <w:tcW w:w="1078"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8"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r>
      <w:tr>
        <w:trPr>
          <w:trHeight w:val="473"/>
        </w:trPr>
        <w:tc>
          <w:tcPr>
            <w:tcMar>
              <w:left w:w="108" w:type="dxa"/>
              <w:top w:w="0" w:type="dxa"/>
              <w:right w:w="108" w:type="dxa"/>
              <w:bottom w:w="0" w:type="dxa"/>
            </w:tcMar>
            <w:tcW w:w="1078"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8"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r>
      <w:tr>
        <w:trPr>
          <w:trHeight w:val="483"/>
        </w:trPr>
        <w:tc>
          <w:tcPr>
            <w:tcMar>
              <w:left w:w="108" w:type="dxa"/>
              <w:top w:w="0" w:type="dxa"/>
              <w:right w:w="108" w:type="dxa"/>
              <w:bottom w:w="0" w:type="dxa"/>
            </w:tcMar>
            <w:tcW w:w="1078"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8"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c>
          <w:tcPr>
            <w:tcMar>
              <w:left w:w="108" w:type="dxa"/>
              <w:top w:w="0" w:type="dxa"/>
              <w:right w:w="108" w:type="dxa"/>
              <w:bottom w:w="0" w:type="dxa"/>
            </w:tcMar>
            <w:tcW w:w="1079" w:type="dxa"/>
            <w:vAlign w:val="center"/>
            <w:textDirection w:val="lrTb"/>
            <w:noWrap w:val="false"/>
          </w:tcPr>
          <w:p>
            <w:pPr>
              <w:ind w:right="-2"/>
              <w:jc w:val="cente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tc>
      </w:tr>
    </w:tbl>
    <w:p>
      <w:pPr>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 </w:t>
      </w:r>
      <w:r/>
    </w:p>
    <w:p>
      <w:pPr>
        <w:jc w:val="center"/>
        <w:spacing w:before="312" w:line="360" w:lineRule="auto"/>
        <w:rPr>
          <w:rFonts w:hint="eastAsia" w:ascii="宋体" w:hAnsi="宋体"/>
          <w:b/>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color w:val="auto"/>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56"/>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3780" w:type="dxa"/>
            <w:vAlign w:val="top"/>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hint="eastAsia" w:ascii="宋体" w:hAnsi="宋体"/>
          <w:color w:val="auto"/>
          <w:highlight w:val="none"/>
        </w:rPr>
      </w:pPr>
      <w:r>
        <w:rPr>
          <w:rFonts w:hint="eastAsia" w:ascii="宋体" w:hAnsi="宋体"/>
          <w:color w:val="auto"/>
          <w:highlight w:val="none"/>
        </w:rPr>
        <w:t xml:space="preserve">日期：</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Arial">
    <w:panose1 w:val="020B0604020202020204"/>
  </w:font>
  <w:font w:name="微软雅黑">
    <w:panose1 w:val="020B0503020204020204"/>
  </w:font>
  <w:font w:name="Calibri">
    <w:panose1 w:val="020F050202020403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pPr>
    <w:r>
      <w:fldChar w:fldCharType="begin"/>
    </w:r>
    <w:r>
      <w:instrText xml:space="preserve">PAGE   \* MERGEFORMAT</w:instrText>
    </w:r>
    <w:r>
      <w:fldChar w:fldCharType="separate"/>
    </w:r>
    <w:r>
      <w:rPr>
        <w:lang w:val="zh-CN"/>
      </w:rPr>
      <w:t xml:space="preserve">4</w:t>
    </w:r>
    <w:r>
      <w:rPr>
        <w:lang w:val="zh-CN"/>
      </w:rPr>
      <w:fldChar w:fldCharType="end"/>
    </w:r>
    <w:r/>
  </w:p>
  <w:p>
    <w:pPr>
      <w:pStyle w:val="9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w:rPr>
        <w:rFonts w:hint="eastAsia"/>
        <w:lang w:eastAsia="zh-CN"/>
      </w:rPr>
      <w:t xml:space="preserve">JSZC-321000-SWGC-G2024-0070号</w:t>
    </w:r>
    <w:r>
      <w:rPr>
        <w:rFonts w:hint="eastAsia"/>
      </w:rPr>
      <w:t xml:space="preserve">                              江苏苏维工程管理有限公司</w:t>
    </w:r>
    <w:r/>
  </w:p>
  <w:p>
    <w:pPr>
      <w:pStyle w:val="95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Fonts w:hint="eastAsia" w:ascii="宋体" w:hAnsi="宋体" w:eastAsia="宋体" w:cs="宋体"/>
        <w:highlight w:val="none"/>
        <w:lang w:eastAsia="zh-CN"/>
      </w:rPr>
    </w:pPr>
    <w:r>
      <w:rPr>
        <w:rFonts w:hint="eastAsia" w:ascii="宋体" w:hAnsi="宋体" w:cs="宋体"/>
        <w:highlight w:val="none"/>
        <w:lang w:eastAsia="zh-CN"/>
      </w:rPr>
      <w:t xml:space="preserve">JSZC-321000-SWGC-G2024-0070</w:t>
    </w:r>
    <w:r>
      <w:rPr>
        <w:rFonts w:hint="eastAsia" w:ascii="宋体" w:hAnsi="宋体" w:eastAsia="宋体" w:cs="宋体"/>
        <w:highlight w:val="none"/>
        <w:lang w:eastAsia="zh-CN"/>
      </w:rPr>
      <w:t xml:space="preserve">号</w:t>
    </w:r>
    <w:r>
      <w:rPr>
        <w:rFonts w:hint="eastAsia"/>
        <w:highlight w:val="none"/>
      </w:rPr>
      <w:t xml:space="preserve">                               </w:t>
    </w:r>
    <w:r>
      <w:rPr>
        <w:rFonts w:hint="eastAsia" w:ascii="宋体" w:hAnsi="宋体" w:eastAsia="宋体" w:cs="宋体"/>
        <w:highlight w:val="none"/>
      </w:rPr>
      <w:t xml:space="preserve">   </w:t>
    </w:r>
    <w:r>
      <w:rPr>
        <w:rFonts w:hint="eastAsia" w:ascii="宋体" w:hAnsi="宋体" w:eastAsia="宋体" w:cs="宋体"/>
        <w:highlight w:val="none"/>
        <w:lang w:eastAsia="zh-CN"/>
      </w:rPr>
      <w:t xml:space="preserve">江苏苏维工程管理有限公司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both"/>
      <w:rPr>
        <w:rFonts w:hint="eastAsia" w:eastAsia="宋体"/>
        <w:lang w:eastAsia="zh-CN"/>
      </w:rPr>
    </w:pPr>
    <w:r>
      <w:rPr>
        <w:rFonts w:hint="eastAsia"/>
        <w:highlight w:val="none"/>
        <w:lang w:eastAsia="zh-CN"/>
      </w:rPr>
      <w:t xml:space="preserve">JSZC-321000-SWGC-G2024-0070号</w:t>
    </w:r>
    <w:r>
      <w:rPr>
        <w:highlight w:val="none"/>
      </w:rPr>
      <w:tab/>
    </w:r>
    <w:r>
      <w:rPr>
        <w:rFonts w:hint="eastAsia"/>
        <w:highlight w:val="none"/>
      </w:rPr>
      <w:t xml:space="preserve">   </w:t>
    </w:r>
    <w:r>
      <w:rPr>
        <w:rFonts w:hint="eastAsia"/>
      </w:rPr>
      <w:t xml:space="preserve">                                  </w:t>
    </w:r>
    <w:r>
      <w:rPr>
        <w:rFonts w:hint="eastAsia"/>
        <w:lang w:eastAsia="zh-CN"/>
      </w:rPr>
      <w:t xml:space="preserve">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link w:val="957"/>
    <w:uiPriority w:val="0"/>
    <w:qFormat/>
    <w:pPr>
      <w:jc w:val="both"/>
      <w:widowControl w:val="off"/>
    </w:pPr>
    <w:rPr>
      <w:rFonts w:hint="default" w:ascii="Calibri" w:hAnsi="Calibri" w:eastAsia="宋体" w:cs="Times New Roman"/>
      <w:sz w:val="21"/>
      <w:szCs w:val="22"/>
      <w:lang w:val="en-US" w:eastAsia="zh-CN" w:bidi="ar-SA"/>
    </w:rPr>
  </w:style>
  <w:style w:type="paragraph" w:styleId="746">
    <w:name w:val="Heading 1"/>
    <w:basedOn w:val="745"/>
    <w:next w:val="745"/>
    <w:link w:val="789"/>
    <w:uiPriority w:val="9"/>
    <w:qFormat/>
    <w:pPr>
      <w:jc w:val="center"/>
      <w:keepLines/>
      <w:keepNext/>
      <w:spacing w:before="480" w:after="200" w:line="360" w:lineRule="auto"/>
      <w:outlineLvl w:val="0"/>
    </w:pPr>
    <w:rPr>
      <w:rFonts w:ascii="Arial" w:hAnsi="Arial" w:cs="Arial"/>
      <w:b/>
      <w:sz w:val="32"/>
      <w:szCs w:val="40"/>
    </w:rPr>
  </w:style>
  <w:style w:type="paragraph" w:styleId="747">
    <w:name w:val="Heading 2"/>
    <w:basedOn w:val="745"/>
    <w:next w:val="745"/>
    <w:link w:val="790"/>
    <w:uiPriority w:val="9"/>
    <w:unhideWhenUsed/>
    <w:qFormat/>
    <w:pPr>
      <w:keepLines/>
      <w:keepNext/>
      <w:spacing w:before="360" w:after="200"/>
      <w:outlineLvl w:val="1"/>
    </w:pPr>
    <w:rPr>
      <w:rFonts w:ascii="Arial" w:hAnsi="Arial" w:eastAsia="Arial" w:cs="Arial"/>
      <w:sz w:val="34"/>
    </w:rPr>
  </w:style>
  <w:style w:type="paragraph" w:styleId="748">
    <w:name w:val="Heading 3"/>
    <w:basedOn w:val="745"/>
    <w:next w:val="745"/>
    <w:link w:val="791"/>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45"/>
    <w:link w:val="792"/>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793"/>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link w:val="794"/>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link w:val="796"/>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797"/>
    <w:uiPriority w:val="9"/>
    <w:unhideWhenUsed/>
    <w:qFormat/>
    <w:pPr>
      <w:keepLines/>
      <w:keepNext/>
      <w:spacing w:before="320" w:after="200"/>
      <w:outlineLvl w:val="8"/>
    </w:pPr>
    <w:rPr>
      <w:rFonts w:ascii="Arial" w:hAnsi="Arial" w:eastAsia="Arial" w:cs="Arial"/>
      <w:i/>
      <w:iCs/>
      <w:sz w:val="21"/>
      <w:szCs w:val="21"/>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name w:val="toc 7"/>
    <w:basedOn w:val="745"/>
    <w:next w:val="745"/>
    <w:uiPriority w:val="39"/>
    <w:unhideWhenUsed/>
    <w:qFormat/>
    <w:pPr>
      <w:ind w:left="1701" w:right="0" w:firstLine="0"/>
      <w:spacing w:after="57"/>
    </w:pPr>
  </w:style>
  <w:style w:type="paragraph" w:styleId="758">
    <w:name w:val="Caption"/>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9">
    <w:name w:val="annotation text"/>
    <w:basedOn w:val="745"/>
    <w:uiPriority w:val="0"/>
    <w:qFormat/>
    <w:pPr>
      <w:jc w:val="left"/>
    </w:pPr>
  </w:style>
  <w:style w:type="paragraph" w:styleId="760">
    <w:name w:val="Body Text Indent"/>
    <w:basedOn w:val="745"/>
    <w:next w:val="761"/>
    <w:uiPriority w:val="0"/>
    <w:qFormat/>
    <w:pPr>
      <w:ind w:firstLine="540"/>
      <w:spacing w:line="400" w:lineRule="exact"/>
    </w:pPr>
    <w:rPr>
      <w:sz w:val="24"/>
    </w:rPr>
  </w:style>
  <w:style w:type="paragraph" w:styleId="761">
    <w:name w:val="envelope return"/>
    <w:basedOn w:val="745"/>
    <w:uiPriority w:val="99"/>
    <w:unhideWhenUsed/>
    <w:qFormat/>
    <w:rPr>
      <w:rFonts w:ascii="Arial" w:hAnsi="Arial"/>
    </w:rPr>
  </w:style>
  <w:style w:type="paragraph" w:styleId="762">
    <w:name w:val="toc 5"/>
    <w:basedOn w:val="745"/>
    <w:next w:val="745"/>
    <w:uiPriority w:val="39"/>
    <w:unhideWhenUsed/>
    <w:qFormat/>
    <w:pPr>
      <w:ind w:left="1134" w:right="0" w:firstLine="0"/>
      <w:spacing w:after="57"/>
    </w:pPr>
  </w:style>
  <w:style w:type="paragraph" w:styleId="763">
    <w:name w:val="toc 3"/>
    <w:basedOn w:val="745"/>
    <w:next w:val="745"/>
    <w:uiPriority w:val="39"/>
    <w:unhideWhenUsed/>
    <w:qFormat/>
    <w:pPr>
      <w:ind w:left="567" w:right="0" w:firstLine="0"/>
      <w:spacing w:after="57"/>
    </w:pPr>
  </w:style>
  <w:style w:type="paragraph" w:styleId="764">
    <w:name w:val="toc 8"/>
    <w:basedOn w:val="745"/>
    <w:next w:val="745"/>
    <w:uiPriority w:val="39"/>
    <w:unhideWhenUsed/>
    <w:qFormat/>
    <w:pPr>
      <w:ind w:left="1984" w:right="0" w:firstLine="0"/>
      <w:spacing w:after="57"/>
    </w:pPr>
  </w:style>
  <w:style w:type="paragraph" w:styleId="765">
    <w:name w:val="endnote text"/>
    <w:basedOn w:val="745"/>
    <w:link w:val="934"/>
    <w:uiPriority w:val="99"/>
    <w:semiHidden/>
    <w:unhideWhenUsed/>
    <w:qFormat/>
    <w:pPr>
      <w:spacing w:after="0" w:line="240" w:lineRule="auto"/>
    </w:pPr>
    <w:rPr>
      <w:sz w:val="20"/>
    </w:rPr>
  </w:style>
  <w:style w:type="paragraph" w:styleId="766">
    <w:name w:val="Footer"/>
    <w:basedOn w:val="745"/>
    <w:link w:val="807"/>
    <w:uiPriority w:val="99"/>
    <w:unhideWhenUsed/>
    <w:qFormat/>
    <w:pPr>
      <w:spacing w:after="0" w:line="240" w:lineRule="auto"/>
      <w:tabs>
        <w:tab w:val="center" w:pos="7143" w:leader="none"/>
        <w:tab w:val="right" w:pos="14287" w:leader="none"/>
      </w:tabs>
    </w:pPr>
  </w:style>
  <w:style w:type="paragraph" w:styleId="767">
    <w:name w:val="Header"/>
    <w:basedOn w:val="745"/>
    <w:link w:val="805"/>
    <w:uiPriority w:val="99"/>
    <w:unhideWhenUsed/>
    <w:qFormat/>
    <w:pPr>
      <w:spacing w:after="0" w:line="240" w:lineRule="auto"/>
      <w:tabs>
        <w:tab w:val="center" w:pos="7143" w:leader="none"/>
        <w:tab w:val="right" w:pos="14287" w:leader="none"/>
      </w:tabs>
    </w:pPr>
  </w:style>
  <w:style w:type="paragraph" w:styleId="768">
    <w:name w:val="toc 1"/>
    <w:basedOn w:val="745"/>
    <w:next w:val="745"/>
    <w:uiPriority w:val="39"/>
    <w:unhideWhenUsed/>
    <w:qFormat/>
    <w:pPr>
      <w:ind w:left="0" w:right="0" w:firstLine="0"/>
      <w:spacing w:after="57"/>
    </w:pPr>
  </w:style>
  <w:style w:type="paragraph" w:styleId="769">
    <w:name w:val="toc 4"/>
    <w:basedOn w:val="745"/>
    <w:next w:val="745"/>
    <w:uiPriority w:val="39"/>
    <w:unhideWhenUsed/>
    <w:qFormat/>
    <w:pPr>
      <w:ind w:left="850" w:right="0" w:firstLine="0"/>
      <w:spacing w:after="57"/>
    </w:pPr>
  </w:style>
  <w:style w:type="paragraph" w:styleId="770">
    <w:name w:val="Subtitle"/>
    <w:basedOn w:val="745"/>
    <w:next w:val="745"/>
    <w:link w:val="800"/>
    <w:uiPriority w:val="11"/>
    <w:qFormat/>
    <w:pPr>
      <w:spacing w:before="200" w:after="200"/>
    </w:pPr>
    <w:rPr>
      <w:sz w:val="24"/>
      <w:szCs w:val="24"/>
    </w:rPr>
  </w:style>
  <w:style w:type="paragraph" w:styleId="771">
    <w:name w:val="footnote text"/>
    <w:basedOn w:val="745"/>
    <w:link w:val="933"/>
    <w:uiPriority w:val="99"/>
    <w:semiHidden/>
    <w:unhideWhenUsed/>
    <w:qFormat/>
    <w:pPr>
      <w:spacing w:after="40" w:line="240" w:lineRule="auto"/>
    </w:pPr>
    <w:rPr>
      <w:sz w:val="18"/>
    </w:rPr>
  </w:style>
  <w:style w:type="paragraph" w:styleId="772">
    <w:name w:val="toc 6"/>
    <w:basedOn w:val="745"/>
    <w:next w:val="745"/>
    <w:uiPriority w:val="39"/>
    <w:unhideWhenUsed/>
    <w:qFormat/>
    <w:pPr>
      <w:ind w:left="1417" w:right="0" w:firstLine="0"/>
      <w:spacing w:after="57"/>
    </w:pPr>
  </w:style>
  <w:style w:type="paragraph" w:styleId="773">
    <w:name w:val="table of figures"/>
    <w:basedOn w:val="745"/>
    <w:next w:val="745"/>
    <w:uiPriority w:val="99"/>
    <w:unhideWhenUsed/>
    <w:qFormat/>
    <w:pPr>
      <w:spacing w:after="0" w:afterAutospacing="0"/>
    </w:pPr>
  </w:style>
  <w:style w:type="paragraph" w:styleId="774">
    <w:name w:val="toc 2"/>
    <w:basedOn w:val="745"/>
    <w:next w:val="745"/>
    <w:uiPriority w:val="39"/>
    <w:unhideWhenUsed/>
    <w:qFormat/>
    <w:pPr>
      <w:ind w:left="283" w:right="0" w:firstLine="0"/>
      <w:spacing w:after="57"/>
    </w:pPr>
  </w:style>
  <w:style w:type="paragraph" w:styleId="775">
    <w:name w:val="toc 9"/>
    <w:basedOn w:val="745"/>
    <w:next w:val="745"/>
    <w:uiPriority w:val="39"/>
    <w:unhideWhenUsed/>
    <w:qFormat/>
    <w:pPr>
      <w:ind w:left="2268" w:right="0" w:firstLine="0"/>
      <w:spacing w:after="57"/>
    </w:pPr>
  </w:style>
  <w:style w:type="paragraph" w:styleId="776">
    <w:name w:val="Title"/>
    <w:basedOn w:val="745"/>
    <w:next w:val="745"/>
    <w:link w:val="799"/>
    <w:uiPriority w:val="10"/>
    <w:qFormat/>
    <w:pPr>
      <w:contextualSpacing/>
      <w:spacing w:before="300" w:after="200"/>
    </w:pPr>
    <w:rPr>
      <w:sz w:val="48"/>
      <w:szCs w:val="48"/>
    </w:rPr>
  </w:style>
  <w:style w:type="table" w:styleId="77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endnote reference"/>
    <w:uiPriority w:val="99"/>
    <w:semiHidden/>
    <w:unhideWhenUsed/>
    <w:qFormat/>
    <w:rPr>
      <w:vertAlign w:val="superscript"/>
    </w:rPr>
  </w:style>
  <w:style w:type="character" w:styleId="779">
    <w:name w:val="Hyperlink"/>
    <w:uiPriority w:val="99"/>
    <w:unhideWhenUsed/>
    <w:qFormat/>
    <w:rPr>
      <w:color w:val="0000ff" w:themeColor="hyperlink"/>
      <w:u w:val="single"/>
      <w14:textFill>
        <w14:solidFill>
          <w14:schemeClr w14:val="hlink"/>
        </w14:solidFill>
      </w14:textFill>
    </w:rPr>
  </w:style>
  <w:style w:type="character" w:styleId="780">
    <w:name w:val="footnote reference"/>
    <w:uiPriority w:val="99"/>
    <w:unhideWhenUsed/>
    <w:qFormat/>
    <w:rPr>
      <w:vertAlign w:val="superscript"/>
    </w:rPr>
  </w:style>
  <w:style w:type="paragraph" w:styleId="781" w:customStyle="1">
    <w:name w:val="正文1"/>
    <w:basedOn w:val="745"/>
    <w:next w:val="782"/>
    <w:uiPriority w:val="0"/>
    <w:qFormat/>
    <w:pPr>
      <w:jc w:val="left"/>
      <w:spacing w:line="360" w:lineRule="atLeast"/>
    </w:pPr>
    <w:rPr>
      <w:rFonts w:ascii="宋体" w:hAnsi="Calibri" w:eastAsia="宋体" w:cs="Times New Roman"/>
      <w:sz w:val="24"/>
      <w:szCs w:val="20"/>
    </w:rPr>
  </w:style>
  <w:style w:type="paragraph" w:styleId="782" w:customStyle="1">
    <w:name w:val="正文文本1"/>
    <w:basedOn w:val="781"/>
    <w:next w:val="783"/>
    <w:uiPriority w:val="0"/>
    <w:qFormat/>
    <w:pPr>
      <w:spacing w:after="120"/>
    </w:pPr>
    <w:rPr>
      <w:lang w:eastAsia="en-US"/>
    </w:rPr>
  </w:style>
  <w:style w:type="paragraph" w:styleId="783" w:customStyle="1">
    <w:name w:val="一级条标题"/>
    <w:basedOn w:val="784"/>
    <w:next w:val="7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4" w:customStyle="1">
    <w:name w:val="章标题"/>
    <w:next w:val="74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85" w:customStyle="1">
    <w:name w:val="段"/>
    <w:basedOn w:val="781"/>
    <w:next w:val="745"/>
    <w:uiPriority w:val="0"/>
    <w:qFormat/>
    <w:pPr>
      <w:ind w:firstLine="200"/>
      <w:widowControl/>
    </w:pPr>
    <w:rPr>
      <w:sz w:val="20"/>
    </w:rPr>
  </w:style>
  <w:style w:type="paragraph" w:styleId="786" w:customStyle="1">
    <w:name w:val="正文首行缩进 21"/>
    <w:basedOn w:val="787"/>
    <w:next w:val="745"/>
    <w:uiPriority w:val="0"/>
    <w:qFormat/>
    <w:pPr>
      <w:ind w:firstLine="420"/>
    </w:pPr>
    <w:rPr>
      <w:sz w:val="20"/>
    </w:rPr>
  </w:style>
  <w:style w:type="paragraph" w:styleId="787" w:customStyle="1">
    <w:name w:val="正文文本缩进1"/>
    <w:basedOn w:val="788"/>
    <w:next w:val="745"/>
    <w:uiPriority w:val="99"/>
    <w:unhideWhenUsed/>
    <w:qFormat/>
    <w:pPr>
      <w:ind w:firstLine="540"/>
      <w:spacing w:line="400" w:lineRule="exact"/>
    </w:pPr>
    <w:rPr>
      <w:sz w:val="24"/>
    </w:rPr>
  </w:style>
  <w:style w:type="paragraph" w:styleId="788" w:customStyle="1">
    <w:name w:val="正文11"/>
    <w:next w:val="786"/>
    <w:uiPriority w:val="0"/>
    <w:qFormat/>
    <w:pPr>
      <w:jc w:val="both"/>
      <w:widowControl w:val="off"/>
    </w:pPr>
    <w:rPr>
      <w:rFonts w:hint="default" w:ascii="Calibri" w:hAnsi="Calibri" w:eastAsia="宋体" w:cs="Times New Roman"/>
      <w:sz w:val="21"/>
      <w:szCs w:val="21"/>
      <w:lang w:val="en-US" w:eastAsia="zh-CN" w:bidi="ar-SA"/>
    </w:rPr>
  </w:style>
  <w:style w:type="character" w:styleId="789" w:customStyle="1">
    <w:name w:val="Heading 1 Char"/>
    <w:link w:val="746"/>
    <w:uiPriority w:val="9"/>
    <w:qFormat/>
    <w:rPr>
      <w:rFonts w:ascii="Arial" w:hAnsi="Arial" w:eastAsia="宋体" w:cs="Arial"/>
      <w:b/>
      <w:sz w:val="32"/>
      <w:szCs w:val="40"/>
    </w:rPr>
  </w:style>
  <w:style w:type="character" w:styleId="790" w:customStyle="1">
    <w:name w:val="Heading 2 Char"/>
    <w:link w:val="747"/>
    <w:uiPriority w:val="9"/>
    <w:qFormat/>
    <w:rPr>
      <w:rFonts w:ascii="Arial" w:hAnsi="Arial" w:eastAsia="Arial" w:cs="Arial"/>
      <w:sz w:val="34"/>
    </w:rPr>
  </w:style>
  <w:style w:type="character" w:styleId="791" w:customStyle="1">
    <w:name w:val="Heading 3 Char"/>
    <w:link w:val="748"/>
    <w:uiPriority w:val="9"/>
    <w:qFormat/>
    <w:rPr>
      <w:rFonts w:ascii="Arial" w:hAnsi="Arial" w:eastAsia="Arial" w:cs="Arial"/>
      <w:sz w:val="30"/>
      <w:szCs w:val="30"/>
    </w:rPr>
  </w:style>
  <w:style w:type="character" w:styleId="792" w:customStyle="1">
    <w:name w:val="Heading 4 Char"/>
    <w:link w:val="749"/>
    <w:uiPriority w:val="9"/>
    <w:qFormat/>
    <w:rPr>
      <w:rFonts w:ascii="Arial" w:hAnsi="Arial" w:eastAsia="Arial" w:cs="Arial"/>
      <w:b/>
      <w:bCs/>
      <w:sz w:val="26"/>
      <w:szCs w:val="26"/>
    </w:rPr>
  </w:style>
  <w:style w:type="character" w:styleId="793" w:customStyle="1">
    <w:name w:val="Heading 5 Char"/>
    <w:link w:val="750"/>
    <w:uiPriority w:val="9"/>
    <w:qFormat/>
    <w:rPr>
      <w:rFonts w:ascii="Arial" w:hAnsi="Arial" w:eastAsia="Arial" w:cs="Arial"/>
      <w:b/>
      <w:bCs/>
      <w:sz w:val="24"/>
      <w:szCs w:val="24"/>
    </w:rPr>
  </w:style>
  <w:style w:type="character" w:styleId="794" w:customStyle="1">
    <w:name w:val="Heading 6 Char"/>
    <w:link w:val="751"/>
    <w:uiPriority w:val="9"/>
    <w:qFormat/>
    <w:rPr>
      <w:rFonts w:ascii="Arial" w:hAnsi="Arial" w:eastAsia="Arial" w:cs="Arial"/>
      <w:b/>
      <w:bCs/>
      <w:sz w:val="22"/>
      <w:szCs w:val="22"/>
    </w:rPr>
  </w:style>
  <w:style w:type="character" w:styleId="795" w:customStyle="1">
    <w:name w:val="Heading 7 Char"/>
    <w:link w:val="752"/>
    <w:uiPriority w:val="9"/>
    <w:qFormat/>
    <w:rPr>
      <w:rFonts w:ascii="Arial" w:hAnsi="Arial" w:eastAsia="Arial" w:cs="Arial"/>
      <w:b/>
      <w:bCs/>
      <w:i/>
      <w:iCs/>
      <w:sz w:val="22"/>
      <w:szCs w:val="22"/>
    </w:rPr>
  </w:style>
  <w:style w:type="character" w:styleId="796" w:customStyle="1">
    <w:name w:val="Heading 8 Char"/>
    <w:link w:val="753"/>
    <w:uiPriority w:val="9"/>
    <w:qFormat/>
    <w:rPr>
      <w:rFonts w:ascii="Arial" w:hAnsi="Arial" w:eastAsia="Arial" w:cs="Arial"/>
      <w:i/>
      <w:iCs/>
      <w:sz w:val="22"/>
      <w:szCs w:val="22"/>
    </w:rPr>
  </w:style>
  <w:style w:type="character" w:styleId="797" w:customStyle="1">
    <w:name w:val="Heading 9 Char"/>
    <w:link w:val="754"/>
    <w:uiPriority w:val="9"/>
    <w:qFormat/>
    <w:rPr>
      <w:rFonts w:ascii="Arial" w:hAnsi="Arial" w:eastAsia="Arial" w:cs="Arial"/>
      <w:i/>
      <w:iCs/>
      <w:sz w:val="21"/>
      <w:szCs w:val="21"/>
    </w:rPr>
  </w:style>
  <w:style w:type="paragraph" w:styleId="798">
    <w:name w:val="No Spacing"/>
    <w:uiPriority w:val="1"/>
    <w:qFormat/>
    <w:pPr>
      <w:spacing w:before="0" w:after="0" w:line="240" w:lineRule="auto"/>
    </w:pPr>
    <w:rPr>
      <w:rFonts w:hint="default" w:ascii="Times New Roman" w:hAnsi="Times New Roman" w:eastAsia="宋体" w:cs="Times New Roman"/>
    </w:rPr>
  </w:style>
  <w:style w:type="character" w:styleId="799" w:customStyle="1">
    <w:name w:val="Title Char"/>
    <w:link w:val="776"/>
    <w:uiPriority w:val="10"/>
    <w:qFormat/>
    <w:rPr>
      <w:sz w:val="48"/>
      <w:szCs w:val="48"/>
    </w:rPr>
  </w:style>
  <w:style w:type="character" w:styleId="800" w:customStyle="1">
    <w:name w:val="Subtitle Char"/>
    <w:link w:val="770"/>
    <w:uiPriority w:val="11"/>
    <w:qFormat/>
    <w:rPr>
      <w:sz w:val="24"/>
      <w:szCs w:val="24"/>
    </w:rPr>
  </w:style>
  <w:style w:type="paragraph" w:styleId="801">
    <w:name w:val="Quote"/>
    <w:basedOn w:val="745"/>
    <w:next w:val="745"/>
    <w:link w:val="802"/>
    <w:uiPriority w:val="29"/>
    <w:qFormat/>
    <w:pPr>
      <w:ind w:left="720" w:right="720"/>
    </w:pPr>
    <w:rPr>
      <w:i/>
    </w:rPr>
  </w:style>
  <w:style w:type="character" w:styleId="802" w:customStyle="1">
    <w:name w:val="Quote Char"/>
    <w:link w:val="801"/>
    <w:uiPriority w:val="29"/>
    <w:qFormat/>
    <w:rPr>
      <w:i/>
    </w:rPr>
  </w:style>
  <w:style w:type="paragraph" w:styleId="803">
    <w:name w:val="Intense Quote"/>
    <w:basedOn w:val="745"/>
    <w:next w:val="745"/>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Intense Quote Char"/>
    <w:link w:val="803"/>
    <w:uiPriority w:val="30"/>
    <w:qFormat/>
    <w:rPr>
      <w:i/>
    </w:rPr>
  </w:style>
  <w:style w:type="character" w:styleId="805" w:customStyle="1">
    <w:name w:val="Header Char"/>
    <w:link w:val="767"/>
    <w:uiPriority w:val="99"/>
    <w:qFormat/>
  </w:style>
  <w:style w:type="character" w:styleId="806" w:customStyle="1">
    <w:name w:val="Footer Char"/>
    <w:link w:val="766"/>
    <w:uiPriority w:val="99"/>
    <w:qFormat/>
  </w:style>
  <w:style w:type="character" w:styleId="807" w:customStyle="1">
    <w:name w:val="Caption Char"/>
    <w:link w:val="766"/>
    <w:uiPriority w:val="99"/>
    <w:qFormat/>
  </w:style>
  <w:style w:type="table" w:styleId="80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Footnote Text Char"/>
    <w:link w:val="771"/>
    <w:uiPriority w:val="99"/>
    <w:qFormat/>
    <w:rPr>
      <w:sz w:val="18"/>
    </w:rPr>
  </w:style>
  <w:style w:type="character" w:styleId="934" w:customStyle="1">
    <w:name w:val="Endnote Text Char"/>
    <w:link w:val="765"/>
    <w:uiPriority w:val="99"/>
    <w:qFormat/>
    <w:rPr>
      <w:sz w:val="20"/>
    </w:rPr>
  </w:style>
  <w:style w:type="paragraph" w:styleId="935" w:customStyle="1">
    <w:name w:val="TOC Heading"/>
    <w:uiPriority w:val="39"/>
    <w:unhideWhenUsed/>
    <w:qFormat/>
    <w:rPr>
      <w:rFonts w:hint="default" w:ascii="Times New Roman" w:hAnsi="Times New Roman" w:eastAsia="宋体" w:cs="Times New Roman"/>
    </w:rPr>
  </w:style>
  <w:style w:type="paragraph" w:styleId="936" w:customStyle="1">
    <w:name w:val="标题 11"/>
    <w:basedOn w:val="745"/>
    <w:next w:val="745"/>
    <w:uiPriority w:val="9"/>
    <w:qFormat/>
    <w:pPr>
      <w:keepLines/>
      <w:keepNext/>
      <w:spacing w:before="340" w:after="330" w:line="578" w:lineRule="auto"/>
      <w:outlineLvl w:val="0"/>
    </w:pPr>
    <w:rPr>
      <w:b/>
      <w:bCs/>
      <w:sz w:val="44"/>
      <w:szCs w:val="44"/>
    </w:rPr>
  </w:style>
  <w:style w:type="paragraph" w:styleId="937" w:customStyle="1">
    <w:name w:val="标题 21"/>
    <w:basedOn w:val="745"/>
    <w:next w:val="93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8" w:customStyle="1">
    <w:name w:val="正文缩进1"/>
    <w:basedOn w:val="745"/>
    <w:uiPriority w:val="0"/>
    <w:unhideWhenUsed/>
    <w:qFormat/>
    <w:pPr>
      <w:ind w:firstLine="420"/>
    </w:pPr>
  </w:style>
  <w:style w:type="paragraph" w:styleId="939" w:customStyle="1">
    <w:name w:val="标题 31"/>
    <w:basedOn w:val="745"/>
    <w:next w:val="745"/>
    <w:uiPriority w:val="0"/>
    <w:qFormat/>
    <w:pPr>
      <w:keepLines/>
      <w:keepNext/>
      <w:spacing w:before="260" w:after="260" w:line="416" w:lineRule="auto"/>
      <w:outlineLvl w:val="2"/>
    </w:pPr>
    <w:rPr>
      <w:b/>
      <w:bCs/>
      <w:sz w:val="32"/>
      <w:szCs w:val="32"/>
    </w:rPr>
  </w:style>
  <w:style w:type="character" w:styleId="940" w:customStyle="1">
    <w:name w:val="默认段落字体1"/>
    <w:link w:val="745"/>
    <w:uiPriority w:val="1"/>
    <w:unhideWhenUsed/>
    <w:qFormat/>
  </w:style>
  <w:style w:type="table" w:styleId="941" w:customStyle="1">
    <w:name w:val="普通表格1"/>
    <w:uiPriority w:val="99"/>
    <w:unhideWhenUsed/>
    <w:qFormat/>
    <w:tblPr/>
  </w:style>
  <w:style w:type="paragraph" w:styleId="942" w:customStyle="1">
    <w:name w:val="批注文字1"/>
    <w:basedOn w:val="745"/>
    <w:uiPriority w:val="0"/>
    <w:qFormat/>
    <w:pPr>
      <w:jc w:val="left"/>
    </w:pPr>
  </w:style>
  <w:style w:type="paragraph" w:styleId="943" w:customStyle="1">
    <w:name w:val="正文文本11"/>
    <w:basedOn w:val="745"/>
    <w:next w:val="944"/>
    <w:uiPriority w:val="0"/>
    <w:qFormat/>
    <w:rPr>
      <w:rFonts w:ascii="楷体_GB2312" w:hAnsi="Arial" w:eastAsia="楷体_GB2312"/>
      <w:sz w:val="28"/>
      <w:szCs w:val="28"/>
    </w:rPr>
  </w:style>
  <w:style w:type="paragraph" w:styleId="944" w:customStyle="1">
    <w:name w:val="正文文本 21"/>
    <w:basedOn w:val="745"/>
    <w:uiPriority w:val="0"/>
    <w:qFormat/>
    <w:pPr>
      <w:spacing w:after="120" w:line="480" w:lineRule="auto"/>
    </w:pPr>
  </w:style>
  <w:style w:type="paragraph" w:styleId="945" w:customStyle="1">
    <w:name w:val="纯文本1"/>
    <w:basedOn w:val="745"/>
    <w:uiPriority w:val="99"/>
    <w:qFormat/>
    <w:rPr>
      <w:rFonts w:ascii="宋体" w:hAnsi="Courier New"/>
      <w:sz w:val="20"/>
      <w:szCs w:val="21"/>
    </w:rPr>
  </w:style>
  <w:style w:type="paragraph" w:styleId="946" w:customStyle="1">
    <w:name w:val="正文文本缩进 21"/>
    <w:basedOn w:val="745"/>
    <w:uiPriority w:val="99"/>
    <w:unhideWhenUsed/>
    <w:qFormat/>
    <w:pPr>
      <w:ind w:firstLine="510"/>
      <w:spacing w:line="520" w:lineRule="exact"/>
    </w:pPr>
    <w:rPr>
      <w:rFonts w:ascii="华文仿宋" w:eastAsia="华文仿宋"/>
      <w:sz w:val="28"/>
      <w:szCs w:val="20"/>
    </w:rPr>
  </w:style>
  <w:style w:type="paragraph" w:styleId="947" w:customStyle="1">
    <w:name w:val="批注框文本1"/>
    <w:basedOn w:val="745"/>
    <w:link w:val="948"/>
    <w:uiPriority w:val="0"/>
    <w:qFormat/>
    <w:rPr>
      <w:sz w:val="18"/>
      <w:szCs w:val="18"/>
    </w:rPr>
  </w:style>
  <w:style w:type="character" w:styleId="948" w:customStyle="1">
    <w:name w:val="批注框文本 Char"/>
    <w:basedOn w:val="940"/>
    <w:link w:val="947"/>
    <w:uiPriority w:val="0"/>
    <w:qFormat/>
    <w:rPr>
      <w:sz w:val="18"/>
      <w:szCs w:val="18"/>
    </w:rPr>
  </w:style>
  <w:style w:type="paragraph" w:styleId="949" w:customStyle="1">
    <w:name w:val="页脚1"/>
    <w:basedOn w:val="745"/>
    <w:uiPriority w:val="99"/>
    <w:unhideWhenUsed/>
    <w:qFormat/>
    <w:pPr>
      <w:jc w:val="left"/>
      <w:tabs>
        <w:tab w:val="center" w:pos="4153" w:leader="none"/>
        <w:tab w:val="right" w:pos="8306" w:leader="none"/>
      </w:tabs>
    </w:pPr>
    <w:rPr>
      <w:sz w:val="18"/>
      <w:szCs w:val="18"/>
    </w:rPr>
  </w:style>
  <w:style w:type="paragraph" w:styleId="950" w:customStyle="1">
    <w:name w:val="页眉1"/>
    <w:basedOn w:val="74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1" w:customStyle="1">
    <w:name w:val="目录 11"/>
    <w:basedOn w:val="745"/>
    <w:next w:val="745"/>
    <w:uiPriority w:val="39"/>
    <w:unhideWhenUsed/>
    <w:qFormat/>
  </w:style>
  <w:style w:type="paragraph" w:styleId="952" w:customStyle="1">
    <w:name w:val="信息标题1"/>
    <w:basedOn w:val="745"/>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53" w:customStyle="1">
    <w:name w:val="普通(网站)1"/>
    <w:basedOn w:val="745"/>
    <w:uiPriority w:val="0"/>
    <w:qFormat/>
    <w:rPr>
      <w:rFonts w:ascii="Times New Roman" w:hAnsi="Times New Roman"/>
      <w:sz w:val="24"/>
    </w:rPr>
  </w:style>
  <w:style w:type="table" w:styleId="954" w:customStyle="1">
    <w:name w:val="网格型1"/>
    <w:basedOn w:val="941"/>
    <w:uiPriority w:val="59"/>
    <w:qFormat/>
    <w:tblPr/>
  </w:style>
  <w:style w:type="character" w:styleId="955" w:customStyle="1">
    <w:name w:val="要点1"/>
    <w:link w:val="745"/>
    <w:uiPriority w:val="0"/>
    <w:qFormat/>
    <w:rPr>
      <w:b/>
    </w:rPr>
  </w:style>
  <w:style w:type="character" w:styleId="956" w:customStyle="1">
    <w:name w:val="超链接1"/>
    <w:basedOn w:val="940"/>
    <w:link w:val="745"/>
    <w:uiPriority w:val="0"/>
    <w:qFormat/>
    <w:rPr>
      <w:color w:val="0000ff"/>
      <w:u w:val="single"/>
    </w:rPr>
  </w:style>
  <w:style w:type="character" w:styleId="957" w:customStyle="1">
    <w:name w:val="批注引用1"/>
    <w:basedOn w:val="940"/>
    <w:link w:val="745"/>
    <w:uiPriority w:val="0"/>
    <w:qFormat/>
    <w:rPr>
      <w:sz w:val="21"/>
      <w:szCs w:val="21"/>
    </w:rPr>
  </w:style>
  <w:style w:type="paragraph" w:styleId="958" w:customStyle="1">
    <w:name w:val="普通正文"/>
    <w:basedOn w:val="745"/>
    <w:uiPriority w:val="0"/>
    <w:qFormat/>
    <w:pPr>
      <w:ind w:firstLine="480"/>
      <w:jc w:val="left"/>
      <w:spacing w:before="120" w:after="120" w:line="360" w:lineRule="auto"/>
    </w:pPr>
    <w:rPr>
      <w:rFonts w:ascii="Arial" w:hAnsi="Arial"/>
      <w:sz w:val="24"/>
      <w:szCs w:val="24"/>
    </w:rPr>
  </w:style>
  <w:style w:type="paragraph" w:styleId="959" w:customStyle="1">
    <w:name w:val="Char"/>
    <w:basedOn w:val="745"/>
    <w:uiPriority w:val="0"/>
    <w:qFormat/>
    <w:pPr>
      <w:ind w:firstLine="200"/>
      <w:tabs>
        <w:tab w:val="left" w:pos="360" w:leader="none"/>
      </w:tabs>
    </w:pPr>
    <w:rPr>
      <w:rFonts w:ascii="Times New Roman" w:hAnsi="Times New Roman"/>
      <w:sz w:val="28"/>
      <w:szCs w:val="30"/>
    </w:rPr>
  </w:style>
  <w:style w:type="paragraph" w:styleId="960" w:customStyle="1">
    <w:name w:val="正文（缩进）"/>
    <w:basedOn w:val="745"/>
    <w:uiPriority w:val="0"/>
    <w:qFormat/>
    <w:pPr>
      <w:ind w:firstLine="480"/>
      <w:spacing w:before="156" w:after="156"/>
    </w:pPr>
  </w:style>
  <w:style w:type="paragraph" w:styleId="961" w:customStyle="1">
    <w:name w:val="正文空2格  1."/>
    <w:basedOn w:val="745"/>
    <w:uiPriority w:val="0"/>
    <w:qFormat/>
    <w:pPr>
      <w:ind w:firstLine="480"/>
    </w:pPr>
    <w:rPr>
      <w:rFonts w:cs="宋体"/>
      <w:sz w:val="28"/>
      <w:szCs w:val="20"/>
    </w:rPr>
  </w:style>
  <w:style w:type="paragraph" w:styleId="962">
    <w:name w:val="List Paragraph"/>
    <w:basedOn w:val="745"/>
    <w:uiPriority w:val="34"/>
    <w:qFormat/>
    <w:pPr>
      <w:ind w:firstLine="420"/>
    </w:pPr>
  </w:style>
  <w:style w:type="numbering" w:styleId="9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孙玉君</cp:lastModifiedBy>
  <cp:revision>7</cp:revision>
  <dcterms:created xsi:type="dcterms:W3CDTF">2014-10-29T12:08:00Z</dcterms:created>
  <dcterms:modified xsi:type="dcterms:W3CDTF">2024-04-30T07:44:40Z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2034BF8D1F454033AEE1AD5C6A8D27BF_13</vt:lpwstr>
  </property>
</Properties>
</file>