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rPr>
          <w:highlight w:val="none"/>
        </w:rPr>
      </w:r>
      <w:r/>
    </w:p>
    <w:p>
      <w:pPr>
        <w:pStyle w:val="872"/>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rPr>
          <w:highlight w:val="none"/>
        </w:rPr>
      </w:r>
      <w:r/>
    </w:p>
    <w:p>
      <w:pPr>
        <w:pStyle w:val="872"/>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rPr>
          <w:highlight w:val="none"/>
        </w:rPr>
      </w:r>
      <w:r/>
    </w:p>
    <w:p>
      <w:pPr>
        <w:pStyle w:val="872"/>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rPr>
          <w:highlight w:val="none"/>
        </w:rPr>
      </w:r>
      <w:r/>
    </w:p>
    <w:p>
      <w:pPr>
        <w:pStyle w:val="872"/>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rPr>
          <w:highlight w:val="none"/>
        </w:rPr>
      </w:r>
      <w:r/>
    </w:p>
    <w:p>
      <w:pPr>
        <w:pStyle w:val="872"/>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rPr>
          <w:highlight w:val="none"/>
        </w:rPr>
      </w:r>
      <w:r/>
    </w:p>
    <w:p>
      <w:pPr>
        <w:pStyle w:val="872"/>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rPr>
          <w:highlight w:val="none"/>
        </w:rPr>
      </w:r>
      <w:r/>
    </w:p>
    <w:p>
      <w:pPr>
        <w:pStyle w:val="872"/>
        <w:ind w:firstLine="1285"/>
        <w:spacing w:line="480" w:lineRule="auto"/>
        <w:rPr>
          <w:rFonts w:ascii="黑体" w:hAnsi="Arial"/>
          <w:b/>
          <w:color w:val="000000"/>
          <w:sz w:val="44"/>
          <w:szCs w:val="21"/>
          <w:highlight w:val="none"/>
        </w:rPr>
      </w:pPr>
      <w:r>
        <w:rPr>
          <w:rFonts w:hint="eastAsia" w:ascii="Arial" w:hAnsi="Arial"/>
          <w:b/>
          <w:bCs/>
          <w:color w:val="000000"/>
          <w:sz w:val="32"/>
          <w:szCs w:val="24"/>
          <w:highlight w:val="none"/>
        </w:rPr>
        <w:t xml:space="preserve">项目名称：连云港市</w:t>
      </w:r>
      <w:r>
        <w:rPr>
          <w:rFonts w:hint="eastAsia" w:ascii="宋体" w:hAnsi="宋体"/>
          <w:b/>
          <w:bCs/>
          <w:color w:val="000000"/>
          <w:sz w:val="32"/>
          <w:szCs w:val="24"/>
          <w:highlight w:val="none"/>
        </w:rPr>
        <w:t xml:space="preserve">生态环境监控指挥中心建设</w:t>
      </w:r>
      <w:r>
        <w:rPr>
          <w:highlight w:val="none"/>
        </w:rPr>
      </w:r>
      <w:r/>
    </w:p>
    <w:p>
      <w:pPr>
        <w:pStyle w:val="872"/>
        <w:ind w:firstLine="1285"/>
        <w:spacing w:line="480" w:lineRule="auto"/>
        <w:rPr>
          <w:rFonts w:ascii="黑体" w:hAnsi="Arial" w:eastAsia="黑体"/>
          <w:b/>
          <w:color w:val="000000"/>
          <w:sz w:val="44"/>
          <w:szCs w:val="21"/>
          <w:highlight w:val="none"/>
        </w:rPr>
      </w:pPr>
      <w:r>
        <w:rPr>
          <w:rFonts w:hint="eastAsia" w:ascii="Arial" w:hAnsi="Arial"/>
          <w:b/>
          <w:bCs/>
          <w:sz w:val="32"/>
          <w:szCs w:val="24"/>
          <w:highlight w:val="none"/>
        </w:rPr>
        <w:t xml:space="preserve">项目编号：JSZC-320700-JZCG-G2024-0212</w:t>
      </w:r>
      <w:r>
        <w:rPr>
          <w:highlight w:val="none"/>
        </w:rPr>
      </w:r>
      <w:r/>
    </w:p>
    <w:p>
      <w:pPr>
        <w:pStyle w:val="872"/>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rPr>
          <w:highlight w:val="none"/>
        </w:rPr>
      </w:r>
      <w:r/>
    </w:p>
    <w:p>
      <w:pPr>
        <w:pStyle w:val="872"/>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rPr>
          <w:highlight w:val="none"/>
        </w:rPr>
      </w:r>
      <w:r/>
    </w:p>
    <w:p>
      <w:pPr>
        <w:pStyle w:val="872"/>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rPr>
          <w:highlight w:val="none"/>
        </w:rPr>
      </w:r>
      <w:r/>
    </w:p>
    <w:p>
      <w:pPr>
        <w:pStyle w:val="872"/>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rPr>
          <w:highlight w:val="none"/>
        </w:rPr>
      </w:r>
      <w:r/>
    </w:p>
    <w:p>
      <w:pPr>
        <w:pStyle w:val="872"/>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rPr>
          <w:highlight w:val="none"/>
        </w:rPr>
      </w:r>
      <w:r/>
    </w:p>
    <w:p>
      <w:pPr>
        <w:pStyle w:val="872"/>
        <w:jc w:val="center"/>
        <w:spacing w:before="120" w:after="120" w:line="360" w:lineRule="auto"/>
        <w:rPr>
          <w:highlight w:val="none"/>
        </w:rPr>
      </w:pPr>
      <w:r>
        <w:rPr>
          <w:rFonts w:hint="eastAsia" w:ascii="Arial" w:hAnsi="Arial"/>
          <w:b/>
          <w:bCs/>
          <w:color w:val="000000"/>
          <w:sz w:val="32"/>
          <w:szCs w:val="24"/>
          <w:highlight w:val="none"/>
        </w:rPr>
        <w:t xml:space="preserve">2024年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lang w:val="en-US" w:eastAsia="zh-CN"/>
        </w:rPr>
        <w:t xml:space="preserve">2</w:t>
      </w:r>
      <w:r>
        <w:rPr>
          <w:rFonts w:hint="eastAsia" w:ascii="Arial" w:hAnsi="Arial"/>
          <w:b/>
          <w:bCs/>
          <w:color w:val="000000"/>
          <w:sz w:val="32"/>
          <w:szCs w:val="24"/>
          <w:highlight w:val="none"/>
        </w:rPr>
        <w:t xml:space="preserve">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rPr>
          <w:highlight w:val="none"/>
        </w:rPr>
      </w:r>
      <w:r/>
    </w:p>
    <w:p>
      <w:pPr>
        <w:pStyle w:val="873"/>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目  录</w:t>
      </w:r>
      <w:r>
        <w:rPr>
          <w:highlight w:val="none"/>
        </w:rPr>
      </w:r>
      <w:r/>
    </w:p>
    <w:p>
      <w:pPr>
        <w:pStyle w:val="896"/>
        <w:tabs>
          <w:tab w:val="right" w:pos="8296" w:leader="dot"/>
        </w:tabs>
        <w:rPr>
          <w:sz w:val="32"/>
          <w:highlight w:val="none"/>
        </w:rPr>
      </w:pPr>
      <w:r>
        <w:rPr>
          <w:rFonts w:hint="eastAsia" w:ascii="黑体" w:hAnsi="黑体" w:eastAsia="黑体"/>
          <w:sz w:val="32"/>
          <w:highlight w:val="none"/>
        </w:rPr>
        <w:t xml:space="preserve">第一章</w:t>
      </w:r>
      <w:r>
        <w:rPr>
          <w:rFonts w:ascii="黑体" w:hAnsi="黑体" w:eastAsia="黑体"/>
          <w:sz w:val="32"/>
          <w:highlight w:val="none"/>
        </w:rPr>
        <w:t xml:space="preserve">  </w:t>
      </w:r>
      <w:r>
        <w:rPr>
          <w:rFonts w:hint="eastAsia" w:ascii="黑体" w:hAnsi="黑体" w:eastAsia="黑体"/>
          <w:sz w:val="32"/>
          <w:highlight w:val="none"/>
        </w:rPr>
        <w:t xml:space="preserve">投标邀请</w:t>
      </w:r>
      <w:r>
        <w:rPr>
          <w:sz w:val="32"/>
          <w:highlight w:val="none"/>
        </w:rPr>
        <w:tab/>
      </w:r>
      <w:r>
        <w:rPr>
          <w:sz w:val="32"/>
          <w:highlight w:val="none"/>
        </w:rPr>
        <w:fldChar w:fldCharType="begin"/>
      </w:r>
      <w:r>
        <w:rPr>
          <w:sz w:val="32"/>
          <w:highlight w:val="none"/>
        </w:rPr>
        <w:instrText xml:space="preserve"> PAGEREF _Toc155796356 \h </w:instrText>
      </w:r>
      <w:r>
        <w:rPr>
          <w:sz w:val="32"/>
          <w:highlight w:val="none"/>
        </w:rPr>
        <w:fldChar w:fldCharType="separate"/>
      </w:r>
      <w:r>
        <w:rPr>
          <w:sz w:val="32"/>
          <w:highlight w:val="none"/>
        </w:rPr>
        <w:t xml:space="preserve">1</w:t>
      </w:r>
      <w:r>
        <w:rPr>
          <w:sz w:val="32"/>
          <w:highlight w:val="none"/>
        </w:rPr>
        <w:fldChar w:fldCharType="end"/>
      </w:r>
      <w:r>
        <w:rPr>
          <w:highlight w:val="none"/>
        </w:rPr>
      </w:r>
      <w:r/>
    </w:p>
    <w:p>
      <w:pPr>
        <w:pStyle w:val="896"/>
        <w:tabs>
          <w:tab w:val="right" w:pos="8296" w:leader="dot"/>
        </w:tabs>
        <w:rPr>
          <w:sz w:val="32"/>
          <w:highlight w:val="none"/>
        </w:rPr>
      </w:pPr>
      <w:r>
        <w:rPr>
          <w:rFonts w:hint="eastAsia" w:ascii="黑体" w:hAnsi="黑体" w:eastAsia="黑体"/>
          <w:sz w:val="32"/>
          <w:highlight w:val="none"/>
        </w:rPr>
        <w:t xml:space="preserve">第二章</w:t>
      </w:r>
      <w:r>
        <w:rPr>
          <w:rFonts w:ascii="黑体" w:hAnsi="黑体" w:eastAsia="黑体"/>
          <w:sz w:val="32"/>
          <w:highlight w:val="none"/>
        </w:rPr>
        <w:t xml:space="preserve">  </w:t>
      </w:r>
      <w:r>
        <w:rPr>
          <w:rFonts w:hint="eastAsia" w:ascii="黑体" w:hAnsi="黑体" w:eastAsia="黑体"/>
          <w:sz w:val="32"/>
          <w:highlight w:val="none"/>
        </w:rPr>
        <w:t xml:space="preserve">投标人须知</w:t>
      </w:r>
      <w:r>
        <w:rPr>
          <w:sz w:val="32"/>
          <w:highlight w:val="none"/>
        </w:rPr>
        <w:tab/>
      </w:r>
      <w:r>
        <w:rPr>
          <w:sz w:val="32"/>
          <w:highlight w:val="none"/>
        </w:rPr>
        <w:fldChar w:fldCharType="begin"/>
      </w:r>
      <w:r>
        <w:rPr>
          <w:sz w:val="32"/>
          <w:highlight w:val="none"/>
        </w:rPr>
        <w:instrText xml:space="preserve"> PAGEREF _Toc155796357 \h </w:instrText>
      </w:r>
      <w:r>
        <w:rPr>
          <w:sz w:val="32"/>
          <w:highlight w:val="none"/>
        </w:rPr>
        <w:fldChar w:fldCharType="separate"/>
      </w:r>
      <w:r>
        <w:rPr>
          <w:sz w:val="32"/>
          <w:highlight w:val="none"/>
        </w:rPr>
        <w:t xml:space="preserve">5</w:t>
      </w:r>
      <w:r>
        <w:rPr>
          <w:sz w:val="32"/>
          <w:highlight w:val="none"/>
        </w:rPr>
        <w:fldChar w:fldCharType="end"/>
      </w:r>
      <w:r>
        <w:rPr>
          <w:highlight w:val="none"/>
        </w:rPr>
      </w:r>
      <w:r/>
    </w:p>
    <w:p>
      <w:pPr>
        <w:pStyle w:val="896"/>
        <w:tabs>
          <w:tab w:val="right" w:pos="8296" w:leader="dot"/>
        </w:tabs>
        <w:rPr>
          <w:sz w:val="32"/>
          <w:highlight w:val="none"/>
        </w:rPr>
      </w:pPr>
      <w:r>
        <w:rPr>
          <w:rFonts w:hint="eastAsia" w:ascii="黑体" w:hAnsi="黑体" w:eastAsia="黑体"/>
          <w:sz w:val="32"/>
          <w:highlight w:val="none"/>
        </w:rPr>
        <w:t xml:space="preserve">第三章</w:t>
      </w:r>
      <w:r>
        <w:rPr>
          <w:rFonts w:ascii="黑体" w:hAnsi="黑体" w:eastAsia="黑体"/>
          <w:sz w:val="32"/>
          <w:highlight w:val="none"/>
        </w:rPr>
        <w:t xml:space="preserve">  </w:t>
      </w:r>
      <w:r>
        <w:rPr>
          <w:rFonts w:hint="eastAsia" w:ascii="黑体" w:hAnsi="黑体" w:eastAsia="黑体"/>
          <w:sz w:val="32"/>
          <w:highlight w:val="none"/>
        </w:rPr>
        <w:t xml:space="preserve">合同文本</w:t>
      </w:r>
      <w:r>
        <w:rPr>
          <w:sz w:val="32"/>
          <w:highlight w:val="none"/>
        </w:rPr>
        <w:tab/>
      </w:r>
      <w:r>
        <w:rPr>
          <w:sz w:val="32"/>
          <w:highlight w:val="none"/>
        </w:rPr>
        <w:fldChar w:fldCharType="begin"/>
      </w:r>
      <w:r>
        <w:rPr>
          <w:sz w:val="32"/>
          <w:highlight w:val="none"/>
        </w:rPr>
        <w:instrText xml:space="preserve"> PAGEREF _Toc155796358 \h </w:instrText>
      </w:r>
      <w:r>
        <w:rPr>
          <w:sz w:val="32"/>
          <w:highlight w:val="none"/>
        </w:rPr>
        <w:fldChar w:fldCharType="separate"/>
      </w:r>
      <w:r>
        <w:rPr>
          <w:sz w:val="32"/>
          <w:highlight w:val="none"/>
        </w:rPr>
        <w:t xml:space="preserve">22</w:t>
      </w:r>
      <w:r>
        <w:rPr>
          <w:sz w:val="32"/>
          <w:highlight w:val="none"/>
        </w:rPr>
        <w:fldChar w:fldCharType="end"/>
      </w:r>
      <w:r>
        <w:rPr>
          <w:highlight w:val="none"/>
        </w:rPr>
      </w:r>
      <w:r/>
    </w:p>
    <w:p>
      <w:pPr>
        <w:pStyle w:val="896"/>
        <w:tabs>
          <w:tab w:val="right" w:pos="8296" w:leader="dot"/>
        </w:tabs>
        <w:rPr>
          <w:sz w:val="32"/>
          <w:highlight w:val="none"/>
        </w:rPr>
      </w:pPr>
      <w:r>
        <w:rPr>
          <w:rFonts w:hint="eastAsia" w:ascii="黑体" w:hAnsi="黑体" w:eastAsia="黑体"/>
          <w:sz w:val="32"/>
          <w:highlight w:val="none"/>
        </w:rPr>
        <w:t xml:space="preserve">第四章</w:t>
      </w:r>
      <w:r>
        <w:rPr>
          <w:rFonts w:ascii="黑体" w:hAnsi="黑体" w:eastAsia="黑体"/>
          <w:sz w:val="32"/>
          <w:highlight w:val="none"/>
        </w:rPr>
        <w:t xml:space="preserve">  </w:t>
      </w:r>
      <w:r>
        <w:rPr>
          <w:rFonts w:hint="eastAsia" w:ascii="黑体" w:hAnsi="黑体" w:eastAsia="黑体"/>
          <w:sz w:val="32"/>
          <w:highlight w:val="none"/>
        </w:rPr>
        <w:t xml:space="preserve">采购需求</w:t>
      </w:r>
      <w:r>
        <w:rPr>
          <w:sz w:val="32"/>
          <w:highlight w:val="none"/>
        </w:rPr>
        <w:tab/>
      </w:r>
      <w:r>
        <w:rPr>
          <w:sz w:val="32"/>
          <w:highlight w:val="none"/>
        </w:rPr>
        <w:fldChar w:fldCharType="begin"/>
      </w:r>
      <w:r>
        <w:rPr>
          <w:sz w:val="32"/>
          <w:highlight w:val="none"/>
        </w:rPr>
        <w:instrText xml:space="preserve"> PAGEREF _Toc155796359 \h </w:instrText>
      </w:r>
      <w:r>
        <w:rPr>
          <w:sz w:val="32"/>
          <w:highlight w:val="none"/>
        </w:rPr>
        <w:fldChar w:fldCharType="separate"/>
      </w:r>
      <w:r>
        <w:rPr>
          <w:sz w:val="32"/>
          <w:highlight w:val="none"/>
        </w:rPr>
        <w:t xml:space="preserve">28</w:t>
      </w:r>
      <w:r>
        <w:rPr>
          <w:sz w:val="32"/>
          <w:highlight w:val="none"/>
        </w:rPr>
        <w:fldChar w:fldCharType="end"/>
      </w:r>
      <w:r>
        <w:rPr>
          <w:highlight w:val="none"/>
        </w:rPr>
      </w:r>
      <w:r/>
    </w:p>
    <w:p>
      <w:pPr>
        <w:pStyle w:val="896"/>
        <w:tabs>
          <w:tab w:val="right" w:pos="8296" w:leader="dot"/>
        </w:tabs>
        <w:rPr>
          <w:sz w:val="32"/>
          <w:highlight w:val="none"/>
        </w:rPr>
      </w:pPr>
      <w:r>
        <w:rPr>
          <w:rFonts w:hint="eastAsia" w:ascii="黑体" w:hAnsi="黑体" w:eastAsia="黑体"/>
          <w:sz w:val="32"/>
          <w:highlight w:val="none"/>
        </w:rPr>
        <w:t xml:space="preserve">第五章</w:t>
      </w:r>
      <w:r>
        <w:rPr>
          <w:rFonts w:ascii="黑体" w:hAnsi="黑体" w:eastAsia="黑体"/>
          <w:sz w:val="32"/>
          <w:highlight w:val="none"/>
        </w:rPr>
        <w:t xml:space="preserve">  </w:t>
      </w:r>
      <w:r>
        <w:rPr>
          <w:rFonts w:hint="eastAsia" w:ascii="黑体" w:hAnsi="黑体" w:eastAsia="黑体"/>
          <w:sz w:val="32"/>
          <w:highlight w:val="none"/>
        </w:rPr>
        <w:t xml:space="preserve">评标方法与评标标准</w:t>
      </w:r>
      <w:r>
        <w:rPr>
          <w:sz w:val="32"/>
          <w:highlight w:val="none"/>
        </w:rPr>
        <w:tab/>
      </w:r>
      <w:r>
        <w:rPr>
          <w:sz w:val="32"/>
          <w:highlight w:val="none"/>
        </w:rPr>
        <w:fldChar w:fldCharType="begin"/>
      </w:r>
      <w:r>
        <w:rPr>
          <w:sz w:val="32"/>
          <w:highlight w:val="none"/>
        </w:rPr>
        <w:instrText xml:space="preserve"> PAGEREF _Toc155796360 \h </w:instrText>
      </w:r>
      <w:r>
        <w:rPr>
          <w:sz w:val="32"/>
          <w:highlight w:val="none"/>
        </w:rPr>
        <w:fldChar w:fldCharType="separate"/>
      </w:r>
      <w:r>
        <w:rPr>
          <w:sz w:val="32"/>
          <w:highlight w:val="none"/>
        </w:rPr>
        <w:t xml:space="preserve">84</w:t>
      </w:r>
      <w:r>
        <w:rPr>
          <w:sz w:val="32"/>
          <w:highlight w:val="none"/>
        </w:rPr>
        <w:fldChar w:fldCharType="end"/>
      </w:r>
      <w:r>
        <w:rPr>
          <w:highlight w:val="none"/>
        </w:rPr>
      </w:r>
      <w:r/>
    </w:p>
    <w:p>
      <w:pPr>
        <w:pStyle w:val="896"/>
        <w:tabs>
          <w:tab w:val="right" w:pos="8296" w:leader="dot"/>
        </w:tabs>
        <w:rPr>
          <w:sz w:val="32"/>
          <w:highlight w:val="none"/>
        </w:rPr>
      </w:pPr>
      <w:r>
        <w:rPr>
          <w:rFonts w:hint="eastAsia" w:ascii="黑体" w:hAnsi="黑体" w:eastAsia="黑体"/>
          <w:sz w:val="32"/>
          <w:highlight w:val="none"/>
        </w:rPr>
        <w:t xml:space="preserve">第六章</w:t>
      </w:r>
      <w:r>
        <w:rPr>
          <w:rFonts w:ascii="黑体" w:hAnsi="黑体" w:eastAsia="黑体"/>
          <w:sz w:val="32"/>
          <w:highlight w:val="none"/>
        </w:rPr>
        <w:t xml:space="preserve">  </w:t>
      </w:r>
      <w:r>
        <w:rPr>
          <w:rFonts w:hint="eastAsia" w:ascii="黑体" w:hAnsi="黑体" w:eastAsia="黑体"/>
          <w:sz w:val="32"/>
          <w:highlight w:val="none"/>
        </w:rPr>
        <w:t xml:space="preserve">投标文件格式</w:t>
      </w:r>
      <w:r>
        <w:rPr>
          <w:sz w:val="32"/>
          <w:highlight w:val="none"/>
        </w:rPr>
        <w:tab/>
      </w:r>
      <w:r>
        <w:rPr>
          <w:sz w:val="32"/>
          <w:highlight w:val="none"/>
        </w:rPr>
        <w:fldChar w:fldCharType="begin"/>
      </w:r>
      <w:r>
        <w:rPr>
          <w:sz w:val="32"/>
          <w:highlight w:val="none"/>
        </w:rPr>
        <w:instrText xml:space="preserve"> PAGEREF _Toc155796361 \h </w:instrText>
      </w:r>
      <w:r>
        <w:rPr>
          <w:sz w:val="32"/>
          <w:highlight w:val="none"/>
        </w:rPr>
        <w:fldChar w:fldCharType="separate"/>
      </w:r>
      <w:r>
        <w:rPr>
          <w:sz w:val="32"/>
          <w:highlight w:val="none"/>
        </w:rPr>
        <w:t xml:space="preserve">90</w:t>
      </w:r>
      <w:r>
        <w:rPr>
          <w:sz w:val="32"/>
          <w:highlight w:val="none"/>
        </w:rPr>
        <w:fldChar w:fldCharType="end"/>
      </w:r>
      <w:r>
        <w:rPr>
          <w:highlight w:val="none"/>
        </w:rPr>
      </w:r>
      <w:r/>
    </w:p>
    <w:p>
      <w:pPr>
        <w:pStyle w:val="872"/>
        <w:jc w:val="left"/>
        <w:widowControl/>
        <w:rPr>
          <w:rFonts w:ascii="黑体" w:hAnsi="黑体" w:eastAsia="黑体"/>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highlight w:val="none"/>
        </w:rPr>
        <w:fldChar w:fldCharType="end"/>
      </w:r>
      <w:bookmarkStart w:id="0" w:name="_Toc155796356"/>
      <w:r>
        <w:rPr>
          <w:highlight w:val="none"/>
        </w:rPr>
      </w:r>
      <w:r/>
    </w:p>
    <w:p>
      <w:pPr>
        <w:pStyle w:val="873"/>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受连云港市生态环境局的委托，连云港市公共资源交易中心就</w:t>
      </w:r>
      <w:r>
        <w:rPr>
          <w:rFonts w:hint="eastAsia" w:ascii="Times New Roman"/>
          <w:sz w:val="24"/>
          <w:szCs w:val="24"/>
          <w:highlight w:val="none"/>
        </w:rPr>
        <w:t xml:space="preserve">连云港市</w:t>
      </w:r>
      <w:r>
        <w:rPr>
          <w:rFonts w:hint="eastAsia"/>
          <w:sz w:val="24"/>
          <w:szCs w:val="24"/>
          <w:highlight w:val="none"/>
        </w:rPr>
        <w:t xml:space="preserve">生态环境监控</w:t>
      </w:r>
      <w:r>
        <w:rPr>
          <w:rFonts w:hint="eastAsia" w:ascii="Times New Roman"/>
          <w:sz w:val="24"/>
          <w:szCs w:val="24"/>
          <w:highlight w:val="none"/>
        </w:rPr>
        <w:t xml:space="preserve">指挥</w:t>
      </w:r>
      <w:r>
        <w:rPr>
          <w:rFonts w:hint="eastAsia"/>
          <w:sz w:val="24"/>
          <w:szCs w:val="24"/>
          <w:highlight w:val="none"/>
        </w:rPr>
        <w:t xml:space="preserve">中心建设项目（JSZC-320700-JZCG-G2024-0212）进行公开招标采购，欢迎符合条件的供应商投标。</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72"/>
              <w:jc w:val="left"/>
              <w:spacing w:line="500" w:lineRule="exact"/>
              <w:rPr>
                <w:sz w:val="24"/>
                <w:szCs w:val="24"/>
                <w:highlight w:val="none"/>
              </w:rPr>
            </w:pPr>
            <w:r>
              <w:rPr>
                <w:rFonts w:hint="eastAsia"/>
                <w:sz w:val="24"/>
                <w:szCs w:val="24"/>
                <w:highlight w:val="none"/>
              </w:rPr>
              <w:t xml:space="preserve">项目概况</w:t>
            </w:r>
            <w:r>
              <w:rPr>
                <w:highlight w:val="none"/>
              </w:rPr>
            </w:r>
            <w:r/>
          </w:p>
          <w:p>
            <w:pPr>
              <w:pStyle w:val="872"/>
              <w:jc w:val="left"/>
              <w:spacing w:line="500" w:lineRule="exact"/>
              <w:rPr>
                <w:sz w:val="24"/>
                <w:szCs w:val="24"/>
                <w:highlight w:val="none"/>
              </w:rPr>
            </w:pPr>
            <w:r>
              <w:rPr>
                <w:rFonts w:hint="eastAsia" w:ascii="Times New Roman"/>
                <w:sz w:val="24"/>
                <w:szCs w:val="24"/>
                <w:highlight w:val="none"/>
              </w:rPr>
              <w:t xml:space="preserve">连云港市</w:t>
            </w:r>
            <w:r>
              <w:rPr>
                <w:rFonts w:hint="eastAsia"/>
                <w:sz w:val="24"/>
                <w:szCs w:val="24"/>
                <w:highlight w:val="none"/>
              </w:rPr>
              <w:t xml:space="preserve">生态环境监控</w:t>
            </w:r>
            <w:r>
              <w:rPr>
                <w:rFonts w:hint="eastAsia" w:ascii="Times New Roman"/>
                <w:sz w:val="24"/>
                <w:szCs w:val="24"/>
                <w:highlight w:val="none"/>
              </w:rPr>
              <w:t xml:space="preserve">指挥</w:t>
            </w:r>
            <w:r>
              <w:rPr>
                <w:rFonts w:hint="eastAsia"/>
                <w:sz w:val="24"/>
                <w:szCs w:val="24"/>
                <w:highlight w:val="none"/>
              </w:rPr>
              <w:t xml:space="preserve">中心建设招标项目的潜在投标人应在江苏政府采购网自行免费下载招标文件，并于</w:t>
            </w:r>
            <w:r>
              <w:rPr>
                <w:rFonts w:hint="eastAsia"/>
                <w:color w:val="000000"/>
                <w:sz w:val="24"/>
                <w:szCs w:val="24"/>
                <w:highlight w:val="none"/>
              </w:rPr>
              <w:t xml:space="preserve">2024年</w:t>
            </w:r>
            <w:r>
              <w:rPr>
                <w:rFonts w:hint="eastAsia"/>
                <w:color w:val="000000"/>
                <w:sz w:val="24"/>
                <w:szCs w:val="24"/>
                <w:highlight w:val="none"/>
                <w:lang w:val="en-US" w:eastAsia="zh-CN"/>
              </w:rPr>
              <w:t xml:space="preserve">12</w:t>
            </w:r>
            <w:r>
              <w:rPr>
                <w:rFonts w:hint="eastAsia"/>
                <w:color w:val="000000"/>
                <w:sz w:val="24"/>
                <w:szCs w:val="24"/>
                <w:highlight w:val="none"/>
              </w:rPr>
              <w:t xml:space="preserve">月</w:t>
            </w:r>
            <w:r>
              <w:rPr>
                <w:rFonts w:hint="eastAsia"/>
                <w:color w:val="000000"/>
                <w:sz w:val="24"/>
                <w:szCs w:val="24"/>
                <w:highlight w:val="none"/>
                <w:lang w:val="en-US" w:eastAsia="zh-CN"/>
              </w:rPr>
              <w:t xml:space="preserve">27</w:t>
            </w:r>
            <w:r>
              <w:rPr>
                <w:rFonts w:hint="eastAsia"/>
                <w:color w:val="000000"/>
                <w:sz w:val="24"/>
                <w:szCs w:val="24"/>
                <w:highlight w:val="none"/>
              </w:rPr>
              <w:t xml:space="preserve">日</w:t>
            </w:r>
            <w:r>
              <w:rPr>
                <w:rFonts w:hint="eastAsia"/>
                <w:color w:val="000000"/>
                <w:sz w:val="24"/>
                <w:szCs w:val="24"/>
                <w:highlight w:val="none"/>
                <w:lang w:val="en-US" w:eastAsia="zh-CN"/>
              </w:rPr>
              <w:t xml:space="preserve">9</w:t>
            </w:r>
            <w:r>
              <w:rPr>
                <w:rFonts w:hint="eastAsia"/>
                <w:color w:val="000000"/>
                <w:sz w:val="24"/>
                <w:szCs w:val="24"/>
                <w:highlight w:val="none"/>
              </w:rPr>
              <w:t xml:space="preserve">:</w:t>
            </w:r>
            <w:r>
              <w:rPr>
                <w:rFonts w:hint="eastAsia"/>
                <w:color w:val="000000"/>
                <w:sz w:val="24"/>
                <w:szCs w:val="24"/>
                <w:highlight w:val="none"/>
                <w:lang w:val="en-US" w:eastAsia="zh-CN"/>
              </w:rPr>
              <w:t xml:space="preserve">0</w:t>
            </w:r>
            <w:r>
              <w:rPr>
                <w:rFonts w:hint="eastAsia"/>
                <w:color w:val="000000"/>
                <w:sz w:val="24"/>
                <w:szCs w:val="24"/>
                <w:highlight w:val="none"/>
              </w:rPr>
              <w:t xml:space="preserve">0:00</w:t>
            </w:r>
            <w:r>
              <w:rPr>
                <w:rFonts w:hint="eastAsia"/>
                <w:sz w:val="24"/>
                <w:szCs w:val="24"/>
                <w:highlight w:val="none"/>
              </w:rPr>
              <w:t xml:space="preserve">（北京时间）前递交（上传）投标文件。</w:t>
            </w:r>
            <w:r>
              <w:rPr>
                <w:highlight w:val="none"/>
              </w:rPr>
            </w:r>
            <w:r/>
          </w:p>
        </w:tc>
      </w:tr>
    </w:tbl>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项目编号：JSZC-320700-JZCG-G2024-0212</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项目名称：</w:t>
      </w:r>
      <w:r>
        <w:rPr>
          <w:rFonts w:hint="eastAsia" w:ascii="Times New Roman"/>
          <w:sz w:val="24"/>
          <w:szCs w:val="24"/>
          <w:highlight w:val="none"/>
        </w:rPr>
        <w:t xml:space="preserve">连云港市</w:t>
      </w:r>
      <w:r>
        <w:rPr>
          <w:rFonts w:hint="eastAsia"/>
          <w:sz w:val="24"/>
          <w:szCs w:val="24"/>
          <w:highlight w:val="none"/>
        </w:rPr>
        <w:t xml:space="preserve">生态环境监控</w:t>
      </w:r>
      <w:r>
        <w:rPr>
          <w:rFonts w:hint="eastAsia" w:ascii="Times New Roman"/>
          <w:sz w:val="24"/>
          <w:szCs w:val="24"/>
          <w:highlight w:val="none"/>
        </w:rPr>
        <w:t xml:space="preserve">指挥</w:t>
      </w:r>
      <w:r>
        <w:rPr>
          <w:rFonts w:hint="eastAsia"/>
          <w:sz w:val="24"/>
          <w:szCs w:val="24"/>
          <w:highlight w:val="none"/>
        </w:rPr>
        <w:t xml:space="preserve">中心建设</w:t>
      </w:r>
      <w:r>
        <w:rPr>
          <w:highlight w:val="none"/>
        </w:rPr>
      </w:r>
      <w:r/>
    </w:p>
    <w:p>
      <w:pPr>
        <w:pStyle w:val="872"/>
        <w:ind w:firstLine="480"/>
        <w:jc w:val="left"/>
        <w:spacing w:line="500" w:lineRule="exact"/>
        <w:rPr>
          <w:rFonts w:hint="eastAsia"/>
          <w:sz w:val="24"/>
          <w:szCs w:val="24"/>
          <w:highlight w:val="none"/>
        </w:rPr>
      </w:pPr>
      <w:r>
        <w:rPr>
          <w:rFonts w:hint="eastAsia"/>
          <w:sz w:val="24"/>
          <w:szCs w:val="24"/>
          <w:highlight w:val="none"/>
        </w:rPr>
        <w:t xml:space="preserve">预算金额：</w:t>
      </w:r>
      <w:r>
        <w:rPr>
          <w:rFonts w:hint="eastAsia" w:ascii="Times New Roman"/>
          <w:sz w:val="24"/>
          <w:szCs w:val="24"/>
          <w:highlight w:val="none"/>
        </w:rPr>
        <w:t xml:space="preserve">242.3</w:t>
      </w:r>
      <w:r>
        <w:rPr>
          <w:rFonts w:hint="eastAsia"/>
          <w:sz w:val="24"/>
          <w:szCs w:val="24"/>
          <w:highlight w:val="none"/>
        </w:rPr>
        <w:t xml:space="preserve">万元，投标报价超过预算金额的投标无效。</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采购方式：公开招标</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采购需求：连云港市生态环境监控指挥中心建设内容包括：配套环境改造工程、硬件设备购置、软硬件集成和生态环境监控指挥中心运维服务四个部分。详见项目需求。</w:t>
      </w:r>
      <w:r>
        <w:rPr>
          <w:highlight w:val="none"/>
        </w:rPr>
      </w:r>
      <w:r/>
    </w:p>
    <w:p>
      <w:pPr>
        <w:pStyle w:val="872"/>
        <w:ind w:firstLine="482"/>
        <w:jc w:val="left"/>
        <w:spacing w:line="500" w:lineRule="exact"/>
        <w:rPr>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合同履行期限：合同签订后60日内完成安装调试工作，验收合格后进行三年运行维护。</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本项目（是/否）接受联合体投标：不接受联合体。</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（一）满足《中华人民共和国政府采购法》第二十二条规定，并提供下列材料：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2.上一年度的财务状况报告；（成立不满一年无需提供）</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（根据连财购〔2023〕4号文件精神，2、3项可以提供《财务状况报告及税收、社会保障资金缴纳情况承诺函》，详见第六章 投标文件格式）</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7.资格审查现场查询信用中国、中国政府采购网，投标人被列入失信被执行人、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（二）落实政府采购政策需满足的资格要求：</w:t>
      </w:r>
      <w:r>
        <w:rPr>
          <w:rFonts w:hint="eastAsia"/>
          <w:b/>
          <w:bCs/>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highlight w:val="none"/>
        </w:rPr>
      </w:r>
      <w:r/>
    </w:p>
    <w:p>
      <w:pPr>
        <w:pStyle w:val="872"/>
        <w:ind w:firstLine="480"/>
        <w:jc w:val="left"/>
        <w:spacing w:line="500" w:lineRule="exact"/>
        <w:rPr>
          <w:color w:val="ff0000"/>
          <w:sz w:val="24"/>
          <w:szCs w:val="24"/>
          <w:highlight w:val="none"/>
        </w:rPr>
      </w:pPr>
      <w:r>
        <w:rPr>
          <w:rFonts w:hint="eastAsia"/>
          <w:sz w:val="24"/>
          <w:szCs w:val="24"/>
          <w:highlight w:val="none"/>
        </w:rPr>
        <w:t xml:space="preserve">（三）本项目的特定资格要求：无。</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三、获取招标文件</w:t>
      </w:r>
      <w:r>
        <w:rPr>
          <w:highlight w:val="none"/>
        </w:rPr>
      </w:r>
      <w:r/>
    </w:p>
    <w:p>
      <w:pPr>
        <w:pStyle w:val="872"/>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w:t>
      </w:r>
      <w:r>
        <w:rPr>
          <w:rFonts w:hint="eastAsia" w:ascii="宋体" w:hAnsi="宋体"/>
          <w:sz w:val="24"/>
          <w:szCs w:val="24"/>
          <w:highlight w:val="none"/>
        </w:rPr>
        <w:t xml:space="preserve">至2024年</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13</w:t>
      </w:r>
      <w:r>
        <w:rPr>
          <w:rFonts w:hint="eastAsia" w:ascii="宋体" w:hAnsi="宋体"/>
          <w:sz w:val="24"/>
          <w:szCs w:val="24"/>
          <w:highlight w:val="none"/>
        </w:rPr>
        <w:t xml:space="preserve">日</w:t>
      </w:r>
      <w:r>
        <w:rPr>
          <w:rFonts w:hint="eastAsia" w:ascii="宋体" w:hAnsi="宋体"/>
          <w:sz w:val="24"/>
          <w:szCs w:val="24"/>
          <w:highlight w:val="none"/>
        </w:rPr>
        <w:t xml:space="preserve">（北京时间）</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地点：江苏政府采购网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售价：0.00元</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提交投标文件截止时间：</w:t>
      </w:r>
      <w:r>
        <w:rPr>
          <w:rFonts w:hint="eastAsia"/>
          <w:sz w:val="24"/>
          <w:szCs w:val="24"/>
          <w:highlight w:val="none"/>
        </w:rPr>
        <w:t xml:space="preserve">2024年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27</w:t>
      </w:r>
      <w:r>
        <w:rPr>
          <w:rFonts w:hint="eastAsia"/>
          <w:sz w:val="24"/>
          <w:szCs w:val="24"/>
          <w:highlight w:val="none"/>
        </w:rPr>
        <w:t xml:space="preserve">日9:00:00</w:t>
      </w:r>
      <w:r>
        <w:rPr>
          <w:rFonts w:hint="eastAsia"/>
          <w:sz w:val="24"/>
          <w:szCs w:val="24"/>
          <w:highlight w:val="none"/>
        </w:rPr>
        <w:t xml:space="preserve">（北京时间）</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开标时间：提交投标文件截止时间</w:t>
      </w:r>
      <w:r>
        <w:rPr>
          <w:highlight w:val="none"/>
        </w:rPr>
      </w:r>
      <w:r/>
    </w:p>
    <w:p>
      <w:pPr>
        <w:pStyle w:val="872"/>
        <w:ind w:firstLine="480"/>
        <w:jc w:val="left"/>
        <w:spacing w:line="500" w:lineRule="exact"/>
        <w:rPr>
          <w:highlight w:val="none"/>
        </w:rPr>
      </w:pPr>
      <w:r>
        <w:rPr>
          <w:rFonts w:hint="eastAsia"/>
          <w:sz w:val="24"/>
          <w:szCs w:val="24"/>
          <w:highlight w:val="none"/>
        </w:rPr>
        <w:t xml:space="preserve">开标地点：“苏采云”政府采购交易系统网上开标大厅</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自本公告发布之日起5个工作日。</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1.本次招标不收取投标保证金。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highlight w:val="none"/>
        </w:rPr>
        <w:t xml:space="preserve">或者</w:t>
      </w:r>
      <w:r>
        <w:rPr>
          <w:rFonts w:hint="eastAsia"/>
          <w:sz w:val="24"/>
          <w:szCs w:val="24"/>
          <w:highlight w:val="none"/>
        </w:rPr>
        <w:t xml:space="preserve">提交失误，由此造成的一切损失由投标人自行承担。</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1.采购人信息</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名    称：连云港市生态环境局</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地    址：连云港市海州区海昌南路78号</w:t>
      </w:r>
      <w:r>
        <w:rPr>
          <w:highlight w:val="none"/>
        </w:rPr>
      </w:r>
      <w:r/>
    </w:p>
    <w:p>
      <w:pPr>
        <w:pStyle w:val="872"/>
        <w:ind w:firstLine="480"/>
        <w:jc w:val="left"/>
        <w:spacing w:line="500" w:lineRule="exact"/>
        <w:rPr>
          <w:rFonts w:hint="eastAsia"/>
          <w:sz w:val="24"/>
          <w:szCs w:val="24"/>
          <w:highlight w:val="none"/>
        </w:rPr>
      </w:pPr>
      <w:r>
        <w:rPr>
          <w:rFonts w:hint="eastAsia"/>
          <w:sz w:val="24"/>
          <w:szCs w:val="24"/>
          <w:highlight w:val="none"/>
        </w:rPr>
        <w:t xml:space="preserve">联 系 人：李琼琳</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联系电话：1</w:t>
      </w:r>
      <w:r>
        <w:rPr>
          <w:sz w:val="24"/>
          <w:szCs w:val="24"/>
          <w:highlight w:val="none"/>
        </w:rPr>
        <w:t xml:space="preserve">5189040508</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2.采购代理机构信息</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名    称：连云港市公共资源交易中心</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地    址：连云港市海州区凌洲东路9号2号楼419室</w:t>
      </w:r>
      <w:r>
        <w:rPr>
          <w:highlight w:val="none"/>
        </w:rPr>
      </w:r>
      <w:r/>
    </w:p>
    <w:p>
      <w:pPr>
        <w:pStyle w:val="872"/>
        <w:ind w:firstLine="480"/>
        <w:jc w:val="left"/>
        <w:spacing w:line="500" w:lineRule="exact"/>
        <w:rPr>
          <w:rFonts w:hint="eastAsia"/>
          <w:sz w:val="24"/>
          <w:szCs w:val="24"/>
          <w:highlight w:val="none"/>
        </w:rPr>
      </w:pPr>
      <w:r>
        <w:rPr>
          <w:rFonts w:hint="eastAsia"/>
          <w:sz w:val="24"/>
          <w:szCs w:val="24"/>
          <w:highlight w:val="none"/>
        </w:rPr>
        <w:t xml:space="preserve">联 系 人：王一峰</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联系电话：0518-82256587</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3.项目联系方式</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项目联系人：王一峰</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电      话：0518-82256587</w:t>
      </w:r>
      <w:r>
        <w:rPr>
          <w:highlight w:val="none"/>
        </w:rPr>
      </w:r>
      <w:r/>
    </w:p>
    <w:p>
      <w:pPr>
        <w:pStyle w:val="872"/>
        <w:jc w:val="left"/>
        <w:widowControl/>
        <w:rPr>
          <w:rFonts w:ascii="黑体" w:hAnsi="黑体" w:eastAsia="黑体"/>
          <w:bCs/>
          <w:sz w:val="44"/>
          <w:szCs w:val="44"/>
          <w:highlight w:val="none"/>
        </w:rPr>
      </w:pPr>
      <w:r>
        <w:rPr>
          <w:highlight w:val="none"/>
        </w:rPr>
      </w:r>
      <w:bookmarkStart w:id="1" w:name="_Toc155796357"/>
      <w:r>
        <w:rPr>
          <w:rFonts w:ascii="黑体" w:hAnsi="黑体" w:eastAsia="黑体"/>
          <w:b/>
          <w:highlight w:val="none"/>
        </w:rPr>
        <w:br w:type="page" w:clear="all"/>
      </w:r>
      <w:r>
        <w:rPr>
          <w:highlight w:val="none"/>
        </w:rPr>
      </w:r>
      <w:r/>
    </w:p>
    <w:p>
      <w:pPr>
        <w:pStyle w:val="873"/>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第二章  投标人须知</w:t>
      </w:r>
      <w:bookmarkEnd w:id="1"/>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一、总则</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1、采购方式</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1.1 本次招标采取公开招标方式，本招标文件仅适用于招标公告中所述项目。</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2、合格的投标人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2.1 满足招标公告中申请人的资格要求的规定。</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2.3 满足本招标文件全部实质性要求和条件的规定。</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2.4 符合上述条件的投标人应承担投标及履约过程应承担的全部责任与义务。</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3、适用法律</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3.1 本次招标及由此产生的合同受中华人民共和国有关的法律法规制约和保护。</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4、投标费用</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4.2 本次招标采购人和交易中心不收取标书工本费与中标服务费。</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5、招标文件的约束力</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5.1 投标人一旦参与本项目采购活动，即被认为接受了本招标文件的规定和约束。</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二、招标文件</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6、招标文件的构成</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6.1 招标文件由以下部分构成：</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（1）投标邀请</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（2）投标人须知</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（3）合同文本</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（4）采购需求</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（5）评标方法与评标标准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（6）投标文件格式</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请仔细检查招标文件是否齐全，如有缺漏请立即与交易中心联系解决。</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7、招标文件的澄清</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7.1 任何要求对招标文件进行澄清的投标人，应在投标截止时间十日前按招标公告中的通讯地址，以书面形式通知采购人或者交易中心。</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8、招标文件的修改</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8.1 在投标截止时间前，采购人和交易中心可以对招标文件进行修改。</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8.2 采购人和交易中心有权按照法定的要求推迟投标截止时间和开标时间。</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三、投标文件编制</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9、投标文件编写注意事项</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10、投标文件的语言及度量衡单位</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10.2 除技术性能另有规定外，投标文件所使用的度量衡单位，均须采用国家法定计量单位。</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11、投标文件的构成</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12、证明投标人及投标标的符合招标文件规定的文件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12.1 投标人应按照招标文件要求提交证明文件，证明其及投标标的符合招标文件规定。</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12.3 投标人委托代理时应当提交授权委托书，请按招标文件第六章给定格式及要求填写并附法定代表人（单位负责人）与委托代理人身份证明。</w:t>
      </w:r>
      <w:r>
        <w:rPr>
          <w:highlight w:val="none"/>
        </w:rPr>
      </w:r>
      <w:r/>
    </w:p>
    <w:p>
      <w:pPr>
        <w:pStyle w:val="875"/>
        <w:ind w:firstLine="562"/>
        <w:jc w:val="left"/>
        <w:spacing w:before="0" w:after="0" w:line="360" w:lineRule="auto"/>
        <w:rPr>
          <w:highlight w:val="none"/>
        </w:rPr>
      </w:pPr>
      <w:r>
        <w:rPr>
          <w:rFonts w:hint="eastAsia"/>
          <w:sz w:val="28"/>
          <w:szCs w:val="28"/>
          <w:highlight w:val="none"/>
        </w:rPr>
        <w:t xml:space="preserve">13、投标分项报价表</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13.1 投标人应根据投标报价要求在投标分项报价表中列明各项投标单价、总价等，未全部列示的作无效响应处理。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13.2 投标文件中的单价和总价无特殊规定的采用人民币报价，以元为单位标注。招标文件中另有规定的按规定执行。</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14、技术要求响应及偏离表、商务要求响应及偏离表</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14.2 投标人可在投标文件中提供认为需要的其他技术文件或说明。</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15、服务承诺、培训计划、人员安排及其他</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15.1 投标人应根据招标文件要求提供有关售后服务的管理制度，售后服务机构的分布情况，售后服务人员的数量、素质、技术水平及售后服务的反应能力等。</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15.2 投标人应根据招标文件要求提供培训计划、人员安排等。</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15.3 投标人应根据招标文件要求提供所投标的主要组成部分、功能设计、实现思路及关键技术等。</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16、投标函和开标一览表</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16.1 投标人应按照招标文件提供的格式完整、正确填写投标函、开标一览表。</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17、投标有效期</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rPr>
          <w:highlight w:val="none"/>
        </w:rPr>
      </w:r>
      <w:r/>
    </w:p>
    <w:p>
      <w:pPr>
        <w:pStyle w:val="872"/>
        <w:ind w:firstLine="480"/>
        <w:jc w:val="left"/>
        <w:spacing w:line="500" w:lineRule="exact"/>
        <w:rPr>
          <w:color w:val="ff0000"/>
          <w:sz w:val="24"/>
          <w:szCs w:val="24"/>
          <w:highlight w:val="none"/>
        </w:rPr>
      </w:pPr>
      <w:r>
        <w:rPr>
          <w:rFonts w:hint="eastAsia"/>
          <w:sz w:val="24"/>
          <w:szCs w:val="24"/>
          <w:highlight w:val="none"/>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四、投标文件递交</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18、电子投标文件的递交</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18.1 投标人应当按照《操作手册》规定，在投标截止时间前制作并递交（上传）电子投标文件。</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19、投标截止时间</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19.1 投标人递交（上传）电子投标文件的时间不得迟于招标公告中规定的投标截止时间。</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19.2 采购人和交易中心可以按照规定，通过修改招标文件酌情延长投标截止时间，在此情况下，投标人的所有权利和义务以及投标人受制的截止时间均应以延长后新的截止时间为准。</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20、投标文件的拒收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20.1 交易中心拒绝接收在招标文件规定的投标截止时间后递交（上传）的任何投标文件。</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21、投标文件的撤回和修改</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21.1 投标人可在投标截止时间前，撤回其电子投标文件，具体操作方法见《操作手册》。投标人撤回电子投标文件的，则认为其不再参与本项目采购活动。</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21.2 投标人可在投标截止时间前，对其电子投标文件进行修改，具体操作方法见《操作手册》。在投标截止时间之后，投标人不得对其电子投标文件做任何修改。</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21.3 在投标截止时间至招标文件规定的投标有效期满之间的这段时间内，投标人不得撤回其投标。</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五、开标与评标</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22、开标</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22.1 交易中心将在招标公告中规定的时间和地点组织公开开标。投标人应当按时参加开标活动，并在“苏采云”系统规定的时间内对其投标文件进行解密。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22.2 开标仪式由交易中心组织。“苏采云”系统将自动对项目进行开标，并宣布各投标人名称和投标价格。</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22.3 投标人在开标过程中涉及到的投标文件解密、开标结果确认等工作，应当按照《操作手册》规定执行。</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22.4 投标人如果对开标过程和开标记录有疑义，应当按照《操作手册》规定提出，未在“苏采云”系统《开标记录表》宣布后5分钟内提出的，视同认可开标结果。</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22.5 投标人未参加开标的，视同认可开标结果。</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22.6 投标人在开标、评标全过程中应保持通讯畅通，及时登录“苏采云”系统查阅、答复相关信息，并安排专人与交易中心及评委会联系。</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23、评标委员会</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23.1 开标后，交易中心将组织评委会进行评标。</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23.2 评委会由采购人代表和有关技术、经济等方面的评审专家组成，且人员构成符合政府采购有关规定。</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23.3 评委会按照采购文件规定的评审程序、评审方法和评审标准进行独立评审并确定中标候选人。</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24、评标过程的保密与公正</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24.1 凡是与审查、澄清、评价和比较投标的有关资料以及授标建议等，采购人、评审专家、交易中心均不得向投标人或与评标无关的其他人员透露。</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24.2 在评标过程中，投标人不得以任何行为影响评标过程，否则其投标文件将被作为无效投标文件。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24.3 交易中心和评委会不向未中标的投标人解释未中标原因，也不公布评标过程中的相关细节。</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25、投标文件的澄清</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评标期间，评委会对投标文件中含义不明确、同类问题表述不一致或者有明显文字和计算错误的内容，有权要求投标人作出必要的澄清、说明或者补正。</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评委会并非对每个投标人都提出澄清、说明或者补正要求。</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25.3 接到评委会澄清、说明或者补正要求的投标人如未按要求响应，其风险由投标人自行承担。</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26、对投标文件的审查</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26.1 投标文件审查分为资格审查和符合性审查。</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highlight w:val="none"/>
        </w:rPr>
        <w:t xml:space="preserve">且</w:t>
      </w:r>
      <w:r>
        <w:rPr>
          <w:rFonts w:hint="eastAsia"/>
          <w:sz w:val="24"/>
          <w:szCs w:val="24"/>
          <w:highlight w:val="none"/>
        </w:rPr>
        <w:t xml:space="preserve">与招标文件的</w:t>
      </w:r>
      <w:r>
        <w:rPr>
          <w:sz w:val="24"/>
          <w:szCs w:val="24"/>
          <w:highlight w:val="none"/>
        </w:rPr>
        <w:t xml:space="preserve">其余非实质性要求和条件</w:t>
      </w:r>
      <w:r>
        <w:rPr>
          <w:rFonts w:hint="eastAsia"/>
          <w:sz w:val="24"/>
          <w:szCs w:val="24"/>
          <w:highlight w:val="none"/>
        </w:rPr>
        <w:t xml:space="preserve">没有重大偏离。</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未通过资格审查或符合性审查的投标人，将通过“苏采云”系统中告知其未通过的原因，评审结束后，将不再告知。</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26.2 </w:t>
      </w:r>
      <w:r>
        <w:rPr>
          <w:rFonts w:hint="eastAsia" w:cs="宋体"/>
          <w:sz w:val="24"/>
          <w:szCs w:val="24"/>
          <w:highlight w:val="none"/>
        </w:rPr>
        <w:t xml:space="preserve">所谓重大偏离</w:t>
      </w:r>
      <w:r>
        <w:rPr>
          <w:rFonts w:ascii="宋体" w:hAnsi="宋体"/>
          <w:sz w:val="24"/>
          <w:highlight w:val="none"/>
        </w:rPr>
        <w:t xml:space="preserve">是指</w:t>
      </w:r>
      <w:r>
        <w:rPr>
          <w:rFonts w:hint="eastAsia" w:cs="宋体"/>
          <w:sz w:val="24"/>
          <w:szCs w:val="24"/>
          <w:highlight w:val="none"/>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26.3如果投标文件实质上没有响应招标文件的要求，评委会将予以拒绝，投标人不得通过修改或撤销不符合要求的偏离而使其投标成为实质性响应的投标。</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（2）大写金额和小写金额不一致的，以大写金额为准。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（4）总价金额与按单价汇总金额不一致的，以单价金额计算结果为准。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同时出现两种以上错误的，按照前款规定的顺序修正。</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非单一产品采购项目，招标文件中将载明核心产品。多家投标人提供的核心产品品牌相同的，按前两款规定处理。</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27、无效投标条款和废标条款</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27.1 无效投标条款：</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（1）投标人未按照招标文件要求递交（上传）电子投标文件的。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（2）投标人在“苏采云”系统规定的时间内未成功解密电子投标文件的。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（3）投标人不具备招标文件中规定的资格要求的。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（5）投标人提交两个（含两个）以上不同的投标报价的。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（6）投标人的报价超过了采购预算或者最高限价的。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（10）投标人未通过符合性审查的。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（11）投标文件含有采购人不能接受的附加条件的。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（12）投标文件未按照招标文件要求加盖公章（CA电子公章）的。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（13）其他法律、法规及本招标文件规定的属于无效投标的情形。</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27.2 有下列情形之一的，视为投标人串通投标，投标无效：</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（1）不同投标人的投标文件由同一单位或者个人编制。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（2）不同投标人委托同一单位或者个人办理投标事宜。</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（3）不同投标人的投标文件载明的项目管理成员或者联系人员为同一人。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（4）不同投标人的投标文件异常一致或者投标报价呈规律性差异。</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（5）不同投标人的投标文件相互混装。</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27.3 废标条款：</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（1）因“苏采云”系统故障原因造成开标不成功的。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（3）符合专业条件的供应商或者对招标文件作实质响应的供应商不足三家的。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（4）出现影响采购公正的违法、违规行为的。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（5）因重大变故，采购任务取消的。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六、定标</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28、确定中标单位</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28.1 中标候选人的选取原则和数量详见招标文件第五章规定。 </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28.2 采购人应根据评委会推荐的中标候选人确定中标人。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28.3 交易中心将在江苏政府采购网发布中标公告，公告期限为1个工作日。</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28.4 若有充分证据证明，中标人存在下列情形之一的，一经查实，将被取消中标资格：</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（1）提供虚假材料谋取中标、成交的。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（2）采取不正当手段诋毁、排挤其他供应商的。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（3）与采购人、其他供应商或者交易中心恶意串通的。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（4）向采购人、交易中心行贿或者提供其他不正当利益的。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（5）在招标采购过程中与采购人进行协商谈判的。</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（6）属于本招标文件规定的无效情形，但在评标过程中又未被评委会发现的。</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29、中标通知书</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29.3 中标人应在中标后七个工作日内，向采购人和交易中心各提供一份与电子投标文件一致的纸质打印胶装投标文件，封面、骑缝需加盖公章。</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七、授予合同</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30、履约保证金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30.3 履约保证金自合同生效之日起至合同约定的中标人主要义务履行完毕止，采购人应当按合同约定及时退还履约保证金。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30.4 逾期退还履约保证金的采购人承担违约责任，按照中国人民银行同期贷款基准利率向中标人支付超期资金占用费。</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30.5 本项目履约保证金要求详见招标文件第四章 采购需求。</w:t>
      </w:r>
      <w:r>
        <w:rPr>
          <w:highlight w:val="none"/>
        </w:rPr>
      </w:r>
      <w:r/>
    </w:p>
    <w:p>
      <w:pPr>
        <w:pStyle w:val="875"/>
        <w:jc w:val="left"/>
        <w:spacing w:before="0" w:after="0" w:line="360" w:lineRule="auto"/>
        <w:rPr>
          <w:sz w:val="28"/>
          <w:szCs w:val="28"/>
          <w:highlight w:val="none"/>
        </w:rPr>
      </w:pPr>
      <w:r>
        <w:rPr>
          <w:rFonts w:hint="eastAsia"/>
          <w:sz w:val="28"/>
          <w:szCs w:val="28"/>
          <w:highlight w:val="none"/>
        </w:rPr>
        <w:t xml:space="preserve">31、签订合同</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31.2 招标文件、中标人的投标文件及招标过程中有关澄清、承诺等文件均应作为合同附件。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32、合同标的的追加</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33、政府采购履约资金扶持政策</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33.1 中标人可凭政府采购合同办理融资贷款，详情请见江苏政府采购网“政采贷”专栏。</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34、询问</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35、质疑提出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35.1 提出质疑的供应商应当是参与所质疑项目采购活动的供应商。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35.5 质疑函应当使用范本，详见招标文件第六章。供应商提出质疑应当提交质疑函和必要的证明材料，应当包括下列内容：</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（2）质疑项目的名称、编号；</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（4）事实依据；</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（5）必要的法律依据；</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（6）提出质疑的日期；</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（7）必要的证明材料；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rPr>
          <w:highlight w:val="none"/>
        </w:rPr>
      </w:r>
      <w:r/>
    </w:p>
    <w:p>
      <w:pPr>
        <w:pStyle w:val="875"/>
        <w:ind w:firstLine="562"/>
        <w:jc w:val="left"/>
        <w:spacing w:before="0" w:after="0" w:line="360" w:lineRule="auto"/>
        <w:rPr>
          <w:sz w:val="24"/>
          <w:szCs w:val="24"/>
          <w:highlight w:val="none"/>
        </w:rPr>
      </w:pPr>
      <w:r>
        <w:rPr>
          <w:rFonts w:hint="eastAsia"/>
          <w:sz w:val="28"/>
          <w:szCs w:val="28"/>
          <w:highlight w:val="none"/>
        </w:rPr>
        <w:t xml:space="preserve">36、质疑函的受理和答复</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36.4 以下情形的质疑依法不予受理：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（2）超出政府采购法定期限的质疑。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36.5 采购人、交易中心依法受理的质疑，将按照政府采购有关规定，在法定期限内作出答复。</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37、质疑处理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37.1 质疑供应商未按照法定程序进行质疑投诉的，视为一般失信行为。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37.2 质疑供应商不配合或者采取不正当手段干扰政府采购质疑、投诉处理工作的，视为一般失信行为。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37.3 质疑供应商投诉受理期间，就同一事项多头举报，干扰财政部门投诉处理的，视为一般失信行为。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37.4 质疑供应商在全国范围12个月内三次以上质疑查无实据的，视为一般失信行为。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37.6 质疑供应商在全国范围12个月内三次以上投诉查无实据的，视为严重失信行为。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37.7 未尽事宜，依照有关法律、法规执行。</w:t>
      </w:r>
      <w:r>
        <w:rPr>
          <w:highlight w:val="none"/>
        </w:rPr>
      </w:r>
      <w:r/>
    </w:p>
    <w:p>
      <w:pPr>
        <w:pStyle w:val="874"/>
        <w:spacing w:before="0" w:after="0" w:line="360" w:lineRule="auto"/>
        <w:rPr>
          <w:rFonts w:ascii="黑体" w:hAnsi="黑体" w:eastAsia="黑体"/>
          <w:b w:val="0"/>
          <w:highlight w:val="none"/>
        </w:rPr>
      </w:pPr>
      <w:r>
        <w:rPr>
          <w:rFonts w:hint="eastAsia" w:ascii="黑体" w:hAnsi="黑体" w:eastAsia="黑体"/>
          <w:b w:val="0"/>
          <w:highlight w:val="none"/>
        </w:rPr>
        <w:t xml:space="preserve">九、政府采购政策功能</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38、促进中小企业发展</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39、支持绿色发展</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highlight w:val="none"/>
        </w:rPr>
      </w:r>
      <w:r/>
    </w:p>
    <w:p>
      <w:pPr>
        <w:pStyle w:val="875"/>
        <w:ind w:firstLine="562"/>
        <w:jc w:val="left"/>
        <w:spacing w:before="0" w:after="0" w:line="360" w:lineRule="auto"/>
        <w:rPr>
          <w:sz w:val="28"/>
          <w:szCs w:val="28"/>
          <w:highlight w:val="none"/>
        </w:rPr>
      </w:pPr>
      <w:r>
        <w:rPr>
          <w:rFonts w:hint="eastAsia"/>
          <w:sz w:val="28"/>
          <w:szCs w:val="28"/>
          <w:highlight w:val="none"/>
        </w:rPr>
        <w:t xml:space="preserve">40、政府采购需求标准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40.1 本项目执行《绿色数据中心</w:t>
      </w:r>
      <w:r>
        <w:rPr>
          <w:rFonts w:hint="eastAsia"/>
          <w:sz w:val="24"/>
          <w:szCs w:val="24"/>
          <w:highlight w:val="none"/>
        </w:rPr>
        <w:t xml:space="preserve">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highlight w:val="none"/>
        </w:rPr>
      </w:r>
      <w:r/>
    </w:p>
    <w:p>
      <w:pPr>
        <w:pStyle w:val="872"/>
        <w:jc w:val="left"/>
        <w:widowControl/>
        <w:rPr>
          <w:sz w:val="24"/>
          <w:szCs w:val="24"/>
          <w:highlight w:val="none"/>
        </w:rPr>
      </w:pPr>
      <w:r>
        <w:rPr>
          <w:sz w:val="24"/>
          <w:szCs w:val="24"/>
          <w:highlight w:val="none"/>
        </w:rPr>
        <w:br w:type="page" w:clear="all"/>
      </w:r>
      <w:r>
        <w:rPr>
          <w:highlight w:val="none"/>
        </w:rPr>
      </w:r>
      <w:r/>
    </w:p>
    <w:p>
      <w:pPr>
        <w:pStyle w:val="873"/>
        <w:jc w:val="center"/>
        <w:spacing w:before="156" w:after="156" w:line="360" w:lineRule="auto"/>
        <w:rPr>
          <w:rFonts w:ascii="黑体" w:hAnsi="黑体" w:eastAsia="黑体"/>
          <w:b w:val="0"/>
          <w:highlight w:val="none"/>
        </w:rPr>
      </w:pPr>
      <w:r>
        <w:rPr>
          <w:highlight w:val="none"/>
        </w:rPr>
      </w:r>
      <w:bookmarkStart w:id="2" w:name="_Toc155796358"/>
      <w:r>
        <w:rPr>
          <w:rFonts w:hint="eastAsia" w:ascii="黑体" w:hAnsi="黑体" w:eastAsia="黑体"/>
          <w:b w:val="0"/>
          <w:highlight w:val="none"/>
        </w:rPr>
        <w:t xml:space="preserve">第三章  合同文本</w:t>
      </w:r>
      <w:bookmarkEnd w:id="2"/>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（备注：以下为中标后签订本项目合同的通用条款，中标人不得提出实质性的修改，签订合同时请删除本条备注。）</w:t>
      </w:r>
      <w:r>
        <w:rPr>
          <w:highlight w:val="none"/>
        </w:rPr>
      </w:r>
      <w:r/>
    </w:p>
    <w:p>
      <w:pPr>
        <w:pStyle w:val="872"/>
        <w:ind w:firstLine="480"/>
        <w:jc w:val="left"/>
        <w:spacing w:line="500" w:lineRule="exact"/>
        <w:rPr>
          <w:sz w:val="24"/>
          <w:szCs w:val="24"/>
          <w:highlight w:val="none"/>
        </w:rPr>
      </w:pPr>
      <w:r>
        <w:rPr>
          <w:sz w:val="24"/>
          <w:szCs w:val="24"/>
          <w:highlight w:val="none"/>
        </w:rPr>
      </w:r>
      <w:r>
        <w:rPr>
          <w:highlight w:val="none"/>
        </w:rPr>
      </w:r>
      <w:r/>
    </w:p>
    <w:p>
      <w:pPr>
        <w:pStyle w:val="872"/>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连云港市政府采购合同（服务）</w:t>
      </w:r>
      <w:r>
        <w:rPr>
          <w:highlight w:val="none"/>
        </w:rPr>
      </w:r>
      <w:r/>
    </w:p>
    <w:p>
      <w:pPr>
        <w:pStyle w:val="872"/>
        <w:jc w:val="center"/>
        <w:spacing w:line="50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rPr>
          <w:highlight w:val="none"/>
        </w:rPr>
      </w:r>
      <w:r/>
    </w:p>
    <w:p>
      <w:pPr>
        <w:pStyle w:val="872"/>
        <w:jc w:val="left"/>
        <w:spacing w:line="500" w:lineRule="exact"/>
        <w:rPr>
          <w:sz w:val="24"/>
          <w:szCs w:val="24"/>
          <w:highlight w:val="none"/>
        </w:rPr>
      </w:pPr>
      <w:r>
        <w:rPr>
          <w:rFonts w:hint="eastAsia"/>
          <w:sz w:val="24"/>
          <w:szCs w:val="24"/>
          <w:highlight w:val="none"/>
        </w:rPr>
        <w:t xml:space="preserve">甲方：（买方）_________</w:t>
      </w:r>
      <w:r>
        <w:rPr>
          <w:highlight w:val="none"/>
        </w:rPr>
      </w:r>
      <w:r/>
    </w:p>
    <w:p>
      <w:pPr>
        <w:pStyle w:val="872"/>
        <w:jc w:val="left"/>
        <w:spacing w:line="500" w:lineRule="exact"/>
        <w:rPr>
          <w:sz w:val="24"/>
          <w:szCs w:val="24"/>
          <w:highlight w:val="none"/>
        </w:rPr>
      </w:pPr>
      <w:r>
        <w:rPr>
          <w:rFonts w:hint="eastAsia"/>
          <w:sz w:val="24"/>
          <w:szCs w:val="24"/>
          <w:highlight w:val="none"/>
        </w:rPr>
        <w:t xml:space="preserve">乙方：（卖方）_________</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sz w:val="24"/>
          <w:szCs w:val="24"/>
          <w:highlight w:val="none"/>
          <w:u w:val="single"/>
        </w:rPr>
        <w:t xml:space="preserve">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）公开招标的结果，签订本合同。</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一、合同内容</w:t>
      </w:r>
      <w:r>
        <w:rPr>
          <w:highlight w:val="none"/>
        </w:rPr>
      </w:r>
      <w:r/>
    </w:p>
    <w:p>
      <w:pPr>
        <w:pStyle w:val="872"/>
        <w:ind w:firstLine="480"/>
        <w:jc w:val="left"/>
        <w:spacing w:line="500" w:lineRule="exact"/>
        <w:rPr>
          <w:sz w:val="24"/>
          <w:szCs w:val="24"/>
          <w:highlight w:val="none"/>
        </w:rPr>
      </w:pPr>
      <w:r>
        <w:rPr>
          <w:sz w:val="24"/>
          <w:szCs w:val="24"/>
          <w:highlight w:val="none"/>
        </w:rPr>
        <w:t xml:space="preserve">1.1 服务内容：</w:t>
      </w:r>
      <w:r>
        <w:rPr>
          <w:sz w:val="24"/>
          <w:szCs w:val="24"/>
          <w:highlight w:val="none"/>
          <w:u w:val="single"/>
        </w:rPr>
        <w:t xml:space="preserve">      </w:t>
      </w:r>
      <w:r>
        <w:rPr>
          <w:sz w:val="24"/>
          <w:szCs w:val="24"/>
          <w:highlight w:val="none"/>
        </w:rPr>
        <w:t xml:space="preserve">。</w:t>
      </w:r>
      <w:r>
        <w:rPr>
          <w:highlight w:val="none"/>
        </w:rPr>
      </w:r>
      <w:r/>
    </w:p>
    <w:p>
      <w:pPr>
        <w:pStyle w:val="872"/>
        <w:ind w:firstLine="480"/>
        <w:jc w:val="left"/>
        <w:spacing w:line="500" w:lineRule="exact"/>
        <w:rPr>
          <w:sz w:val="24"/>
          <w:szCs w:val="24"/>
          <w:highlight w:val="none"/>
        </w:rPr>
      </w:pPr>
      <w:r>
        <w:rPr>
          <w:sz w:val="24"/>
          <w:szCs w:val="24"/>
          <w:highlight w:val="none"/>
        </w:rPr>
        <w:t xml:space="preserve">1.2 服务要求：</w:t>
      </w:r>
      <w:r>
        <w:rPr>
          <w:sz w:val="24"/>
          <w:szCs w:val="24"/>
          <w:highlight w:val="none"/>
          <w:u w:val="single"/>
        </w:rPr>
        <w:t xml:space="preserve">      </w:t>
      </w:r>
      <w:r>
        <w:rPr>
          <w:sz w:val="24"/>
          <w:szCs w:val="24"/>
          <w:highlight w:val="none"/>
        </w:rPr>
        <w:t xml:space="preserve">。</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1.3 服务标准：</w:t>
      </w:r>
      <w:r>
        <w:rPr>
          <w:sz w:val="24"/>
          <w:szCs w:val="24"/>
          <w:highlight w:val="none"/>
          <w:u w:val="single"/>
        </w:rPr>
        <w:t xml:space="preserve">      </w:t>
      </w:r>
      <w:r>
        <w:rPr>
          <w:sz w:val="24"/>
          <w:szCs w:val="24"/>
          <w:highlight w:val="none"/>
        </w:rPr>
        <w:t xml:space="preserve">。</w:t>
      </w:r>
      <w:r>
        <w:rPr>
          <w:highlight w:val="none"/>
        </w:rPr>
      </w:r>
      <w:r/>
    </w:p>
    <w:p>
      <w:pPr>
        <w:pStyle w:val="872"/>
        <w:ind w:firstLine="480"/>
        <w:jc w:val="left"/>
        <w:spacing w:line="500" w:lineRule="exact"/>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 补充条款：</w:t>
      </w:r>
      <w:r>
        <w:rPr>
          <w:sz w:val="24"/>
          <w:szCs w:val="24"/>
          <w:highlight w:val="none"/>
          <w:u w:val="single"/>
        </w:rPr>
        <w:t xml:space="preserve">      </w:t>
      </w:r>
      <w:r>
        <w:rPr>
          <w:sz w:val="24"/>
          <w:szCs w:val="24"/>
          <w:highlight w:val="none"/>
        </w:rPr>
        <w:t xml:space="preserve">。</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二、合同金额</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2.1 本合同金额为人民币（大写）：</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u w:val="single"/>
        </w:rPr>
        <w:t xml:space="preserve">     </w:t>
      </w:r>
      <w:r>
        <w:rPr>
          <w:rFonts w:hint="eastAsia"/>
          <w:sz w:val="24"/>
          <w:szCs w:val="24"/>
          <w:highlight w:val="none"/>
        </w:rPr>
        <w:t xml:space="preserve">）。</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三、技术资料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3.1 乙方应按招标文件规定的时间向甲方提供有关技术资料。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四、知识产权</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五、产权担保</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5.1 乙方保证所交付标的的所有权完全属于乙方且无任何抵押、查封等产权瑕疵。</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六、履约保证金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6.1 乙方交纳</w:t>
      </w:r>
      <w:r>
        <w:rPr>
          <w:rFonts w:hint="eastAsia"/>
          <w:sz w:val="24"/>
          <w:szCs w:val="24"/>
          <w:highlight w:val="none"/>
          <w:u w:val="single"/>
        </w:rPr>
        <w:t xml:space="preserve">合同总额的5</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作为本合同的履约保证金，乙方应当以支票、汇票、本票或者金融机构、担保机构出具的保函等非现金形式提交。</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6.2 履约保证金在乙方主要合同义务履行完毕后（运行维护期满后）五个工作日内由甲方以非现金形式一次性退还。</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6.3 乙方违约的，甲方将根据违约责任条款扣除其全部或部分履约保证金。如乙方违约给甲方造成的损失超过履约保证金的，应当依法赔偿超过部分的损失。</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6.4 逾期退还履约保证金的甲方承担违约责任，按照中国人民银行同期贷款基准利率支付超期资金占用费。</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七、合同转包或分包</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7.1 本合同范围内产品或服务，应由乙方直接供应，不得转让他人供应或部分分包给他人供应。</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7.2 如有转让和未经甲方同意的分包行为，甲方有权终止合同。</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八、服务时间</w:t>
      </w:r>
      <w:r>
        <w:rPr>
          <w:highlight w:val="none"/>
        </w:rPr>
      </w:r>
      <w:r/>
    </w:p>
    <w:p>
      <w:pPr>
        <w:pStyle w:val="872"/>
        <w:ind w:firstLine="480"/>
        <w:jc w:val="left"/>
        <w:spacing w:line="500" w:lineRule="exact"/>
        <w:rPr>
          <w:rFonts w:ascii="黑体" w:hAnsi="黑体" w:eastAsia="黑体"/>
          <w:sz w:val="24"/>
          <w:szCs w:val="24"/>
          <w:highlight w:val="none"/>
        </w:rPr>
      </w:pPr>
      <w:r>
        <w:rPr>
          <w:rFonts w:hint="eastAsia"/>
          <w:sz w:val="24"/>
          <w:szCs w:val="24"/>
          <w:highlight w:val="none"/>
        </w:rPr>
        <w:t xml:space="preserve">8.1 服务时间：</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ascii="黑体" w:hAnsi="黑体" w:eastAsia="黑体"/>
          <w:sz w:val="24"/>
          <w:szCs w:val="24"/>
          <w:highlight w:val="none"/>
        </w:rPr>
        <w:t xml:space="preserve">。</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九、合同内容的交付</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9.1 交 付 期：_________。</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9.2 交付方式：_________。</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9.3 交付地点：_________。</w:t>
      </w:r>
      <w:r>
        <w:rPr>
          <w:highlight w:val="none"/>
        </w:rPr>
      </w:r>
      <w:r/>
    </w:p>
    <w:p>
      <w:pPr>
        <w:pStyle w:val="872"/>
        <w:ind w:firstLine="480"/>
        <w:jc w:val="left"/>
        <w:spacing w:line="500" w:lineRule="exact"/>
        <w:rPr>
          <w:sz w:val="24"/>
          <w:szCs w:val="24"/>
          <w:highlight w:val="none"/>
        </w:rPr>
      </w:pPr>
      <w:r>
        <w:rPr>
          <w:sz w:val="24"/>
          <w:szCs w:val="24"/>
          <w:highlight w:val="none"/>
        </w:rPr>
        <w:t xml:space="preserve">9.4</w:t>
      </w:r>
      <w:r>
        <w:rPr>
          <w:rFonts w:hint="eastAsia"/>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highlight w:val="none"/>
        </w:rPr>
      </w:r>
      <w:r/>
    </w:p>
    <w:p>
      <w:pPr>
        <w:pStyle w:val="872"/>
        <w:ind w:firstLine="480"/>
        <w:jc w:val="left"/>
        <w:spacing w:line="500" w:lineRule="exact"/>
        <w:rPr>
          <w:sz w:val="24"/>
          <w:szCs w:val="24"/>
          <w:highlight w:val="none"/>
        </w:rPr>
      </w:pPr>
      <w:r>
        <w:rPr>
          <w:sz w:val="24"/>
          <w:szCs w:val="24"/>
          <w:highlight w:val="none"/>
        </w:rPr>
        <w:t xml:space="preserve">9.5</w:t>
      </w:r>
      <w:r>
        <w:rPr>
          <w:rFonts w:hint="eastAsia"/>
          <w:sz w:val="24"/>
          <w:szCs w:val="24"/>
          <w:highlight w:val="none"/>
        </w:rPr>
        <w:t xml:space="preserve"> 乙方在合同标的交付甲方48小时前通知甲方准备接收。合同标的在规定的交付期限内由乙方送达甲方指定的地点视为交付，乙方同时需通知甲方已送达。</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十、合同款支付</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10.1 付款方式：_________。</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10.2 当采购数量与实际使用数量不一致时，乙方应根据实际使用量提供产品和服务，合同的最终结算金额按实际使用量乘以中标单价计算。</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十一、税费</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11.1 本合同执行中相关的一切税费均由乙方负担。</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十二、质量保证及售后服务</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12.1 乙方应按招标文件规定和投标文件承诺的性能、技术要求、质量标准向甲方提供产品或服务。</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12.2 乙方提供的产品或服务在服务期内因其本身出现质量问题，根据实际情况，经双方协商，可按以下办法处理：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（1）更换：由乙方承担所产生的全部费用。</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（2）合同终止处理：合同终止，乙方退还甲方支付的合同款，同时承担由此产生的全部费用，甲方不承担任何产生费用。</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12.3 如在使用过程中发生质量问题，乙方在接到甲方通知后</w:t>
      </w:r>
      <w:r>
        <w:rPr>
          <w:rFonts w:hint="eastAsia"/>
          <w:sz w:val="24"/>
          <w:szCs w:val="24"/>
          <w:highlight w:val="none"/>
          <w:u w:val="single"/>
        </w:rPr>
        <w:t xml:space="preserve">   </w:t>
      </w:r>
      <w:r>
        <w:rPr>
          <w:rFonts w:hint="eastAsia"/>
          <w:sz w:val="24"/>
          <w:szCs w:val="24"/>
          <w:highlight w:val="none"/>
        </w:rPr>
        <w:t xml:space="preserve">小时内到达甲方现场。</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12.4 在服务期内，乙方应对产品或服务出现的质量及安全问题负责处理解决并承担一切费用。</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十三、项目验收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13.1 甲方依法组织履约验收工作。</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13.3 对于实际使用人和甲方分离的项目，甲方邀请实际使用人参与验收。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13.4 如有必要，甲方邀请参加本项目的其他供应商或第三方专业机构及专家参与验收，相关意见将作为验收书的参考资料。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sz w:val="24"/>
          <w:szCs w:val="24"/>
          <w:highlight w:val="none"/>
        </w:rPr>
        <w:t xml:space="preserve">》。乙方在履约过程中有政府采购法律法规规定的违法违规情形的，甲方将及时报告本级财政部门。</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十四、违约责任</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14.1 甲方无正当理由拒收的，甲方向乙方偿付拒收标的总额</w:t>
      </w:r>
      <w:r>
        <w:rPr>
          <w:rFonts w:hint="eastAsia"/>
          <w:sz w:val="24"/>
          <w:szCs w:val="24"/>
          <w:highlight w:val="none"/>
          <w:u w:val="single"/>
        </w:rPr>
        <w:t xml:space="preserve">       </w:t>
      </w:r>
      <w:r>
        <w:rPr>
          <w:rFonts w:hint="eastAsia"/>
          <w:sz w:val="24"/>
          <w:szCs w:val="24"/>
          <w:highlight w:val="none"/>
        </w:rPr>
        <w:t xml:space="preserve">的违约金。</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14.2 甲方无故逾期验收和办理合同款支付手续的，甲方应按逾期付款总额每日</w:t>
      </w:r>
      <w:r>
        <w:rPr>
          <w:rFonts w:hint="eastAsia"/>
          <w:sz w:val="24"/>
          <w:szCs w:val="24"/>
          <w:highlight w:val="none"/>
          <w:u w:val="single"/>
        </w:rPr>
        <w:t xml:space="preserve">       </w:t>
      </w:r>
      <w:r>
        <w:rPr>
          <w:rFonts w:hint="eastAsia"/>
          <w:sz w:val="24"/>
          <w:szCs w:val="24"/>
          <w:highlight w:val="none"/>
        </w:rPr>
        <w:t xml:space="preserve">向乙方支付违约金，</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w:t>
      </w:r>
      <w:r>
        <w:rPr>
          <w:rFonts w:hint="eastAsia"/>
          <w:sz w:val="24"/>
          <w:szCs w:val="24"/>
          <w:highlight w:val="none"/>
        </w:rPr>
        <w:t xml:space="preserve">。</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14.3 乙方逾期交付合同标的的，乙方应按逾期交付总额每日</w:t>
      </w:r>
      <w:r>
        <w:rPr>
          <w:rFonts w:hint="eastAsia"/>
          <w:sz w:val="24"/>
          <w:szCs w:val="24"/>
          <w:highlight w:val="none"/>
          <w:u w:val="single"/>
        </w:rPr>
        <w:t xml:space="preserve">       </w:t>
      </w:r>
      <w:r>
        <w:rPr>
          <w:rFonts w:hint="eastAsia"/>
          <w:sz w:val="24"/>
          <w:szCs w:val="24"/>
          <w:highlight w:val="none"/>
        </w:rPr>
        <w:t xml:space="preserve">向甲方支付违约金，由甲方从待付合同款中扣除，</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w:t>
      </w:r>
      <w:r>
        <w:rPr>
          <w:rFonts w:hint="eastAsia"/>
          <w:sz w:val="24"/>
          <w:szCs w:val="24"/>
          <w:highlight w:val="none"/>
        </w:rPr>
        <w:t xml:space="preserve">。逾期超过约定日期</w:t>
      </w:r>
      <w:r>
        <w:rPr>
          <w:rFonts w:hint="eastAsia"/>
          <w:sz w:val="24"/>
          <w:szCs w:val="24"/>
          <w:highlight w:val="none"/>
          <w:u w:val="single"/>
        </w:rPr>
        <w:t xml:space="preserve">       </w:t>
      </w:r>
      <w:r>
        <w:rPr>
          <w:rFonts w:hint="eastAsia"/>
          <w:sz w:val="24"/>
          <w:szCs w:val="24"/>
          <w:highlight w:val="none"/>
        </w:rPr>
        <w:t xml:space="preserve">不能交付的，甲方可解除本合同。乙方因逾期交付或因其他违约行为导致甲方解除合同的，乙方应向甲方支付合同总额</w:t>
      </w:r>
      <w:r>
        <w:rPr>
          <w:rFonts w:hint="eastAsia"/>
          <w:sz w:val="24"/>
          <w:szCs w:val="24"/>
          <w:highlight w:val="none"/>
          <w:u w:val="single"/>
        </w:rPr>
        <w:t xml:space="preserve">       </w:t>
      </w:r>
      <w:r>
        <w:rPr>
          <w:rFonts w:hint="eastAsia"/>
          <w:sz w:val="24"/>
          <w:szCs w:val="24"/>
          <w:highlight w:val="none"/>
        </w:rPr>
        <w:t xml:space="preserve">的违约金，如造成甲方损失超过违约金的，超出部分由乙方继续承担赔偿责任。 </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十五、不可抗力事件处理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15.1 在合同有效期内，任何一方因不可抗力事件导致不能履行合同的，则合同履行期可延长，其延长期与不可抗力影响期相同。</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15.2 不可抗力事件发生后，应立即通知对方，并寄送有关权威机构出具的证明。</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15.3 不可抗力事件延续120天以上，双方应通过友好协商，确定是否继续履行合同。</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十六、解决争议的方法</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16.1 甲乙双方因合同签订、履行而发生的一切争议，应通过友好协商解决。如协商不成，按下列第</w:t>
      </w:r>
      <w:r>
        <w:rPr>
          <w:rFonts w:hint="eastAsia"/>
          <w:sz w:val="24"/>
          <w:szCs w:val="24"/>
          <w:highlight w:val="none"/>
          <w:u w:val="single"/>
        </w:rPr>
        <w:t xml:space="preserve">（1）</w:t>
      </w:r>
      <w:r>
        <w:rPr>
          <w:rFonts w:hint="eastAsia"/>
          <w:sz w:val="24"/>
          <w:szCs w:val="24"/>
          <w:highlight w:val="none"/>
        </w:rPr>
        <w:t xml:space="preserve">种方式解决：</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（1）向连云港仲裁委员会申请仲裁。</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（2）向合同签订地法院起诉，合同签订地在此约定为连云港市。</w:t>
      </w:r>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十七、合同生效及其他</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17.1 合同经双方法定代表人或授权代表签字并加盖单位公章后生效。</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17.2 本合同未尽事宜，遵照</w:t>
      </w:r>
      <w:r>
        <w:rPr>
          <w:rFonts w:hint="eastAsia"/>
          <w:color w:val="000000"/>
          <w:sz w:val="24"/>
          <w:highlight w:val="none"/>
        </w:rPr>
        <w:t xml:space="preserve">《中华人民共和国民法典》《中华人民共和国</w:t>
      </w:r>
      <w:r>
        <w:rPr>
          <w:rFonts w:hint="eastAsia"/>
          <w:sz w:val="24"/>
          <w:szCs w:val="24"/>
          <w:highlight w:val="none"/>
        </w:rPr>
        <w:t xml:space="preserve">政府采购法》有关条文执行。</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17.3 本合同正本一式四份，具有同等法律效力，甲方执二份、乙方执一份，甲方报一份至政府采购监督管理部门。</w:t>
      </w:r>
      <w:r>
        <w:rPr>
          <w:highlight w:val="none"/>
        </w:rPr>
      </w:r>
      <w:r/>
    </w:p>
    <w:p>
      <w:pPr>
        <w:pStyle w:val="872"/>
        <w:ind w:firstLine="480"/>
        <w:jc w:val="left"/>
        <w:spacing w:line="500" w:lineRule="exact"/>
        <w:rPr>
          <w:sz w:val="24"/>
          <w:szCs w:val="24"/>
          <w:highlight w:val="none"/>
        </w:rPr>
      </w:pPr>
      <w:r>
        <w:rPr>
          <w:sz w:val="24"/>
          <w:szCs w:val="24"/>
          <w:highlight w:val="none"/>
        </w:rPr>
      </w:r>
      <w:r>
        <w:rPr>
          <w:highlight w:val="none"/>
        </w:rPr>
      </w:r>
      <w:r/>
    </w:p>
    <w:p>
      <w:pPr>
        <w:pStyle w:val="872"/>
        <w:ind w:firstLine="480"/>
        <w:jc w:val="left"/>
        <w:spacing w:line="500" w:lineRule="exact"/>
        <w:rPr>
          <w:sz w:val="24"/>
          <w:szCs w:val="24"/>
          <w:highlight w:val="none"/>
        </w:rPr>
      </w:pPr>
      <w:r>
        <w:rPr>
          <w:sz w:val="24"/>
          <w:szCs w:val="24"/>
          <w:highlight w:val="none"/>
        </w:rPr>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甲方：                        乙方： </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地址：                        地址： </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法定代表人或授权代表：        法定代表人或授权代表：</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联系电话：                    联系电话：     </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                                     </w:t>
      </w:r>
      <w:r>
        <w:rPr>
          <w:highlight w:val="none"/>
        </w:rPr>
      </w:r>
      <w:r/>
    </w:p>
    <w:p>
      <w:pPr>
        <w:pStyle w:val="872"/>
        <w:ind w:firstLine="480"/>
        <w:jc w:val="right"/>
        <w:spacing w:line="500" w:lineRule="exact"/>
        <w:rPr>
          <w:sz w:val="24"/>
          <w:szCs w:val="24"/>
          <w:highlight w:val="none"/>
        </w:rPr>
      </w:pPr>
      <w:r>
        <w:rPr>
          <w:rFonts w:hint="eastAsia"/>
          <w:sz w:val="24"/>
          <w:szCs w:val="24"/>
          <w:highlight w:val="none"/>
        </w:rPr>
        <w:t xml:space="preserve">签订日期：       年    月    日</w:t>
      </w:r>
      <w:r>
        <w:rPr>
          <w:highlight w:val="none"/>
        </w:rPr>
      </w:r>
      <w:r/>
    </w:p>
    <w:p>
      <w:pPr>
        <w:pStyle w:val="872"/>
        <w:jc w:val="left"/>
        <w:widowControl/>
        <w:rPr>
          <w:sz w:val="24"/>
          <w:szCs w:val="24"/>
          <w:highlight w:val="none"/>
        </w:rPr>
      </w:pPr>
      <w:r>
        <w:rPr>
          <w:sz w:val="24"/>
          <w:szCs w:val="24"/>
          <w:highlight w:val="none"/>
        </w:rPr>
        <w:br w:type="page" w:clear="all"/>
      </w:r>
      <w:r>
        <w:rPr>
          <w:highlight w:val="none"/>
        </w:rPr>
      </w:r>
      <w:r/>
    </w:p>
    <w:p>
      <w:pPr>
        <w:pStyle w:val="873"/>
        <w:jc w:val="center"/>
        <w:spacing w:before="156" w:after="156" w:line="360" w:lineRule="auto"/>
        <w:rPr>
          <w:rFonts w:ascii="黑体" w:hAnsi="黑体" w:eastAsia="黑体"/>
          <w:b w:val="0"/>
          <w:highlight w:val="none"/>
        </w:rPr>
      </w:pPr>
      <w:r>
        <w:rPr>
          <w:highlight w:val="none"/>
        </w:rPr>
      </w:r>
      <w:bookmarkStart w:id="3" w:name="_Toc155796359"/>
      <w:r>
        <w:rPr>
          <w:rFonts w:hint="eastAsia" w:ascii="黑体" w:hAnsi="黑体" w:eastAsia="黑体"/>
          <w:b w:val="0"/>
          <w:highlight w:val="none"/>
        </w:rPr>
        <w:t xml:space="preserve">第四章  采购需求</w:t>
      </w:r>
      <w:bookmarkEnd w:id="3"/>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服务</w:t>
      </w:r>
      <w:r>
        <w:rPr>
          <w:rFonts w:hint="eastAsia"/>
          <w:sz w:val="24"/>
          <w:szCs w:val="24"/>
          <w:highlight w:val="none"/>
        </w:rPr>
        <w:t xml:space="preserve">，采购标的对应的中小企业划分标准所属行业为：</w:t>
      </w:r>
      <w:r>
        <w:rPr>
          <w:rFonts w:hint="eastAsia"/>
          <w:sz w:val="24"/>
          <w:szCs w:val="24"/>
          <w:highlight w:val="none"/>
          <w:u w:val="single"/>
        </w:rPr>
        <w:t xml:space="preserve"> 软件和信息技术服务业</w:t>
      </w:r>
      <w:r>
        <w:rPr>
          <w:rFonts w:hint="eastAsia"/>
          <w:sz w:val="24"/>
          <w:szCs w:val="24"/>
          <w:highlight w:val="none"/>
          <w:u w:val="single"/>
        </w:rPr>
        <w:t xml:space="preserve">、</w:t>
      </w:r>
      <w:r>
        <w:rPr>
          <w:rFonts w:hint="eastAsia"/>
          <w:sz w:val="24"/>
          <w:szCs w:val="24"/>
          <w:highlight w:val="none"/>
          <w:u w:val="single"/>
        </w:rPr>
        <w:t xml:space="preserve">建筑业</w:t>
      </w:r>
      <w:r>
        <w:rPr>
          <w:rFonts w:hint="eastAsia"/>
          <w:sz w:val="24"/>
          <w:szCs w:val="24"/>
          <w:highlight w:val="none"/>
        </w:rPr>
        <w:t xml:space="preserve">。</w:t>
      </w:r>
      <w:r>
        <w:rPr>
          <w:highlight w:val="none"/>
        </w:rPr>
      </w:r>
      <w:r/>
    </w:p>
    <w:p>
      <w:pPr>
        <w:pStyle w:val="872"/>
        <w:ind w:firstLine="482"/>
        <w:jc w:val="both"/>
        <w:spacing w:line="500" w:lineRule="exact"/>
        <w:rPr>
          <w:rFonts w:hint="eastAsia" w:ascii="宋体" w:hAnsi="宋体" w:cs="宋体"/>
          <w:b/>
          <w:bCs/>
          <w:sz w:val="24"/>
          <w:szCs w:val="24"/>
          <w:highlight w:val="none"/>
        </w:rPr>
      </w:pPr>
      <w:r>
        <w:rPr>
          <w:rFonts w:hint="eastAsia" w:ascii="宋体" w:hAnsi="宋体" w:cs="宋体"/>
          <w:b/>
          <w:sz w:val="24"/>
          <w:szCs w:val="24"/>
          <w:highlight w:val="none"/>
        </w:rPr>
        <w:t xml:space="preserve">依据《关于印发中小企业划型标准规定的通知》（工信部联企业〔2011〕300号）行业划型标准如下：</w:t>
      </w:r>
      <w:r>
        <w:rPr>
          <w:rFonts w:hint="eastAsia" w:ascii="宋体" w:hAnsi="宋体"/>
          <w:sz w:val="24"/>
          <w:szCs w:val="24"/>
          <w:highlight w:val="none"/>
        </w:rPr>
      </w:r>
    </w:p>
    <w:p>
      <w:pPr>
        <w:ind w:firstLine="482"/>
        <w:jc w:val="both"/>
        <w:spacing w:line="500" w:lineRule="exact"/>
        <w:rPr>
          <w:rFonts w:hint="eastAsia" w:ascii="宋体" w:hAnsi="宋体"/>
          <w:b/>
          <w:bCs/>
          <w:sz w:val="24"/>
          <w:szCs w:val="24"/>
          <w:highlight w:val="none"/>
        </w:rPr>
      </w:pPr>
      <w:r>
        <w:rPr>
          <w:rFonts w:hint="eastAsia" w:ascii="宋体" w:hAnsi="宋体" w:cs="宋体"/>
          <w:b/>
          <w:sz w:val="24"/>
          <w:szCs w:val="24"/>
          <w:highlight w:val="none"/>
        </w:rPr>
      </w:r>
      <w:r>
        <w:rPr>
          <w:rFonts w:hint="eastAsia" w:ascii="宋体" w:hAnsi="宋体" w:cs="宋体"/>
          <w:b/>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建筑业仅针对配套环境改造部分）</w:t>
      </w:r>
      <w:r>
        <w:rPr>
          <w:rFonts w:hint="eastAsia" w:ascii="宋体" w:hAnsi="宋体"/>
          <w:b/>
          <w:bCs/>
          <w:sz w:val="24"/>
          <w:szCs w:val="24"/>
          <w:highlight w:val="none"/>
        </w:rPr>
      </w:r>
      <w:r>
        <w:rPr>
          <w:rFonts w:hint="eastAsia" w:ascii="宋体" w:hAnsi="宋体"/>
          <w:sz w:val="24"/>
          <w:szCs w:val="24"/>
          <w:highlight w:val="none"/>
        </w:rPr>
      </w:r>
    </w:p>
    <w:p>
      <w:pPr>
        <w:ind w:firstLine="482"/>
        <w:jc w:val="both"/>
        <w:spacing w:line="500" w:lineRule="exact"/>
        <w:rPr>
          <w:rFonts w:hint="eastAsia" w:ascii="宋体" w:hAnsi="宋体"/>
          <w:sz w:val="24"/>
          <w:szCs w:val="24"/>
          <w:highlight w:val="none"/>
        </w:rPr>
      </w:pPr>
      <w:r>
        <w:rPr>
          <w:rFonts w:hint="eastAsia" w:ascii="宋体" w:hAnsi="宋体"/>
          <w:b/>
          <w:bCs/>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
    </w:p>
    <w:p>
      <w:pPr>
        <w:pStyle w:val="872"/>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ff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705"/>
      </w:tblGrid>
      <w:tr>
        <w:trPr/>
        <w:tc>
          <w:tcPr>
            <w:gridSpan w:val="2"/>
            <w:tcW w:w="8522" w:type="dxa"/>
            <w:vAlign w:val="center"/>
            <w:textDirection w:val="lrTb"/>
            <w:noWrap w:val="false"/>
          </w:tcPr>
          <w:p>
            <w:pPr>
              <w:pStyle w:val="872"/>
              <w:jc w:val="center"/>
              <w:spacing w:line="360" w:lineRule="auto"/>
              <w:rPr>
                <w:rFonts w:ascii="黑体" w:hAnsi="黑体" w:eastAsia="黑体"/>
                <w:szCs w:val="21"/>
                <w:highlight w:val="none"/>
              </w:rPr>
            </w:pPr>
            <w:r>
              <w:rPr>
                <w:rFonts w:ascii="黑体" w:hAnsi="黑体" w:eastAsia="黑体"/>
                <w:szCs w:val="21"/>
                <w:highlight w:val="none"/>
              </w:rPr>
              <w:t xml:space="preserve">采购需求中须满足的实质性要求和条件</w:t>
            </w:r>
            <w:r>
              <w:rPr>
                <w:highlight w:val="none"/>
              </w:rPr>
            </w:r>
            <w:r/>
          </w:p>
        </w:tc>
      </w:tr>
      <w:tr>
        <w:trPr/>
        <w:tc>
          <w:tcPr>
            <w:tcW w:w="817" w:type="dxa"/>
            <w:vAlign w:val="top"/>
            <w:textDirection w:val="lrTb"/>
            <w:noWrap w:val="false"/>
          </w:tcPr>
          <w:p>
            <w:pPr>
              <w:pStyle w:val="872"/>
              <w:jc w:val="center"/>
              <w:spacing w:line="360" w:lineRule="auto"/>
              <w:rPr>
                <w:b/>
                <w:szCs w:val="21"/>
                <w:highlight w:val="none"/>
              </w:rPr>
            </w:pPr>
            <w:r>
              <w:rPr>
                <w:b/>
                <w:szCs w:val="21"/>
                <w:highlight w:val="none"/>
              </w:rPr>
              <w:t xml:space="preserve">序号</w:t>
            </w:r>
            <w:r>
              <w:rPr>
                <w:highlight w:val="none"/>
              </w:rPr>
            </w:r>
            <w:r/>
          </w:p>
        </w:tc>
        <w:tc>
          <w:tcPr>
            <w:tcW w:w="7705" w:type="dxa"/>
            <w:vAlign w:val="top"/>
            <w:textDirection w:val="lrTb"/>
            <w:noWrap w:val="false"/>
          </w:tcPr>
          <w:p>
            <w:pPr>
              <w:pStyle w:val="872"/>
              <w:jc w:val="center"/>
              <w:spacing w:line="360" w:lineRule="auto"/>
              <w:rPr>
                <w:b/>
                <w:szCs w:val="21"/>
                <w:highlight w:val="none"/>
              </w:rPr>
            </w:pPr>
            <w:r>
              <w:rPr>
                <w:b/>
                <w:szCs w:val="21"/>
                <w:highlight w:val="none"/>
              </w:rPr>
              <w:t xml:space="preserve">实质性要求和条件</w:t>
            </w:r>
            <w:r>
              <w:rPr>
                <w:highlight w:val="none"/>
              </w:rPr>
            </w:r>
            <w:r/>
          </w:p>
        </w:tc>
      </w:tr>
      <w:tr>
        <w:trPr/>
        <w:tc>
          <w:tcPr>
            <w:tcW w:w="817" w:type="dxa"/>
            <w:vAlign w:val="center"/>
            <w:textDirection w:val="lrTb"/>
            <w:noWrap w:val="false"/>
          </w:tcPr>
          <w:p>
            <w:pPr>
              <w:pStyle w:val="872"/>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highlight w:val="none"/>
              </w:rPr>
            </w:r>
            <w:r/>
          </w:p>
        </w:tc>
        <w:tc>
          <w:tcPr>
            <w:tcW w:w="7705" w:type="dxa"/>
            <w:vAlign w:val="top"/>
            <w:textDirection w:val="lrTb"/>
            <w:noWrap w:val="false"/>
          </w:tcPr>
          <w:p>
            <w:pPr>
              <w:pStyle w:val="872"/>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投标人根据招标文件的规定和采购项目的实际情况，拟在中标后将中标项目的非主体、非关键性工作分包的（本项目经采购人要求，配套环境改造部分接受分包），应当在投标文件中载明分包承担主体，分包承担主体应当具备相应资质条件且不得再次分包。享受扶持政策获得政府采购合同的，小微型企业不得将合同分包给大中型企业，中型企业不得将合同分包给大型企业。</w:t>
            </w:r>
            <w:r>
              <w:rPr>
                <w:highlight w:val="none"/>
              </w:rPr>
            </w:r>
            <w:r/>
          </w:p>
          <w:p>
            <w:pPr>
              <w:pStyle w:val="872"/>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分包承担主体应当具备以下资质：</w:t>
            </w:r>
            <w:r>
              <w:rPr>
                <w:highlight w:val="none"/>
              </w:rPr>
            </w:r>
            <w:r/>
          </w:p>
          <w:p>
            <w:pPr>
              <w:pStyle w:val="872"/>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1）分包承担主体具有独立订立合同的能力。</w:t>
            </w:r>
            <w:r>
              <w:rPr>
                <w:highlight w:val="none"/>
              </w:rPr>
            </w:r>
            <w:r/>
          </w:p>
          <w:p>
            <w:pPr>
              <w:pStyle w:val="872"/>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2）分包承担主体须具有建设行政主管部门颁发的有效的建筑装修装饰工程专业承包贰级及以上资质，并取得有效的企业安全生产许可证。</w:t>
            </w:r>
            <w:r>
              <w:rPr>
                <w:highlight w:val="none"/>
              </w:rPr>
            </w:r>
            <w:r/>
          </w:p>
          <w:p>
            <w:pPr>
              <w:pStyle w:val="872"/>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3）分包承担主体拟派项目负责人须具有有效的建筑工程专业二级及以上注册建造师，并具有省级（或以上）建设行政主管部门核发的《建筑施工企业项目负责人安全生产考核合格证书》（B证）（有效的）（项目负责人需要提供近一个月由分包承担主体为其缴纳的社保证明，并加盖分包承担主体公章）</w:t>
            </w:r>
            <w:r>
              <w:rPr>
                <w:highlight w:val="none"/>
              </w:rPr>
            </w:r>
            <w:r/>
          </w:p>
          <w:p>
            <w:pPr>
              <w:pStyle w:val="872"/>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投标文件中需提供：</w:t>
            </w:r>
            <w:r>
              <w:rPr>
                <w:highlight w:val="none"/>
              </w:rPr>
            </w:r>
            <w:r/>
          </w:p>
          <w:p>
            <w:pPr>
              <w:pStyle w:val="872"/>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w:t>
            </w:r>
            <w:r>
              <w:rPr>
                <w:rFonts w:hint="eastAsia" w:ascii="宋体" w:hAnsi="宋体" w:cs="宋体"/>
                <w:b/>
                <w:bCs/>
                <w:i/>
                <w:iCs/>
                <w:szCs w:val="21"/>
                <w:highlight w:val="none"/>
                <w:u w:val="single"/>
                <w:lang w:eastAsia="en-US"/>
              </w:rPr>
              <w:t xml:space="preserve">上述</w:t>
            </w:r>
            <w:r>
              <w:rPr>
                <w:rFonts w:hint="eastAsia" w:ascii="宋体" w:hAnsi="宋体" w:cs="宋体"/>
                <w:b/>
                <w:bCs/>
                <w:i/>
                <w:iCs/>
                <w:szCs w:val="21"/>
                <w:highlight w:val="none"/>
                <w:u w:val="single"/>
              </w:rPr>
              <w:t xml:space="preserve">2</w:t>
            </w:r>
            <w:r>
              <w:rPr>
                <w:rFonts w:hint="eastAsia" w:ascii="宋体" w:hAnsi="宋体" w:cs="宋体"/>
                <w:b/>
                <w:bCs/>
                <w:i/>
                <w:iCs/>
                <w:szCs w:val="21"/>
                <w:highlight w:val="none"/>
                <w:u w:val="single"/>
                <w:lang w:eastAsia="en-US"/>
              </w:rPr>
              <w:t xml:space="preserve">）-3）项材料的扫描件并加盖投标人</w:t>
            </w:r>
            <w:r>
              <w:rPr>
                <w:rFonts w:hint="eastAsia" w:ascii="宋体" w:hAnsi="宋体" w:cs="宋体"/>
                <w:b/>
                <w:bCs/>
                <w:i/>
                <w:iCs/>
                <w:szCs w:val="21"/>
                <w:highlight w:val="none"/>
                <w:u w:val="single"/>
              </w:rPr>
              <w:t xml:space="preserve">及分包承担主体</w:t>
            </w:r>
            <w:r>
              <w:rPr>
                <w:rFonts w:hint="eastAsia" w:ascii="宋体" w:hAnsi="宋体" w:cs="宋体"/>
                <w:b/>
                <w:bCs/>
                <w:i/>
                <w:iCs/>
                <w:szCs w:val="21"/>
                <w:highlight w:val="none"/>
                <w:u w:val="single"/>
                <w:lang w:eastAsia="en-US"/>
              </w:rPr>
              <w:t xml:space="preserve">公章；</w:t>
            </w:r>
            <w:r>
              <w:rPr>
                <w:highlight w:val="none"/>
              </w:rPr>
            </w:r>
            <w:r/>
          </w:p>
          <w:p>
            <w:pPr>
              <w:pStyle w:val="872"/>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2、《中小企业声明函》并加盖分包承担主体公章（</w:t>
            </w:r>
            <w:r>
              <w:rPr>
                <w:rFonts w:hint="eastAsia" w:ascii="宋体" w:hAnsi="宋体" w:cs="宋体"/>
                <w:b/>
                <w:bCs/>
                <w:i/>
                <w:iCs/>
                <w:szCs w:val="21"/>
                <w:highlight w:val="none"/>
                <w:u w:val="single"/>
              </w:rPr>
            </w:r>
            <w:r>
              <w:rPr>
                <w:rFonts w:hint="eastAsia" w:ascii="宋体" w:hAnsi="宋体" w:cs="宋体"/>
                <w:b/>
                <w:bCs/>
                <w:i/>
                <w:iCs/>
                <w:szCs w:val="21"/>
                <w:highlight w:val="none"/>
                <w:u w:val="single"/>
              </w:rPr>
              <w:t xml:space="preserve">参考格式详见第六章 投标文件格式）；</w:t>
            </w:r>
            <w:r>
              <w:rPr>
                <w:highlight w:val="none"/>
              </w:rPr>
            </w:r>
            <w:r/>
          </w:p>
          <w:p>
            <w:pPr>
              <w:pStyle w:val="872"/>
              <w:spacing w:line="360" w:lineRule="auto"/>
              <w:rPr>
                <w:rFonts w:hint="eastAsia" w:ascii="宋体" w:hAnsi="宋体" w:cs="宋体"/>
                <w:i/>
                <w:iCs/>
                <w:szCs w:val="21"/>
                <w:highlight w:val="none"/>
                <w:u w:val="single"/>
              </w:rPr>
            </w:pPr>
            <w:r>
              <w:rPr>
                <w:rFonts w:hint="eastAsia" w:ascii="宋体" w:hAnsi="宋体" w:cs="宋体"/>
                <w:b/>
                <w:bCs/>
                <w:i/>
                <w:iCs/>
                <w:szCs w:val="21"/>
                <w:highlight w:val="none"/>
                <w:u w:val="single"/>
              </w:rPr>
              <w:t xml:space="preserve">3、《分包承诺函》并加盖投标人公章（参考格式详见第六章 投标文件格式）。</w:t>
            </w:r>
            <w:r>
              <w:rPr>
                <w:highlight w:val="none"/>
              </w:rPr>
            </w:r>
            <w:r/>
          </w:p>
          <w:p>
            <w:pPr>
              <w:pStyle w:val="872"/>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若投标人本身具有相应资质可不分包，只需提供上述第1项材料，并加盖投标人公章。不提供，或者提供材料不符合要求的，视为无效投标。</w:t>
            </w:r>
            <w:r>
              <w:rPr>
                <w:highlight w:val="none"/>
              </w:rPr>
            </w:r>
            <w:r/>
          </w:p>
        </w:tc>
      </w:tr>
      <w:tr>
        <w:trPr/>
        <w:tc>
          <w:tcPr>
            <w:tcW w:w="817" w:type="dxa"/>
            <w:vAlign w:val="center"/>
            <w:textDirection w:val="lrTb"/>
            <w:noWrap w:val="false"/>
          </w:tcPr>
          <w:p>
            <w:pPr>
              <w:pStyle w:val="872"/>
              <w:jc w:val="center"/>
              <w:spacing w:line="360" w:lineRule="auto"/>
              <w:rPr>
                <w:rFonts w:hint="eastAsia"/>
                <w:szCs w:val="21"/>
                <w:highlight w:val="none"/>
              </w:rPr>
            </w:pPr>
            <w:r>
              <w:rPr>
                <w:rFonts w:hint="eastAsia" w:ascii="宋体" w:hAnsi="宋体" w:cs="宋体"/>
                <w:szCs w:val="21"/>
                <w:highlight w:val="none"/>
              </w:rPr>
              <w:t xml:space="preserve">2</w:t>
            </w:r>
            <w:r>
              <w:rPr>
                <w:highlight w:val="none"/>
              </w:rPr>
            </w:r>
            <w:r/>
          </w:p>
        </w:tc>
        <w:tc>
          <w:tcPr>
            <w:tcW w:w="7705" w:type="dxa"/>
            <w:vAlign w:val="top"/>
            <w:textDirection w:val="lrTb"/>
            <w:noWrap w:val="false"/>
          </w:tcPr>
          <w:p>
            <w:pPr>
              <w:pStyle w:val="872"/>
              <w:spacing w:line="360" w:lineRule="auto"/>
              <w:rPr>
                <w:szCs w:val="21"/>
                <w:highlight w:val="none"/>
              </w:rPr>
            </w:pPr>
            <w:r>
              <w:rPr>
                <w:rFonts w:hint="eastAsia" w:ascii="宋体" w:hAnsi="宋体" w:cs="宋体"/>
                <w:b/>
                <w:bCs/>
                <w:i/>
                <w:iCs/>
                <w:szCs w:val="21"/>
                <w:highlight w:val="none"/>
                <w:u w:val="single"/>
              </w:rPr>
              <w:t xml:space="preserve">无纸化主机5.模拟座位调整功能 支持按照会议室自主导入会议室布局图，会前可根据会议室布局拖放座位，每个座位支持360°调整座位方向，摆放座位时可自动显示横向、纵向辅助对齐线（提供国家认可的第三方检测机构出具的检测报告）</w:t>
            </w:r>
            <w:r>
              <w:rPr>
                <w:highlight w:val="none"/>
              </w:rPr>
            </w:r>
            <w:r/>
          </w:p>
        </w:tc>
      </w:tr>
      <w:tr>
        <w:trPr/>
        <w:tc>
          <w:tcPr>
            <w:tcW w:w="817" w:type="dxa"/>
            <w:vAlign w:val="center"/>
            <w:textDirection w:val="lrTb"/>
            <w:noWrap w:val="false"/>
          </w:tcPr>
          <w:p>
            <w:pPr>
              <w:pStyle w:val="872"/>
              <w:jc w:val="center"/>
              <w:spacing w:line="360" w:lineRule="auto"/>
              <w:rPr>
                <w:rFonts w:hint="eastAsia"/>
                <w:szCs w:val="21"/>
                <w:highlight w:val="none"/>
              </w:rPr>
            </w:pPr>
            <w:r>
              <w:rPr>
                <w:rFonts w:hint="eastAsia" w:ascii="宋体" w:hAnsi="宋体" w:cs="宋体"/>
                <w:szCs w:val="21"/>
                <w:highlight w:val="none"/>
              </w:rPr>
              <w:t xml:space="preserve">3</w:t>
            </w:r>
            <w:r>
              <w:rPr>
                <w:highlight w:val="none"/>
              </w:rPr>
            </w:r>
            <w:r/>
          </w:p>
        </w:tc>
        <w:tc>
          <w:tcPr>
            <w:tcW w:w="7705" w:type="dxa"/>
            <w:vAlign w:val="top"/>
            <w:textDirection w:val="lrTb"/>
            <w:noWrap w:val="false"/>
          </w:tcPr>
          <w:p>
            <w:pPr>
              <w:pStyle w:val="872"/>
              <w:jc w:val="left"/>
              <w:spacing w:line="360" w:lineRule="auto"/>
              <w:rPr>
                <w:szCs w:val="21"/>
                <w:highlight w:val="none"/>
              </w:rPr>
            </w:pPr>
            <w:r>
              <w:rPr>
                <w:rFonts w:hint="eastAsia" w:ascii="宋体" w:hAnsi="宋体" w:cs="宋体"/>
                <w:b/>
                <w:bCs/>
                <w:i/>
                <w:iCs/>
                <w:szCs w:val="21"/>
                <w:highlight w:val="none"/>
                <w:u w:val="single"/>
              </w:rPr>
              <w:t xml:space="preserve">无纸化会议终端 8.升降速度调节功能 支持通过软件调节屏幕的升降速度提供国家认可的第三方检测机构出具的检测报告）</w:t>
            </w:r>
            <w:r>
              <w:rPr>
                <w:highlight w:val="none"/>
              </w:rPr>
            </w:r>
            <w:r/>
          </w:p>
        </w:tc>
      </w:tr>
      <w:tr>
        <w:trPr/>
        <w:tc>
          <w:tcPr>
            <w:tcW w:w="817" w:type="dxa"/>
            <w:vAlign w:val="center"/>
            <w:textDirection w:val="lrTb"/>
            <w:noWrap w:val="false"/>
          </w:tcPr>
          <w:p>
            <w:pPr>
              <w:pStyle w:val="872"/>
              <w:jc w:val="center"/>
              <w:spacing w:line="360" w:lineRule="auto"/>
              <w:rPr>
                <w:rFonts w:hint="eastAsia"/>
                <w:szCs w:val="21"/>
                <w:highlight w:val="none"/>
              </w:rPr>
            </w:pPr>
            <w:r>
              <w:rPr>
                <w:rFonts w:hint="eastAsia" w:ascii="宋体" w:hAnsi="宋体" w:cs="宋体"/>
                <w:szCs w:val="21"/>
                <w:highlight w:val="none"/>
              </w:rPr>
              <w:t xml:space="preserve">4</w:t>
            </w:r>
            <w:r>
              <w:rPr>
                <w:highlight w:val="none"/>
              </w:rPr>
            </w:r>
            <w:r/>
          </w:p>
        </w:tc>
        <w:tc>
          <w:tcPr>
            <w:tcW w:w="7705" w:type="dxa"/>
            <w:vAlign w:val="top"/>
            <w:textDirection w:val="lrTb"/>
            <w:noWrap w:val="false"/>
          </w:tcPr>
          <w:p>
            <w:pPr>
              <w:pStyle w:val="872"/>
              <w:jc w:val="left"/>
              <w:spacing w:line="360" w:lineRule="auto"/>
              <w:rPr>
                <w:szCs w:val="21"/>
                <w:highlight w:val="none"/>
              </w:rPr>
            </w:pPr>
            <w:r>
              <w:rPr>
                <w:rFonts w:hint="eastAsia" w:ascii="宋体" w:hAnsi="宋体" w:cs="宋体"/>
                <w:b/>
                <w:bCs/>
                <w:i/>
                <w:iCs/>
                <w:szCs w:val="21"/>
                <w:highlight w:val="none"/>
                <w:u w:val="single"/>
              </w:rPr>
              <w:t xml:space="preserve">无纸化会议终端14.动态显示任务进度 支持以进度条的方式查看会议议题的进展情况，支持动态显示当前会议需要完成的任务进度参会人可以查看自身签到、投票、评分、公告确认等任务是否执行（提供国家认可的第三方检测机构出具的检测报告）</w:t>
            </w:r>
            <w:r>
              <w:rPr>
                <w:highlight w:val="none"/>
              </w:rPr>
            </w:r>
            <w:r/>
          </w:p>
        </w:tc>
      </w:tr>
      <w:tr>
        <w:trPr/>
        <w:tc>
          <w:tcPr>
            <w:tcW w:w="817" w:type="dxa"/>
            <w:vAlign w:val="center"/>
            <w:textDirection w:val="lrTb"/>
            <w:noWrap w:val="false"/>
          </w:tcPr>
          <w:p>
            <w:pPr>
              <w:pStyle w:val="872"/>
              <w:jc w:val="center"/>
              <w:spacing w:line="360" w:lineRule="auto"/>
              <w:rPr>
                <w:rFonts w:hint="eastAsia"/>
                <w:szCs w:val="21"/>
                <w:highlight w:val="none"/>
              </w:rPr>
            </w:pPr>
            <w:r>
              <w:rPr>
                <w:rFonts w:hint="eastAsia" w:ascii="宋体" w:hAnsi="宋体" w:cs="宋体"/>
                <w:szCs w:val="21"/>
                <w:highlight w:val="none"/>
              </w:rPr>
              <w:t xml:space="preserve">5</w:t>
            </w:r>
            <w:r>
              <w:rPr>
                <w:highlight w:val="none"/>
              </w:rPr>
            </w:r>
            <w:r/>
          </w:p>
        </w:tc>
        <w:tc>
          <w:tcPr>
            <w:tcW w:w="7705" w:type="dxa"/>
            <w:vAlign w:val="top"/>
            <w:textDirection w:val="lrTb"/>
            <w:noWrap w:val="false"/>
          </w:tcPr>
          <w:p>
            <w:pPr>
              <w:pStyle w:val="872"/>
              <w:spacing w:line="360" w:lineRule="auto"/>
              <w:widowControl/>
              <w:rPr>
                <w:szCs w:val="21"/>
                <w:highlight w:val="none"/>
              </w:rPr>
            </w:pPr>
            <w:r>
              <w:rPr>
                <w:rFonts w:hint="eastAsia" w:ascii="宋体" w:hAnsi="宋体" w:cs="宋体"/>
                <w:b/>
                <w:bCs/>
                <w:i/>
                <w:iCs/>
                <w:szCs w:val="21"/>
                <w:highlight w:val="none"/>
                <w:u w:val="single"/>
              </w:rPr>
              <w:t xml:space="preserve">无纸化大屏控制器7.投影模式 支持遵循先入先出的投影显示模式</w:t>
            </w:r>
            <w:r>
              <w:rPr>
                <w:rFonts w:hint="eastAsia" w:ascii="宋体" w:hAnsi="宋体" w:cs="宋体"/>
                <w:b/>
                <w:bCs/>
                <w:i/>
                <w:iCs/>
                <w:szCs w:val="21"/>
                <w:highlight w:val="none"/>
                <w:u w:val="single"/>
              </w:rPr>
              <w:t xml:space="preserve">（</w:t>
            </w:r>
            <w:r>
              <w:rPr>
                <w:rFonts w:hint="eastAsia" w:ascii="宋体" w:hAnsi="宋体" w:cs="宋体"/>
                <w:b/>
                <w:bCs/>
                <w:i/>
                <w:iCs/>
                <w:szCs w:val="21"/>
                <w:highlight w:val="none"/>
                <w:u w:val="single"/>
              </w:rPr>
              <w:t xml:space="preserve">提供国家认可的第三方检测机构出具的检测报告</w:t>
            </w:r>
            <w:r>
              <w:rPr>
                <w:rFonts w:hint="eastAsia" w:ascii="宋体" w:hAnsi="宋体" w:cs="宋体"/>
                <w:b/>
                <w:bCs/>
                <w:i/>
                <w:iCs/>
                <w:szCs w:val="21"/>
                <w:highlight w:val="none"/>
                <w:u w:val="single"/>
              </w:rPr>
              <w:t xml:space="preserve">）</w:t>
            </w:r>
            <w:r>
              <w:rPr>
                <w:highlight w:val="none"/>
              </w:rPr>
            </w:r>
            <w:r/>
          </w:p>
        </w:tc>
      </w:tr>
      <w:tr>
        <w:trPr/>
        <w:tc>
          <w:tcPr>
            <w:tcW w:w="817" w:type="dxa"/>
            <w:vAlign w:val="center"/>
            <w:textDirection w:val="lrTb"/>
            <w:noWrap w:val="false"/>
          </w:tcPr>
          <w:p>
            <w:pPr>
              <w:pStyle w:val="872"/>
              <w:jc w:val="center"/>
              <w:spacing w:line="360" w:lineRule="auto"/>
              <w:rPr>
                <w:rFonts w:hint="eastAsia" w:ascii="宋体" w:hAnsi="宋体" w:cs="宋体"/>
                <w:szCs w:val="21"/>
                <w:highlight w:val="none"/>
              </w:rPr>
            </w:pPr>
            <w:r>
              <w:rPr>
                <w:rFonts w:hint="eastAsia" w:ascii="宋体" w:hAnsi="宋体" w:cs="宋体"/>
                <w:szCs w:val="21"/>
                <w:highlight w:val="none"/>
              </w:rPr>
              <w:t xml:space="preserve">6</w:t>
            </w:r>
            <w:r>
              <w:rPr>
                <w:highlight w:val="none"/>
              </w:rPr>
            </w:r>
            <w:r/>
          </w:p>
        </w:tc>
        <w:tc>
          <w:tcPr>
            <w:tcW w:w="7705" w:type="dxa"/>
            <w:vAlign w:val="center"/>
            <w:textDirection w:val="lrTb"/>
            <w:noWrap w:val="false"/>
          </w:tcPr>
          <w:p>
            <w:pPr>
              <w:pStyle w:val="872"/>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操作控制终端：</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1.CPU：主频≥2GHz缓存容量≥18MB，核心数≥8核/12线程</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2.内存配置容量≥8GB</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3.内存类型支持 DDR4/LPDDR4/LPDDR4X 及以上内存类型</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4.内存条配置数量 （板载内存不涉及）≥1</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5.主板集成模块：集成资源扩展模块、计算处理模块、音频扩展模块等，主板的互联拓扑可通过处理器或交换电路实现</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6.主板支持的CPU和内存情况：配置2根内存插槽，最大支持单根32G满插64G内存容量，</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7.单内存插槽最大可支持容量（板载内存不涉及）：≥8GB</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8.内存插槽满配时提供的最高内存总容量：≥16GB</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9.固态盘数量：≥1 个</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10.固态存储容量：≥240GB</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11.存储设备扩展盘位≥0</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12.存储设备其他参与要求：a）固态盘应符合 SJ/T 11654 相关 规定; b）机械硬盘准备时间应不大于 30s；侧面固定螺丝孔数量可为 4 孔或 6 孔；工作状态环境温度应满 足 5℃~55℃，其它参数应符合 GB/T 12628 的相关规定</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13.显卡类型：独立显卡或集成显卡</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14.显示屏屏占比：≥80%</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15.显示屏分 辨率：≥1920x1080</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16.显示屏尺寸：≥23 英寸</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17.显示屏屏 幕比例：16:9/3:2/21:9/16:10 等</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18.显示器边 框颜色：黑色/白色/银色等商务色系</w:t>
            </w:r>
            <w:r>
              <w:rPr>
                <w:highlight w:val="none"/>
              </w:rPr>
            </w:r>
            <w:r/>
          </w:p>
          <w:p>
            <w:pPr>
              <w:pStyle w:val="872"/>
              <w:jc w:val="left"/>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19.显示屏防 蓝光：支持防蓝光模式，蓝光加权辐射亮度比应≤0.0012W/(·cd·sr)（瓦每坎特拉每球面度）</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20.显示屏低频闪：显示屏应支持低频闪≤-35dB</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21.显示屏防眩目：显示器镜面反射率≤10%</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22.传声器数量≥1 个</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23.扬声器数量≥1 个</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24.鼠标数量≥1 个</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25.键盘数量：≥1个；</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26.摄像头数量：1个；</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27.键盘按键数目：61键/86键/101键/104键等；</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28.摄像头像素：≥100万</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29.摄像头分辨率：≥1280x720</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30.扬声器功率：≥1瓦/个</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31.扬声器频率范围：100Hz-20kHz，其中 100Hz-200Hz：35dB 及以上；200Hz-12kHz：55dB 及以上，12kHz-18kHz：35dB 及以上</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32.键盘键程：2.3mm~4.0mm；</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33.键盘按键压力：按键压力应在0.54N±0.14N；</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34.键盘颜色：黑色/白色/银色等商务色系；</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35.鼠标连接方式：有线或无线</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36.有线键盘连接线：≥1.5米；</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37.键盘其他要求：键盘外观结构、连接方式、主要功能、安全、电磁兼容性、可靠性应符合GB/T14081的相关规定</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38.鼠标连接方式：有线或无线</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39.有线鼠标连接线≥1.5 米</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40.鼠标DPI分辨率：800~1600</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41.鼠标其他要求：其它参数应符合GB/T26245的相关规定；</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42.有线网卡数量：≥1（可通过扩展坞支持）；</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43.USB接口数量：≥8，机箱前板至少包括2个USB3.0及以上接口</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44.视频接口数量：≥1；</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45.音频接口数量：≥1；</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46.整机外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47.整机结构：a)机箱应符合GB/T4208、GB/T26246的相关规定；b)产品内部结构应符合通用部件的安装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w:t>
            </w:r>
            <w:r>
              <w:rPr>
                <w:rFonts w:hint="eastAsia" w:ascii="宋体" w:hAnsi="宋体" w:cs="宋体"/>
                <w:b/>
                <w:bCs/>
                <w:i/>
                <w:iCs/>
                <w:szCs w:val="21"/>
                <w:highlight w:val="none"/>
                <w:u w:val="single"/>
                <w:lang w:bidi="ar"/>
              </w:rPr>
              <w:t xml:space="preserve">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48.机箱防护要求：机箱应符合GB/T4208中IP20防护要求；</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49.整机噪音：产品工作在空闲状态下，产品的声功率级应不超过4.5Bel；</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50.整机散热：在环境温度25℃及处理器满载情况下，产品表面温度应符合下列要求：</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a)出风口在机箱后面板情况下，出风口温度不高于55℃;b)可触及面温度小于45℃;c)显示器表面温度：显示屏温度不高于38℃,显示屏上下灯带位置温度（如涉及）不高于40℃,出风口温度不高于45℃；</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51.整机能效限定值：产品能效限定值应达到GB28380-2012标准中能效等级2级及以上</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52.机身颜色：一般选用灰色/黑色等商务色系；</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53.机箱尺寸容量：机箱体积应不大于40L；</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54.CPU物理核数：核数或线程数≥4</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55.CPU主频：≥1.5GHz</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56.CPU末级缓存容量：≥2MB</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57.CPU支持的内存最高速率：≥2666MT/s；</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58.内存读写速率：≥2666MT/s；</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59.显示分辨率：≥1920x1080；</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60.显卡显示芯片核心频率：≥300MHz；</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61.显存等效频率：≥1000MT/s显卡可支持多屏同时显示数量：支持2块屏幕同时显示，分辨率应不低于1920×1080；</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62.显示屏刷新率：≥60Hz；</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63.显示屏位深：≥8位；</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64.显示屏色域：≥99%sRGB；</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65.显示屏色准：△E≤4；</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66.显示屏响应时间：≤22ms；</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67.显示屏亮度：≥250尼特；</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68.显示屏亮度一致性：≥70%</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69.显示屏对比度：≥1000：1；</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70.显示屏其他参数：其它参数应符合SJ/T11292的相关规定；</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71.有线网卡速率：最高速率应不低于1000Mbps，应支持10Mbps、100Mbps、1000Mbps速率自适应；</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72.电源适配器电源效率在 20%/50%/100%负载下效率均应不低于 87%</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73.内存扩展接口(板载内存不涉及)：≥0；</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74.主板USB瞬间过流保护：支持瞬间过流保护功能；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75.主板防静电保护：支持防静电保护功能；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76.I/O接口功能：提供基于标准USB接口外设连接功能、基于音频输入输出接口的音频扩展功能、基于PCIe接口板卡扩展功能、基于HDMI/VGA/Type-C/DVI/DP等接口外接显示器扩展功能、基于存储接口对产品进行增容功能等。工作站I/O接口应具备外接标准USB设备、显示器、音频设备等内外部设备能力；</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77.显卡外接显示接口：显卡至少支持VGA、HDMI、DVI、DP、Type-C中1种显示接口，并与显示器接口相匹配；</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78.显示器支架：提供显示器支架</w:t>
            </w:r>
            <w:r>
              <w:rPr>
                <w:highlight w:val="none"/>
              </w:rPr>
            </w:r>
            <w:r/>
          </w:p>
          <w:p>
            <w:pPr>
              <w:pStyle w:val="872"/>
              <w:jc w:val="left"/>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79.存储功能：支持信息存储功能，包括支持易失性存储功能和非易失性存储功能。 为提升存储性能和降低存储功耗，非易失性存储宜支持固态存储设备，如 SSD/UFS。 产品应支持外部接口可以与独立的存储设备进行数据交互</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80.网络功能：a)支持网络连接、网络开启/关闭功能；b)支持访问网络和数据交换功能；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81.无线网卡频段：支持双频段</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82.数据传输：支持数据传输能力，并提供数据流量和异常日志记录功能;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83.有线网卡接口类型:支持RJ45接口;</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84.网络设备拆装：若配备的网络设备应支持物理拆装，包括无线网卡和蓝牙模块等；</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85.音频接口类型：不少于 1 个，宜支持 3.5mm 孔径的 3 段式或 4 段式接口。若支持 4 段 式接口，宜支持线序的自动识别及 切换功能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86.视频接口类型：至少支持VGA、HDMI、DVI、DP、Type-C中1种显示接口；</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87.HDMI、DP、Type-C显示接口要求：若提供HDMI或DP或Type-C作为显示接口，应支持音频和视频同步输出；</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88.电源线适配能力：电源适配器电线组件应符合GB/T15934的要求，可拆线的插头和连接器可以不做要求；</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89.中文信息处理要求：符合GB18030的相关规定；</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90.操作系统备份及还原功能：支持操作系统备份及还原功能；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91.固件备份还原能力：支持备份及还原固件的功能；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92.操作系统及驱动升级：支持通过网络、闪存盘等方式对操作系统、驱动进行升级；</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93.BIOS支持关闭通讯接口：支持BIOS关闭以太网及USB接口功能；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94.固件查看信息：支持查看固件版本、内存信息、主板信息、处理器信息和系统时间信息等功能；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95.固件设置启动顺序：支持设置启动顺序功能，并按照设置的启动顺序启动；</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96.固件设置口令：支持设置口令、修改口令、验证口令功能；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97.固件设置网络引导：支持网络引导启动和关闭功能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98.固态存储寿命：TBW≥80TB（条件：240GB硬盘容量）；</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99.机械硬盘寿命：通电时间≥5万小时；</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100.显示屏屏幕失效点：符合GB/T9813.2的要求；</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101.键盘按键寿命：≥1000万次；</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102.鼠标按键寿命：≥500万次；</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103.键盘鼠标线材寿命：键盘鼠标所用线材经±60°弯折不低于3000次，功能、外观完好；</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104.风扇寿命：≥4万小时；</w:t>
            </w:r>
            <w:r>
              <w:rPr>
                <w:highlight w:val="none"/>
              </w:rPr>
            </w:r>
            <w:r/>
          </w:p>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105.电磁兼容性要求的抗扰度：符合GB/T9254.2的</w:t>
            </w:r>
            <w:r>
              <w:rPr>
                <w:highlight w:val="none"/>
              </w:rPr>
            </w:r>
            <w:r/>
          </w:p>
        </w:tc>
      </w:tr>
      <w:tr>
        <w:trPr/>
        <w:tc>
          <w:tcPr>
            <w:tcW w:w="817" w:type="dxa"/>
            <w:vAlign w:val="center"/>
            <w:textDirection w:val="lrTb"/>
            <w:noWrap w:val="false"/>
          </w:tcPr>
          <w:p>
            <w:pPr>
              <w:pStyle w:val="872"/>
              <w:jc w:val="center"/>
              <w:spacing w:line="360" w:lineRule="auto"/>
              <w:rPr>
                <w:rFonts w:hint="eastAsia" w:ascii="宋体" w:hAnsi="宋体" w:cs="宋体"/>
                <w:szCs w:val="21"/>
                <w:highlight w:val="none"/>
              </w:rPr>
            </w:pPr>
            <w:r>
              <w:rPr>
                <w:rFonts w:hint="eastAsia" w:ascii="宋体" w:hAnsi="宋体" w:cs="宋体"/>
                <w:szCs w:val="21"/>
                <w:highlight w:val="none"/>
              </w:rPr>
              <w:t xml:space="preserve">7</w:t>
            </w:r>
            <w:r>
              <w:rPr>
                <w:highlight w:val="none"/>
              </w:rPr>
            </w:r>
            <w:r/>
          </w:p>
        </w:tc>
        <w:tc>
          <w:tcPr>
            <w:tcW w:w="7705" w:type="dxa"/>
            <w:vAlign w:val="center"/>
            <w:textDirection w:val="lrTb"/>
            <w:noWrap w:val="false"/>
          </w:tcPr>
          <w:p>
            <w:pPr>
              <w:pStyle w:val="872"/>
              <w:spacing w:line="360" w:lineRule="auto"/>
              <w:rPr>
                <w:rFonts w:hint="eastAsia" w:ascii="宋体" w:hAnsi="宋体" w:cs="宋体"/>
                <w:b/>
                <w:bCs/>
                <w:i/>
                <w:iCs/>
                <w:spacing w:val="-3"/>
                <w:szCs w:val="21"/>
                <w:highlight w:val="none"/>
              </w:rPr>
            </w:pPr>
            <w:r>
              <w:rPr>
                <w:rFonts w:hint="eastAsia" w:ascii="宋体" w:hAnsi="宋体" w:cs="宋体"/>
                <w:szCs w:val="21"/>
                <w:highlight w:val="none"/>
                <w:lang w:bidi="ar"/>
              </w:rPr>
              <w:t xml:space="preserve">大屏图像工作站：</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w:t>
            </w:r>
            <w:r>
              <w:rPr>
                <w:rFonts w:hint="eastAsia" w:ascii="宋体" w:hAnsi="宋体" w:cs="宋体"/>
                <w:b/>
                <w:bCs/>
                <w:i/>
                <w:iCs/>
                <w:spacing w:val="-3"/>
                <w:szCs w:val="21"/>
                <w:highlight w:val="none"/>
                <w:u w:val="single"/>
              </w:rPr>
              <w:t xml:space="preserve">CPU：2颗处理器每颗处理器主频≥3.0GHz缓存容量≥16MB、核心数≥8核/16线程、支持35度环境95W散热设计。</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w:t>
            </w:r>
            <w:r>
              <w:rPr>
                <w:rFonts w:hint="eastAsia" w:ascii="宋体" w:hAnsi="宋体" w:cs="宋体"/>
                <w:b/>
                <w:bCs/>
                <w:i/>
                <w:iCs/>
                <w:spacing w:val="-2"/>
                <w:szCs w:val="21"/>
                <w:highlight w:val="none"/>
                <w:u w:val="single"/>
              </w:rPr>
              <w:t xml:space="preserve">内存配</w:t>
            </w:r>
            <w:r>
              <w:rPr>
                <w:rFonts w:hint="eastAsia" w:ascii="宋体" w:hAnsi="宋体" w:cs="宋体"/>
                <w:b/>
                <w:bCs/>
                <w:i/>
                <w:iCs/>
                <w:spacing w:val="-4"/>
                <w:szCs w:val="21"/>
                <w:highlight w:val="none"/>
                <w:u w:val="single"/>
              </w:rPr>
              <w:t xml:space="preserve">置容量：</w:t>
            </w:r>
            <w:r>
              <w:rPr>
                <w:rFonts w:hint="eastAsia" w:ascii="宋体" w:hAnsi="宋体" w:cs="宋体"/>
                <w:b/>
                <w:bCs/>
                <w:i/>
                <w:iCs/>
                <w:spacing w:val="-6"/>
                <w:szCs w:val="21"/>
                <w:highlight w:val="none"/>
                <w:u w:val="single"/>
              </w:rPr>
              <w:t xml:space="preserve">≥16GB</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w:t>
            </w:r>
            <w:r>
              <w:rPr>
                <w:rFonts w:hint="eastAsia" w:ascii="宋体" w:hAnsi="宋体" w:cs="宋体"/>
                <w:b/>
                <w:bCs/>
                <w:i/>
                <w:iCs/>
                <w:spacing w:val="-2"/>
                <w:szCs w:val="21"/>
                <w:highlight w:val="none"/>
                <w:u w:val="single"/>
              </w:rPr>
              <w:t xml:space="preserve">内存类</w:t>
            </w:r>
            <w:r>
              <w:rPr>
                <w:rFonts w:hint="eastAsia" w:ascii="宋体" w:hAnsi="宋体" w:cs="宋体"/>
                <w:b/>
                <w:bCs/>
                <w:i/>
                <w:iCs/>
                <w:szCs w:val="21"/>
                <w:highlight w:val="none"/>
                <w:u w:val="single"/>
              </w:rPr>
              <w:t xml:space="preserve">型：支持DDR4/LPDDR4/LPDDR4X及以上内存类型；</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w:t>
            </w:r>
            <w:r>
              <w:rPr>
                <w:rFonts w:hint="eastAsia" w:ascii="宋体" w:hAnsi="宋体" w:cs="宋体"/>
                <w:b/>
                <w:bCs/>
                <w:i/>
                <w:iCs/>
                <w:spacing w:val="-3"/>
                <w:szCs w:val="21"/>
                <w:highlight w:val="none"/>
                <w:u w:val="single"/>
              </w:rPr>
              <w:t xml:space="preserve">内存条配置数量（板载内存不涉及）：</w:t>
            </w:r>
            <w:r>
              <w:rPr>
                <w:rFonts w:hint="eastAsia" w:ascii="宋体" w:hAnsi="宋体" w:cs="宋体"/>
                <w:b/>
                <w:bCs/>
                <w:i/>
                <w:iCs/>
                <w:spacing w:val="-13"/>
                <w:szCs w:val="21"/>
                <w:highlight w:val="none"/>
                <w:u w:val="single"/>
              </w:rPr>
              <w:t xml:space="preserve">≥1；</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w:t>
            </w:r>
            <w:r>
              <w:rPr>
                <w:rFonts w:hint="eastAsia" w:ascii="宋体" w:hAnsi="宋体" w:cs="宋体"/>
                <w:b/>
                <w:bCs/>
                <w:i/>
                <w:iCs/>
                <w:spacing w:val="-3"/>
                <w:szCs w:val="21"/>
                <w:highlight w:val="none"/>
                <w:u w:val="single"/>
              </w:rPr>
              <w:t xml:space="preserve">主板集成模块：</w:t>
            </w:r>
            <w:r>
              <w:rPr>
                <w:rFonts w:hint="eastAsia" w:ascii="宋体" w:hAnsi="宋体" w:cs="宋体"/>
                <w:b/>
                <w:bCs/>
                <w:i/>
                <w:iCs/>
                <w:spacing w:val="-5"/>
                <w:szCs w:val="21"/>
                <w:highlight w:val="none"/>
                <w:u w:val="single"/>
              </w:rPr>
              <w:t xml:space="preserve">集成资源扩展模块、计算处理模块、音频扩展模块等，主板的互联拓扑可通过</w:t>
            </w:r>
            <w:r>
              <w:rPr>
                <w:rFonts w:hint="eastAsia" w:ascii="宋体" w:hAnsi="宋体" w:cs="宋体"/>
                <w:b/>
                <w:bCs/>
                <w:i/>
                <w:iCs/>
                <w:spacing w:val="-1"/>
                <w:szCs w:val="21"/>
                <w:highlight w:val="none"/>
                <w:u w:val="single"/>
              </w:rPr>
              <w:t xml:space="preserve">处理器或交换电路实现；</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w:t>
            </w:r>
            <w:r>
              <w:rPr>
                <w:rFonts w:hint="eastAsia" w:ascii="宋体" w:hAnsi="宋体" w:cs="宋体"/>
                <w:b/>
                <w:bCs/>
                <w:i/>
                <w:iCs/>
                <w:spacing w:val="-2"/>
                <w:szCs w:val="21"/>
                <w:highlight w:val="none"/>
                <w:u w:val="single"/>
              </w:rPr>
              <w:t xml:space="preserve">主板支</w:t>
            </w:r>
            <w:r>
              <w:rPr>
                <w:rFonts w:hint="eastAsia" w:ascii="宋体" w:hAnsi="宋体" w:cs="宋体"/>
                <w:b/>
                <w:bCs/>
                <w:i/>
                <w:iCs/>
                <w:spacing w:val="-3"/>
                <w:szCs w:val="21"/>
                <w:highlight w:val="none"/>
                <w:u w:val="single"/>
              </w:rPr>
              <w:t xml:space="preserve">持的CPU</w:t>
            </w:r>
            <w:r>
              <w:rPr>
                <w:rFonts w:hint="eastAsia" w:ascii="宋体" w:hAnsi="宋体" w:cs="宋体"/>
                <w:b/>
                <w:bCs/>
                <w:i/>
                <w:iCs/>
                <w:spacing w:val="-2"/>
                <w:szCs w:val="21"/>
                <w:highlight w:val="none"/>
                <w:u w:val="single"/>
              </w:rPr>
              <w:t xml:space="preserve">和内存情</w:t>
            </w:r>
            <w:r>
              <w:rPr>
                <w:rFonts w:hint="eastAsia" w:ascii="宋体" w:hAnsi="宋体" w:cs="宋体"/>
                <w:b/>
                <w:bCs/>
                <w:i/>
                <w:iCs/>
                <w:szCs w:val="21"/>
                <w:highlight w:val="none"/>
                <w:u w:val="single"/>
              </w:rPr>
              <w:t xml:space="preserve">况：配置8根内存插槽，最大支持单根64G满插512G内存容量；</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w:t>
            </w:r>
            <w:r>
              <w:rPr>
                <w:rFonts w:hint="eastAsia" w:ascii="宋体" w:hAnsi="宋体" w:cs="宋体"/>
                <w:b/>
                <w:bCs/>
                <w:i/>
                <w:iCs/>
                <w:spacing w:val="-2"/>
                <w:szCs w:val="21"/>
                <w:highlight w:val="none"/>
                <w:u w:val="single"/>
              </w:rPr>
              <w:t xml:space="preserve">主板其</w:t>
            </w:r>
            <w:r>
              <w:rPr>
                <w:rFonts w:hint="eastAsia" w:ascii="宋体" w:hAnsi="宋体" w:cs="宋体"/>
                <w:b/>
                <w:bCs/>
                <w:i/>
                <w:iCs/>
                <w:spacing w:val="-3"/>
                <w:szCs w:val="21"/>
                <w:highlight w:val="none"/>
                <w:u w:val="single"/>
              </w:rPr>
              <w:t xml:space="preserve">他内置接</w:t>
            </w:r>
            <w:r>
              <w:rPr>
                <w:rFonts w:hint="eastAsia" w:ascii="宋体" w:hAnsi="宋体" w:cs="宋体"/>
                <w:b/>
                <w:bCs/>
                <w:i/>
                <w:iCs/>
                <w:szCs w:val="21"/>
                <w:highlight w:val="none"/>
                <w:u w:val="single"/>
              </w:rPr>
              <w:t xml:space="preserve">口：4个USB接口（USB3.0&gt;=2）;1*耳机输出接口;1*麦克风输入接口；</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w:t>
            </w:r>
            <w:r>
              <w:rPr>
                <w:rFonts w:hint="eastAsia" w:ascii="宋体" w:hAnsi="宋体" w:cs="宋体"/>
                <w:b/>
                <w:bCs/>
                <w:i/>
                <w:iCs/>
                <w:spacing w:val="-2"/>
                <w:szCs w:val="21"/>
                <w:highlight w:val="none"/>
                <w:u w:val="single"/>
              </w:rPr>
              <w:t xml:space="preserve">单内存插槽最大可支持容量（板载内存不涉</w:t>
            </w:r>
            <w:r>
              <w:rPr>
                <w:rFonts w:hint="eastAsia" w:ascii="宋体" w:hAnsi="宋体" w:cs="宋体"/>
                <w:b/>
                <w:bCs/>
                <w:i/>
                <w:iCs/>
                <w:spacing w:val="-4"/>
                <w:szCs w:val="21"/>
                <w:highlight w:val="none"/>
                <w:u w:val="single"/>
              </w:rPr>
              <w:t xml:space="preserve">及）：</w:t>
            </w:r>
            <w:r>
              <w:rPr>
                <w:rFonts w:hint="eastAsia" w:ascii="宋体" w:hAnsi="宋体" w:cs="宋体"/>
                <w:b/>
                <w:bCs/>
                <w:i/>
                <w:iCs/>
                <w:spacing w:val="-6"/>
                <w:szCs w:val="21"/>
                <w:highlight w:val="none"/>
                <w:u w:val="single"/>
              </w:rPr>
              <w:t xml:space="preserve">≥16GB；</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w:t>
            </w:r>
            <w:r>
              <w:rPr>
                <w:rFonts w:hint="eastAsia" w:ascii="宋体" w:hAnsi="宋体" w:cs="宋体"/>
                <w:b/>
                <w:bCs/>
                <w:i/>
                <w:iCs/>
                <w:spacing w:val="-2"/>
                <w:szCs w:val="21"/>
                <w:highlight w:val="none"/>
                <w:u w:val="single"/>
              </w:rPr>
              <w:t xml:space="preserve">内存插槽满配时提供的最高内存总</w:t>
            </w:r>
            <w:r>
              <w:rPr>
                <w:rFonts w:hint="eastAsia" w:ascii="宋体" w:hAnsi="宋体" w:cs="宋体"/>
                <w:b/>
                <w:bCs/>
                <w:i/>
                <w:iCs/>
                <w:spacing w:val="-3"/>
                <w:szCs w:val="21"/>
                <w:highlight w:val="none"/>
                <w:u w:val="single"/>
              </w:rPr>
              <w:t xml:space="preserve">容量：</w:t>
            </w:r>
            <w:r>
              <w:rPr>
                <w:rFonts w:hint="eastAsia" w:ascii="宋体" w:hAnsi="宋体" w:cs="宋体"/>
                <w:b/>
                <w:bCs/>
                <w:i/>
                <w:iCs/>
                <w:spacing w:val="-6"/>
                <w:szCs w:val="21"/>
                <w:highlight w:val="none"/>
                <w:u w:val="single"/>
              </w:rPr>
              <w:t xml:space="preserve">≥32GB；</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w:t>
            </w:r>
            <w:r>
              <w:rPr>
                <w:rFonts w:hint="eastAsia" w:ascii="宋体" w:hAnsi="宋体" w:cs="宋体"/>
                <w:b/>
                <w:bCs/>
                <w:i/>
                <w:iCs/>
                <w:spacing w:val="-2"/>
                <w:szCs w:val="21"/>
                <w:highlight w:val="none"/>
                <w:u w:val="single"/>
              </w:rPr>
              <w:t xml:space="preserve">固态盘</w:t>
            </w:r>
            <w:r>
              <w:rPr>
                <w:rFonts w:hint="eastAsia" w:ascii="宋体" w:hAnsi="宋体" w:cs="宋体"/>
                <w:b/>
                <w:bCs/>
                <w:i/>
                <w:iCs/>
                <w:spacing w:val="-4"/>
                <w:szCs w:val="21"/>
                <w:highlight w:val="none"/>
                <w:u w:val="single"/>
              </w:rPr>
              <w:t xml:space="preserve">数量：</w:t>
            </w:r>
            <w:r>
              <w:rPr>
                <w:rFonts w:hint="eastAsia" w:ascii="宋体" w:hAnsi="宋体" w:cs="宋体"/>
                <w:b/>
                <w:bCs/>
                <w:i/>
                <w:iCs/>
                <w:spacing w:val="6"/>
                <w:szCs w:val="21"/>
                <w:highlight w:val="none"/>
                <w:u w:val="single"/>
              </w:rPr>
              <w:t xml:space="preserve">≥1个；</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11.</w:t>
            </w:r>
            <w:r>
              <w:rPr>
                <w:rFonts w:hint="eastAsia" w:ascii="宋体" w:hAnsi="宋体" w:cs="宋体"/>
                <w:b/>
                <w:bCs/>
                <w:i/>
                <w:iCs/>
                <w:spacing w:val="-2"/>
                <w:szCs w:val="21"/>
                <w:highlight w:val="none"/>
                <w:u w:val="single"/>
              </w:rPr>
              <w:t xml:space="preserve">固态存储容量：</w:t>
            </w:r>
            <w:r>
              <w:rPr>
                <w:rFonts w:hint="eastAsia" w:ascii="宋体" w:hAnsi="宋体" w:cs="宋体"/>
                <w:b/>
                <w:bCs/>
                <w:i/>
                <w:iCs/>
                <w:spacing w:val="-5"/>
                <w:szCs w:val="21"/>
                <w:highlight w:val="none"/>
                <w:u w:val="single"/>
              </w:rPr>
              <w:t xml:space="preserve">≥240GB；</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12.</w:t>
            </w:r>
            <w:r>
              <w:rPr>
                <w:rFonts w:hint="eastAsia" w:ascii="宋体" w:hAnsi="宋体" w:cs="宋体"/>
                <w:b/>
                <w:bCs/>
                <w:i/>
                <w:iCs/>
                <w:spacing w:val="-2"/>
                <w:szCs w:val="21"/>
                <w:highlight w:val="none"/>
                <w:u w:val="single"/>
              </w:rPr>
              <w:t xml:space="preserve">机械硬盘数量：</w:t>
            </w:r>
            <w:r>
              <w:rPr>
                <w:rFonts w:hint="eastAsia" w:ascii="宋体" w:hAnsi="宋体" w:cs="宋体"/>
                <w:b/>
                <w:bCs/>
                <w:i/>
                <w:iCs/>
                <w:spacing w:val="-7"/>
                <w:szCs w:val="21"/>
                <w:highlight w:val="none"/>
                <w:u w:val="single"/>
              </w:rPr>
              <w:t xml:space="preserve">≥1个；</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13.</w:t>
            </w:r>
            <w:r>
              <w:rPr>
                <w:rFonts w:hint="eastAsia" w:ascii="宋体" w:hAnsi="宋体" w:cs="宋体"/>
                <w:b/>
                <w:bCs/>
                <w:i/>
                <w:iCs/>
                <w:spacing w:val="-3"/>
                <w:szCs w:val="21"/>
                <w:highlight w:val="none"/>
                <w:u w:val="single"/>
              </w:rPr>
              <w:t xml:space="preserve">机械硬盘总容量：</w:t>
            </w:r>
            <w:r>
              <w:rPr>
                <w:rFonts w:hint="eastAsia" w:ascii="宋体" w:hAnsi="宋体" w:cs="宋体"/>
                <w:b/>
                <w:bCs/>
                <w:i/>
                <w:iCs/>
                <w:spacing w:val="-7"/>
                <w:szCs w:val="21"/>
                <w:highlight w:val="none"/>
                <w:u w:val="single"/>
              </w:rPr>
              <w:t xml:space="preserve">≥1TB</w:t>
            </w:r>
            <w:r>
              <w:rPr>
                <w:highlight w:val="none"/>
              </w:rPr>
            </w:r>
            <w:r/>
          </w:p>
          <w:p>
            <w:pPr>
              <w:pStyle w:val="872"/>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14.</w:t>
            </w:r>
            <w:r>
              <w:rPr>
                <w:rFonts w:hint="eastAsia" w:ascii="宋体" w:hAnsi="宋体" w:cs="宋体"/>
                <w:b/>
                <w:bCs/>
                <w:i/>
                <w:iCs/>
                <w:spacing w:val="-7"/>
                <w:szCs w:val="21"/>
                <w:highlight w:val="none"/>
                <w:u w:val="single"/>
              </w:rPr>
              <w:t xml:space="preserve">机械硬盘转速：≥7200rpm</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15.</w:t>
            </w:r>
            <w:r>
              <w:rPr>
                <w:rFonts w:hint="eastAsia" w:ascii="宋体" w:hAnsi="宋体" w:cs="宋体"/>
                <w:b/>
                <w:bCs/>
                <w:i/>
                <w:iCs/>
                <w:spacing w:val="-2"/>
                <w:szCs w:val="21"/>
                <w:highlight w:val="none"/>
                <w:u w:val="single"/>
              </w:rPr>
              <w:t xml:space="preserve">固态存储形态：</w:t>
            </w:r>
            <w:r>
              <w:rPr>
                <w:rFonts w:hint="eastAsia" w:ascii="宋体" w:hAnsi="宋体" w:cs="宋体"/>
                <w:b/>
                <w:bCs/>
                <w:i/>
                <w:iCs/>
                <w:spacing w:val="-4"/>
                <w:szCs w:val="21"/>
                <w:highlight w:val="none"/>
                <w:u w:val="single"/>
              </w:rPr>
              <w:t xml:space="preserve">采用插卡或板载等形态，插卡形态宜符</w:t>
            </w:r>
            <w:r>
              <w:rPr>
                <w:rFonts w:hint="eastAsia" w:ascii="宋体" w:hAnsi="宋体" w:cs="宋体"/>
                <w:b/>
                <w:bCs/>
                <w:i/>
                <w:iCs/>
                <w:spacing w:val="4"/>
                <w:szCs w:val="21"/>
                <w:highlight w:val="none"/>
                <w:u w:val="single"/>
              </w:rPr>
              <w:t xml:space="preserve">合M.2或</w:t>
            </w:r>
            <w:r>
              <w:rPr>
                <w:rFonts w:hint="eastAsia" w:ascii="宋体" w:hAnsi="宋体" w:cs="宋体"/>
                <w:b/>
                <w:bCs/>
                <w:i/>
                <w:iCs/>
                <w:szCs w:val="21"/>
                <w:highlight w:val="none"/>
                <w:u w:val="single"/>
              </w:rPr>
              <w:t xml:space="preserve">mSATA</w:t>
            </w:r>
            <w:r>
              <w:rPr>
                <w:rFonts w:hint="eastAsia" w:ascii="宋体" w:hAnsi="宋体" w:cs="宋体"/>
                <w:b/>
                <w:bCs/>
                <w:i/>
                <w:iCs/>
                <w:spacing w:val="4"/>
                <w:szCs w:val="21"/>
                <w:highlight w:val="none"/>
                <w:u w:val="single"/>
              </w:rPr>
              <w:t xml:space="preserve">等标准尺寸和接口定义；</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16.</w:t>
            </w:r>
            <w:r>
              <w:rPr>
                <w:rFonts w:hint="eastAsia" w:ascii="宋体" w:hAnsi="宋体" w:cs="宋体"/>
                <w:b/>
                <w:bCs/>
                <w:i/>
                <w:iCs/>
                <w:spacing w:val="-2"/>
                <w:szCs w:val="21"/>
                <w:highlight w:val="none"/>
                <w:u w:val="single"/>
              </w:rPr>
              <w:t xml:space="preserve">存储设备其他参</w:t>
            </w:r>
            <w:r>
              <w:rPr>
                <w:rFonts w:hint="eastAsia" w:ascii="宋体" w:hAnsi="宋体" w:cs="宋体"/>
                <w:b/>
                <w:bCs/>
                <w:i/>
                <w:iCs/>
                <w:spacing w:val="-3"/>
                <w:szCs w:val="21"/>
                <w:highlight w:val="none"/>
                <w:u w:val="single"/>
              </w:rPr>
              <w:t xml:space="preserve">数要求：a）固态盘应符合SJ/T11654相关规定；b）机械硬盘准备时间应不大于30s；侧面固定螺丝孔数量可为4孔或6孔；工作状态环境温度应满足5℃~55℃;其它参数应符合GB/T12628的相关规定；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17.</w:t>
            </w:r>
            <w:r>
              <w:rPr>
                <w:rFonts w:hint="eastAsia" w:ascii="宋体" w:hAnsi="宋体" w:cs="宋体"/>
                <w:b/>
                <w:bCs/>
                <w:i/>
                <w:iCs/>
                <w:spacing w:val="-2"/>
                <w:szCs w:val="21"/>
                <w:highlight w:val="none"/>
                <w:u w:val="single"/>
              </w:rPr>
              <w:t xml:space="preserve">显卡类</w:t>
            </w:r>
            <w:r>
              <w:rPr>
                <w:rFonts w:hint="eastAsia" w:ascii="宋体" w:hAnsi="宋体" w:cs="宋体"/>
                <w:b/>
                <w:bCs/>
                <w:i/>
                <w:iCs/>
                <w:szCs w:val="21"/>
                <w:highlight w:val="none"/>
                <w:u w:val="single"/>
              </w:rPr>
              <w:t xml:space="preserve">型：</w:t>
            </w:r>
            <w:r>
              <w:rPr>
                <w:rFonts w:hint="eastAsia" w:ascii="宋体" w:hAnsi="宋体" w:cs="宋体"/>
                <w:b/>
                <w:bCs/>
                <w:i/>
                <w:iCs/>
                <w:spacing w:val="-1"/>
                <w:szCs w:val="21"/>
                <w:highlight w:val="none"/>
                <w:u w:val="single"/>
              </w:rPr>
              <w:t xml:space="preserve">独立显卡或集成显卡；</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18.</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卡显存类</w:t>
            </w:r>
            <w:r>
              <w:rPr>
                <w:rFonts w:hint="eastAsia" w:ascii="宋体" w:hAnsi="宋体" w:cs="宋体"/>
                <w:b/>
                <w:bCs/>
                <w:i/>
                <w:iCs/>
                <w:szCs w:val="21"/>
                <w:highlight w:val="none"/>
                <w:u w:val="single"/>
              </w:rPr>
              <w:t xml:space="preserve">型：</w:t>
            </w:r>
            <w:r>
              <w:rPr>
                <w:rFonts w:hint="eastAsia" w:ascii="宋体" w:hAnsi="宋体" w:cs="宋体"/>
                <w:b/>
                <w:bCs/>
                <w:i/>
                <w:iCs/>
                <w:spacing w:val="-1"/>
                <w:szCs w:val="21"/>
                <w:highlight w:val="none"/>
                <w:u w:val="single"/>
              </w:rPr>
              <w:t xml:space="preserve">若配置独立显卡，显存类型应为DDR3/DDR4/GDDR5/GDDR6/LPDDR4；</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19.</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卡显存位</w:t>
            </w:r>
            <w:r>
              <w:rPr>
                <w:rFonts w:hint="eastAsia" w:ascii="宋体" w:hAnsi="宋体" w:cs="宋体"/>
                <w:b/>
                <w:bCs/>
                <w:i/>
                <w:iCs/>
                <w:szCs w:val="21"/>
                <w:highlight w:val="none"/>
                <w:u w:val="single"/>
              </w:rPr>
              <w:t xml:space="preserve">宽：</w:t>
            </w:r>
            <w:r>
              <w:rPr>
                <w:rFonts w:hint="eastAsia" w:ascii="宋体" w:hAnsi="宋体" w:cs="宋体"/>
                <w:b/>
                <w:bCs/>
                <w:i/>
                <w:iCs/>
                <w:spacing w:val="-1"/>
                <w:szCs w:val="21"/>
                <w:highlight w:val="none"/>
                <w:u w:val="single"/>
              </w:rPr>
              <w:t xml:space="preserve">若配置独立显卡，显存位宽≥64位；</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20.</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卡显存容</w:t>
            </w:r>
            <w:r>
              <w:rPr>
                <w:rFonts w:hint="eastAsia" w:ascii="宋体" w:hAnsi="宋体" w:cs="宋体"/>
                <w:b/>
                <w:bCs/>
                <w:i/>
                <w:iCs/>
                <w:szCs w:val="21"/>
                <w:highlight w:val="none"/>
                <w:u w:val="single"/>
              </w:rPr>
              <w:t xml:space="preserve">量：</w:t>
            </w:r>
            <w:r>
              <w:rPr>
                <w:rFonts w:hint="eastAsia" w:ascii="宋体" w:hAnsi="宋体" w:cs="宋体"/>
                <w:b/>
                <w:bCs/>
                <w:i/>
                <w:iCs/>
                <w:spacing w:val="-1"/>
                <w:szCs w:val="21"/>
                <w:highlight w:val="none"/>
                <w:u w:val="single"/>
              </w:rPr>
              <w:t xml:space="preserve">若配置独立显卡，显存容量≥1GB；</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21.</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屏占比：</w:t>
            </w:r>
            <w:r>
              <w:rPr>
                <w:rFonts w:hint="eastAsia" w:ascii="宋体" w:hAnsi="宋体" w:cs="宋体"/>
                <w:b/>
                <w:bCs/>
                <w:i/>
                <w:iCs/>
                <w:spacing w:val="-7"/>
                <w:szCs w:val="21"/>
                <w:highlight w:val="none"/>
                <w:u w:val="single"/>
              </w:rPr>
              <w:t xml:space="preserve">≥80%；</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22.</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分辨率：</w:t>
            </w:r>
            <w:r>
              <w:rPr>
                <w:rFonts w:hint="eastAsia" w:ascii="宋体" w:hAnsi="宋体" w:cs="宋体"/>
                <w:b/>
                <w:bCs/>
                <w:i/>
                <w:iCs/>
                <w:spacing w:val="-3"/>
                <w:szCs w:val="21"/>
                <w:highlight w:val="none"/>
                <w:u w:val="single"/>
              </w:rPr>
              <w:t xml:space="preserve">≥2560×1440；</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23.</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尺寸：</w:t>
            </w:r>
            <w:r>
              <w:rPr>
                <w:rFonts w:hint="eastAsia" w:ascii="宋体" w:hAnsi="宋体" w:cs="宋体"/>
                <w:b/>
                <w:bCs/>
                <w:i/>
                <w:iCs/>
                <w:spacing w:val="-8"/>
                <w:szCs w:val="21"/>
                <w:highlight w:val="none"/>
                <w:u w:val="single"/>
              </w:rPr>
              <w:t xml:space="preserve">≥23英寸；</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24.</w:t>
            </w:r>
            <w:r>
              <w:rPr>
                <w:rFonts w:hint="eastAsia" w:ascii="宋体" w:hAnsi="宋体" w:cs="宋体"/>
                <w:b/>
                <w:bCs/>
                <w:i/>
                <w:iCs/>
                <w:spacing w:val="-2"/>
                <w:szCs w:val="21"/>
                <w:highlight w:val="none"/>
                <w:u w:val="single"/>
              </w:rPr>
              <w:t xml:space="preserve">显示屏屏幕比例：</w:t>
            </w:r>
            <w:r>
              <w:rPr>
                <w:rFonts w:hint="eastAsia" w:ascii="宋体" w:hAnsi="宋体" w:cs="宋体"/>
                <w:b/>
                <w:bCs/>
                <w:i/>
                <w:iCs/>
                <w:spacing w:val="-1"/>
                <w:szCs w:val="21"/>
                <w:highlight w:val="none"/>
                <w:u w:val="single"/>
              </w:rPr>
              <w:t xml:space="preserve">16:9/3:2/21:9/16:10等；</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25.</w:t>
            </w:r>
            <w:r>
              <w:rPr>
                <w:rFonts w:hint="eastAsia" w:ascii="宋体" w:hAnsi="宋体" w:cs="宋体"/>
                <w:b/>
                <w:bCs/>
                <w:i/>
                <w:iCs/>
                <w:spacing w:val="-2"/>
                <w:szCs w:val="21"/>
                <w:highlight w:val="none"/>
                <w:u w:val="single"/>
              </w:rPr>
              <w:t xml:space="preserve">显示器外观颜色：</w:t>
            </w:r>
            <w:r>
              <w:rPr>
                <w:rFonts w:hint="eastAsia" w:ascii="宋体" w:hAnsi="宋体" w:cs="宋体"/>
                <w:b/>
                <w:bCs/>
                <w:i/>
                <w:iCs/>
                <w:spacing w:val="-1"/>
                <w:szCs w:val="21"/>
                <w:highlight w:val="none"/>
                <w:u w:val="single"/>
              </w:rPr>
              <w:t xml:space="preserve">黑色/白色/银色等商务色系；</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26.</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防蓝光：</w:t>
            </w:r>
            <w:r>
              <w:rPr>
                <w:rFonts w:hint="eastAsia" w:ascii="宋体" w:hAnsi="宋体" w:cs="宋体"/>
                <w:b/>
                <w:bCs/>
                <w:i/>
                <w:iCs/>
                <w:spacing w:val="-5"/>
                <w:szCs w:val="21"/>
                <w:highlight w:val="none"/>
                <w:u w:val="single"/>
              </w:rPr>
              <w:t xml:space="preserve">支持防蓝光模式，蓝光加权辐射亮度比</w:t>
            </w:r>
            <w:r>
              <w:rPr>
                <w:rFonts w:hint="eastAsia" w:ascii="宋体" w:hAnsi="宋体" w:cs="宋体"/>
                <w:b/>
                <w:bCs/>
                <w:i/>
                <w:iCs/>
                <w:spacing w:val="-10"/>
                <w:szCs w:val="21"/>
                <w:highlight w:val="none"/>
                <w:u w:val="single"/>
              </w:rPr>
              <w:t xml:space="preserve">应≤0.0012W/(·cd·sr)（瓦每坎特拉</w:t>
            </w:r>
            <w:r>
              <w:rPr>
                <w:rFonts w:hint="eastAsia" w:ascii="宋体" w:hAnsi="宋体" w:cs="宋体"/>
                <w:b/>
                <w:bCs/>
                <w:i/>
                <w:iCs/>
                <w:spacing w:val="-2"/>
                <w:szCs w:val="21"/>
                <w:highlight w:val="none"/>
                <w:u w:val="single"/>
              </w:rPr>
              <w:t xml:space="preserve">每球面度）；</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27.</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低频闪：</w:t>
            </w:r>
            <w:r>
              <w:rPr>
                <w:rFonts w:hint="eastAsia" w:ascii="宋体" w:hAnsi="宋体" w:cs="宋体"/>
                <w:b/>
                <w:bCs/>
                <w:i/>
                <w:iCs/>
                <w:spacing w:val="-1"/>
                <w:szCs w:val="21"/>
                <w:highlight w:val="none"/>
                <w:u w:val="single"/>
              </w:rPr>
              <w:t xml:space="preserve">显示屏应支持低频闪≤-35dB；</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28.</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防眩目：</w:t>
            </w:r>
            <w:r>
              <w:rPr>
                <w:rFonts w:hint="eastAsia" w:ascii="宋体" w:hAnsi="宋体" w:cs="宋体"/>
                <w:b/>
                <w:bCs/>
                <w:i/>
                <w:iCs/>
                <w:spacing w:val="-2"/>
                <w:szCs w:val="21"/>
                <w:highlight w:val="none"/>
                <w:u w:val="single"/>
              </w:rPr>
              <w:t xml:space="preserve">显示屏镜面反射率≤10%；</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29.</w:t>
            </w:r>
            <w:r>
              <w:rPr>
                <w:rFonts w:hint="eastAsia" w:ascii="宋体" w:hAnsi="宋体" w:cs="宋体"/>
                <w:b/>
                <w:bCs/>
                <w:i/>
                <w:iCs/>
                <w:spacing w:val="-2"/>
                <w:szCs w:val="21"/>
                <w:highlight w:val="none"/>
                <w:u w:val="single"/>
              </w:rPr>
              <w:t xml:space="preserve">鼠标数</w:t>
            </w:r>
            <w:r>
              <w:rPr>
                <w:rFonts w:hint="eastAsia" w:ascii="宋体" w:hAnsi="宋体" w:cs="宋体"/>
                <w:b/>
                <w:bCs/>
                <w:i/>
                <w:iCs/>
                <w:szCs w:val="21"/>
                <w:highlight w:val="none"/>
                <w:u w:val="single"/>
              </w:rPr>
              <w:t xml:space="preserve">量：</w:t>
            </w:r>
            <w:r>
              <w:rPr>
                <w:rFonts w:hint="eastAsia" w:ascii="宋体" w:hAnsi="宋体" w:cs="宋体"/>
                <w:b/>
                <w:bCs/>
                <w:i/>
                <w:iCs/>
                <w:spacing w:val="6"/>
                <w:szCs w:val="21"/>
                <w:highlight w:val="none"/>
                <w:u w:val="single"/>
              </w:rPr>
              <w:t xml:space="preserve">≥1个；</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30.</w:t>
            </w:r>
            <w:r>
              <w:rPr>
                <w:rFonts w:hint="eastAsia" w:ascii="宋体" w:hAnsi="宋体" w:cs="宋体"/>
                <w:b/>
                <w:bCs/>
                <w:i/>
                <w:iCs/>
                <w:spacing w:val="-2"/>
                <w:szCs w:val="21"/>
                <w:highlight w:val="none"/>
                <w:u w:val="single"/>
              </w:rPr>
              <w:t xml:space="preserve">键盘数</w:t>
            </w:r>
            <w:r>
              <w:rPr>
                <w:rFonts w:hint="eastAsia" w:ascii="宋体" w:hAnsi="宋体" w:cs="宋体"/>
                <w:b/>
                <w:bCs/>
                <w:i/>
                <w:iCs/>
                <w:szCs w:val="21"/>
                <w:highlight w:val="none"/>
                <w:u w:val="single"/>
              </w:rPr>
              <w:t xml:space="preserve">量：</w:t>
            </w:r>
            <w:r>
              <w:rPr>
                <w:rFonts w:hint="eastAsia" w:ascii="宋体" w:hAnsi="宋体" w:cs="宋体"/>
                <w:b/>
                <w:bCs/>
                <w:i/>
                <w:iCs/>
                <w:spacing w:val="6"/>
                <w:szCs w:val="21"/>
                <w:highlight w:val="none"/>
                <w:u w:val="single"/>
              </w:rPr>
              <w:t xml:space="preserve">≥1个；</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31.</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4"/>
                <w:szCs w:val="21"/>
                <w:highlight w:val="none"/>
                <w:u w:val="single"/>
              </w:rPr>
              <w:t xml:space="preserve">数量：</w:t>
            </w:r>
            <w:r>
              <w:rPr>
                <w:rFonts w:hint="eastAsia" w:ascii="宋体" w:hAnsi="宋体" w:cs="宋体"/>
                <w:szCs w:val="21"/>
                <w:highlight w:val="none"/>
                <w:u w:val="single"/>
              </w:rPr>
              <w:t xml:space="preserve">≥1个</w:t>
            </w:r>
            <w:r>
              <w:rPr>
                <w:rFonts w:hint="eastAsia" w:ascii="宋体" w:hAnsi="宋体" w:cs="宋体"/>
                <w:b/>
                <w:bCs/>
                <w:i/>
                <w:iCs/>
                <w:spacing w:val="6"/>
                <w:szCs w:val="21"/>
                <w:highlight w:val="none"/>
                <w:u w:val="single"/>
              </w:rPr>
              <w:t xml:space="preserve">；</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32.</w:t>
            </w:r>
            <w:r>
              <w:rPr>
                <w:rFonts w:hint="eastAsia" w:ascii="宋体" w:hAnsi="宋体" w:cs="宋体"/>
                <w:b/>
                <w:bCs/>
                <w:i/>
                <w:iCs/>
                <w:spacing w:val="-2"/>
                <w:szCs w:val="21"/>
                <w:highlight w:val="none"/>
                <w:u w:val="single"/>
              </w:rPr>
              <w:t xml:space="preserve">键盘按键数目：</w:t>
            </w:r>
            <w:r>
              <w:rPr>
                <w:rFonts w:hint="eastAsia" w:ascii="宋体" w:hAnsi="宋体" w:cs="宋体"/>
                <w:b/>
                <w:bCs/>
                <w:i/>
                <w:iCs/>
                <w:spacing w:val="-3"/>
                <w:szCs w:val="21"/>
                <w:highlight w:val="none"/>
                <w:u w:val="single"/>
              </w:rPr>
              <w:t xml:space="preserve">61键/86键/101键/104键等；</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33.</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3"/>
                <w:szCs w:val="21"/>
                <w:highlight w:val="none"/>
                <w:u w:val="single"/>
              </w:rPr>
              <w:t xml:space="preserve">像素：</w:t>
            </w:r>
            <w:r>
              <w:rPr>
                <w:rFonts w:hint="eastAsia" w:ascii="宋体" w:hAnsi="宋体" w:cs="宋体"/>
                <w:b/>
                <w:bCs/>
                <w:i/>
                <w:iCs/>
                <w:spacing w:val="-7"/>
                <w:szCs w:val="21"/>
                <w:highlight w:val="none"/>
                <w:u w:val="single"/>
              </w:rPr>
              <w:t xml:space="preserve">≥50万；</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34.</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4"/>
                <w:szCs w:val="21"/>
                <w:highlight w:val="none"/>
                <w:u w:val="single"/>
              </w:rPr>
              <w:t xml:space="preserve">分辨率：≥800×600；</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35.</w:t>
            </w:r>
            <w:r>
              <w:rPr>
                <w:rFonts w:hint="eastAsia" w:ascii="宋体" w:hAnsi="宋体" w:cs="宋体"/>
                <w:b/>
                <w:bCs/>
                <w:i/>
                <w:iCs/>
                <w:spacing w:val="-2"/>
                <w:szCs w:val="21"/>
                <w:highlight w:val="none"/>
                <w:u w:val="single"/>
              </w:rPr>
              <w:t xml:space="preserve">扬声器</w:t>
            </w:r>
            <w:r>
              <w:rPr>
                <w:rFonts w:hint="eastAsia" w:ascii="宋体" w:hAnsi="宋体" w:cs="宋体"/>
                <w:b/>
                <w:bCs/>
                <w:i/>
                <w:iCs/>
                <w:spacing w:val="-5"/>
                <w:szCs w:val="21"/>
                <w:highlight w:val="none"/>
                <w:u w:val="single"/>
              </w:rPr>
              <w:t xml:space="preserve">功率：</w:t>
            </w:r>
            <w:r>
              <w:rPr>
                <w:rFonts w:hint="eastAsia" w:ascii="宋体" w:hAnsi="宋体" w:cs="宋体"/>
                <w:b/>
                <w:bCs/>
                <w:i/>
                <w:iCs/>
                <w:spacing w:val="-8"/>
                <w:szCs w:val="21"/>
                <w:highlight w:val="none"/>
                <w:u w:val="single"/>
              </w:rPr>
              <w:t xml:space="preserve">≥1瓦/个；</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36.</w:t>
            </w:r>
            <w:r>
              <w:rPr>
                <w:rFonts w:hint="eastAsia" w:ascii="宋体" w:hAnsi="宋体" w:cs="宋体"/>
                <w:b/>
                <w:bCs/>
                <w:i/>
                <w:iCs/>
                <w:spacing w:val="-2"/>
                <w:szCs w:val="21"/>
                <w:highlight w:val="none"/>
                <w:u w:val="single"/>
              </w:rPr>
              <w:t xml:space="preserve">扬声器频率范围：</w:t>
            </w:r>
            <w:r>
              <w:rPr>
                <w:rFonts w:hint="eastAsia" w:ascii="宋体" w:hAnsi="宋体" w:cs="宋体"/>
                <w:b/>
                <w:bCs/>
                <w:i/>
                <w:iCs/>
                <w:spacing w:val="-1"/>
                <w:szCs w:val="21"/>
                <w:highlight w:val="none"/>
                <w:u w:val="single"/>
              </w:rPr>
              <w:t xml:space="preserve">不低于（100Hz-8kHz）范围。</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37.</w:t>
            </w:r>
            <w:r>
              <w:rPr>
                <w:rFonts w:hint="eastAsia" w:ascii="宋体" w:hAnsi="宋体" w:cs="宋体"/>
                <w:b/>
                <w:bCs/>
                <w:i/>
                <w:iCs/>
                <w:spacing w:val="-2"/>
                <w:szCs w:val="21"/>
                <w:highlight w:val="none"/>
                <w:u w:val="single"/>
              </w:rPr>
              <w:t xml:space="preserve">键盘连</w:t>
            </w:r>
            <w:r>
              <w:rPr>
                <w:rFonts w:hint="eastAsia" w:ascii="宋体" w:hAnsi="宋体" w:cs="宋体"/>
                <w:b/>
                <w:bCs/>
                <w:i/>
                <w:iCs/>
                <w:spacing w:val="-3"/>
                <w:szCs w:val="21"/>
                <w:highlight w:val="none"/>
                <w:u w:val="single"/>
              </w:rPr>
              <w:t xml:space="preserve">接方式：</w:t>
            </w:r>
            <w:r>
              <w:rPr>
                <w:rFonts w:hint="eastAsia" w:ascii="宋体" w:hAnsi="宋体" w:cs="宋体"/>
                <w:b/>
                <w:bCs/>
                <w:i/>
                <w:iCs/>
                <w:spacing w:val="-2"/>
                <w:szCs w:val="21"/>
                <w:highlight w:val="none"/>
                <w:u w:val="single"/>
              </w:rPr>
              <w:t xml:space="preserve">有线或无线；</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38.</w:t>
            </w:r>
            <w:r>
              <w:rPr>
                <w:rFonts w:hint="eastAsia" w:ascii="宋体" w:hAnsi="宋体" w:cs="宋体"/>
                <w:b/>
                <w:bCs/>
                <w:i/>
                <w:iCs/>
                <w:spacing w:val="-2"/>
                <w:szCs w:val="21"/>
                <w:highlight w:val="none"/>
                <w:u w:val="single"/>
              </w:rPr>
              <w:t xml:space="preserve">键盘键</w:t>
            </w:r>
            <w:r>
              <w:rPr>
                <w:rFonts w:hint="eastAsia" w:ascii="宋体" w:hAnsi="宋体" w:cs="宋体"/>
                <w:b/>
                <w:bCs/>
                <w:i/>
                <w:iCs/>
                <w:szCs w:val="21"/>
                <w:highlight w:val="none"/>
                <w:u w:val="single"/>
              </w:rPr>
              <w:t xml:space="preserve">程：</w:t>
            </w:r>
            <w:r>
              <w:rPr>
                <w:rFonts w:hint="eastAsia" w:ascii="宋体" w:hAnsi="宋体" w:cs="宋体"/>
                <w:b/>
                <w:bCs/>
                <w:i/>
                <w:iCs/>
                <w:spacing w:val="-2"/>
                <w:szCs w:val="21"/>
                <w:highlight w:val="none"/>
                <w:u w:val="single"/>
              </w:rPr>
              <w:t xml:space="preserve">2.3mm~4.0mm；</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39.</w:t>
            </w:r>
            <w:r>
              <w:rPr>
                <w:rFonts w:hint="eastAsia" w:ascii="宋体" w:hAnsi="宋体" w:cs="宋体"/>
                <w:b/>
                <w:bCs/>
                <w:i/>
                <w:iCs/>
                <w:spacing w:val="-2"/>
                <w:szCs w:val="21"/>
                <w:highlight w:val="none"/>
                <w:u w:val="single"/>
              </w:rPr>
              <w:t xml:space="preserve">键盘按键压力：</w:t>
            </w:r>
            <w:r>
              <w:rPr>
                <w:rFonts w:hint="eastAsia" w:ascii="宋体" w:hAnsi="宋体" w:cs="宋体"/>
                <w:b/>
                <w:bCs/>
                <w:i/>
                <w:iCs/>
                <w:spacing w:val="-1"/>
                <w:szCs w:val="21"/>
                <w:highlight w:val="none"/>
                <w:u w:val="single"/>
              </w:rPr>
              <w:t xml:space="preserve">按键压力应在0.54N±0.14N；</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40.</w:t>
            </w:r>
            <w:r>
              <w:rPr>
                <w:rFonts w:hint="eastAsia" w:ascii="宋体" w:hAnsi="宋体" w:cs="宋体"/>
                <w:b/>
                <w:bCs/>
                <w:i/>
                <w:iCs/>
                <w:spacing w:val="-2"/>
                <w:szCs w:val="21"/>
                <w:highlight w:val="none"/>
                <w:u w:val="single"/>
              </w:rPr>
              <w:t xml:space="preserve">有线键盘连接线：</w:t>
            </w:r>
            <w:r>
              <w:rPr>
                <w:rFonts w:hint="eastAsia" w:ascii="宋体" w:hAnsi="宋体" w:cs="宋体"/>
                <w:b/>
                <w:bCs/>
                <w:i/>
                <w:iCs/>
                <w:spacing w:val="-6"/>
                <w:szCs w:val="21"/>
                <w:highlight w:val="none"/>
                <w:u w:val="single"/>
              </w:rPr>
              <w:t xml:space="preserve">≥1.5米；</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41.</w:t>
            </w:r>
            <w:r>
              <w:rPr>
                <w:rFonts w:hint="eastAsia" w:ascii="宋体" w:hAnsi="宋体" w:cs="宋体"/>
                <w:b/>
                <w:bCs/>
                <w:i/>
                <w:iCs/>
                <w:spacing w:val="-2"/>
                <w:szCs w:val="21"/>
                <w:highlight w:val="none"/>
                <w:u w:val="single"/>
              </w:rPr>
              <w:t xml:space="preserve">键盘颜</w:t>
            </w:r>
            <w:r>
              <w:rPr>
                <w:rFonts w:hint="eastAsia" w:ascii="宋体" w:hAnsi="宋体" w:cs="宋体"/>
                <w:b/>
                <w:bCs/>
                <w:i/>
                <w:iCs/>
                <w:szCs w:val="21"/>
                <w:highlight w:val="none"/>
                <w:u w:val="single"/>
              </w:rPr>
              <w:t xml:space="preserve">色：</w:t>
            </w:r>
            <w:r>
              <w:rPr>
                <w:rFonts w:hint="eastAsia" w:ascii="宋体" w:hAnsi="宋体" w:cs="宋体"/>
                <w:b/>
                <w:bCs/>
                <w:i/>
                <w:iCs/>
                <w:spacing w:val="-1"/>
                <w:szCs w:val="21"/>
                <w:highlight w:val="none"/>
                <w:u w:val="single"/>
              </w:rPr>
              <w:t xml:space="preserve">黑色/白色/银色等商务色系；</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42.</w:t>
            </w:r>
            <w:r>
              <w:rPr>
                <w:rFonts w:hint="eastAsia" w:ascii="宋体" w:hAnsi="宋体" w:cs="宋体"/>
                <w:b/>
                <w:bCs/>
                <w:i/>
                <w:iCs/>
                <w:spacing w:val="-2"/>
                <w:szCs w:val="21"/>
                <w:highlight w:val="none"/>
                <w:u w:val="single"/>
              </w:rPr>
              <w:t xml:space="preserve">键盘其</w:t>
            </w:r>
            <w:r>
              <w:rPr>
                <w:rFonts w:hint="eastAsia" w:ascii="宋体" w:hAnsi="宋体" w:cs="宋体"/>
                <w:b/>
                <w:bCs/>
                <w:i/>
                <w:iCs/>
                <w:spacing w:val="-3"/>
                <w:szCs w:val="21"/>
                <w:highlight w:val="none"/>
                <w:u w:val="single"/>
              </w:rPr>
              <w:t xml:space="preserve">他要求：键盘外观结构、连接方式、主要功能、</w:t>
            </w:r>
            <w:r>
              <w:rPr>
                <w:rFonts w:hint="eastAsia" w:ascii="宋体" w:hAnsi="宋体" w:cs="宋体"/>
                <w:b/>
                <w:bCs/>
                <w:i/>
                <w:iCs/>
                <w:spacing w:val="-5"/>
                <w:szCs w:val="21"/>
                <w:highlight w:val="none"/>
                <w:u w:val="single"/>
              </w:rPr>
              <w:t xml:space="preserve">安全、电磁兼容性、可靠性应符合GB/T</w:t>
            </w:r>
            <w:r>
              <w:rPr>
                <w:rFonts w:hint="eastAsia" w:ascii="宋体" w:hAnsi="宋体" w:cs="宋体"/>
                <w:b/>
                <w:bCs/>
                <w:i/>
                <w:iCs/>
                <w:spacing w:val="-4"/>
                <w:szCs w:val="21"/>
                <w:highlight w:val="none"/>
                <w:u w:val="single"/>
              </w:rPr>
              <w:t xml:space="preserve">14081的相关规定；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43.</w:t>
            </w:r>
            <w:r>
              <w:rPr>
                <w:rFonts w:hint="eastAsia" w:ascii="宋体" w:hAnsi="宋体" w:cs="宋体"/>
                <w:b/>
                <w:bCs/>
                <w:i/>
                <w:iCs/>
                <w:spacing w:val="-2"/>
                <w:szCs w:val="21"/>
                <w:highlight w:val="none"/>
                <w:u w:val="single"/>
              </w:rPr>
              <w:t xml:space="preserve">鼠标连</w:t>
            </w:r>
            <w:r>
              <w:rPr>
                <w:rFonts w:hint="eastAsia" w:ascii="宋体" w:hAnsi="宋体" w:cs="宋体"/>
                <w:b/>
                <w:bCs/>
                <w:i/>
                <w:iCs/>
                <w:spacing w:val="-3"/>
                <w:szCs w:val="21"/>
                <w:highlight w:val="none"/>
                <w:u w:val="single"/>
              </w:rPr>
              <w:t xml:space="preserve">接方式：</w:t>
            </w:r>
            <w:r>
              <w:rPr>
                <w:rFonts w:hint="eastAsia" w:ascii="宋体" w:hAnsi="宋体" w:cs="宋体"/>
                <w:b/>
                <w:bCs/>
                <w:i/>
                <w:iCs/>
                <w:spacing w:val="-2"/>
                <w:szCs w:val="21"/>
                <w:highlight w:val="none"/>
                <w:u w:val="single"/>
              </w:rPr>
              <w:t xml:space="preserve">有线或无线；</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44.</w:t>
            </w:r>
            <w:r>
              <w:rPr>
                <w:rFonts w:hint="eastAsia" w:ascii="宋体" w:hAnsi="宋体" w:cs="宋体"/>
                <w:b/>
                <w:bCs/>
                <w:i/>
                <w:iCs/>
                <w:spacing w:val="-3"/>
                <w:szCs w:val="21"/>
                <w:highlight w:val="none"/>
                <w:u w:val="single"/>
              </w:rPr>
              <w:t xml:space="preserve">鼠标DPI分辨率：</w:t>
            </w:r>
            <w:r>
              <w:rPr>
                <w:rFonts w:hint="eastAsia" w:ascii="宋体" w:hAnsi="宋体" w:cs="宋体"/>
                <w:b/>
                <w:bCs/>
                <w:i/>
                <w:iCs/>
                <w:spacing w:val="-1"/>
                <w:szCs w:val="21"/>
                <w:highlight w:val="none"/>
                <w:u w:val="single"/>
              </w:rPr>
              <w:t xml:space="preserve">800~1600；</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45.</w:t>
            </w:r>
            <w:r>
              <w:rPr>
                <w:rFonts w:hint="eastAsia" w:ascii="宋体" w:hAnsi="宋体" w:cs="宋体"/>
                <w:b/>
                <w:bCs/>
                <w:i/>
                <w:iCs/>
                <w:spacing w:val="-2"/>
                <w:szCs w:val="21"/>
                <w:highlight w:val="none"/>
                <w:u w:val="single"/>
              </w:rPr>
              <w:t xml:space="preserve">鼠标其</w:t>
            </w:r>
            <w:r>
              <w:rPr>
                <w:rFonts w:hint="eastAsia" w:ascii="宋体" w:hAnsi="宋体" w:cs="宋体"/>
                <w:b/>
                <w:bCs/>
                <w:i/>
                <w:iCs/>
                <w:spacing w:val="-3"/>
                <w:szCs w:val="21"/>
                <w:highlight w:val="none"/>
                <w:u w:val="single"/>
              </w:rPr>
              <w:t xml:space="preserve">他要求：</w:t>
            </w:r>
            <w:r>
              <w:rPr>
                <w:rFonts w:hint="eastAsia" w:ascii="宋体" w:hAnsi="宋体" w:cs="宋体"/>
                <w:b/>
                <w:bCs/>
                <w:i/>
                <w:iCs/>
                <w:szCs w:val="21"/>
                <w:highlight w:val="none"/>
                <w:u w:val="single"/>
              </w:rPr>
              <w:t xml:space="preserve">其它参数应符合GB/T26245的相关规定；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46.</w:t>
            </w:r>
            <w:r>
              <w:rPr>
                <w:rFonts w:hint="eastAsia" w:ascii="宋体" w:hAnsi="宋体" w:cs="宋体"/>
                <w:b/>
                <w:bCs/>
                <w:i/>
                <w:iCs/>
                <w:spacing w:val="-2"/>
                <w:szCs w:val="21"/>
                <w:highlight w:val="none"/>
                <w:u w:val="single"/>
              </w:rPr>
              <w:t xml:space="preserve">有线网</w:t>
            </w:r>
            <w:r>
              <w:rPr>
                <w:rFonts w:hint="eastAsia" w:ascii="宋体" w:hAnsi="宋体" w:cs="宋体"/>
                <w:b/>
                <w:bCs/>
                <w:i/>
                <w:iCs/>
                <w:spacing w:val="-3"/>
                <w:szCs w:val="21"/>
                <w:highlight w:val="none"/>
                <w:u w:val="single"/>
              </w:rPr>
              <w:t xml:space="preserve">卡数量：</w:t>
            </w:r>
            <w:r>
              <w:rPr>
                <w:rFonts w:hint="eastAsia" w:ascii="宋体" w:hAnsi="宋体" w:cs="宋体"/>
                <w:b/>
                <w:bCs/>
                <w:i/>
                <w:iCs/>
                <w:spacing w:val="-13"/>
                <w:szCs w:val="21"/>
                <w:highlight w:val="none"/>
                <w:u w:val="single"/>
              </w:rPr>
              <w:t xml:space="preserve">≥1；</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47.</w:t>
            </w:r>
            <w:r>
              <w:rPr>
                <w:rFonts w:hint="eastAsia" w:ascii="宋体" w:hAnsi="宋体" w:cs="宋体"/>
                <w:b/>
                <w:bCs/>
                <w:i/>
                <w:iCs/>
                <w:spacing w:val="-3"/>
                <w:szCs w:val="21"/>
                <w:highlight w:val="none"/>
                <w:u w:val="single"/>
              </w:rPr>
              <w:t xml:space="preserve">USB接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6"/>
                <w:szCs w:val="21"/>
                <w:highlight w:val="none"/>
                <w:u w:val="single"/>
              </w:rPr>
              <w:t xml:space="preserve">≥8，机箱前板至少包括2个USB3.0及</w:t>
            </w:r>
            <w:r>
              <w:rPr>
                <w:rFonts w:hint="eastAsia" w:ascii="宋体" w:hAnsi="宋体" w:cs="宋体"/>
                <w:b/>
                <w:bCs/>
                <w:i/>
                <w:iCs/>
                <w:spacing w:val="-5"/>
                <w:szCs w:val="21"/>
                <w:highlight w:val="none"/>
                <w:u w:val="single"/>
              </w:rPr>
              <w:t xml:space="preserve">以上接口；</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48.</w:t>
            </w:r>
            <w:r>
              <w:rPr>
                <w:rFonts w:hint="eastAsia" w:ascii="宋体" w:hAnsi="宋体" w:cs="宋体"/>
                <w:b/>
                <w:bCs/>
                <w:i/>
                <w:iCs/>
                <w:spacing w:val="-2"/>
                <w:szCs w:val="21"/>
                <w:highlight w:val="none"/>
                <w:u w:val="single"/>
              </w:rPr>
              <w:t xml:space="preserve">视频接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13"/>
                <w:szCs w:val="21"/>
                <w:highlight w:val="none"/>
                <w:u w:val="single"/>
              </w:rPr>
              <w:t xml:space="preserve">≥1；</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49.</w:t>
            </w:r>
            <w:r>
              <w:rPr>
                <w:rFonts w:hint="eastAsia" w:ascii="宋体" w:hAnsi="宋体" w:cs="宋体"/>
                <w:b/>
                <w:bCs/>
                <w:i/>
                <w:iCs/>
                <w:spacing w:val="-2"/>
                <w:szCs w:val="21"/>
                <w:highlight w:val="none"/>
                <w:u w:val="single"/>
              </w:rPr>
              <w:t xml:space="preserve">音频接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13"/>
                <w:szCs w:val="21"/>
                <w:highlight w:val="none"/>
                <w:u w:val="single"/>
              </w:rPr>
              <w:t xml:space="preserve">≥1；</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50.</w:t>
            </w:r>
            <w:r>
              <w:rPr>
                <w:rFonts w:hint="eastAsia" w:ascii="宋体" w:hAnsi="宋体" w:cs="宋体"/>
                <w:b/>
                <w:bCs/>
                <w:i/>
                <w:iCs/>
                <w:spacing w:val="-2"/>
                <w:szCs w:val="21"/>
                <w:highlight w:val="none"/>
                <w:u w:val="single"/>
              </w:rPr>
              <w:t xml:space="preserve">整机外</w:t>
            </w:r>
            <w:r>
              <w:rPr>
                <w:rFonts w:hint="eastAsia" w:ascii="宋体" w:hAnsi="宋体" w:cs="宋体"/>
                <w:b/>
                <w:bCs/>
                <w:i/>
                <w:iCs/>
                <w:szCs w:val="21"/>
                <w:highlight w:val="none"/>
                <w:u w:val="single"/>
              </w:rPr>
              <w:t xml:space="preserve">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51.</w:t>
            </w:r>
            <w:r>
              <w:rPr>
                <w:rFonts w:hint="eastAsia" w:ascii="宋体" w:hAnsi="宋体" w:cs="宋体"/>
                <w:b/>
                <w:bCs/>
                <w:i/>
                <w:iCs/>
                <w:spacing w:val="-2"/>
                <w:szCs w:val="21"/>
                <w:highlight w:val="none"/>
                <w:u w:val="single"/>
              </w:rPr>
              <w:t xml:space="preserve">整机结</w:t>
            </w:r>
            <w:r>
              <w:rPr>
                <w:rFonts w:hint="eastAsia" w:ascii="宋体" w:hAnsi="宋体" w:cs="宋体"/>
                <w:b/>
                <w:bCs/>
                <w:i/>
                <w:iCs/>
                <w:szCs w:val="21"/>
                <w:highlight w:val="none"/>
                <w:u w:val="single"/>
              </w:rPr>
              <w:t xml:space="preserve">构：a)机箱应符合GB/T4208、GB/T26246的相关规定；b)产品内部结构应符合通用部件的安装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w:t>
            </w:r>
            <w:r>
              <w:rPr>
                <w:rFonts w:hint="eastAsia" w:ascii="宋体" w:hAnsi="宋体" w:cs="宋体"/>
                <w:b/>
                <w:bCs/>
                <w:i/>
                <w:iCs/>
                <w:szCs w:val="21"/>
                <w:highlight w:val="none"/>
                <w:u w:val="single"/>
              </w:rPr>
              <w:t xml:space="preserve">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52.</w:t>
            </w:r>
            <w:r>
              <w:rPr>
                <w:rFonts w:hint="eastAsia" w:ascii="宋体" w:hAnsi="宋体" w:cs="宋体"/>
                <w:b/>
                <w:bCs/>
                <w:i/>
                <w:iCs/>
                <w:spacing w:val="-2"/>
                <w:szCs w:val="21"/>
                <w:highlight w:val="none"/>
                <w:u w:val="single"/>
              </w:rPr>
              <w:t xml:space="preserve">机箱防</w:t>
            </w:r>
            <w:r>
              <w:rPr>
                <w:rFonts w:hint="eastAsia" w:ascii="宋体" w:hAnsi="宋体" w:cs="宋体"/>
                <w:b/>
                <w:bCs/>
                <w:i/>
                <w:iCs/>
                <w:spacing w:val="-3"/>
                <w:szCs w:val="21"/>
                <w:highlight w:val="none"/>
                <w:u w:val="single"/>
              </w:rPr>
              <w:t xml:space="preserve">护要求：</w:t>
            </w:r>
            <w:r>
              <w:rPr>
                <w:rFonts w:hint="eastAsia" w:ascii="宋体" w:hAnsi="宋体" w:cs="宋体"/>
                <w:b/>
                <w:bCs/>
                <w:i/>
                <w:iCs/>
                <w:spacing w:val="-5"/>
                <w:szCs w:val="21"/>
                <w:highlight w:val="none"/>
                <w:u w:val="single"/>
              </w:rPr>
              <w:t xml:space="preserve">机箱应符合GB/T4208中IP20防护要</w:t>
            </w:r>
            <w:r>
              <w:rPr>
                <w:rFonts w:hint="eastAsia" w:ascii="宋体" w:hAnsi="宋体" w:cs="宋体"/>
                <w:b/>
                <w:bCs/>
                <w:i/>
                <w:iCs/>
                <w:szCs w:val="21"/>
                <w:highlight w:val="none"/>
                <w:u w:val="single"/>
              </w:rPr>
              <w:t xml:space="preserve">求；</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53.</w:t>
            </w:r>
            <w:r>
              <w:rPr>
                <w:rFonts w:hint="eastAsia" w:ascii="宋体" w:hAnsi="宋体" w:cs="宋体"/>
                <w:b/>
                <w:bCs/>
                <w:i/>
                <w:iCs/>
                <w:spacing w:val="-2"/>
                <w:szCs w:val="21"/>
                <w:highlight w:val="none"/>
                <w:u w:val="single"/>
              </w:rPr>
              <w:t xml:space="preserve">整机噪</w:t>
            </w:r>
            <w:r>
              <w:rPr>
                <w:rFonts w:hint="eastAsia" w:ascii="宋体" w:hAnsi="宋体" w:cs="宋体"/>
                <w:b/>
                <w:bCs/>
                <w:i/>
                <w:iCs/>
                <w:szCs w:val="21"/>
                <w:highlight w:val="none"/>
                <w:u w:val="single"/>
              </w:rPr>
              <w:t xml:space="preserve">音：</w:t>
            </w:r>
            <w:r>
              <w:rPr>
                <w:rFonts w:hint="eastAsia" w:ascii="宋体" w:hAnsi="宋体" w:cs="宋体"/>
                <w:b/>
                <w:bCs/>
                <w:i/>
                <w:iCs/>
                <w:spacing w:val="-4"/>
                <w:szCs w:val="21"/>
                <w:highlight w:val="none"/>
                <w:u w:val="single"/>
              </w:rPr>
              <w:t xml:space="preserve">产品工作在空闲状态下，产品的声功率</w:t>
            </w:r>
            <w:r>
              <w:rPr>
                <w:rFonts w:hint="eastAsia" w:ascii="宋体" w:hAnsi="宋体" w:cs="宋体"/>
                <w:b/>
                <w:bCs/>
                <w:i/>
                <w:iCs/>
                <w:spacing w:val="-1"/>
                <w:szCs w:val="21"/>
                <w:highlight w:val="none"/>
                <w:u w:val="single"/>
              </w:rPr>
              <w:t xml:space="preserve">级应不超过4.5Bel；</w:t>
            </w:r>
            <w:r>
              <w:rPr>
                <w:highlight w:val="none"/>
              </w:rPr>
            </w:r>
            <w:r/>
          </w:p>
          <w:p>
            <w:pPr>
              <w:pStyle w:val="872"/>
              <w:spacing w:line="360" w:lineRule="auto"/>
              <w:tabs>
                <w:tab w:val="left" w:pos="1391" w:leader="none"/>
              </w:tabs>
              <w:rPr>
                <w:rFonts w:hint="eastAsia" w:ascii="宋体" w:hAnsi="宋体" w:cs="宋体"/>
                <w:b/>
                <w:bCs/>
                <w:i/>
                <w:iCs/>
                <w:szCs w:val="21"/>
                <w:highlight w:val="none"/>
                <w:u w:val="single"/>
              </w:rPr>
            </w:pPr>
            <w:r>
              <w:rPr>
                <w:rFonts w:hint="eastAsia" w:ascii="宋体" w:hAnsi="宋体" w:cs="宋体"/>
                <w:b/>
                <w:bCs/>
                <w:i/>
                <w:iCs/>
                <w:szCs w:val="21"/>
                <w:highlight w:val="none"/>
              </w:rPr>
              <w:t xml:space="preserve">54.</w:t>
            </w:r>
            <w:r>
              <w:rPr>
                <w:rFonts w:hint="eastAsia" w:ascii="宋体" w:hAnsi="宋体" w:cs="宋体"/>
                <w:b/>
                <w:bCs/>
                <w:i/>
                <w:iCs/>
                <w:spacing w:val="-2"/>
                <w:szCs w:val="21"/>
                <w:highlight w:val="none"/>
                <w:u w:val="single"/>
              </w:rPr>
              <w:t xml:space="preserve">整机散</w:t>
            </w:r>
            <w:r>
              <w:rPr>
                <w:rFonts w:hint="eastAsia" w:ascii="宋体" w:hAnsi="宋体" w:cs="宋体"/>
                <w:b/>
                <w:bCs/>
                <w:i/>
                <w:iCs/>
                <w:szCs w:val="21"/>
                <w:highlight w:val="none"/>
                <w:u w:val="single"/>
              </w:rPr>
              <w:t xml:space="preserve">热：在环境温度25℃及处理器满载情况下，产品表面温度应符合下列要求：</w:t>
            </w:r>
            <w:r>
              <w:rPr>
                <w:highlight w:val="none"/>
              </w:rPr>
            </w:r>
            <w:r/>
          </w:p>
          <w:p>
            <w:pPr>
              <w:pStyle w:val="872"/>
              <w:numPr>
                <w:ilvl w:val="0"/>
                <w:numId w:val="1"/>
              </w:numPr>
              <w:spacing w:line="360" w:lineRule="auto"/>
              <w:tabs>
                <w:tab w:val="left" w:pos="1391" w:leader="none"/>
              </w:tabs>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出风口在机箱后面板情况下，出风口温度不高于55℃;b)可触及面温度小于45℃;c)显示器表面温度：显示屏温度不高于38℃,显示屏上下灯带位置温度（如涉及）不高于40℃,出风口温度不高于45℃；</w:t>
            </w:r>
            <w:r>
              <w:rPr>
                <w:highlight w:val="none"/>
              </w:rPr>
            </w:r>
            <w:r/>
          </w:p>
          <w:p>
            <w:pPr>
              <w:pStyle w:val="872"/>
              <w:spacing w:line="360" w:lineRule="auto"/>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2"/>
                <w:szCs w:val="21"/>
                <w:highlight w:val="none"/>
                <w:u w:val="single"/>
              </w:rPr>
              <w:t xml:space="preserve">53.整机能效限定值：产品能效限定值应达到GB28380-2012标准中能效等级2级及以上；</w:t>
            </w:r>
            <w:r>
              <w:rPr>
                <w:highlight w:val="none"/>
              </w:rPr>
            </w:r>
            <w:r/>
          </w:p>
          <w:p>
            <w:pPr>
              <w:pStyle w:val="872"/>
              <w:spacing w:line="360" w:lineRule="auto"/>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2"/>
                <w:szCs w:val="21"/>
                <w:highlight w:val="none"/>
                <w:u w:val="single"/>
              </w:rPr>
              <w:t xml:space="preserve">54.机身颜</w:t>
            </w:r>
            <w:r>
              <w:rPr>
                <w:rFonts w:hint="eastAsia" w:ascii="宋体" w:hAnsi="宋体" w:cs="宋体"/>
                <w:b/>
                <w:bCs/>
                <w:i/>
                <w:iCs/>
                <w:szCs w:val="21"/>
                <w:highlight w:val="none"/>
                <w:u w:val="single"/>
              </w:rPr>
              <w:t xml:space="preserve">色：</w:t>
            </w:r>
            <w:r>
              <w:rPr>
                <w:rFonts w:hint="eastAsia" w:ascii="宋体" w:hAnsi="宋体" w:cs="宋体"/>
                <w:b/>
                <w:bCs/>
                <w:i/>
                <w:iCs/>
                <w:spacing w:val="-1"/>
                <w:szCs w:val="21"/>
                <w:highlight w:val="none"/>
                <w:u w:val="single"/>
              </w:rPr>
              <w:t xml:space="preserve">一般选用灰色/黑色等商务色系；</w:t>
            </w:r>
            <w:r>
              <w:rPr>
                <w:highlight w:val="none"/>
              </w:rPr>
            </w:r>
            <w:r/>
          </w:p>
          <w:p>
            <w:pPr>
              <w:pStyle w:val="872"/>
              <w:spacing w:line="360" w:lineRule="auto"/>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1"/>
                <w:szCs w:val="21"/>
                <w:highlight w:val="none"/>
                <w:u w:val="single"/>
              </w:rPr>
              <w:t xml:space="preserve">55.机箱尺寸容量：机箱体积应不大于40L；</w:t>
            </w:r>
            <w:r>
              <w:rPr>
                <w:highlight w:val="none"/>
              </w:rPr>
            </w:r>
            <w:r/>
          </w:p>
          <w:p>
            <w:pPr>
              <w:pStyle w:val="872"/>
              <w:spacing w:line="360" w:lineRule="auto"/>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1"/>
                <w:szCs w:val="21"/>
                <w:highlight w:val="none"/>
                <w:u w:val="single"/>
              </w:rPr>
              <w:t xml:space="preserve">56.CPU物理核数：核数或线程数≥8；</w:t>
            </w:r>
            <w:r>
              <w:rPr>
                <w:highlight w:val="none"/>
              </w:rPr>
            </w:r>
            <w:r/>
          </w:p>
          <w:p>
            <w:pPr>
              <w:pStyle w:val="872"/>
              <w:spacing w:line="360" w:lineRule="auto"/>
              <w:tabs>
                <w:tab w:val="left" w:pos="1391" w:leader="none"/>
              </w:tabs>
              <w:rPr>
                <w:rFonts w:hint="eastAsia" w:ascii="宋体" w:hAnsi="宋体" w:cs="宋体"/>
                <w:b/>
                <w:bCs/>
                <w:i/>
                <w:iCs/>
                <w:spacing w:val="-4"/>
                <w:szCs w:val="21"/>
                <w:highlight w:val="none"/>
                <w:u w:val="single"/>
              </w:rPr>
            </w:pPr>
            <w:r>
              <w:rPr>
                <w:rFonts w:hint="eastAsia" w:ascii="宋体" w:hAnsi="宋体" w:cs="宋体"/>
                <w:b/>
                <w:bCs/>
                <w:i/>
                <w:iCs/>
                <w:spacing w:val="-1"/>
                <w:szCs w:val="21"/>
                <w:highlight w:val="none"/>
                <w:u w:val="single"/>
              </w:rPr>
              <w:t xml:space="preserve">57.</w:t>
            </w:r>
            <w:r>
              <w:rPr>
                <w:rFonts w:hint="eastAsia" w:ascii="宋体" w:hAnsi="宋体" w:cs="宋体"/>
                <w:b/>
                <w:bCs/>
                <w:i/>
                <w:iCs/>
                <w:spacing w:val="-3"/>
                <w:szCs w:val="21"/>
                <w:highlight w:val="none"/>
                <w:u w:val="single"/>
              </w:rPr>
              <w:t xml:space="preserve">CPU主</w:t>
            </w:r>
            <w:r>
              <w:rPr>
                <w:rFonts w:hint="eastAsia" w:ascii="宋体" w:hAnsi="宋体" w:cs="宋体"/>
                <w:b/>
                <w:bCs/>
                <w:i/>
                <w:iCs/>
                <w:szCs w:val="21"/>
                <w:highlight w:val="none"/>
                <w:u w:val="single"/>
              </w:rPr>
              <w:t xml:space="preserve">频：</w:t>
            </w:r>
            <w:r>
              <w:rPr>
                <w:rFonts w:hint="eastAsia" w:ascii="宋体" w:hAnsi="宋体" w:cs="宋体"/>
                <w:b/>
                <w:bCs/>
                <w:i/>
                <w:iCs/>
                <w:spacing w:val="-4"/>
                <w:szCs w:val="21"/>
                <w:highlight w:val="none"/>
                <w:u w:val="single"/>
              </w:rPr>
              <w:t xml:space="preserve">≥2.2GHz；</w:t>
            </w:r>
            <w:r>
              <w:rPr>
                <w:highlight w:val="none"/>
              </w:rPr>
            </w:r>
            <w:r/>
          </w:p>
          <w:p>
            <w:pPr>
              <w:pStyle w:val="872"/>
              <w:spacing w:line="360" w:lineRule="auto"/>
              <w:tabs>
                <w:tab w:val="left" w:pos="1391" w:leader="none"/>
              </w:tabs>
              <w:rPr>
                <w:rFonts w:hint="eastAsia" w:ascii="宋体" w:hAnsi="宋体" w:cs="宋体"/>
                <w:b/>
                <w:bCs/>
                <w:i/>
                <w:iCs/>
                <w:spacing w:val="-7"/>
                <w:szCs w:val="21"/>
                <w:highlight w:val="none"/>
                <w:u w:val="single"/>
              </w:rPr>
            </w:pPr>
            <w:r>
              <w:rPr>
                <w:rFonts w:hint="eastAsia" w:ascii="宋体" w:hAnsi="宋体" w:cs="宋体"/>
                <w:b/>
                <w:bCs/>
                <w:i/>
                <w:iCs/>
                <w:spacing w:val="-3"/>
                <w:szCs w:val="21"/>
                <w:highlight w:val="none"/>
                <w:u w:val="single"/>
              </w:rPr>
              <w:t xml:space="preserve">58.CPU末级缓存容</w:t>
            </w:r>
            <w:r>
              <w:rPr>
                <w:rFonts w:hint="eastAsia" w:ascii="宋体" w:hAnsi="宋体" w:cs="宋体"/>
                <w:b/>
                <w:bCs/>
                <w:i/>
                <w:iCs/>
                <w:szCs w:val="21"/>
                <w:highlight w:val="none"/>
                <w:u w:val="single"/>
              </w:rPr>
              <w:t xml:space="preserve">量：</w:t>
            </w:r>
            <w:r>
              <w:rPr>
                <w:rFonts w:hint="eastAsia" w:ascii="宋体" w:hAnsi="宋体" w:cs="宋体"/>
                <w:b/>
                <w:bCs/>
                <w:i/>
                <w:iCs/>
                <w:spacing w:val="-7"/>
                <w:szCs w:val="21"/>
                <w:highlight w:val="none"/>
                <w:u w:val="single"/>
              </w:rPr>
              <w:t xml:space="preserve">≥8MB；</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7"/>
                <w:szCs w:val="21"/>
                <w:highlight w:val="none"/>
                <w:u w:val="single"/>
              </w:rPr>
              <w:t xml:space="preserve">59.</w:t>
            </w:r>
            <w:r>
              <w:rPr>
                <w:rFonts w:hint="eastAsia" w:ascii="宋体" w:hAnsi="宋体" w:cs="宋体"/>
                <w:b/>
                <w:bCs/>
                <w:i/>
                <w:iCs/>
                <w:spacing w:val="-4"/>
                <w:szCs w:val="21"/>
                <w:highlight w:val="none"/>
                <w:u w:val="single"/>
              </w:rPr>
              <w:t xml:space="preserve">CPU支</w:t>
            </w:r>
            <w:r>
              <w:rPr>
                <w:rFonts w:hint="eastAsia" w:ascii="宋体" w:hAnsi="宋体" w:cs="宋体"/>
                <w:b/>
                <w:bCs/>
                <w:i/>
                <w:iCs/>
                <w:spacing w:val="-2"/>
                <w:szCs w:val="21"/>
                <w:highlight w:val="none"/>
                <w:u w:val="single"/>
              </w:rPr>
              <w:t xml:space="preserve">持的内存最高速率：</w:t>
            </w:r>
            <w:r>
              <w:rPr>
                <w:rFonts w:hint="eastAsia" w:ascii="宋体" w:hAnsi="宋体" w:cs="宋体"/>
                <w:b/>
                <w:bCs/>
                <w:i/>
                <w:iCs/>
                <w:spacing w:val="-3"/>
                <w:szCs w:val="21"/>
                <w:highlight w:val="none"/>
                <w:u w:val="single"/>
              </w:rPr>
              <w:t xml:space="preserve">≥2666MT/s；</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60.</w:t>
            </w:r>
            <w:r>
              <w:rPr>
                <w:rFonts w:hint="eastAsia" w:ascii="宋体" w:hAnsi="宋体" w:cs="宋体"/>
                <w:b/>
                <w:bCs/>
                <w:i/>
                <w:iCs/>
                <w:spacing w:val="-2"/>
                <w:szCs w:val="21"/>
                <w:highlight w:val="none"/>
                <w:u w:val="single"/>
              </w:rPr>
              <w:t xml:space="preserve">内存读</w:t>
            </w:r>
            <w:r>
              <w:rPr>
                <w:rFonts w:hint="eastAsia" w:ascii="宋体" w:hAnsi="宋体" w:cs="宋体"/>
                <w:b/>
                <w:bCs/>
                <w:i/>
                <w:iCs/>
                <w:spacing w:val="-6"/>
                <w:szCs w:val="21"/>
                <w:highlight w:val="none"/>
                <w:u w:val="single"/>
              </w:rPr>
              <w:t xml:space="preserve">写速率：</w:t>
            </w:r>
            <w:r>
              <w:rPr>
                <w:rFonts w:hint="eastAsia" w:ascii="宋体" w:hAnsi="宋体" w:cs="宋体"/>
                <w:b/>
                <w:bCs/>
                <w:i/>
                <w:iCs/>
                <w:spacing w:val="-3"/>
                <w:szCs w:val="21"/>
                <w:highlight w:val="none"/>
                <w:u w:val="single"/>
              </w:rPr>
              <w:t xml:space="preserve">≥2666MT/s；</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61.</w:t>
            </w:r>
            <w:r>
              <w:rPr>
                <w:rFonts w:hint="eastAsia" w:ascii="宋体" w:hAnsi="宋体" w:cs="宋体"/>
                <w:b/>
                <w:bCs/>
                <w:i/>
                <w:iCs/>
                <w:spacing w:val="-2"/>
                <w:szCs w:val="21"/>
                <w:highlight w:val="none"/>
                <w:u w:val="single"/>
              </w:rPr>
              <w:t xml:space="preserve">显示分</w:t>
            </w:r>
            <w:r>
              <w:rPr>
                <w:rFonts w:hint="eastAsia" w:ascii="宋体" w:hAnsi="宋体" w:cs="宋体"/>
                <w:b/>
                <w:bCs/>
                <w:i/>
                <w:iCs/>
                <w:spacing w:val="-4"/>
                <w:szCs w:val="21"/>
                <w:highlight w:val="none"/>
                <w:u w:val="single"/>
              </w:rPr>
              <w:t xml:space="preserve">辨率：</w:t>
            </w:r>
            <w:r>
              <w:rPr>
                <w:rFonts w:hint="eastAsia" w:ascii="宋体" w:hAnsi="宋体" w:cs="宋体"/>
                <w:b/>
                <w:bCs/>
                <w:i/>
                <w:iCs/>
                <w:spacing w:val="-3"/>
                <w:szCs w:val="21"/>
                <w:highlight w:val="none"/>
                <w:u w:val="single"/>
              </w:rPr>
              <w:t xml:space="preserve">≥2560×1440；</w:t>
            </w:r>
            <w:r>
              <w:rPr>
                <w:highlight w:val="none"/>
              </w:rPr>
            </w:r>
            <w:r/>
          </w:p>
          <w:p>
            <w:pPr>
              <w:pStyle w:val="872"/>
              <w:spacing w:line="360" w:lineRule="auto"/>
              <w:tabs>
                <w:tab w:val="left" w:pos="1391" w:leader="none"/>
              </w:tabs>
              <w:rPr>
                <w:rFonts w:hint="eastAsia" w:ascii="宋体" w:hAnsi="宋体" w:cs="宋体"/>
                <w:b/>
                <w:bCs/>
                <w:i/>
                <w:iCs/>
                <w:spacing w:val="-4"/>
                <w:szCs w:val="21"/>
                <w:highlight w:val="none"/>
                <w:u w:val="single"/>
              </w:rPr>
            </w:pPr>
            <w:r>
              <w:rPr>
                <w:rFonts w:hint="eastAsia" w:ascii="宋体" w:hAnsi="宋体" w:cs="宋体"/>
                <w:b/>
                <w:bCs/>
                <w:i/>
                <w:iCs/>
                <w:spacing w:val="-3"/>
                <w:szCs w:val="21"/>
                <w:highlight w:val="none"/>
                <w:u w:val="single"/>
              </w:rPr>
              <w:t xml:space="preserve">62.</w:t>
            </w:r>
            <w:r>
              <w:rPr>
                <w:rFonts w:hint="eastAsia" w:ascii="宋体" w:hAnsi="宋体" w:cs="宋体"/>
                <w:b/>
                <w:bCs/>
                <w:i/>
                <w:iCs/>
                <w:spacing w:val="-2"/>
                <w:szCs w:val="21"/>
                <w:highlight w:val="none"/>
                <w:u w:val="single"/>
              </w:rPr>
              <w:t xml:space="preserve">显卡显</w:t>
            </w:r>
            <w:r>
              <w:rPr>
                <w:rFonts w:hint="eastAsia" w:ascii="宋体" w:hAnsi="宋体" w:cs="宋体"/>
                <w:b/>
                <w:bCs/>
                <w:i/>
                <w:iCs/>
                <w:spacing w:val="-3"/>
                <w:szCs w:val="21"/>
                <w:highlight w:val="none"/>
                <w:u w:val="single"/>
              </w:rPr>
              <w:t xml:space="preserve">示芯片核</w:t>
            </w:r>
            <w:r>
              <w:rPr>
                <w:rFonts w:hint="eastAsia" w:ascii="宋体" w:hAnsi="宋体" w:cs="宋体"/>
                <w:b/>
                <w:bCs/>
                <w:i/>
                <w:iCs/>
                <w:spacing w:val="-4"/>
                <w:szCs w:val="21"/>
                <w:highlight w:val="none"/>
                <w:u w:val="single"/>
              </w:rPr>
              <w:t xml:space="preserve">心频率：≥800MHz；</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4"/>
                <w:szCs w:val="21"/>
                <w:highlight w:val="none"/>
                <w:u w:val="single"/>
              </w:rPr>
              <w:t xml:space="preserve">63.</w:t>
            </w:r>
            <w:r>
              <w:rPr>
                <w:rFonts w:hint="eastAsia" w:ascii="宋体" w:hAnsi="宋体" w:cs="宋体"/>
                <w:b/>
                <w:bCs/>
                <w:i/>
                <w:iCs/>
                <w:spacing w:val="-2"/>
                <w:szCs w:val="21"/>
                <w:highlight w:val="none"/>
                <w:u w:val="single"/>
              </w:rPr>
              <w:t xml:space="preserve">显存等</w:t>
            </w:r>
            <w:r>
              <w:rPr>
                <w:rFonts w:hint="eastAsia" w:ascii="宋体" w:hAnsi="宋体" w:cs="宋体"/>
                <w:b/>
                <w:bCs/>
                <w:i/>
                <w:iCs/>
                <w:spacing w:val="-3"/>
                <w:szCs w:val="21"/>
                <w:highlight w:val="none"/>
                <w:u w:val="single"/>
              </w:rPr>
              <w:t xml:space="preserve">效频率：≥1600MT/s；</w:t>
            </w:r>
            <w:r>
              <w:rPr>
                <w:highlight w:val="none"/>
              </w:rPr>
            </w:r>
            <w:r/>
          </w:p>
          <w:p>
            <w:pPr>
              <w:pStyle w:val="872"/>
              <w:spacing w:line="360" w:lineRule="auto"/>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3"/>
                <w:szCs w:val="21"/>
                <w:highlight w:val="none"/>
                <w:u w:val="single"/>
              </w:rPr>
              <w:t xml:space="preserve">64.</w:t>
            </w:r>
            <w:r>
              <w:rPr>
                <w:rFonts w:hint="eastAsia" w:ascii="宋体" w:hAnsi="宋体" w:cs="宋体"/>
                <w:b/>
                <w:bCs/>
                <w:i/>
                <w:iCs/>
                <w:spacing w:val="-2"/>
                <w:szCs w:val="21"/>
                <w:highlight w:val="none"/>
                <w:u w:val="single"/>
              </w:rPr>
              <w:t xml:space="preserve">显卡可支持多屏同时显示</w:t>
            </w:r>
            <w:r>
              <w:rPr>
                <w:rFonts w:hint="eastAsia" w:ascii="宋体" w:hAnsi="宋体" w:cs="宋体"/>
                <w:b/>
                <w:bCs/>
                <w:i/>
                <w:iCs/>
                <w:spacing w:val="-4"/>
                <w:szCs w:val="21"/>
                <w:highlight w:val="none"/>
                <w:u w:val="single"/>
              </w:rPr>
              <w:t xml:space="preserve">数量：</w:t>
            </w:r>
            <w:r>
              <w:rPr>
                <w:rFonts w:hint="eastAsia" w:ascii="宋体" w:hAnsi="宋体" w:cs="宋体"/>
                <w:b/>
                <w:bCs/>
                <w:i/>
                <w:iCs/>
                <w:spacing w:val="-6"/>
                <w:szCs w:val="21"/>
                <w:highlight w:val="none"/>
                <w:u w:val="single"/>
              </w:rPr>
              <w:t xml:space="preserve">支持2块屏幕同时显示，分辨率应不低</w:t>
            </w:r>
            <w:r>
              <w:rPr>
                <w:rFonts w:hint="eastAsia" w:ascii="宋体" w:hAnsi="宋体" w:cs="宋体"/>
                <w:b/>
                <w:bCs/>
                <w:i/>
                <w:iCs/>
                <w:spacing w:val="-2"/>
                <w:szCs w:val="21"/>
                <w:highlight w:val="none"/>
                <w:u w:val="single"/>
              </w:rPr>
              <w:t xml:space="preserve">于2560×1440；</w:t>
            </w:r>
            <w:r>
              <w:rPr>
                <w:highlight w:val="none"/>
              </w:rPr>
            </w:r>
            <w:r/>
          </w:p>
          <w:p>
            <w:pPr>
              <w:pStyle w:val="872"/>
              <w:spacing w:line="360" w:lineRule="auto"/>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2"/>
                <w:szCs w:val="21"/>
                <w:highlight w:val="none"/>
                <w:u w:val="single"/>
              </w:rPr>
              <w:t xml:space="preserve">65.显示屏刷新率：</w:t>
            </w:r>
            <w:r>
              <w:rPr>
                <w:rFonts w:hint="eastAsia" w:ascii="宋体" w:hAnsi="宋体" w:cs="宋体"/>
                <w:b/>
                <w:bCs/>
                <w:i/>
                <w:iCs/>
                <w:spacing w:val="-6"/>
                <w:szCs w:val="21"/>
                <w:highlight w:val="none"/>
                <w:u w:val="single"/>
              </w:rPr>
              <w:t xml:space="preserve">≥60Hz；</w:t>
            </w:r>
            <w:r>
              <w:rPr>
                <w:highlight w:val="none"/>
              </w:rPr>
            </w:r>
            <w:r/>
          </w:p>
          <w:p>
            <w:pPr>
              <w:pStyle w:val="872"/>
              <w:spacing w:line="360" w:lineRule="auto"/>
              <w:tabs>
                <w:tab w:val="left" w:pos="1391" w:leader="none"/>
              </w:tabs>
              <w:rPr>
                <w:rFonts w:hint="eastAsia" w:ascii="宋体" w:hAnsi="宋体" w:cs="宋体"/>
                <w:b/>
                <w:bCs/>
                <w:i/>
                <w:iCs/>
                <w:spacing w:val="-9"/>
                <w:szCs w:val="21"/>
                <w:highlight w:val="none"/>
                <w:u w:val="single"/>
              </w:rPr>
            </w:pPr>
            <w:r>
              <w:rPr>
                <w:rFonts w:hint="eastAsia" w:ascii="宋体" w:hAnsi="宋体" w:cs="宋体"/>
                <w:b/>
                <w:bCs/>
                <w:i/>
                <w:iCs/>
                <w:spacing w:val="-6"/>
                <w:szCs w:val="21"/>
                <w:highlight w:val="none"/>
                <w:u w:val="single"/>
              </w:rPr>
              <w:t xml:space="preserve">66.</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位深：</w:t>
            </w:r>
            <w:r>
              <w:rPr>
                <w:rFonts w:hint="eastAsia" w:ascii="宋体" w:hAnsi="宋体" w:cs="宋体"/>
                <w:b/>
                <w:bCs/>
                <w:i/>
                <w:iCs/>
                <w:spacing w:val="-9"/>
                <w:szCs w:val="21"/>
                <w:highlight w:val="none"/>
                <w:u w:val="single"/>
              </w:rPr>
              <w:t xml:space="preserve">≥8位；</w:t>
            </w:r>
            <w:r>
              <w:rPr>
                <w:highlight w:val="none"/>
              </w:rPr>
            </w:r>
            <w:r/>
          </w:p>
          <w:p>
            <w:pPr>
              <w:pStyle w:val="872"/>
              <w:spacing w:line="360" w:lineRule="auto"/>
              <w:tabs>
                <w:tab w:val="left" w:pos="1391" w:leader="none"/>
              </w:tabs>
              <w:rPr>
                <w:rFonts w:hint="eastAsia" w:ascii="宋体" w:hAnsi="宋体" w:cs="宋体"/>
                <w:b/>
                <w:bCs/>
                <w:i/>
                <w:iCs/>
                <w:spacing w:val="-5"/>
                <w:szCs w:val="21"/>
                <w:highlight w:val="none"/>
                <w:u w:val="single"/>
              </w:rPr>
            </w:pPr>
            <w:r>
              <w:rPr>
                <w:rFonts w:hint="eastAsia" w:ascii="宋体" w:hAnsi="宋体" w:cs="宋体"/>
                <w:b/>
                <w:bCs/>
                <w:i/>
                <w:iCs/>
                <w:spacing w:val="-9"/>
                <w:szCs w:val="21"/>
                <w:highlight w:val="none"/>
                <w:u w:val="single"/>
              </w:rPr>
              <w:t xml:space="preserve">67.</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5"/>
                <w:szCs w:val="21"/>
                <w:highlight w:val="none"/>
                <w:u w:val="single"/>
              </w:rPr>
              <w:t xml:space="preserve">色域：≥99%sRGB；</w:t>
            </w:r>
            <w:r>
              <w:rPr>
                <w:highlight w:val="none"/>
              </w:rPr>
            </w:r>
            <w:r/>
          </w:p>
          <w:p>
            <w:pPr>
              <w:pStyle w:val="872"/>
              <w:spacing w:line="360" w:lineRule="auto"/>
              <w:tabs>
                <w:tab w:val="left" w:pos="1391" w:leader="none"/>
              </w:tabs>
              <w:rPr>
                <w:rFonts w:hint="eastAsia" w:ascii="宋体" w:hAnsi="宋体" w:cs="宋体"/>
                <w:b/>
                <w:bCs/>
                <w:i/>
                <w:iCs/>
                <w:spacing w:val="-9"/>
                <w:szCs w:val="21"/>
                <w:highlight w:val="none"/>
                <w:u w:val="single"/>
              </w:rPr>
            </w:pPr>
            <w:r>
              <w:rPr>
                <w:rFonts w:hint="eastAsia" w:ascii="宋体" w:hAnsi="宋体" w:cs="宋体"/>
                <w:b/>
                <w:bCs/>
                <w:i/>
                <w:iCs/>
                <w:spacing w:val="-5"/>
                <w:szCs w:val="21"/>
                <w:highlight w:val="none"/>
                <w:u w:val="single"/>
              </w:rPr>
              <w:t xml:space="preserve">68.</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5"/>
                <w:szCs w:val="21"/>
                <w:highlight w:val="none"/>
                <w:u w:val="single"/>
              </w:rPr>
              <w:t xml:space="preserve">色准：</w:t>
            </w:r>
            <w:r>
              <w:rPr>
                <w:rFonts w:hint="eastAsia" w:ascii="宋体" w:hAnsi="宋体" w:cs="宋体"/>
                <w:b/>
                <w:bCs/>
                <w:i/>
                <w:iCs/>
                <w:spacing w:val="-9"/>
                <w:szCs w:val="21"/>
                <w:highlight w:val="none"/>
                <w:u w:val="single"/>
              </w:rPr>
              <w:t xml:space="preserve">△E≤3；</w:t>
            </w:r>
            <w:r>
              <w:rPr>
                <w:highlight w:val="none"/>
              </w:rPr>
            </w:r>
            <w:r/>
          </w:p>
          <w:p>
            <w:pPr>
              <w:pStyle w:val="872"/>
              <w:spacing w:line="360" w:lineRule="auto"/>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9"/>
                <w:szCs w:val="21"/>
                <w:highlight w:val="none"/>
                <w:u w:val="single"/>
              </w:rPr>
              <w:t xml:space="preserve">69.</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响应时间：</w:t>
            </w:r>
            <w:r>
              <w:rPr>
                <w:rFonts w:hint="eastAsia" w:ascii="宋体" w:hAnsi="宋体" w:cs="宋体"/>
                <w:b/>
                <w:bCs/>
                <w:i/>
                <w:iCs/>
                <w:spacing w:val="-6"/>
                <w:szCs w:val="21"/>
                <w:highlight w:val="none"/>
                <w:u w:val="single"/>
              </w:rPr>
              <w:t xml:space="preserve">≤6ms；</w:t>
            </w:r>
            <w:r>
              <w:rPr>
                <w:highlight w:val="none"/>
              </w:rPr>
            </w:r>
            <w:r/>
          </w:p>
          <w:p>
            <w:pPr>
              <w:pStyle w:val="872"/>
              <w:spacing w:line="360" w:lineRule="auto"/>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6"/>
                <w:szCs w:val="21"/>
                <w:highlight w:val="none"/>
                <w:u w:val="single"/>
              </w:rPr>
              <w:t xml:space="preserve">70.</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亮度：≥300尼特；</w:t>
            </w:r>
            <w:r>
              <w:rPr>
                <w:highlight w:val="none"/>
              </w:rPr>
            </w:r>
            <w:r/>
          </w:p>
          <w:p>
            <w:pPr>
              <w:pStyle w:val="872"/>
              <w:spacing w:line="360" w:lineRule="auto"/>
              <w:tabs>
                <w:tab w:val="left" w:pos="1391" w:leader="none"/>
              </w:tabs>
              <w:rPr>
                <w:rFonts w:hint="eastAsia" w:ascii="宋体" w:hAnsi="宋体" w:cs="宋体"/>
                <w:b/>
                <w:bCs/>
                <w:i/>
                <w:iCs/>
                <w:spacing w:val="-7"/>
                <w:szCs w:val="21"/>
                <w:highlight w:val="none"/>
                <w:u w:val="single"/>
              </w:rPr>
            </w:pPr>
            <w:r>
              <w:rPr>
                <w:rFonts w:hint="eastAsia" w:ascii="宋体" w:hAnsi="宋体" w:cs="宋体"/>
                <w:b/>
                <w:bCs/>
                <w:i/>
                <w:iCs/>
                <w:spacing w:val="-6"/>
                <w:szCs w:val="21"/>
                <w:highlight w:val="none"/>
                <w:u w:val="single"/>
              </w:rPr>
              <w:t xml:space="preserve">71.</w:t>
            </w:r>
            <w:r>
              <w:rPr>
                <w:rFonts w:hint="eastAsia" w:ascii="宋体" w:hAnsi="宋体" w:cs="宋体"/>
                <w:b/>
                <w:bCs/>
                <w:i/>
                <w:iCs/>
                <w:spacing w:val="-2"/>
                <w:szCs w:val="21"/>
                <w:highlight w:val="none"/>
                <w:u w:val="single"/>
              </w:rPr>
              <w:t xml:space="preserve">显示屏亮度一致</w:t>
            </w:r>
            <w:r>
              <w:rPr>
                <w:rFonts w:hint="eastAsia" w:ascii="宋体" w:hAnsi="宋体" w:cs="宋体"/>
                <w:b/>
                <w:bCs/>
                <w:i/>
                <w:iCs/>
                <w:szCs w:val="21"/>
                <w:highlight w:val="none"/>
                <w:u w:val="single"/>
              </w:rPr>
              <w:t xml:space="preserve">性：</w:t>
            </w:r>
            <w:r>
              <w:rPr>
                <w:rFonts w:hint="eastAsia" w:ascii="宋体" w:hAnsi="宋体" w:cs="宋体"/>
                <w:b/>
                <w:bCs/>
                <w:i/>
                <w:iCs/>
                <w:spacing w:val="-7"/>
                <w:szCs w:val="21"/>
                <w:highlight w:val="none"/>
                <w:u w:val="single"/>
              </w:rPr>
              <w:t xml:space="preserve">≥70%；</w:t>
            </w:r>
            <w:r>
              <w:rPr>
                <w:highlight w:val="none"/>
              </w:rPr>
            </w:r>
            <w:r/>
          </w:p>
          <w:p>
            <w:pPr>
              <w:pStyle w:val="872"/>
              <w:spacing w:line="360" w:lineRule="auto"/>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7"/>
                <w:szCs w:val="21"/>
                <w:highlight w:val="none"/>
                <w:u w:val="single"/>
              </w:rPr>
              <w:t xml:space="preserve">72.</w:t>
            </w:r>
            <w:r>
              <w:rPr>
                <w:rFonts w:hint="eastAsia" w:ascii="宋体" w:hAnsi="宋体" w:cs="宋体"/>
                <w:b/>
                <w:bCs/>
                <w:i/>
                <w:iCs/>
                <w:spacing w:val="-2"/>
                <w:szCs w:val="21"/>
                <w:highlight w:val="none"/>
                <w:u w:val="single"/>
              </w:rPr>
              <w:t xml:space="preserve">显示屏对比度：≥500：1；</w:t>
            </w:r>
            <w:r>
              <w:rPr>
                <w:highlight w:val="none"/>
              </w:rPr>
            </w:r>
            <w:r/>
          </w:p>
          <w:p>
            <w:pPr>
              <w:pStyle w:val="872"/>
              <w:spacing w:line="360" w:lineRule="auto"/>
              <w:tabs>
                <w:tab w:val="left" w:pos="1391" w:leader="none"/>
              </w:tabs>
              <w:rPr>
                <w:rFonts w:hint="eastAsia" w:ascii="宋体" w:hAnsi="宋体" w:cs="宋体"/>
                <w:b/>
                <w:bCs/>
                <w:i/>
                <w:iCs/>
                <w:szCs w:val="21"/>
                <w:highlight w:val="none"/>
                <w:u w:val="single"/>
              </w:rPr>
            </w:pPr>
            <w:r>
              <w:rPr>
                <w:rFonts w:hint="eastAsia" w:ascii="宋体" w:hAnsi="宋体" w:cs="宋体"/>
                <w:b/>
                <w:bCs/>
                <w:i/>
                <w:iCs/>
                <w:spacing w:val="-2"/>
                <w:szCs w:val="21"/>
                <w:highlight w:val="none"/>
                <w:u w:val="single"/>
              </w:rPr>
              <w:t xml:space="preserve">73.显示屏</w:t>
            </w:r>
            <w:r>
              <w:rPr>
                <w:rFonts w:hint="eastAsia" w:ascii="宋体" w:hAnsi="宋体" w:cs="宋体"/>
                <w:b/>
                <w:bCs/>
                <w:i/>
                <w:iCs/>
                <w:spacing w:val="-3"/>
                <w:szCs w:val="21"/>
                <w:highlight w:val="none"/>
                <w:u w:val="single"/>
              </w:rPr>
              <w:t xml:space="preserve">其他参数：</w:t>
            </w:r>
            <w:r>
              <w:rPr>
                <w:rFonts w:hint="eastAsia" w:ascii="宋体" w:hAnsi="宋体" w:cs="宋体"/>
                <w:b/>
                <w:bCs/>
                <w:i/>
                <w:iCs/>
                <w:szCs w:val="21"/>
                <w:highlight w:val="none"/>
                <w:u w:val="single"/>
              </w:rPr>
              <w:t xml:space="preserve">其它参数应符合SJ/T11292的相关规定；</w:t>
            </w:r>
            <w:r>
              <w:rPr>
                <w:highlight w:val="none"/>
              </w:rPr>
            </w:r>
            <w:r/>
          </w:p>
          <w:p>
            <w:pPr>
              <w:pStyle w:val="872"/>
              <w:spacing w:line="360" w:lineRule="auto"/>
              <w:tabs>
                <w:tab w:val="left" w:pos="1391" w:leader="none"/>
              </w:tabs>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74.</w:t>
            </w:r>
            <w:r>
              <w:rPr>
                <w:rFonts w:hint="eastAsia" w:ascii="宋体" w:hAnsi="宋体" w:cs="宋体"/>
                <w:b/>
                <w:bCs/>
                <w:i/>
                <w:iCs/>
                <w:spacing w:val="-2"/>
                <w:szCs w:val="21"/>
                <w:highlight w:val="none"/>
                <w:u w:val="single"/>
              </w:rPr>
              <w:t xml:space="preserve">有线网</w:t>
            </w:r>
            <w:r>
              <w:rPr>
                <w:rFonts w:hint="eastAsia" w:ascii="宋体" w:hAnsi="宋体" w:cs="宋体"/>
                <w:b/>
                <w:bCs/>
                <w:i/>
                <w:iCs/>
                <w:spacing w:val="-3"/>
                <w:szCs w:val="21"/>
                <w:highlight w:val="none"/>
                <w:u w:val="single"/>
              </w:rPr>
              <w:t xml:space="preserve">卡速率：</w:t>
            </w:r>
            <w:r>
              <w:rPr>
                <w:rFonts w:hint="eastAsia" w:ascii="宋体" w:hAnsi="宋体" w:cs="宋体"/>
                <w:b/>
                <w:bCs/>
                <w:i/>
                <w:iCs/>
                <w:spacing w:val="-2"/>
                <w:szCs w:val="21"/>
                <w:highlight w:val="none"/>
                <w:u w:val="single"/>
              </w:rPr>
              <w:t xml:space="preserve">最高速率应不低于1000Mbps，应支持</w:t>
            </w:r>
            <w:r>
              <w:rPr>
                <w:rFonts w:hint="eastAsia" w:ascii="宋体" w:hAnsi="宋体" w:cs="宋体"/>
                <w:b/>
                <w:bCs/>
                <w:i/>
                <w:iCs/>
                <w:spacing w:val="-1"/>
                <w:szCs w:val="21"/>
                <w:highlight w:val="none"/>
                <w:u w:val="single"/>
              </w:rPr>
              <w:t xml:space="preserve">10Mbps、100Mbps、1000</w:t>
            </w:r>
            <w:r>
              <w:rPr>
                <w:rFonts w:hint="eastAsia" w:ascii="宋体" w:hAnsi="宋体" w:cs="宋体"/>
                <w:b/>
                <w:bCs/>
                <w:i/>
                <w:iCs/>
                <w:spacing w:val="-2"/>
                <w:szCs w:val="21"/>
                <w:highlight w:val="none"/>
                <w:u w:val="single"/>
              </w:rPr>
              <w:t xml:space="preserve">Mbps速率自适</w:t>
            </w:r>
            <w:r>
              <w:rPr>
                <w:rFonts w:hint="eastAsia" w:ascii="宋体" w:hAnsi="宋体" w:cs="宋体"/>
                <w:b/>
                <w:bCs/>
                <w:i/>
                <w:iCs/>
                <w:szCs w:val="21"/>
                <w:highlight w:val="none"/>
                <w:u w:val="single"/>
              </w:rPr>
              <w:t xml:space="preserve">应；</w:t>
            </w:r>
            <w:r>
              <w:rPr>
                <w:highlight w:val="none"/>
              </w:rPr>
            </w:r>
            <w:r/>
          </w:p>
          <w:p>
            <w:pPr>
              <w:pStyle w:val="872"/>
              <w:spacing w:line="360" w:lineRule="auto"/>
              <w:tabs>
                <w:tab w:val="left" w:pos="1391" w:leader="none"/>
              </w:tabs>
              <w:rPr>
                <w:rFonts w:hint="eastAsia" w:ascii="宋体" w:hAnsi="宋体" w:cs="宋体"/>
                <w:b/>
                <w:bCs/>
                <w:i/>
                <w:iCs/>
                <w:spacing w:val="-13"/>
                <w:szCs w:val="21"/>
                <w:highlight w:val="none"/>
                <w:u w:val="single"/>
              </w:rPr>
            </w:pPr>
            <w:r>
              <w:rPr>
                <w:rFonts w:hint="eastAsia" w:ascii="宋体" w:hAnsi="宋体" w:cs="宋体"/>
                <w:b/>
                <w:bCs/>
                <w:i/>
                <w:iCs/>
                <w:szCs w:val="21"/>
                <w:highlight w:val="none"/>
                <w:u w:val="single"/>
              </w:rPr>
              <w:t xml:space="preserve">75.</w:t>
            </w:r>
            <w:r>
              <w:rPr>
                <w:rFonts w:hint="eastAsia" w:ascii="宋体" w:hAnsi="宋体" w:cs="宋体"/>
                <w:b/>
                <w:bCs/>
                <w:i/>
                <w:iCs/>
                <w:spacing w:val="-2"/>
                <w:szCs w:val="21"/>
                <w:highlight w:val="none"/>
                <w:u w:val="single"/>
              </w:rPr>
              <w:t xml:space="preserve">内存扩</w:t>
            </w:r>
            <w:r>
              <w:rPr>
                <w:rFonts w:hint="eastAsia" w:ascii="宋体" w:hAnsi="宋体" w:cs="宋体"/>
                <w:b/>
                <w:bCs/>
                <w:i/>
                <w:iCs/>
                <w:spacing w:val="-3"/>
                <w:szCs w:val="21"/>
                <w:highlight w:val="none"/>
                <w:u w:val="single"/>
              </w:rPr>
              <w:t xml:space="preserve">展接口(板载内存不涉</w:t>
            </w:r>
            <w:r>
              <w:rPr>
                <w:rFonts w:hint="eastAsia" w:ascii="宋体" w:hAnsi="宋体" w:cs="宋体"/>
                <w:b/>
                <w:bCs/>
                <w:i/>
                <w:iCs/>
                <w:spacing w:val="-4"/>
                <w:szCs w:val="21"/>
                <w:highlight w:val="none"/>
                <w:u w:val="single"/>
              </w:rPr>
              <w:t xml:space="preserve">及)：</w:t>
            </w:r>
            <w:r>
              <w:rPr>
                <w:rFonts w:hint="eastAsia" w:ascii="宋体" w:hAnsi="宋体" w:cs="宋体"/>
                <w:b/>
                <w:bCs/>
                <w:i/>
                <w:iCs/>
                <w:spacing w:val="-13"/>
                <w:szCs w:val="21"/>
                <w:highlight w:val="none"/>
                <w:u w:val="single"/>
              </w:rPr>
              <w:t xml:space="preserve">≥4；</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76.主板USB瞬间过流保护：支持瞬间过流保护功能；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77.主板防静电保护：支持防静电保护功能；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78.I/O接口功能：提供基于标准USB接口外设连接功能、基于音频输入输出接口的音频扩展功能、基于PCIe接口板卡扩展功能、基于HDMI/VGA/Type-C/DVI/DP等接口外接显示器扩展功能、基于存储接口对产品进行增容功能等。工作站I/O接口应具备外接标准USB设备、显示器、音频设备等内外部设备能力；</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79.显卡外接显示接口：显卡至少支持VGA、HDMI、DVI、DP、Type-C中1种显示接口，并与显示器接口相匹配；</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80.显示器接口：显示器应与显卡外接显示接口匹配；</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81.显示器支架：显示器应提供显示器支架，宜支持屏幕旋转、支架可升降等；</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82.显示器参数调节：a)提供OSD选单按钮用于调节色彩、模式等；b)支持色温、亮度、对比度调节；</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83.存储功能：通过SATA固态存储/PCIe固态存储/UFS固态存储/SATA硬磁盘等存储部件提供存储功能；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84.网络功能：a)支持网络连接、网络开启/关闭功能；b)支持访问网络和数据交换功能；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85.数据传输：支持数据传输能力，并提供数据流量和异常日志记录功能;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86.有线网卡接口类型:支持RJ45接口;</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87.网络设备拆装：若配备的网络设备应支持物理拆装，包括无线网卡和蓝牙模块等；</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88.音频接口类型：支持3.5mm孔径3段式或4段式接口；</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89.视频接口类型：至少支持VGA、HDMI、DVI、DP、Type-C中1种显示接口；</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90.HDMI、DP、Type-C显示接口要求：若提供HDMI或DP或Type-C作为显示接口，应支持音频和视频同步输出；</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91.电源线适配能力：电源适配器电线组件应符合GB/T15934的要求，可拆线的插头和连接器可以不做要求；</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92.中文信息处理要求：符合GB18030的相关规定；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93.操作系统备份及还原功能：支持操作系统备份及还原功能；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94.固件备份还原能力：支持备份及还原固件的功能；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95.操作系统及驱动升级：支持通过网络、闪存盘等方式对操作系统、驱动进行升级；</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96.BIOS支持关闭通讯接口：支持BIOS关闭以太网及USB接口功能；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97.固件查看信息：支持查看固件版本、内存信息、主板信息、处理器信息和系统时间信息等功能；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98.固件设置启动顺序：支持设置启动顺序功能，并按照设置的启动顺序启动；</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99.固件设置口令：支持设置口令、修改口令、验证口令功能；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100.固件设置网络引导：支持网络引导启动和关闭功能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101.固态存储寿命：TBW≥80TB（条件：240GB硬盘容量）；</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102.机械硬盘寿命：通电时间≥5万小时；</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103.显示屏屏幕失效点：符合GB/T9813.2的要求；</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104.键盘按键寿命：≥1000万次；</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105.鼠标按键寿命：≥500万次；</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106.键盘鼠标线材寿命：键盘鼠标所用线材经±60°弯折不低于3000次，功能、外观完好；</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107.风扇寿命：≥4万小时；</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108.电磁兼容性要求的抗扰度：符合GB/T9254.2的规定；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109.环境条件要求的气候环境适应性：符合GB/T9813.1中规定；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110.环境条件要求的振动适应性：符合GB/T9813.1中规定；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111.环境条件要求的冲击适应性：符合GB/T9813.1中规定；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112.环境条件要求的碰撞适应性：符合GB/T9813.1中规定；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113.环境条件要求的运输包装件跌落适应性：符合GB/T9813.1中规定；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114.MTBF测试：MTBF(m1)≥3万小时；</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115.常用软件兼容：应支持流式软件、版式软件、浏览器、邮件客户端、解压软件、多媒体、图形图像处理等常用软件；</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116.数据库兼容：应支持流式软件、版式软件、浏览器、邮件客户端、解压软件、多媒体、图形图像处理等常用软件；</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117.中间件兼容：兼容3个及以上中间件产品</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118.平台软件兼容：兼容3个及以上厂商云计算及大数据平台；</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119.标志、包装、运输和贮存：符合GB/T9813.1和商品包装政府采购需求标准的相关规定；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120.配置检查工具：供应商提供经自检测试工具；</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121.服务响应：a）提供产品3年维保及上门服务（满足同城4小时、异地12小时响应要求）；b）提供政企专线7*24在线服务；c）现场保障技术服务团队员，国内上门服务地级市覆盖率达100%；</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122.服务周期：支持产品延保≥3年提供每年延保服务报价提供备件服务能力≥6年（自购买之日起）；</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123.预装操作系统：预装符合桌面操作系统政府采购需求标准的正版操作系统；</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124.培训服务：供应商提供培训材料、产品手册、培训视频等培训相关内容；</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125.典型问题解决手册：供应商提供典型问题解决说明文档或视频；</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126.厂家升级软件与扩容服务：供应商提供上门升级部件/软件的增值服务；</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127.整机质量服务要求：供应商提供上门升级部件/软件的增值服务；</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128.合格证书要求：供应商提供产品合格证；</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129.开箱组装/使用指导要求：供应商提供开箱组装/使用指导；</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130.驱动下载服务要求：供应商提供驱动光盘或下载方式；</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131.兼容适配软件下载服务要求：供应商提供兼容适配软件下载渠道（光盘、网站）；</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132.产品部件保障：保障产品主要部件提供6年的备件服务能力(自购买之日起)，或提供可兼容原设备的升级换代产品；</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133.抗干扰性：当产品部件出现供应风险时，供应商应通知采购人并提供风险应对方案确保产品的服务保障；</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134.供应能力证明：供应商提供供应链稳定承诺书，确保产品的部件在产品服务周期内稳定供货；</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135.关键部件安全要求：CPU和操作系统等关键部件应当符合安全可靠测评要求；</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136.密码算法实现：CPU芯片应符合GM/T0008的相关规定，或芯片密码模块应符合GB/T37092或GM/T0028的相关规定；</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137.信息安全基本要求：a)应符合GB/T39276的5.2的规定；b)生产厂商应建立漏洞跟踪表，保证产品版本涉及到的漏洞(如驱动程序等)可查看；c)产品不得包含已知的恶意代码或漏洞，不存在未声明的指令、功能、接口；</w:t>
            </w:r>
            <w:r>
              <w:rPr>
                <w:highlight w:val="none"/>
              </w:rPr>
            </w:r>
            <w:r/>
          </w:p>
          <w:p>
            <w:pPr>
              <w:pStyle w:val="872"/>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138.固件安全启动：支持固件安全启动功能，固件启动过程中只有通过启动校验才能正常启动；</w:t>
            </w:r>
            <w:r>
              <w:rPr>
                <w:highlight w:val="none"/>
              </w:rPr>
            </w:r>
            <w:r/>
          </w:p>
          <w:p>
            <w:pPr>
              <w:pStyle w:val="872"/>
              <w:spacing w:line="360" w:lineRule="auto"/>
              <w:tabs>
                <w:tab w:val="left" w:pos="1391" w:leader="none"/>
              </w:tabs>
              <w:rPr>
                <w:rFonts w:hint="eastAsia" w:ascii="宋体" w:hAnsi="宋体" w:cs="宋体"/>
                <w:b/>
                <w:bCs/>
                <w:i/>
                <w:iCs/>
                <w:szCs w:val="21"/>
                <w:highlight w:val="none"/>
                <w:u w:val="single"/>
              </w:rPr>
            </w:pPr>
            <w:r>
              <w:rPr>
                <w:rFonts w:hint="eastAsia" w:ascii="宋体" w:hAnsi="宋体" w:cs="宋体"/>
                <w:b/>
                <w:bCs/>
                <w:i/>
                <w:iCs/>
                <w:spacing w:val="-3"/>
                <w:szCs w:val="21"/>
                <w:highlight w:val="none"/>
                <w:u w:val="single"/>
              </w:rPr>
              <w:t xml:space="preserve">139.限用物质的限量要求：符合GB/T26572中规定；</w:t>
            </w:r>
            <w:r>
              <w:rPr>
                <w:highlight w:val="none"/>
              </w:rPr>
            </w:r>
            <w:r/>
          </w:p>
        </w:tc>
      </w:tr>
      <w:tr>
        <w:trPr/>
        <w:tc>
          <w:tcPr>
            <w:tcW w:w="817" w:type="dxa"/>
            <w:vAlign w:val="center"/>
            <w:textDirection w:val="lrTb"/>
            <w:noWrap w:val="false"/>
          </w:tcPr>
          <w:p>
            <w:pPr>
              <w:pStyle w:val="872"/>
              <w:jc w:val="center"/>
              <w:spacing w:line="360" w:lineRule="auto"/>
              <w:rPr>
                <w:rFonts w:hint="eastAsia" w:ascii="宋体" w:hAnsi="宋体" w:cs="宋体"/>
                <w:szCs w:val="21"/>
                <w:highlight w:val="none"/>
              </w:rPr>
            </w:pPr>
            <w:r>
              <w:rPr>
                <w:rFonts w:hint="eastAsia" w:ascii="宋体" w:hAnsi="宋体" w:cs="宋体"/>
                <w:szCs w:val="21"/>
                <w:highlight w:val="none"/>
              </w:rPr>
              <w:t xml:space="preserve">8</w:t>
            </w:r>
            <w:r>
              <w:rPr>
                <w:highlight w:val="none"/>
              </w:rPr>
            </w:r>
            <w:r/>
          </w:p>
        </w:tc>
        <w:tc>
          <w:tcPr>
            <w:tcW w:w="7705" w:type="dxa"/>
            <w:vAlign w:val="top"/>
            <w:textDirection w:val="lrTb"/>
            <w:noWrap w:val="false"/>
          </w:tcPr>
          <w:p>
            <w:pPr>
              <w:pStyle w:val="872"/>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以下产品提供节能产品认证证书，并加盖投标人公章：</w:t>
            </w:r>
            <w:r>
              <w:rPr>
                <w:highlight w:val="none"/>
              </w:rPr>
            </w:r>
            <w:r/>
          </w:p>
          <w:p>
            <w:pPr>
              <w:pStyle w:val="872"/>
              <w:spacing w:line="360" w:lineRule="auto"/>
              <w:rPr>
                <w:rFonts w:hint="eastAsia" w:ascii="宋体" w:hAnsi="宋体" w:cs="宋体"/>
                <w:szCs w:val="21"/>
                <w:highlight w:val="none"/>
              </w:rPr>
            </w:pPr>
            <w:r>
              <w:rPr>
                <w:rFonts w:hint="eastAsia" w:ascii="宋体" w:hAnsi="宋体" w:cs="宋体"/>
                <w:szCs w:val="21"/>
                <w:highlight w:val="none"/>
                <w:lang w:bidi="ar"/>
              </w:rPr>
              <w:t xml:space="preserve">操作控制终端、彩色激光打印机、彩色打印/复印/扫描多功能一体机、吸顶式空调、空调设备（4台室内机+1台室外机）、柜机</w:t>
            </w:r>
            <w:r>
              <w:rPr>
                <w:highlight w:val="none"/>
              </w:rPr>
            </w:r>
            <w:r/>
          </w:p>
        </w:tc>
      </w:tr>
      <w:tr>
        <w:trPr/>
        <w:tc>
          <w:tcPr>
            <w:tcW w:w="817" w:type="dxa"/>
            <w:vAlign w:val="center"/>
            <w:textDirection w:val="lrTb"/>
            <w:noWrap w:val="false"/>
          </w:tcPr>
          <w:p>
            <w:pPr>
              <w:pStyle w:val="872"/>
              <w:jc w:val="center"/>
              <w:spacing w:line="360" w:lineRule="auto"/>
              <w:rPr>
                <w:rFonts w:ascii="宋体" w:hAnsi="宋体" w:cs="宋体"/>
                <w:szCs w:val="21"/>
                <w:highlight w:val="none"/>
              </w:rPr>
            </w:pPr>
            <w:r>
              <w:rPr>
                <w:rFonts w:hint="eastAsia" w:ascii="宋体" w:hAnsi="宋体" w:cs="宋体"/>
                <w:szCs w:val="21"/>
                <w:highlight w:val="none"/>
              </w:rPr>
              <w:t xml:space="preserve">9</w:t>
            </w:r>
            <w:r>
              <w:rPr>
                <w:highlight w:val="none"/>
              </w:rPr>
            </w:r>
            <w:r/>
          </w:p>
        </w:tc>
        <w:tc>
          <w:tcPr>
            <w:tcW w:w="7705" w:type="dxa"/>
            <w:vAlign w:val="top"/>
            <w:textDirection w:val="lrTb"/>
            <w:noWrap w:val="false"/>
          </w:tcPr>
          <w:p>
            <w:pPr>
              <w:pStyle w:val="872"/>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为了保证会议视频系统的正常使用，视频会议主机、视频会议终端需与省生态环境厅、市生态环境局目前在用的系统兼容，实现有效对接，达到互联互通的要求。</w:t>
            </w:r>
            <w:r>
              <w:rPr>
                <w:highlight w:val="none"/>
              </w:rPr>
            </w:r>
            <w:r/>
          </w:p>
          <w:p>
            <w:pPr>
              <w:pStyle w:val="872"/>
              <w:spacing w:line="360" w:lineRule="auto"/>
              <w:rPr>
                <w:rFonts w:hint="eastAsia" w:ascii="宋体" w:hAnsi="宋体" w:cs="宋体"/>
                <w:szCs w:val="21"/>
                <w:highlight w:val="none"/>
              </w:rPr>
            </w:pPr>
            <w:r>
              <w:rPr>
                <w:rFonts w:hint="eastAsia" w:ascii="宋体" w:hAnsi="宋体" w:cs="宋体"/>
                <w:b/>
                <w:bCs/>
                <w:i/>
                <w:iCs/>
                <w:szCs w:val="21"/>
                <w:highlight w:val="none"/>
                <w:u w:val="single"/>
                <w:lang w:bidi="ar"/>
              </w:rPr>
              <w:t xml:space="preserve">（投标文件中需要提供承诺函，并加盖公章。承诺函格式自拟，否则投标无效）</w:t>
            </w:r>
            <w:r>
              <w:rPr>
                <w:highlight w:val="none"/>
              </w:rPr>
            </w:r>
            <w:r/>
          </w:p>
        </w:tc>
      </w:tr>
    </w:tbl>
    <w:p>
      <w:pPr>
        <w:pStyle w:val="872"/>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rPr>
          <w:highlight w:val="none"/>
        </w:rPr>
      </w:r>
      <w:r/>
    </w:p>
    <w:p>
      <w:pPr>
        <w:pStyle w:val="872"/>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一、项目概况</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连云港市生态环境监控指挥中心建设是为了满足连云港市生态环境局对全市环境信息管理和应用需要，使之成为连云港市生态环境智慧监管平台的核心，作为支撑领导决策、环境安全防控、环保未来规划的中枢。通过生态环境监控指挥中心的建设，让环境管理、环境监测、环境应急、环境执法和指挥决策更加直观、高效，为环境管理和环境保护提供全方位的管理与服务支持。</w:t>
      </w:r>
      <w:r>
        <w:rPr>
          <w:highlight w:val="none"/>
        </w:rPr>
      </w:r>
      <w:r/>
    </w:p>
    <w:p>
      <w:pPr>
        <w:pStyle w:val="872"/>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二、服务技术要求</w:t>
      </w:r>
      <w:r>
        <w:rPr>
          <w:highlight w:val="none"/>
        </w:rPr>
      </w:r>
      <w:r/>
    </w:p>
    <w:p>
      <w:pPr>
        <w:pStyle w:val="872"/>
        <w:ind w:firstLine="480"/>
        <w:spacing w:line="360" w:lineRule="auto"/>
        <w:rPr>
          <w:sz w:val="24"/>
          <w:highlight w:val="none"/>
        </w:rPr>
      </w:pPr>
      <w:r>
        <w:rPr>
          <w:rFonts w:hint="eastAsia"/>
          <w:sz w:val="24"/>
          <w:highlight w:val="none"/>
        </w:rPr>
        <w:t xml:space="preserve">1、服务范围</w:t>
      </w:r>
      <w:r>
        <w:rPr>
          <w:highlight w:val="none"/>
        </w:rPr>
      </w:r>
      <w:r/>
    </w:p>
    <w:p>
      <w:pPr>
        <w:pStyle w:val="872"/>
        <w:ind w:firstLine="492"/>
        <w:spacing w:line="360" w:lineRule="auto"/>
        <w:rPr>
          <w:rFonts w:ascii="宋体" w:hAnsi="宋体"/>
          <w:sz w:val="24"/>
          <w:szCs w:val="24"/>
          <w:highlight w:val="none"/>
        </w:rPr>
      </w:pPr>
      <w:r>
        <w:rPr>
          <w:rFonts w:hint="eastAsia" w:ascii="宋体" w:hAnsi="宋体"/>
          <w:sz w:val="24"/>
          <w:szCs w:val="24"/>
          <w:highlight w:val="none"/>
        </w:rPr>
        <w:t xml:space="preserve">生态环境监控指挥中心建设需按照约290平方米的面积进行设计，根据实际需求，项目建设内容主要包含</w:t>
      </w:r>
      <w:bookmarkStart w:id="4" w:name="_Hlk155289179"/>
      <w:r>
        <w:rPr>
          <w:rFonts w:hint="eastAsia" w:ascii="宋体" w:hAnsi="宋体"/>
          <w:sz w:val="24"/>
          <w:szCs w:val="24"/>
          <w:highlight w:val="none"/>
        </w:rPr>
        <w:t xml:space="preserve">：</w:t>
      </w:r>
      <w:bookmarkEnd w:id="4"/>
      <w:r>
        <w:rPr>
          <w:rFonts w:hint="eastAsia" w:ascii="宋体" w:hAnsi="宋体"/>
          <w:b/>
          <w:bCs/>
          <w:sz w:val="24"/>
          <w:szCs w:val="24"/>
          <w:highlight w:val="none"/>
        </w:rPr>
        <w:t xml:space="preserve">配套环境改造</w:t>
      </w:r>
      <w:r>
        <w:rPr>
          <w:rFonts w:hint="eastAsia" w:ascii="宋体" w:hAnsi="宋体"/>
          <w:sz w:val="24"/>
          <w:szCs w:val="24"/>
          <w:highlight w:val="none"/>
        </w:rPr>
        <w:t xml:space="preserve">、</w:t>
      </w:r>
      <w:r>
        <w:rPr>
          <w:rFonts w:hint="eastAsia" w:ascii="宋体" w:hAnsi="宋体"/>
          <w:b/>
          <w:bCs/>
          <w:sz w:val="24"/>
          <w:szCs w:val="24"/>
          <w:highlight w:val="none"/>
        </w:rPr>
        <w:t xml:space="preserve">硬件设备采购、软硬件集成和运维服务</w:t>
      </w:r>
      <w:r>
        <w:rPr>
          <w:rFonts w:hint="eastAsia" w:ascii="宋体" w:hAnsi="宋体"/>
          <w:sz w:val="24"/>
          <w:szCs w:val="24"/>
          <w:highlight w:val="none"/>
        </w:rPr>
        <w:t xml:space="preserve">四个部分。</w:t>
      </w:r>
      <w:r>
        <w:rPr>
          <w:highlight w:val="none"/>
        </w:rPr>
      </w:r>
      <w:r/>
    </w:p>
    <w:p>
      <w:pPr>
        <w:pStyle w:val="872"/>
        <w:ind w:firstLine="480"/>
        <w:spacing w:line="360" w:lineRule="auto"/>
        <w:rPr>
          <w:rFonts w:ascii="MS Mincho"/>
          <w:color w:val="000000"/>
          <w:szCs w:val="24"/>
          <w:highlight w:val="none"/>
        </w:rPr>
      </w:pPr>
      <w:r>
        <w:rPr>
          <w:rFonts w:hint="eastAsia"/>
          <w:sz w:val="24"/>
          <w:highlight w:val="none"/>
        </w:rPr>
        <w:t xml:space="preserve">2、服务技术要求</w:t>
      </w:r>
      <w:r>
        <w:rPr>
          <w:highlight w:val="none"/>
        </w:rPr>
      </w:r>
      <w:r/>
    </w:p>
    <w:p>
      <w:pPr>
        <w:pStyle w:val="872"/>
        <w:ind w:firstLine="493"/>
        <w:spacing w:line="400" w:lineRule="exact"/>
        <w:rPr>
          <w:rFonts w:ascii="宋体" w:hAnsi="宋体"/>
          <w:b/>
          <w:bCs/>
          <w:sz w:val="24"/>
          <w:szCs w:val="24"/>
          <w:highlight w:val="none"/>
        </w:rPr>
      </w:pPr>
      <w:r>
        <w:rPr>
          <w:rFonts w:hint="eastAsia" w:ascii="宋体" w:hAnsi="宋体"/>
          <w:b/>
          <w:bCs/>
          <w:sz w:val="24"/>
          <w:szCs w:val="24"/>
          <w:highlight w:val="none"/>
        </w:rPr>
        <w:t xml:space="preserve">（一）配套环境改造</w:t>
      </w:r>
      <w:r>
        <w:rPr>
          <w:highlight w:val="none"/>
        </w:rPr>
      </w:r>
      <w:r/>
    </w:p>
    <w:p>
      <w:pPr>
        <w:pStyle w:val="872"/>
        <w:ind w:firstLine="480"/>
        <w:spacing w:line="360" w:lineRule="auto"/>
        <w:rPr>
          <w:rFonts w:hint="eastAsia"/>
          <w:sz w:val="24"/>
          <w:highlight w:val="none"/>
        </w:rPr>
      </w:pPr>
      <w:r>
        <w:rPr>
          <w:rFonts w:hint="eastAsia"/>
          <w:sz w:val="24"/>
          <w:highlight w:val="none"/>
        </w:rPr>
        <w:t xml:space="preserve">1、场所布局改造</w:t>
      </w:r>
      <w:r>
        <w:rPr>
          <w:highlight w:val="none"/>
        </w:rPr>
      </w:r>
      <w:r/>
    </w:p>
    <w:p>
      <w:pPr>
        <w:pStyle w:val="872"/>
        <w:ind w:firstLine="480"/>
        <w:spacing w:line="360" w:lineRule="auto"/>
        <w:rPr>
          <w:rFonts w:hint="eastAsia"/>
          <w:sz w:val="24"/>
          <w:highlight w:val="none"/>
        </w:rPr>
      </w:pPr>
      <w:r>
        <w:rPr>
          <w:rFonts w:hint="eastAsia"/>
          <w:sz w:val="24"/>
          <w:highlight w:val="none"/>
        </w:rPr>
        <w:t xml:space="preserve">根据现场物理环境，生态环境监控指挥中心场所的布局改造，在功能区设计方面设置了一楼指挥大厅(约193平方米)和二楼环境监控室(约95平方米)两个区域。一楼指挥大厅需满足信息展示、指挥调度、研判决策、会议会商、汇报演示和环</w:t>
      </w:r>
      <w:r>
        <w:rPr>
          <w:rFonts w:hint="eastAsia"/>
          <w:sz w:val="24"/>
          <w:highlight w:val="none"/>
        </w:rPr>
        <w:t xml:space="preserve">境监控等主要建设目标。因此，指挥大厅前方设置约51㎡(10.8*4.725)的LED显示大屏，大屏前方为操作控制席，设计6个操作控制工位；大厅中央为指挥调度和会议会商座席，设计18人会议长桌（椅）及不少于8人会议条桌2组，会议长桌安装无纸化平板设备。二楼环境监控室需满足日常生态环境监控和独立办公的建设需求。因此，监控室前方设置“L”型监控座席，后排独立设置12㎡的隔间，作为主管办公室。生态环境监控指挥中心场所内设门禁系统，门禁控制使用多门控制器并联网，分别安装在大厅出入门、环境监控室出入门、设备间出入门等。</w:t>
      </w:r>
      <w:r>
        <w:rPr>
          <w:highlight w:val="none"/>
        </w:rPr>
      </w:r>
      <w:r/>
    </w:p>
    <w:p>
      <w:pPr>
        <w:pStyle w:val="872"/>
        <w:ind w:firstLine="480"/>
        <w:spacing w:line="360" w:lineRule="auto"/>
        <w:rPr>
          <w:rFonts w:hint="eastAsia"/>
          <w:sz w:val="24"/>
          <w:highlight w:val="none"/>
        </w:rPr>
      </w:pPr>
      <w:r>
        <w:rPr>
          <w:rFonts w:hint="eastAsia"/>
          <w:sz w:val="24"/>
          <w:highlight w:val="none"/>
        </w:rPr>
        <w:t xml:space="preserve">该场所C轴上7—11轴12米长原框架梁需要进行改造切除，切除后改为上翻梁加固,新增混凝土不低于C35。具体施工要求详见施工图纸及工程量清单。</w:t>
      </w:r>
      <w:r>
        <w:rPr>
          <w:highlight w:val="none"/>
        </w:rPr>
      </w:r>
      <w:r/>
    </w:p>
    <w:p>
      <w:pPr>
        <w:pStyle w:val="872"/>
        <w:spacing w:line="360" w:lineRule="auto"/>
        <w:rPr>
          <w:rFonts w:hint="eastAsia"/>
          <w:highlight w:val="none"/>
        </w:rPr>
      </w:pPr>
      <w:r>
        <w:rPr>
          <w:rFonts w:hint="eastAsia"/>
          <w:sz w:val="24"/>
          <w:highlight w:val="none"/>
        </w:rPr>
        <mc:AlternateContent>
          <mc:Choice Requires="wpg">
            <w:drawing>
              <wp:inline xmlns:wp="http://schemas.openxmlformats.org/drawingml/2006/wordprocessingDrawing" distT="0" distB="0" distL="0" distR="0">
                <wp:extent cx="5273675" cy="65474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73675" cy="6547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515.5pt;mso-wrap-distance-left:0.0pt;mso-wrap-distance-top:0.0pt;mso-wrap-distance-right:0.0pt;mso-wrap-distance-bottom:0.0pt;" stroked="f">
                <v:path textboxrect="0,0,0,0"/>
                <v:imagedata r:id="rId11" o:title=""/>
              </v:shape>
            </w:pict>
          </mc:Fallback>
        </mc:AlternateContent>
      </w:r>
      <w:r>
        <w:rPr>
          <w:highlight w:val="none"/>
        </w:rPr>
      </w:r>
      <w:r/>
    </w:p>
    <w:p>
      <w:pPr>
        <w:pStyle w:val="872"/>
        <w:ind w:firstLine="480"/>
        <w:spacing w:line="360" w:lineRule="auto"/>
        <w:rPr>
          <w:rFonts w:ascii="宋体" w:hAnsi="宋体"/>
          <w:sz w:val="24"/>
          <w:szCs w:val="24"/>
          <w:highlight w:val="none"/>
        </w:rPr>
      </w:pPr>
      <w:r>
        <w:rPr>
          <w:rFonts w:hint="eastAsia" w:ascii="宋体" w:hAnsi="宋体"/>
          <w:sz w:val="24"/>
          <w:szCs w:val="24"/>
          <w:highlight w:val="none"/>
        </w:rPr>
        <w:t xml:space="preserve">场所改造后整体布局见如下效果图：</w:t>
      </w:r>
      <w:r>
        <w:rPr>
          <w:highlight w:val="none"/>
        </w:rPr>
      </w:r>
      <w:r/>
    </w:p>
    <w:p>
      <w:pPr>
        <w:pStyle w:val="872"/>
        <w:spacing w:line="360" w:lineRule="auto"/>
        <w:rPr>
          <w:rFonts w:ascii="宋体" w:hAnsi="宋体"/>
          <w:sz w:val="24"/>
          <w:szCs w:val="24"/>
          <w:highlight w:val="none"/>
        </w:rPr>
      </w:pPr>
      <w:r>
        <w:rPr>
          <w:highlight w:val="none"/>
        </w:rPr>
        <mc:AlternateContent>
          <mc:Choice Requires="wpg">
            <w:drawing>
              <wp:inline xmlns:wp="http://schemas.openxmlformats.org/drawingml/2006/wordprocessingDrawing" distT="0" distB="0" distL="0" distR="0">
                <wp:extent cx="5274310" cy="331978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4310" cy="33197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61.4pt;mso-wrap-distance-left:0.0pt;mso-wrap-distance-top:0.0pt;mso-wrap-distance-right:0.0pt;mso-wrap-distance-bottom:0.0pt;" stroked="f">
                <v:path textboxrect="0,0,0,0"/>
                <v:imagedata r:id="rId12" o:title=""/>
              </v:shape>
            </w:pict>
          </mc:Fallback>
        </mc:AlternateContent>
      </w:r>
      <w:r>
        <w:rPr>
          <w:highlight w:val="none"/>
        </w:rPr>
      </w:r>
      <w:r/>
    </w:p>
    <w:p>
      <w:pPr>
        <w:pStyle w:val="872"/>
        <w:spacing w:line="360" w:lineRule="auto"/>
        <w:rPr>
          <w:rFonts w:ascii="宋体" w:hAnsi="宋体"/>
          <w:sz w:val="24"/>
          <w:szCs w:val="24"/>
          <w:highlight w:val="none"/>
        </w:rPr>
      </w:pPr>
      <w:r>
        <w:rPr>
          <w:rFonts w:ascii="宋体" w:hAnsi="宋体"/>
          <w:sz w:val="24"/>
          <w:szCs w:val="24"/>
          <w:highlight w:val="none"/>
        </w:rPr>
      </w:r>
      <w:r>
        <w:rPr>
          <w:highlight w:val="none"/>
        </w:rPr>
      </w:r>
      <w:r/>
    </w:p>
    <w:p>
      <w:pPr>
        <w:pStyle w:val="872"/>
        <w:spacing w:line="360" w:lineRule="auto"/>
        <w:rPr>
          <w:rFonts w:ascii="宋体" w:hAnsi="宋体"/>
          <w:sz w:val="24"/>
          <w:szCs w:val="24"/>
          <w:highlight w:val="none"/>
        </w:rPr>
      </w:pPr>
      <w:r>
        <w:rPr>
          <w:highlight w:val="none"/>
        </w:rPr>
        <mc:AlternateContent>
          <mc:Choice Requires="wpg">
            <w:drawing>
              <wp:inline xmlns:wp="http://schemas.openxmlformats.org/drawingml/2006/wordprocessingDrawing" distT="0" distB="0" distL="0" distR="0">
                <wp:extent cx="5274310" cy="37604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3415" r="0" b="10513"/>
                        <a:stretch/>
                      </pic:blipFill>
                      <pic:spPr bwMode="auto">
                        <a:xfrm>
                          <a:off x="0" y="0"/>
                          <a:ext cx="5274310" cy="3760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296.1pt;mso-wrap-distance-left:0.0pt;mso-wrap-distance-top:0.0pt;mso-wrap-distance-right:0.0pt;mso-wrap-distance-bottom:0.0pt;" stroked="f">
                <v:path textboxrect="0,0,0,0"/>
                <v:imagedata r:id="rId13" o:title=""/>
              </v:shape>
            </w:pict>
          </mc:Fallback>
        </mc:AlternateContent>
      </w:r>
      <w:r>
        <w:rPr>
          <w:highlight w:val="none"/>
        </w:rPr>
      </w:r>
      <w:r/>
    </w:p>
    <w:p>
      <w:pPr>
        <w:pStyle w:val="872"/>
        <w:spacing w:line="360" w:lineRule="auto"/>
        <w:rPr>
          <w:rFonts w:ascii="宋体" w:hAnsi="宋体"/>
          <w:sz w:val="24"/>
          <w:szCs w:val="24"/>
          <w:highlight w:val="none"/>
        </w:rPr>
      </w:pPr>
      <w:r>
        <w:rPr>
          <w:rFonts w:ascii="宋体" w:hAnsi="宋体"/>
          <w:sz w:val="24"/>
          <w:szCs w:val="24"/>
          <w:highlight w:val="none"/>
        </w:rPr>
      </w:r>
      <w:r>
        <w:rPr>
          <w:highlight w:val="none"/>
        </w:rPr>
      </w:r>
      <w:r/>
    </w:p>
    <w:p>
      <w:pPr>
        <w:pStyle w:val="872"/>
        <w:spacing w:line="360" w:lineRule="auto"/>
        <w:rPr>
          <w:rFonts w:ascii="宋体" w:hAnsi="宋体"/>
          <w:sz w:val="24"/>
          <w:szCs w:val="24"/>
          <w:highlight w:val="none"/>
        </w:rPr>
      </w:pPr>
      <w:r>
        <w:rPr>
          <w:highlight w:val="none"/>
        </w:rPr>
        <mc:AlternateContent>
          <mc:Choice Requires="wpg">
            <w:drawing>
              <wp:inline xmlns:wp="http://schemas.openxmlformats.org/drawingml/2006/wordprocessingDrawing" distT="0" distB="0" distL="0" distR="0">
                <wp:extent cx="5274310" cy="338582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74310" cy="3385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266.6pt;mso-wrap-distance-left:0.0pt;mso-wrap-distance-top:0.0pt;mso-wrap-distance-right:0.0pt;mso-wrap-distance-bottom:0.0pt;" stroked="f">
                <v:path textboxrect="0,0,0,0"/>
                <v:imagedata r:id="rId14" o:title=""/>
              </v:shape>
            </w:pict>
          </mc:Fallback>
        </mc:AlternateContent>
      </w:r>
      <w:r>
        <w:rPr>
          <w:highlight w:val="none"/>
        </w:rPr>
      </w:r>
      <w:r/>
    </w:p>
    <w:p>
      <w:pPr>
        <w:pStyle w:val="872"/>
        <w:spacing w:line="360" w:lineRule="auto"/>
        <w:rPr>
          <w:rFonts w:ascii="宋体" w:hAnsi="宋体"/>
          <w:sz w:val="24"/>
          <w:szCs w:val="24"/>
          <w:highlight w:val="none"/>
        </w:rPr>
      </w:pPr>
      <w:r>
        <w:rPr>
          <w:rFonts w:ascii="宋体" w:hAnsi="宋体"/>
          <w:sz w:val="24"/>
          <w:szCs w:val="24"/>
          <w:highlight w:val="none"/>
        </w:rPr>
      </w:r>
      <w:r>
        <w:rPr>
          <w:highlight w:val="none"/>
        </w:rPr>
      </w:r>
      <w:r/>
    </w:p>
    <w:p>
      <w:pPr>
        <w:pStyle w:val="872"/>
        <w:spacing w:line="360" w:lineRule="auto"/>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5264150" cy="252603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4150" cy="252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5pt;height:198.9pt;mso-wrap-distance-left:0.0pt;mso-wrap-distance-top:0.0pt;mso-wrap-distance-right:0.0pt;mso-wrap-distance-bottom:0.0pt;" stroked="f">
                <v:path textboxrect="0,0,0,0"/>
                <v:imagedata r:id="rId15" o:title=""/>
              </v:shape>
            </w:pict>
          </mc:Fallback>
        </mc:AlternateContent>
      </w:r>
      <w:r>
        <w:rPr>
          <w:highlight w:val="none"/>
        </w:rPr>
      </w:r>
      <w:r/>
    </w:p>
    <w:p>
      <w:pPr>
        <w:pStyle w:val="872"/>
        <w:rPr>
          <w:rFonts w:hint="eastAsia"/>
          <w:highlight w:val="none"/>
        </w:rPr>
      </w:pPr>
      <w:r>
        <w:rPr>
          <w:rFonts w:hint="eastAsia"/>
          <w:highlight w:val="none"/>
        </w:rPr>
      </w:r>
      <w:r>
        <w:rPr>
          <w:highlight w:val="none"/>
        </w:rPr>
      </w:r>
      <w:r/>
    </w:p>
    <w:p>
      <w:pPr>
        <w:pStyle w:val="872"/>
        <w:rPr>
          <w:highlight w:val="none"/>
        </w:rPr>
      </w:pPr>
      <w:r>
        <w:rPr>
          <w:rFonts w:hint="eastAsia"/>
          <w:highlight w:val="none"/>
        </w:rPr>
        <mc:AlternateContent>
          <mc:Choice Requires="wpg">
            <w:drawing>
              <wp:inline xmlns:wp="http://schemas.openxmlformats.org/drawingml/2006/wordprocessingDrawing" distT="0" distB="0" distL="0" distR="0">
                <wp:extent cx="5264836" cy="328858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4836" cy="328858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6pt;height:258.9pt;mso-wrap-distance-left:0.0pt;mso-wrap-distance-top:0.0pt;mso-wrap-distance-right:0.0pt;mso-wrap-distance-bottom:0.0pt;" stroked="f">
                <v:path textboxrect="0,0,0,0"/>
                <v:imagedata r:id="rId16" o:title=""/>
              </v:shape>
            </w:pict>
          </mc:Fallback>
        </mc:AlternateContent>
      </w:r>
      <w:r>
        <w:rPr>
          <w:highlight w:val="none"/>
        </w:rPr>
      </w:r>
      <w:r/>
    </w:p>
    <w:p>
      <w:pPr>
        <w:pStyle w:val="872"/>
        <w:spacing w:line="360" w:lineRule="auto"/>
        <w:rPr>
          <w:rFonts w:ascii="宋体" w:hAnsi="宋体"/>
          <w:sz w:val="24"/>
          <w:szCs w:val="24"/>
          <w:highlight w:val="none"/>
        </w:rPr>
      </w:pPr>
      <w:r>
        <w:rPr>
          <w:rFonts w:ascii="宋体" w:hAnsi="宋体"/>
          <w:sz w:val="24"/>
          <w:szCs w:val="24"/>
          <w:highlight w:val="none"/>
        </w:rPr>
      </w:r>
      <w:r>
        <w:rPr>
          <w:highlight w:val="none"/>
        </w:rPr>
      </w:r>
      <w:r/>
    </w:p>
    <w:p>
      <w:pPr>
        <w:pStyle w:val="872"/>
        <w:ind w:firstLine="480"/>
        <w:spacing w:line="360" w:lineRule="auto"/>
        <w:rPr>
          <w:rFonts w:ascii="宋体" w:hAnsi="宋体"/>
          <w:sz w:val="24"/>
          <w:szCs w:val="24"/>
          <w:highlight w:val="none"/>
        </w:rPr>
      </w:pPr>
      <w:r>
        <w:rPr>
          <w:rFonts w:hint="eastAsia" w:ascii="宋体" w:hAnsi="宋体"/>
          <w:sz w:val="24"/>
          <w:szCs w:val="24"/>
          <w:highlight w:val="none"/>
        </w:rPr>
        <w:t xml:space="preserve">2、基础改造要求</w:t>
      </w:r>
      <w:r>
        <w:rPr>
          <w:highlight w:val="none"/>
        </w:rPr>
      </w:r>
      <w:r/>
    </w:p>
    <w:p>
      <w:pPr>
        <w:pStyle w:val="872"/>
        <w:ind w:firstLine="480"/>
        <w:spacing w:line="360" w:lineRule="auto"/>
        <w:rPr>
          <w:rFonts w:ascii="宋体" w:hAnsi="宋体"/>
          <w:sz w:val="24"/>
          <w:szCs w:val="24"/>
          <w:highlight w:val="none"/>
        </w:rPr>
      </w:pPr>
      <w:r>
        <w:rPr>
          <w:rFonts w:hint="eastAsia" w:ascii="宋体" w:hAnsi="宋体"/>
          <w:sz w:val="24"/>
          <w:szCs w:val="24"/>
          <w:highlight w:val="none"/>
        </w:rPr>
        <w:t xml:space="preserve">指挥大厅空间改造应做吸声处理，防止出现回声现象；光源采用色温为冷色光LED灯，吊顶设计、桌椅布置、地面均以浅色为主，墙面浅色软包及造型背景墙，设计现代时尚，空间简洁明亮。监控室应充分考虑空间的私密性、信息交流的顺畅性。指挥大厅与监控室间保留可视空间，采用电子双层雾化玻璃隔断，既可观察整个大厅便于信息交流，又可独立进行日常环境监控。</w:t>
      </w:r>
      <w:r>
        <w:rPr>
          <w:highlight w:val="none"/>
        </w:rPr>
      </w:r>
      <w:r/>
    </w:p>
    <w:p>
      <w:pPr>
        <w:pStyle w:val="872"/>
        <w:spacing w:line="360" w:lineRule="auto"/>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3、基础管路预埋</w:t>
      </w:r>
      <w:r>
        <w:rPr>
          <w:highlight w:val="none"/>
        </w:rPr>
      </w:r>
      <w:r/>
    </w:p>
    <w:p>
      <w:pPr>
        <w:pStyle w:val="872"/>
        <w:ind w:firstLine="480"/>
        <w:spacing w:line="360" w:lineRule="auto"/>
        <w:rPr>
          <w:rFonts w:ascii="宋体" w:hAnsi="宋体"/>
          <w:sz w:val="24"/>
          <w:szCs w:val="24"/>
          <w:highlight w:val="none"/>
        </w:rPr>
      </w:pPr>
      <w:r>
        <w:rPr>
          <w:rFonts w:hint="eastAsia" w:ascii="宋体" w:hAnsi="宋体"/>
          <w:sz w:val="24"/>
          <w:szCs w:val="24"/>
          <w:highlight w:val="none"/>
        </w:rPr>
        <w:t xml:space="preserve">基础管路预埋包括了与整个弱电系统相关的弱电预埋管、预留孔洞、弱电竖井、桥架、管路及系统的电源供应、接地、避雷、屏蔽和设备间。基础管路和桥架应保证规范、整齐、通畅。</w:t>
      </w:r>
      <w:r>
        <w:rPr>
          <w:highlight w:val="none"/>
        </w:rPr>
      </w:r>
      <w:r/>
    </w:p>
    <w:p>
      <w:pPr>
        <w:pStyle w:val="872"/>
        <w:ind w:firstLine="480"/>
        <w:spacing w:line="360" w:lineRule="auto"/>
        <w:rPr>
          <w:rFonts w:ascii="宋体" w:hAnsi="宋体"/>
          <w:sz w:val="24"/>
          <w:szCs w:val="24"/>
          <w:highlight w:val="none"/>
        </w:rPr>
      </w:pPr>
      <w:r>
        <w:rPr>
          <w:rFonts w:hint="eastAsia" w:ascii="宋体" w:hAnsi="宋体"/>
          <w:sz w:val="24"/>
          <w:szCs w:val="24"/>
          <w:highlight w:val="none"/>
        </w:rPr>
        <w:t xml:space="preserve">3.1管线预埋：管线及附件的质量必须符合采购方要求和现行的国家标准，并按设计进行选择，管线的填充率不应大于60%，并应有一定的备用空位，以便今后扩容。室内管线的安装安排在管道及空调等工作基本施工完毕时进行。管线的表面应光滑均匀、致密，喷涂</w:t>
      </w:r>
      <w:r>
        <w:rPr>
          <w:rFonts w:hint="eastAsia" w:ascii="宋体" w:hAnsi="宋体"/>
          <w:sz w:val="24"/>
          <w:szCs w:val="24"/>
          <w:highlight w:val="none"/>
        </w:rPr>
        <w:t xml:space="preserve">光滑平整，焊缝应表面均匀，不得有裂纹等。安装时应与装修紧密配合，做好孔洞预留和预埋件埋设，管线的安装位置及高度，必须满足采购方要求及规范规定。管线连接必须采用螺栓连接，且螺母应位于外侧。管线采用引出管时，必须用开孔器开孔，开孔应整齐，与管孔径吻合，连接应采用管接头，严禁焊接。钢制管线直线铺设超过30m，应采用伸缩连接板连接，管线的转弯半径，不应小于电缆的弯曲半径。管线及其支吊架均应良好接地，接地干线与每段管线，均应至少有一点可靠连接，包括弯头等，在有振动的场所，还应装置弹簧垫圈，软连接处应采用纺织铜线连接。</w:t>
      </w:r>
      <w:r>
        <w:rPr>
          <w:highlight w:val="none"/>
        </w:rPr>
      </w:r>
      <w:r/>
    </w:p>
    <w:p>
      <w:pPr>
        <w:pStyle w:val="872"/>
        <w:ind w:firstLine="480"/>
        <w:spacing w:line="360" w:lineRule="auto"/>
        <w:rPr>
          <w:rFonts w:ascii="宋体" w:hAnsi="宋体"/>
          <w:sz w:val="24"/>
          <w:szCs w:val="24"/>
          <w:highlight w:val="none"/>
        </w:rPr>
      </w:pPr>
      <w:r>
        <w:rPr>
          <w:rFonts w:hint="eastAsia" w:ascii="宋体" w:hAnsi="宋体"/>
          <w:sz w:val="24"/>
          <w:szCs w:val="24"/>
          <w:highlight w:val="none"/>
        </w:rPr>
        <w:t xml:space="preserve">3.2线管预埋：线管安装前必须消除管内毛刺和铁刺，严禁采用电焊、火焰切割。弯管过程中要注意，弯管要采用配套的弯管器弯制，弯曲处不应有折皱、凹穴和开裂，弯扁程度不应大于管外径的10%，线路暗配时，弯曲半径不应小于管外径的6倍，埋设于地下和混凝土时，其弯曲半径不应小于管外径的10倍；同时，其埋深不得小于30mm，应尽量避免重叠。钢管采用套管连接时，套管长度宜为管径的1.5-3倍，管口必须对准；采用焊接连接时，焊缝应牢固严密，连接处的内表面应光滑、平整。薄壁钢管的连接必须用丝扣连接，严禁采用熔焊连接。采</w:t>
      </w:r>
      <w:r>
        <w:rPr>
          <w:rFonts w:hint="eastAsia" w:ascii="宋体" w:hAnsi="宋体"/>
          <w:sz w:val="24"/>
          <w:szCs w:val="24"/>
          <w:highlight w:val="none"/>
        </w:rPr>
        <w:t xml:space="preserve">用套管连接预埋于混凝土中的钢管，其连接处应作防漏处理，以防浇筑时灰浆流入堵塞管路。管与盒的连接采用焊接，管口应高出盒内壁3-5mm，焊后需补涂防腐漆；管盒连接采用锁紧螺母固定，管螺纹宜外露2-3扣。按规范施工，并及时做好管口封堵，以防杂物进入堵塞线管。对于部分线管较长、弯头较多管路，应预先穿好铁丝以方便日后穿线工作的进行。管与管、管与盒连接，应做好接地处理，丝扣连接应采用不小于Ф6圆钢进行跨接，以保证接地良好。埋于地下的管路应尽量不穿过设备基础，管路在穿伸缩缝和沉降缝时，应装设补偿装置，并做好接地柔性跨接。</w:t>
      </w:r>
      <w:r>
        <w:rPr>
          <w:highlight w:val="none"/>
        </w:rPr>
      </w:r>
      <w:r/>
    </w:p>
    <w:p>
      <w:pPr>
        <w:pStyle w:val="872"/>
        <w:ind w:firstLine="480"/>
        <w:spacing w:line="360" w:lineRule="auto"/>
        <w:rPr>
          <w:rFonts w:ascii="宋体" w:hAnsi="宋体"/>
          <w:sz w:val="24"/>
          <w:szCs w:val="24"/>
          <w:highlight w:val="none"/>
        </w:rPr>
      </w:pPr>
      <w:r>
        <w:rPr>
          <w:rFonts w:hint="eastAsia" w:ascii="宋体" w:hAnsi="宋体"/>
          <w:sz w:val="24"/>
          <w:szCs w:val="24"/>
          <w:highlight w:val="none"/>
        </w:rPr>
        <w:t xml:space="preserve">4、设备间配电</w:t>
      </w:r>
      <w:r>
        <w:rPr>
          <w:highlight w:val="none"/>
        </w:rPr>
      </w:r>
      <w:r/>
    </w:p>
    <w:p>
      <w:pPr>
        <w:pStyle w:val="872"/>
        <w:ind w:firstLine="480"/>
        <w:spacing w:line="360" w:lineRule="auto"/>
        <w:rPr>
          <w:rFonts w:ascii="宋体" w:hAnsi="宋体"/>
          <w:sz w:val="24"/>
          <w:szCs w:val="24"/>
          <w:highlight w:val="none"/>
        </w:rPr>
      </w:pPr>
      <w:r>
        <w:rPr>
          <w:rFonts w:hint="eastAsia" w:ascii="宋体" w:hAnsi="宋体"/>
          <w:sz w:val="24"/>
          <w:szCs w:val="24"/>
          <w:highlight w:val="none"/>
        </w:rPr>
        <w:t xml:space="preserve">设备间配电在指挥大厅大屏后方的空间。</w:t>
      </w:r>
      <w:r>
        <w:rPr>
          <w:highlight w:val="none"/>
        </w:rPr>
      </w:r>
      <w:r/>
    </w:p>
    <w:p>
      <w:pPr>
        <w:pStyle w:val="872"/>
        <w:ind w:firstLine="480"/>
        <w:spacing w:line="360" w:lineRule="auto"/>
        <w:rPr>
          <w:rFonts w:ascii="宋体" w:hAnsi="宋体"/>
          <w:sz w:val="24"/>
          <w:szCs w:val="24"/>
          <w:highlight w:val="none"/>
        </w:rPr>
      </w:pPr>
      <w:r>
        <w:rPr>
          <w:rFonts w:hint="eastAsia" w:ascii="宋体" w:hAnsi="宋体"/>
          <w:sz w:val="24"/>
          <w:szCs w:val="24"/>
          <w:highlight w:val="none"/>
        </w:rPr>
        <w:t xml:space="preserve">4.1设备间装修：设备间内装修材料的燃烧性能应符合现行国家标准《建筑内部装修设计防火规范》（GB50222-2017） 的有关规定，基本原则是选用非燃烧材料（燃烧性能等级A）或难燃材料（燃烧性能等级B1）；同时还宜采用不吸尘、不起尘材料，应气</w:t>
      </w:r>
      <w:r>
        <w:rPr>
          <w:rFonts w:hint="eastAsia" w:ascii="宋体" w:hAnsi="宋体"/>
          <w:sz w:val="24"/>
          <w:szCs w:val="24"/>
          <w:highlight w:val="none"/>
        </w:rPr>
        <w:t xml:space="preserve">密性好、易清洁，符合绿色环保材料、在温、湿度变化作用下变形小、具有表面静电耗散性能的材料。地面部分首先进行防水防尘处理，地面安装防静电地板，在防静电地板铺设的时候，针对设备放置处，做特殊加固处理，防止设备过重而压塌抗静电地板，抗静电地板具有可拆卸的特点。设备间的顶面装饰装修工艺流程主要包括防尘漆、顶面保温和吊顶。吊顶采用金属龙骨，具有质轻、防火、防潮、吸音、不起尘、不吸尘等性能。机柜下方要铺设上走线桥架，便于两侧机柜之间的走线。设备间墙面进行基层处理后刷乳胶漆，乳胶漆刷一遍底漆两遍面漆，防止后续墙面的开裂。</w:t>
      </w:r>
      <w:r>
        <w:rPr>
          <w:highlight w:val="none"/>
        </w:rPr>
      </w:r>
      <w:r/>
    </w:p>
    <w:p>
      <w:pPr>
        <w:pStyle w:val="872"/>
        <w:ind w:firstLine="480"/>
        <w:spacing w:line="360" w:lineRule="auto"/>
        <w:rPr>
          <w:rFonts w:ascii="宋体" w:hAnsi="宋体"/>
          <w:sz w:val="24"/>
          <w:szCs w:val="24"/>
          <w:highlight w:val="none"/>
        </w:rPr>
      </w:pPr>
      <w:r>
        <w:rPr>
          <w:rFonts w:hint="eastAsia" w:ascii="宋体" w:hAnsi="宋体"/>
          <w:sz w:val="24"/>
          <w:szCs w:val="24"/>
          <w:highlight w:val="none"/>
        </w:rPr>
        <w:t xml:space="preserve">4.2设备间电气：第一部分为计算机及网络设备配电系统，主要为生态环境监控指挥中心内的计算机设备、网络设备、会议设备、音频设备等提供稳定可靠的不间断电源，由UPS电源供电。第二部分为辅助设备配电系统，主要为大功率大屏系统用电设备、辅助维修插座、照明等辅助设备提供电源，由市电直接供电。</w:t>
      </w:r>
      <w:r>
        <w:rPr>
          <w:highlight w:val="none"/>
        </w:rPr>
      </w:r>
      <w:r/>
    </w:p>
    <w:p>
      <w:pPr>
        <w:pStyle w:val="872"/>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4.3设备间布线：设备间布线系统由设备间中的电缆、连接器和相关支撑硬件组成，它把各种计算机设备、网络设备、音频系统连接起来。该系统还包括设备间与邻近单元的导线（如雷电保护装置）。机房的光缆和线缆进入设备间后连接到总配线架上，然后与建筑内部的综合布线系统连通。</w:t>
      </w:r>
      <w:r>
        <w:rPr>
          <w:highlight w:val="none"/>
        </w:rPr>
      </w:r>
      <w:r/>
    </w:p>
    <w:p>
      <w:pPr>
        <w:pStyle w:val="872"/>
        <w:ind w:firstLine="482"/>
        <w:spacing w:line="360" w:lineRule="auto"/>
        <w:rPr>
          <w:rFonts w:hint="eastAsia"/>
          <w:b/>
          <w:bCs/>
          <w:i/>
          <w:iCs/>
          <w:sz w:val="24"/>
          <w:highlight w:val="none"/>
          <w:u w:val="single"/>
        </w:rPr>
      </w:pPr>
      <w:r>
        <w:rPr>
          <w:rFonts w:hint="eastAsia"/>
          <w:b/>
          <w:bCs/>
          <w:i/>
          <w:iCs/>
          <w:sz w:val="24"/>
          <w:highlight w:val="none"/>
          <w:u w:val="single"/>
        </w:rPr>
        <w:t xml:space="preserve">注：投标人根据招标文件的规定和采购项目的实际情况，拟在中标后将中标项目的非主体、非关键性工作分包的（本项目经采购人要求，配套环境改造部分接受分包），应当在投标文件中载明分包承担主体，分包承担主体应当具备相应资质条件且不得再次分包。</w:t>
      </w:r>
      <w:r>
        <w:rPr>
          <w:rFonts w:hint="eastAsia"/>
          <w:b/>
          <w:bCs/>
          <w:i/>
          <w:iCs/>
          <w:sz w:val="24"/>
          <w:szCs w:val="24"/>
          <w:highlight w:val="none"/>
          <w:u w:val="single"/>
        </w:rPr>
        <w:t xml:space="preserve">享受扶持政策获得政府采购合同的</w:t>
      </w:r>
      <w:r>
        <w:rPr>
          <w:rFonts w:hint="eastAsia"/>
          <w:b/>
          <w:bCs/>
          <w:i/>
          <w:iCs/>
          <w:sz w:val="24"/>
          <w:highlight w:val="none"/>
          <w:u w:val="single"/>
        </w:rPr>
        <w:t xml:space="preserve">，小微型企业不得将合同分包给大中型企业，中型企业不得将合同分包给大型企业。</w:t>
      </w:r>
      <w:r>
        <w:rPr>
          <w:highlight w:val="none"/>
        </w:rPr>
      </w:r>
      <w:r/>
    </w:p>
    <w:p>
      <w:pPr>
        <w:pStyle w:val="872"/>
        <w:ind w:firstLine="482"/>
        <w:spacing w:line="360" w:lineRule="auto"/>
        <w:rPr>
          <w:b/>
          <w:bCs/>
          <w:i/>
          <w:iCs/>
          <w:sz w:val="24"/>
          <w:highlight w:val="none"/>
          <w:u w:val="single"/>
        </w:rPr>
      </w:pPr>
      <w:r>
        <w:rPr>
          <w:rFonts w:hint="eastAsia"/>
          <w:b/>
          <w:bCs/>
          <w:i/>
          <w:iCs/>
          <w:sz w:val="24"/>
          <w:highlight w:val="none"/>
          <w:u w:val="single"/>
        </w:rPr>
        <w:t xml:space="preserve">分包承担主体应当具备以下资质：</w:t>
      </w:r>
      <w:r>
        <w:rPr>
          <w:highlight w:val="none"/>
        </w:rPr>
      </w:r>
      <w:r/>
    </w:p>
    <w:p>
      <w:pPr>
        <w:pStyle w:val="872"/>
        <w:ind w:firstLine="482"/>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1）</w:t>
      </w:r>
      <w:r>
        <w:rPr>
          <w:rFonts w:hint="eastAsia"/>
          <w:b/>
          <w:bCs/>
          <w:i/>
          <w:iCs/>
          <w:sz w:val="24"/>
          <w:highlight w:val="none"/>
          <w:u w:val="single"/>
        </w:rPr>
        <w:t xml:space="preserve">分包承担主体</w:t>
      </w:r>
      <w:r>
        <w:rPr>
          <w:rFonts w:hint="eastAsia" w:ascii="宋体" w:hAnsi="宋体"/>
          <w:b/>
          <w:bCs/>
          <w:i/>
          <w:iCs/>
          <w:sz w:val="24"/>
          <w:szCs w:val="24"/>
          <w:highlight w:val="none"/>
          <w:u w:val="single"/>
        </w:rPr>
        <w:t xml:space="preserve">具有独立订立合同的能力。</w:t>
      </w:r>
      <w:r>
        <w:rPr>
          <w:highlight w:val="none"/>
        </w:rPr>
      </w:r>
      <w:r/>
    </w:p>
    <w:p>
      <w:pPr>
        <w:pStyle w:val="872"/>
        <w:ind w:firstLine="482"/>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2）</w:t>
      </w:r>
      <w:r>
        <w:rPr>
          <w:rFonts w:hint="eastAsia"/>
          <w:b/>
          <w:bCs/>
          <w:i/>
          <w:iCs/>
          <w:sz w:val="24"/>
          <w:highlight w:val="none"/>
          <w:u w:val="single"/>
        </w:rPr>
        <w:t xml:space="preserve">分包承担主体</w:t>
      </w:r>
      <w:r>
        <w:rPr>
          <w:rFonts w:hint="eastAsia" w:ascii="宋体" w:hAnsi="宋体"/>
          <w:b/>
          <w:bCs/>
          <w:i/>
          <w:iCs/>
          <w:sz w:val="24"/>
          <w:szCs w:val="24"/>
          <w:highlight w:val="none"/>
          <w:u w:val="single"/>
        </w:rPr>
        <w:t xml:space="preserve">须具有建设行政主管部门颁发的有效的建筑装修装饰工程专业承包贰级及以上资质，并取得有效的企业安全生产许可证。</w:t>
      </w:r>
      <w:r>
        <w:rPr>
          <w:highlight w:val="none"/>
        </w:rPr>
      </w:r>
      <w:r/>
    </w:p>
    <w:p>
      <w:pPr>
        <w:pStyle w:val="872"/>
        <w:ind w:firstLine="482"/>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3）</w:t>
      </w:r>
      <w:r>
        <w:rPr>
          <w:rFonts w:hint="eastAsia"/>
          <w:b/>
          <w:bCs/>
          <w:i/>
          <w:iCs/>
          <w:sz w:val="24"/>
          <w:highlight w:val="none"/>
          <w:u w:val="single"/>
        </w:rPr>
        <w:t xml:space="preserve">分包承担主体</w:t>
      </w:r>
      <w:r>
        <w:rPr>
          <w:rFonts w:hint="eastAsia" w:ascii="宋体" w:hAnsi="宋体"/>
          <w:b/>
          <w:bCs/>
          <w:i/>
          <w:iCs/>
          <w:sz w:val="24"/>
          <w:szCs w:val="24"/>
          <w:highlight w:val="none"/>
          <w:u w:val="single"/>
        </w:rPr>
        <w:t xml:space="preserve">拟派项目负责人须具有有效的建筑工程专业二级及以上注册建造师，并具有省级（或以上）建设行政主管部门核发的《建筑施工企业项目负责人安全生产考核合格证书》（B证）（有效的）</w:t>
      </w:r>
      <w:r>
        <w:rPr>
          <w:rFonts w:hint="eastAsia"/>
          <w:b/>
          <w:bCs/>
          <w:i/>
          <w:iCs/>
          <w:sz w:val="24"/>
          <w:highlight w:val="none"/>
          <w:u w:val="single"/>
        </w:rPr>
        <w:t xml:space="preserve">（项目负责人需要提供近一个月由分包承担主体为其缴纳的社保证明，并加盖分包承担主体公章）</w:t>
      </w:r>
      <w:r>
        <w:rPr>
          <w:highlight w:val="none"/>
        </w:rPr>
      </w:r>
      <w:r/>
    </w:p>
    <w:p>
      <w:pPr>
        <w:pStyle w:val="872"/>
        <w:ind w:firstLine="482"/>
        <w:spacing w:line="360" w:lineRule="auto"/>
        <w:rPr>
          <w:rFonts w:hint="eastAsia"/>
          <w:b/>
          <w:bCs/>
          <w:i/>
          <w:iCs/>
          <w:sz w:val="24"/>
          <w:highlight w:val="none"/>
          <w:u w:val="single"/>
        </w:rPr>
      </w:pPr>
      <w:r>
        <w:rPr>
          <w:rFonts w:hint="eastAsia"/>
          <w:b/>
          <w:bCs/>
          <w:i/>
          <w:iCs/>
          <w:sz w:val="24"/>
          <w:highlight w:val="none"/>
          <w:u w:val="single"/>
        </w:rPr>
        <w:t xml:space="preserve">投标文件中需提供：</w:t>
      </w:r>
      <w:r>
        <w:rPr>
          <w:highlight w:val="none"/>
        </w:rPr>
      </w:r>
      <w:r/>
    </w:p>
    <w:p>
      <w:pPr>
        <w:pStyle w:val="872"/>
        <w:ind w:firstLine="482"/>
        <w:spacing w:line="360" w:lineRule="auto"/>
        <w:rPr>
          <w:b/>
          <w:bCs/>
          <w:i/>
          <w:iCs/>
          <w:sz w:val="24"/>
          <w:highlight w:val="none"/>
          <w:u w:val="single"/>
        </w:rPr>
      </w:pPr>
      <w:r>
        <w:rPr>
          <w:rFonts w:hint="eastAsia"/>
          <w:b/>
          <w:bCs/>
          <w:i/>
          <w:iCs/>
          <w:sz w:val="24"/>
          <w:highlight w:val="none"/>
          <w:u w:val="single"/>
        </w:rPr>
        <w:t xml:space="preserve">1、</w:t>
      </w:r>
      <w:r>
        <w:rPr>
          <w:rFonts w:hint="eastAsia"/>
          <w:b/>
          <w:bCs/>
          <w:i/>
          <w:iCs/>
          <w:sz w:val="24"/>
          <w:highlight w:val="none"/>
          <w:u w:val="single"/>
          <w:lang w:eastAsia="en-US"/>
        </w:rPr>
        <w:t xml:space="preserve">上述</w:t>
      </w:r>
      <w:r>
        <w:rPr>
          <w:rFonts w:hint="eastAsia"/>
          <w:b/>
          <w:bCs/>
          <w:i/>
          <w:iCs/>
          <w:sz w:val="24"/>
          <w:highlight w:val="none"/>
          <w:u w:val="single"/>
        </w:rPr>
        <w:t xml:space="preserve">2</w:t>
      </w:r>
      <w:r>
        <w:rPr>
          <w:b/>
          <w:bCs/>
          <w:i/>
          <w:iCs/>
          <w:sz w:val="24"/>
          <w:highlight w:val="none"/>
          <w:u w:val="single"/>
          <w:lang w:eastAsia="en-US"/>
        </w:rPr>
        <w:t xml:space="preserve">）-3）</w:t>
      </w:r>
      <w:r>
        <w:rPr>
          <w:rFonts w:hint="eastAsia"/>
          <w:b/>
          <w:bCs/>
          <w:i/>
          <w:iCs/>
          <w:sz w:val="24"/>
          <w:highlight w:val="none"/>
          <w:u w:val="single"/>
          <w:lang w:eastAsia="en-US"/>
        </w:rPr>
        <w:t xml:space="preserve">项材料的扫描件并加盖投标人</w:t>
      </w:r>
      <w:r>
        <w:rPr>
          <w:rFonts w:hint="eastAsia"/>
          <w:b/>
          <w:bCs/>
          <w:i/>
          <w:iCs/>
          <w:sz w:val="24"/>
          <w:highlight w:val="none"/>
          <w:u w:val="single"/>
        </w:rPr>
        <w:t xml:space="preserve">及分包承担主体</w:t>
      </w:r>
      <w:r>
        <w:rPr>
          <w:rFonts w:hint="eastAsia"/>
          <w:b/>
          <w:bCs/>
          <w:i/>
          <w:iCs/>
          <w:sz w:val="24"/>
          <w:highlight w:val="none"/>
          <w:u w:val="single"/>
          <w:lang w:eastAsia="en-US"/>
        </w:rPr>
        <w:t xml:space="preserve">公章</w:t>
      </w:r>
      <w:r>
        <w:rPr>
          <w:b/>
          <w:bCs/>
          <w:i/>
          <w:iCs/>
          <w:sz w:val="24"/>
          <w:highlight w:val="none"/>
          <w:u w:val="single"/>
          <w:lang w:eastAsia="en-US"/>
        </w:rPr>
        <w:t xml:space="preserve">；</w:t>
      </w:r>
      <w:r>
        <w:rPr>
          <w:highlight w:val="none"/>
        </w:rPr>
      </w:r>
      <w:r/>
    </w:p>
    <w:p>
      <w:pPr>
        <w:pStyle w:val="872"/>
        <w:ind w:firstLine="482"/>
        <w:spacing w:line="360" w:lineRule="auto"/>
        <w:rPr>
          <w:rFonts w:hint="eastAsia"/>
          <w:b/>
          <w:bCs/>
          <w:i/>
          <w:iCs/>
          <w:sz w:val="24"/>
          <w:highlight w:val="none"/>
          <w:u w:val="single"/>
        </w:rPr>
      </w:pPr>
      <w:r>
        <w:rPr>
          <w:rFonts w:hint="eastAsia"/>
          <w:b/>
          <w:bCs/>
          <w:i/>
          <w:iCs/>
          <w:sz w:val="24"/>
          <w:highlight w:val="none"/>
          <w:u w:val="single"/>
        </w:rPr>
        <w:t xml:space="preserve">2、《中小企业声明函》并加盖分包承担主体公章（</w:t>
      </w:r>
      <w:r>
        <w:rPr>
          <w:rFonts w:hint="eastAsia"/>
          <w:b/>
          <w:bCs/>
          <w:i/>
          <w:iCs/>
          <w:sz w:val="24"/>
          <w:highlight w:val="none"/>
          <w:u w:val="single"/>
        </w:rPr>
        <w:t xml:space="preserve">参考格式详见第六章 投标文件格式）；</w:t>
      </w:r>
      <w:r>
        <w:rPr>
          <w:highlight w:val="none"/>
        </w:rPr>
      </w:r>
      <w:r/>
    </w:p>
    <w:p>
      <w:pPr>
        <w:pStyle w:val="872"/>
        <w:ind w:firstLine="482"/>
        <w:spacing w:line="360" w:lineRule="auto"/>
        <w:rPr>
          <w:rFonts w:hint="eastAsia" w:ascii="宋体" w:hAnsi="宋体"/>
          <w:i/>
          <w:iCs/>
          <w:sz w:val="24"/>
          <w:szCs w:val="24"/>
          <w:highlight w:val="none"/>
          <w:u w:val="single"/>
        </w:rPr>
      </w:pPr>
      <w:r>
        <w:rPr>
          <w:rFonts w:hint="eastAsia"/>
          <w:b/>
          <w:bCs/>
          <w:i/>
          <w:iCs/>
          <w:sz w:val="24"/>
          <w:highlight w:val="none"/>
          <w:u w:val="single"/>
        </w:rPr>
        <w:t xml:space="preserve">3</w:t>
      </w:r>
      <w:r>
        <w:rPr>
          <w:b/>
          <w:bCs/>
          <w:i/>
          <w:iCs/>
          <w:sz w:val="24"/>
          <w:highlight w:val="none"/>
          <w:u w:val="single"/>
        </w:rPr>
        <w:t xml:space="preserve">、</w:t>
      </w:r>
      <w:r>
        <w:rPr>
          <w:rFonts w:hint="eastAsia"/>
          <w:b/>
          <w:bCs/>
          <w:i/>
          <w:iCs/>
          <w:sz w:val="24"/>
          <w:highlight w:val="none"/>
          <w:u w:val="single"/>
        </w:rPr>
        <w:t xml:space="preserve">《分包承诺函》并加盖投标人公章（参考格式详见第六章 投标文件格式）。</w:t>
      </w:r>
      <w:r>
        <w:rPr>
          <w:highlight w:val="none"/>
        </w:rPr>
      </w:r>
      <w:r/>
    </w:p>
    <w:p>
      <w:pPr>
        <w:pStyle w:val="872"/>
        <w:ind w:firstLine="482"/>
        <w:spacing w:line="360" w:lineRule="auto"/>
        <w:rPr>
          <w:rFonts w:ascii="宋体" w:hAnsi="宋体"/>
          <w:b/>
          <w:bCs/>
          <w:i/>
          <w:iCs/>
          <w:sz w:val="24"/>
          <w:szCs w:val="24"/>
          <w:highlight w:val="none"/>
          <w:u w:val="single"/>
        </w:rPr>
      </w:pPr>
      <w:r>
        <w:rPr>
          <w:rFonts w:hint="eastAsia" w:ascii="宋体" w:hAnsi="宋体"/>
          <w:b/>
          <w:bCs/>
          <w:i/>
          <w:iCs/>
          <w:sz w:val="24"/>
          <w:szCs w:val="24"/>
          <w:highlight w:val="none"/>
          <w:u w:val="single"/>
        </w:rPr>
        <w:t xml:space="preserve">若投标人本身具有相应资质可不分包，只需提供上述第1项材料，并加盖投标人公章。不提供，或者提供材料不符合要求的，视为无效投标。</w:t>
      </w:r>
      <w:r>
        <w:rPr>
          <w:highlight w:val="none"/>
        </w:rPr>
      </w:r>
      <w:r/>
    </w:p>
    <w:p>
      <w:pPr>
        <w:pStyle w:val="872"/>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pStyle w:val="872"/>
        <w:ind w:firstLine="493"/>
        <w:spacing w:line="360" w:lineRule="auto"/>
        <w:rPr>
          <w:rFonts w:ascii="宋体" w:hAnsi="宋体"/>
          <w:b/>
          <w:bCs/>
          <w:sz w:val="24"/>
          <w:szCs w:val="24"/>
          <w:highlight w:val="none"/>
        </w:rPr>
        <w:outlineLvl w:val="1"/>
      </w:pPr>
      <w:r>
        <w:rPr>
          <w:rFonts w:hint="eastAsia" w:ascii="宋体" w:hAnsi="宋体"/>
          <w:b/>
          <w:bCs/>
          <w:sz w:val="24"/>
          <w:szCs w:val="24"/>
          <w:highlight w:val="none"/>
        </w:rPr>
        <w:t xml:space="preserve">（二）硬件设备采购</w:t>
      </w:r>
      <w:r>
        <w:rPr>
          <w:highlight w:val="none"/>
        </w:rPr>
      </w:r>
      <w:r/>
    </w:p>
    <w:p>
      <w:pPr>
        <w:pStyle w:val="872"/>
        <w:ind w:firstLine="492"/>
        <w:spacing w:line="360" w:lineRule="auto"/>
        <w:rPr>
          <w:rFonts w:ascii="宋体" w:hAnsi="宋体"/>
          <w:sz w:val="24"/>
          <w:szCs w:val="24"/>
          <w:highlight w:val="none"/>
        </w:rPr>
      </w:pPr>
      <w:r>
        <w:rPr>
          <w:rFonts w:hint="eastAsia" w:ascii="宋体" w:hAnsi="宋体"/>
          <w:sz w:val="24"/>
          <w:szCs w:val="24"/>
          <w:highlight w:val="none"/>
        </w:rPr>
        <w:t xml:space="preserve">硬件设备主要包括显示系统设备、会议系统设备、单兵设备、扩声系统设备、视频处理系统设备、中控系统设备以及操作台、监控席、会商席等。具体内容见采购清单。</w:t>
      </w:r>
      <w:r>
        <w:rPr>
          <w:highlight w:val="none"/>
        </w:rPr>
      </w:r>
      <w:r/>
    </w:p>
    <w:p>
      <w:pPr>
        <w:pStyle w:val="872"/>
        <w:jc w:val="center"/>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硬件设备采购清单</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5318"/>
        <w:gridCol w:w="1404"/>
        <w:gridCol w:w="720"/>
      </w:tblGrid>
      <w:tr>
        <w:trPr/>
        <w:tc>
          <w:tcPr>
            <w:tcW w:w="923"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序号</w:t>
            </w:r>
            <w:r>
              <w:rPr>
                <w:highlight w:val="none"/>
              </w:rPr>
            </w:r>
            <w:r/>
          </w:p>
        </w:tc>
        <w:tc>
          <w:tcPr>
            <w:tcW w:w="5318"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货物（标的）名称</w:t>
            </w:r>
            <w:r>
              <w:rPr>
                <w:highlight w:val="none"/>
              </w:rPr>
            </w:r>
            <w:r/>
          </w:p>
        </w:tc>
        <w:tc>
          <w:tcPr>
            <w:tcW w:w="1404" w:type="dxa"/>
            <w:vAlign w:val="center"/>
            <w:textDirection w:val="lrTb"/>
            <w:noWrap w:val="false"/>
          </w:tcPr>
          <w:p>
            <w:pPr>
              <w:pStyle w:val="872"/>
              <w:jc w:val="center"/>
              <w:spacing w:line="360" w:lineRule="auto"/>
              <w:widowControl/>
              <w:rPr>
                <w:rFonts w:ascii="宋体" w:hAnsi="Times New Roman"/>
                <w:szCs w:val="21"/>
                <w:highlight w:val="none"/>
              </w:rPr>
            </w:pPr>
            <w:r>
              <w:rPr>
                <w:rFonts w:hint="eastAsia" w:ascii="Times New Roman" w:hAnsi="Times New Roman"/>
                <w:szCs w:val="21"/>
                <w:highlight w:val="none"/>
              </w:rPr>
              <w:t xml:space="preserve">数量</w:t>
            </w:r>
            <w:r>
              <w:rPr>
                <w:highlight w:val="none"/>
              </w:rPr>
            </w:r>
            <w:r/>
          </w:p>
        </w:tc>
        <w:tc>
          <w:tcPr>
            <w:tcW w:w="720" w:type="dxa"/>
            <w:vAlign w:val="center"/>
            <w:textDirection w:val="lrTb"/>
            <w:noWrap w:val="false"/>
          </w:tcPr>
          <w:p>
            <w:pPr>
              <w:pStyle w:val="872"/>
              <w:jc w:val="center"/>
              <w:spacing w:line="360" w:lineRule="auto"/>
              <w:widowControl/>
              <w:rPr>
                <w:rFonts w:ascii="Times New Roman" w:hAnsi="Times New Roman"/>
                <w:szCs w:val="21"/>
                <w:highlight w:val="none"/>
              </w:rPr>
            </w:pPr>
            <w:r>
              <w:rPr>
                <w:rFonts w:hint="eastAsia" w:ascii="Times New Roman" w:hAnsi="Times New Roman"/>
                <w:szCs w:val="21"/>
                <w:highlight w:val="none"/>
              </w:rPr>
              <w:t xml:space="preserve">单位</w:t>
            </w:r>
            <w:r>
              <w:rPr>
                <w:highlight w:val="none"/>
              </w:rPr>
            </w:r>
            <w:r/>
          </w:p>
        </w:tc>
      </w:tr>
      <w:tr>
        <w:trPr/>
        <w:tc>
          <w:tcPr>
            <w:gridSpan w:val="4"/>
            <w:tcW w:w="8365" w:type="dxa"/>
            <w:vAlign w:val="top"/>
            <w:textDirection w:val="lrTb"/>
            <w:noWrap w:val="false"/>
          </w:tcPr>
          <w:p>
            <w:pPr>
              <w:pStyle w:val="872"/>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一、显示拼接系统</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hint="eastAsia" w:ascii="宋体" w:hAnsi="宋体" w:cs="Helvetica"/>
                <w:szCs w:val="21"/>
                <w:highlight w:val="none"/>
              </w:rPr>
            </w:pPr>
            <w:r>
              <w:rPr>
                <w:rFonts w:hint="eastAsia" w:ascii="宋体" w:hAnsi="宋体" w:cs="Helvetica"/>
                <w:szCs w:val="21"/>
                <w:highlight w:val="none"/>
              </w:rPr>
            </w:r>
            <w:r>
              <w:rPr>
                <w:highlight w:val="none"/>
              </w:rPr>
            </w:r>
            <w:r/>
          </w:p>
        </w:tc>
        <w:tc>
          <w:tcPr>
            <w:tcW w:w="5318" w:type="dxa"/>
            <w:vAlign w:val="center"/>
            <w:textDirection w:val="lrTb"/>
            <w:noWrap w:val="false"/>
          </w:tcPr>
          <w:p>
            <w:pPr>
              <w:pStyle w:val="872"/>
              <w:spacing w:line="360" w:lineRule="auto"/>
              <w:widowControl/>
              <w:rPr>
                <w:rFonts w:ascii="宋体" w:hAnsi="宋体" w:cs="Helvetica"/>
                <w:szCs w:val="21"/>
                <w:highlight w:val="none"/>
              </w:rPr>
            </w:pPr>
            <w:r>
              <w:rPr>
                <w:rFonts w:hint="eastAsia" w:ascii="宋体" w:hAnsi="宋体" w:cs="Helvetica"/>
                <w:szCs w:val="21"/>
                <w:highlight w:val="none"/>
              </w:rPr>
              <w:t xml:space="preserve">控制系统软件</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套</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hint="eastAsia" w:ascii="宋体" w:hAnsi="宋体" w:cs="Helvetica"/>
                <w:szCs w:val="21"/>
                <w:highlight w:val="none"/>
              </w:rPr>
            </w:pPr>
            <w:r>
              <w:rPr>
                <w:rFonts w:hint="eastAsia" w:ascii="宋体" w:hAnsi="宋体" w:cs="Helvetica"/>
                <w:szCs w:val="21"/>
                <w:highlight w:val="none"/>
              </w:rPr>
            </w:r>
            <w:r>
              <w:rPr>
                <w:highlight w:val="none"/>
              </w:rPr>
            </w:r>
            <w:r/>
          </w:p>
        </w:tc>
        <w:tc>
          <w:tcPr>
            <w:tcW w:w="5318" w:type="dxa"/>
            <w:vAlign w:val="center"/>
            <w:textDirection w:val="lrTb"/>
            <w:noWrap w:val="false"/>
          </w:tcPr>
          <w:p>
            <w:pPr>
              <w:pStyle w:val="872"/>
              <w:spacing w:line="360" w:lineRule="auto"/>
              <w:widowControl/>
              <w:rPr>
                <w:rFonts w:ascii="宋体" w:hAnsi="宋体" w:cs="Helvetica"/>
                <w:szCs w:val="21"/>
                <w:highlight w:val="none"/>
              </w:rPr>
            </w:pPr>
            <w:r>
              <w:rPr>
                <w:rFonts w:hint="eastAsia" w:ascii="宋体" w:hAnsi="宋体" w:cs="Helvetica"/>
                <w:szCs w:val="21"/>
                <w:highlight w:val="none"/>
              </w:rPr>
              <w:t xml:space="preserve">视频拼接处理器</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台</w:t>
            </w:r>
            <w:r>
              <w:rPr>
                <w:highlight w:val="none"/>
              </w:rPr>
            </w:r>
            <w:r/>
          </w:p>
        </w:tc>
      </w:tr>
      <w:tr>
        <w:trPr/>
        <w:tc>
          <w:tcPr>
            <w:gridSpan w:val="4"/>
            <w:tcW w:w="8365" w:type="dxa"/>
            <w:vAlign w:val="center"/>
            <w:textDirection w:val="lrTb"/>
            <w:noWrap w:val="false"/>
          </w:tcPr>
          <w:p>
            <w:pPr>
              <w:pStyle w:val="872"/>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二、会议系统</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rPr>
                <w:rFonts w:ascii="宋体" w:hAnsi="宋体" w:cs="宋体"/>
                <w:szCs w:val="21"/>
                <w:highlight w:val="none"/>
              </w:rPr>
            </w:pPr>
            <w:r>
              <w:rPr>
                <w:rFonts w:hint="eastAsia" w:ascii="宋体" w:hAnsi="宋体" w:cs="宋体"/>
                <w:szCs w:val="21"/>
                <w:highlight w:val="none"/>
              </w:rPr>
              <w:t xml:space="preserve">数字会议系统主机</w:t>
            </w:r>
            <w:r>
              <w:rPr>
                <w:highlight w:val="none"/>
              </w:rPr>
            </w:r>
            <w:r/>
          </w:p>
        </w:tc>
        <w:tc>
          <w:tcPr>
            <w:tcW w:w="1404" w:type="dxa"/>
            <w:vAlign w:val="center"/>
            <w:textDirection w:val="lrTb"/>
            <w:noWrap w:val="false"/>
          </w:tcPr>
          <w:p>
            <w:pPr>
              <w:pStyle w:val="872"/>
              <w:jc w:val="center"/>
              <w:rPr>
                <w:rFonts w:ascii="宋体" w:hAnsi="宋体"/>
                <w:szCs w:val="21"/>
                <w:highlight w:val="none"/>
              </w:rPr>
            </w:pPr>
            <w:r>
              <w:rPr>
                <w:rFonts w:hint="eastAsia" w:ascii="宋体" w:hAnsi="宋体"/>
                <w:szCs w:val="21"/>
                <w:highlight w:val="none"/>
              </w:rPr>
              <w:t xml:space="preserve">1</w:t>
            </w:r>
            <w:r>
              <w:rPr>
                <w:highlight w:val="none"/>
              </w:rPr>
            </w:r>
            <w:r/>
          </w:p>
        </w:tc>
        <w:tc>
          <w:tcPr>
            <w:tcW w:w="720" w:type="dxa"/>
            <w:vAlign w:val="center"/>
            <w:textDirection w:val="lrTb"/>
            <w:noWrap w:val="false"/>
          </w:tcPr>
          <w:p>
            <w:pPr>
              <w:pStyle w:val="872"/>
              <w:jc w:val="center"/>
              <w:rPr>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rPr>
                <w:rFonts w:ascii="宋体" w:hAnsi="宋体" w:cs="宋体"/>
                <w:szCs w:val="21"/>
                <w:highlight w:val="none"/>
              </w:rPr>
            </w:pPr>
            <w:r>
              <w:rPr>
                <w:rFonts w:hint="eastAsia" w:ascii="宋体" w:hAnsi="宋体" w:cs="宋体"/>
                <w:szCs w:val="21"/>
                <w:highlight w:val="none"/>
              </w:rPr>
              <w:t xml:space="preserve">数字会议系统主席单元</w:t>
            </w:r>
            <w:r>
              <w:rPr>
                <w:highlight w:val="none"/>
              </w:rPr>
            </w:r>
            <w:r/>
          </w:p>
        </w:tc>
        <w:tc>
          <w:tcPr>
            <w:tcW w:w="1404" w:type="dxa"/>
            <w:vAlign w:val="center"/>
            <w:textDirection w:val="lrTb"/>
            <w:noWrap w:val="false"/>
          </w:tcPr>
          <w:p>
            <w:pPr>
              <w:pStyle w:val="872"/>
              <w:jc w:val="center"/>
              <w:rPr>
                <w:rFonts w:hint="eastAsia" w:ascii="宋体" w:hAnsi="宋体"/>
                <w:szCs w:val="21"/>
                <w:highlight w:val="none"/>
              </w:rPr>
            </w:pPr>
            <w:r>
              <w:rPr>
                <w:rFonts w:hint="eastAsia" w:ascii="宋体" w:hAnsi="宋体"/>
                <w:szCs w:val="21"/>
                <w:highlight w:val="none"/>
              </w:rPr>
              <w:t xml:space="preserve">1</w:t>
            </w:r>
            <w:r>
              <w:rPr>
                <w:highlight w:val="none"/>
              </w:rPr>
            </w:r>
            <w:r/>
          </w:p>
        </w:tc>
        <w:tc>
          <w:tcPr>
            <w:tcW w:w="720" w:type="dxa"/>
            <w:vAlign w:val="center"/>
            <w:textDirection w:val="lrTb"/>
            <w:noWrap w:val="false"/>
          </w:tcPr>
          <w:p>
            <w:pPr>
              <w:pStyle w:val="872"/>
              <w:jc w:val="center"/>
              <w:rPr>
                <w:rFonts w:hint="eastAsia" w:ascii="宋体" w:hAnsi="宋体"/>
                <w:szCs w:val="21"/>
                <w:highlight w:val="none"/>
              </w:rPr>
            </w:pPr>
            <w:r>
              <w:rPr>
                <w:rFonts w:hint="eastAsia" w:ascii="宋体" w:hAnsi="宋体"/>
                <w:szCs w:val="21"/>
                <w:highlight w:val="none"/>
              </w:rPr>
              <w:t xml:space="preserve">个</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rPr>
                <w:rFonts w:ascii="宋体" w:hAnsi="宋体" w:cs="宋体"/>
                <w:szCs w:val="21"/>
                <w:highlight w:val="none"/>
              </w:rPr>
            </w:pPr>
            <w:r>
              <w:rPr>
                <w:rFonts w:hint="eastAsia" w:ascii="宋体" w:hAnsi="宋体" w:cs="宋体"/>
                <w:szCs w:val="21"/>
                <w:highlight w:val="none"/>
              </w:rPr>
              <w:t xml:space="preserve">数字会议系统代表单元</w:t>
            </w:r>
            <w:r>
              <w:rPr>
                <w:highlight w:val="none"/>
              </w:rPr>
            </w:r>
            <w:r/>
          </w:p>
        </w:tc>
        <w:tc>
          <w:tcPr>
            <w:tcW w:w="1404" w:type="dxa"/>
            <w:vAlign w:val="center"/>
            <w:textDirection w:val="lrTb"/>
            <w:noWrap w:val="false"/>
          </w:tcPr>
          <w:p>
            <w:pPr>
              <w:pStyle w:val="872"/>
              <w:jc w:val="center"/>
              <w:rPr>
                <w:rFonts w:hint="eastAsia" w:ascii="宋体" w:hAnsi="宋体"/>
                <w:szCs w:val="21"/>
                <w:highlight w:val="none"/>
              </w:rPr>
            </w:pPr>
            <w:r>
              <w:rPr>
                <w:rFonts w:hint="eastAsia" w:ascii="宋体" w:hAnsi="宋体"/>
                <w:szCs w:val="21"/>
                <w:highlight w:val="none"/>
              </w:rPr>
              <w:t xml:space="preserve">21</w:t>
            </w:r>
            <w:r>
              <w:rPr>
                <w:highlight w:val="none"/>
              </w:rPr>
            </w:r>
            <w:r/>
          </w:p>
        </w:tc>
        <w:tc>
          <w:tcPr>
            <w:tcW w:w="720" w:type="dxa"/>
            <w:vAlign w:val="center"/>
            <w:textDirection w:val="lrTb"/>
            <w:noWrap w:val="false"/>
          </w:tcPr>
          <w:p>
            <w:pPr>
              <w:pStyle w:val="872"/>
              <w:jc w:val="center"/>
              <w:rPr>
                <w:rFonts w:hint="eastAsia" w:ascii="宋体" w:hAnsi="宋体"/>
                <w:szCs w:val="21"/>
                <w:highlight w:val="none"/>
              </w:rPr>
            </w:pPr>
            <w:r>
              <w:rPr>
                <w:rFonts w:hint="eastAsia" w:ascii="宋体" w:hAnsi="宋体"/>
                <w:szCs w:val="21"/>
                <w:highlight w:val="none"/>
              </w:rPr>
              <w:t xml:space="preserve">个</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rPr>
                <w:rFonts w:ascii="宋体" w:hAnsi="宋体" w:cs="宋体"/>
                <w:szCs w:val="21"/>
                <w:highlight w:val="none"/>
              </w:rPr>
            </w:pPr>
            <w:r>
              <w:rPr>
                <w:rFonts w:hint="eastAsia" w:ascii="宋体" w:hAnsi="宋体" w:cs="宋体"/>
                <w:szCs w:val="21"/>
                <w:highlight w:val="none"/>
              </w:rPr>
              <w:t xml:space="preserve">无线话筒</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rPr>
                <w:rFonts w:ascii="宋体" w:hAnsi="宋体" w:cs="宋体"/>
                <w:szCs w:val="21"/>
                <w:highlight w:val="none"/>
              </w:rPr>
            </w:pPr>
            <w:r>
              <w:rPr>
                <w:rFonts w:hint="eastAsia" w:ascii="宋体" w:hAnsi="宋体" w:cs="宋体"/>
                <w:szCs w:val="21"/>
                <w:highlight w:val="none"/>
              </w:rPr>
              <w:t xml:space="preserve">延长线</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条</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无纸化主机</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智能无纸化会议管理服务器软件</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套</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rPr>
              <w:t xml:space="preserve">电子升降桌牌</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rFonts w:ascii="宋体" w:hAnsi="宋体" w:cs="Helvetica"/>
                <w:szCs w:val="21"/>
                <w:highlight w:val="none"/>
              </w:rPr>
              <w:t xml:space="preserve">8</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rPr>
              <w:t xml:space="preserve">全数字POE拓展主机（含桌牌控制软件）</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宋体"/>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szCs w:val="21"/>
                <w:highlight w:val="none"/>
              </w:rPr>
            </w:pPr>
            <w:r>
              <w:rPr>
                <w:rFonts w:hint="eastAsia" w:ascii="宋体" w:hAnsi="宋体" w:cs="宋体"/>
                <w:szCs w:val="21"/>
                <w:highlight w:val="none"/>
              </w:rPr>
              <w:t xml:space="preserve">套</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Times New Roman" w:hAnsi="Times New Roman"/>
                <w:szCs w:val="21"/>
                <w:highlight w:val="none"/>
              </w:rPr>
            </w:pPr>
            <w:r>
              <w:rPr>
                <w:rFonts w:hint="eastAsia" w:ascii="宋体" w:hAnsi="宋体" w:cs="宋体"/>
                <w:szCs w:val="21"/>
                <w:highlight w:val="none"/>
                <w:lang w:bidi="ar"/>
              </w:rPr>
              <w:t xml:space="preserve">无纸化会议终端</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rFonts w:ascii="宋体" w:hAnsi="宋体" w:cs="Helvetica"/>
                <w:szCs w:val="21"/>
                <w:highlight w:val="none"/>
              </w:rPr>
              <w:t xml:space="preserve">8</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无纸化会议终端软件</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4</w:t>
            </w:r>
            <w:r>
              <w:rPr>
                <w:rFonts w:ascii="宋体" w:hAnsi="宋体" w:cs="Helvetica"/>
                <w:szCs w:val="21"/>
                <w:highlight w:val="none"/>
              </w:rPr>
              <w:t xml:space="preserve">0</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套</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无纸化流媒体主机</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无纸化大屏控制器（含无纸化流媒体服务器嵌入软件）</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套</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操作控制终端</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ascii="宋体" w:hAnsi="宋体" w:cs="Helvetica"/>
                <w:szCs w:val="21"/>
                <w:highlight w:val="none"/>
              </w:rPr>
              <w:t xml:space="preserve">6</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大屏图像工作站</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彩色激光打印机</w:t>
            </w:r>
            <w:r>
              <w:rPr>
                <w:highlight w:val="none"/>
              </w:rPr>
            </w:r>
            <w:r/>
          </w:p>
        </w:tc>
        <w:tc>
          <w:tcPr>
            <w:tcW w:w="1404" w:type="dxa"/>
            <w:vAlign w:val="center"/>
            <w:textDirection w:val="lrTb"/>
            <w:noWrap w:val="false"/>
          </w:tcPr>
          <w:p>
            <w:pPr>
              <w:pStyle w:val="872"/>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2</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彩色打印/复印/扫描多功能一体机</w:t>
            </w:r>
            <w:r>
              <w:rPr>
                <w:highlight w:val="none"/>
              </w:rPr>
            </w:r>
            <w:r/>
          </w:p>
        </w:tc>
        <w:tc>
          <w:tcPr>
            <w:tcW w:w="1404" w:type="dxa"/>
            <w:vAlign w:val="center"/>
            <w:textDirection w:val="lrTb"/>
            <w:noWrap w:val="false"/>
          </w:tcPr>
          <w:p>
            <w:pPr>
              <w:pStyle w:val="872"/>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szCs w:val="21"/>
                <w:highlight w:val="none"/>
              </w:rPr>
            </w:pPr>
            <w:r>
              <w:rPr>
                <w:rFonts w:hint="eastAsia" w:ascii="宋体" w:hAnsi="宋体" w:cs="宋体"/>
                <w:szCs w:val="21"/>
                <w:highlight w:val="none"/>
                <w:lang w:bidi="ar"/>
              </w:rPr>
              <w:t xml:space="preserve">液晶会议平板一体机（86 英寸 LED背光源）</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移动终端</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2</w:t>
            </w:r>
            <w:r>
              <w:rPr>
                <w:highlight w:val="none"/>
              </w:rPr>
            </w:r>
            <w:r/>
          </w:p>
        </w:tc>
        <w:tc>
          <w:tcPr>
            <w:tcW w:w="720" w:type="dxa"/>
            <w:vAlign w:val="center"/>
            <w:textDirection w:val="lrTb"/>
            <w:noWrap w:val="false"/>
          </w:tcPr>
          <w:p>
            <w:pPr>
              <w:pStyle w:val="872"/>
              <w:jc w:val="center"/>
              <w:spacing w:line="360" w:lineRule="auto"/>
              <w:widowControl/>
              <w:rPr>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网络主机</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电源管理器</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center"/>
            <w:textDirection w:val="lrTb"/>
            <w:noWrap w:val="false"/>
          </w:tcPr>
          <w:p>
            <w:pPr>
              <w:pStyle w:val="872"/>
              <w:widowControl/>
              <w:rPr>
                <w:rFonts w:ascii="宋体" w:hAnsi="宋体" w:cs="宋体"/>
                <w:szCs w:val="21"/>
                <w:highlight w:val="none"/>
              </w:rPr>
            </w:pPr>
            <w:r>
              <w:rPr>
                <w:rFonts w:hint="eastAsia" w:ascii="宋体" w:hAnsi="宋体" w:cs="宋体"/>
                <w:szCs w:val="21"/>
                <w:highlight w:val="none"/>
                <w:lang w:bidi="ar"/>
              </w:rPr>
              <w:t xml:space="preserve">三层千兆交换机</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gridSpan w:val="4"/>
            <w:tcW w:w="8365" w:type="dxa"/>
            <w:vAlign w:val="top"/>
            <w:textDirection w:val="lrTb"/>
            <w:noWrap w:val="false"/>
          </w:tcPr>
          <w:p>
            <w:pPr>
              <w:pStyle w:val="872"/>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三、扩声系统</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阵列音柱</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ascii="宋体" w:hAnsi="宋体" w:cs="Helvetica"/>
                <w:szCs w:val="21"/>
                <w:highlight w:val="none"/>
              </w:rPr>
              <w:t xml:space="preserve">2</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只</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8寸同轴音箱</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ascii="宋体" w:hAnsi="宋体" w:cs="Helvetica"/>
                <w:szCs w:val="21"/>
                <w:highlight w:val="none"/>
              </w:rPr>
              <w:t xml:space="preserve">2</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只</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可调数字功放</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ascii="宋体" w:hAnsi="宋体" w:cs="Helvetica"/>
                <w:szCs w:val="21"/>
                <w:highlight w:val="none"/>
              </w:rPr>
              <w:t xml:space="preserve">2</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5寸吸顶音箱</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ascii="宋体" w:hAnsi="宋体" w:cs="Helvetica"/>
                <w:szCs w:val="21"/>
                <w:highlight w:val="none"/>
              </w:rPr>
              <w:t xml:space="preserve">4</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只</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四通道数字功放</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ascii="宋体" w:hAnsi="宋体" w:cs="Helvetica"/>
                <w:szCs w:val="21"/>
                <w:highlight w:val="none"/>
              </w:rPr>
              <w:t xml:space="preserve">2</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8*8音频处理器</w:t>
            </w:r>
            <w:r>
              <w:rPr>
                <w:highlight w:val="none"/>
              </w:rPr>
            </w:r>
            <w:r/>
          </w:p>
        </w:tc>
        <w:tc>
          <w:tcPr>
            <w:tcW w:w="1404" w:type="dxa"/>
            <w:vAlign w:val="center"/>
            <w:textDirection w:val="lrTb"/>
            <w:noWrap w:val="false"/>
          </w:tcPr>
          <w:p>
            <w:pPr>
              <w:pStyle w:val="872"/>
              <w:jc w:val="center"/>
              <w:spacing w:line="360" w:lineRule="auto"/>
              <w:widowControl/>
              <w:rPr>
                <w:rFonts w:ascii="宋体" w:hAnsi="宋体" w:cs="Helvetica"/>
                <w:szCs w:val="21"/>
                <w:highlight w:val="none"/>
              </w:rPr>
            </w:pPr>
            <w:r>
              <w:rPr>
                <w:rFonts w:ascii="宋体" w:hAnsi="宋体" w:cs="Helvetica"/>
                <w:szCs w:val="21"/>
                <w:highlight w:val="none"/>
              </w:rPr>
              <w:t xml:space="preserve">2</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szCs w:val="21"/>
                <w:highlight w:val="none"/>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反馈抑制器</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数字调音台</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高清视频会议摄像机</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ascii="宋体" w:hAnsi="宋体" w:cs="宋体"/>
                <w:szCs w:val="21"/>
                <w:highlight w:val="none"/>
                <w:lang w:bidi="ar"/>
              </w:rPr>
              <w:t xml:space="preserve">4</w:t>
            </w:r>
            <w:r>
              <w:rPr>
                <w:rFonts w:hint="eastAsia" w:ascii="宋体" w:hAnsi="宋体" w:cs="宋体"/>
                <w:szCs w:val="21"/>
                <w:highlight w:val="none"/>
                <w:lang w:bidi="ar"/>
              </w:rPr>
              <w:t xml:space="preserve">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视频会议主机</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高清混合插卡矩阵主机</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4路HDMI输入卡</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4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张</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4路HDMI输出卡</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4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张</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信号传输器</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7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对</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摄像机升降器</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2</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摄像机三脚架</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widowControl/>
              <w:rPr>
                <w:rFonts w:ascii="宋体" w:hAnsi="宋体" w:cs="Helvetica"/>
                <w:szCs w:val="21"/>
                <w:highlight w:val="none"/>
              </w:rPr>
            </w:pPr>
            <w:r>
              <w:rPr>
                <w:rFonts w:hint="eastAsia" w:ascii="宋体" w:hAnsi="宋体" w:cs="Helvetica"/>
                <w:szCs w:val="21"/>
                <w:highlight w:val="none"/>
              </w:rPr>
              <w:t xml:space="preserve">视频会议终端</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gridSpan w:val="4"/>
            <w:tcW w:w="8365" w:type="dxa"/>
            <w:vAlign w:val="top"/>
            <w:textDirection w:val="lrTb"/>
            <w:noWrap w:val="false"/>
          </w:tcPr>
          <w:p>
            <w:pPr>
              <w:pStyle w:val="872"/>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五、中控系统</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中央控制主机</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8路电源时序器</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ascii="宋体" w:hAnsi="宋体" w:cs="宋体"/>
                <w:szCs w:val="21"/>
                <w:highlight w:val="none"/>
                <w:lang w:bidi="ar"/>
              </w:rPr>
              <w:t xml:space="preserve">2</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扩声系统集成软件</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移动控制终端</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无线路由器</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机柜</w:t>
            </w:r>
            <w:r>
              <w:rPr>
                <w:highlight w:val="none"/>
              </w:rPr>
            </w:r>
            <w:r/>
          </w:p>
        </w:tc>
        <w:tc>
          <w:tcPr>
            <w:tcW w:w="1404" w:type="dxa"/>
            <w:vAlign w:val="center"/>
            <w:textDirection w:val="lrTb"/>
            <w:noWrap w:val="false"/>
          </w:tcPr>
          <w:p>
            <w:pPr>
              <w:pStyle w:val="87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highlight w:val="none"/>
              </w:rPr>
            </w:r>
            <w:r/>
          </w:p>
        </w:tc>
        <w:tc>
          <w:tcPr>
            <w:tcW w:w="720" w:type="dxa"/>
            <w:vAlign w:val="center"/>
            <w:textDirection w:val="lrTb"/>
            <w:noWrap w:val="false"/>
          </w:tcPr>
          <w:p>
            <w:pPr>
              <w:pStyle w:val="87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千兆交换机</w:t>
            </w:r>
            <w:r>
              <w:rPr>
                <w:highlight w:val="none"/>
              </w:rPr>
            </w:r>
            <w:r/>
          </w:p>
        </w:tc>
        <w:tc>
          <w:tcPr>
            <w:tcW w:w="1404" w:type="dxa"/>
            <w:vAlign w:val="center"/>
            <w:textDirection w:val="lrTb"/>
            <w:noWrap w:val="false"/>
          </w:tcPr>
          <w:p>
            <w:pPr>
              <w:pStyle w:val="87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highlight w:val="none"/>
              </w:rPr>
            </w:r>
            <w:r/>
          </w:p>
        </w:tc>
        <w:tc>
          <w:tcPr>
            <w:tcW w:w="720" w:type="dxa"/>
            <w:vAlign w:val="center"/>
            <w:textDirection w:val="lrTb"/>
            <w:noWrap w:val="false"/>
          </w:tcPr>
          <w:p>
            <w:pPr>
              <w:pStyle w:val="87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hint="eastAsia" w:ascii="宋体" w:hAnsi="宋体" w:cs="Helvetica"/>
                <w:color w:val="ff0000"/>
                <w:szCs w:val="21"/>
                <w:highlight w:val="none"/>
              </w:rPr>
            </w:pPr>
            <w:r>
              <w:rPr>
                <w:rFonts w:hint="eastAsia" w:ascii="宋体" w:hAnsi="宋体" w:cs="Helvetica"/>
                <w:color w:val="ff0000"/>
                <w:szCs w:val="21"/>
                <w:highlight w:val="none"/>
              </w:rPr>
            </w:r>
            <w:r>
              <w:rPr>
                <w:highlight w:val="none"/>
              </w:rPr>
            </w:r>
            <w:r/>
          </w:p>
        </w:tc>
        <w:tc>
          <w:tcPr>
            <w:tcW w:w="5318" w:type="dxa"/>
            <w:vAlign w:val="center"/>
            <w:textDirection w:val="lrTb"/>
            <w:noWrap w:val="false"/>
          </w:tcPr>
          <w:p>
            <w:pPr>
              <w:pStyle w:val="872"/>
              <w:jc w:val="left"/>
              <w:widowControl/>
              <w:rPr>
                <w:rFonts w:hint="eastAsia" w:ascii="宋体" w:hAnsi="宋体" w:cs="宋体"/>
                <w:color w:val="ff0000"/>
                <w:szCs w:val="21"/>
                <w:highlight w:val="none"/>
              </w:rPr>
            </w:pPr>
            <w:r>
              <w:rPr>
                <w:rFonts w:hint="eastAsia" w:ascii="宋体" w:hAnsi="宋体" w:cs="宋体"/>
                <w:szCs w:val="21"/>
                <w:highlight w:val="none"/>
              </w:rPr>
              <w:t xml:space="preserve">核心交换机</w:t>
            </w:r>
            <w:r>
              <w:rPr>
                <w:highlight w:val="none"/>
              </w:rPr>
            </w:r>
            <w:r/>
          </w:p>
        </w:tc>
        <w:tc>
          <w:tcPr>
            <w:tcW w:w="1404" w:type="dxa"/>
            <w:vAlign w:val="center"/>
            <w:textDirection w:val="lrTb"/>
            <w:noWrap w:val="false"/>
          </w:tcPr>
          <w:p>
            <w:pPr>
              <w:pStyle w:val="872"/>
              <w:jc w:val="center"/>
              <w:widowControl/>
              <w:rPr>
                <w:rFonts w:hint="eastAsia" w:ascii="宋体" w:hAnsi="宋体" w:cs="宋体"/>
                <w:color w:val="ff0000"/>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hint="eastAsia" w:ascii="宋体" w:hAnsi="宋体" w:cs="宋体"/>
                <w:color w:val="ff0000"/>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hint="eastAsia" w:ascii="宋体" w:hAnsi="宋体" w:cs="Helvetica"/>
                <w:color w:val="ff0000"/>
                <w:szCs w:val="21"/>
                <w:highlight w:val="none"/>
              </w:rPr>
            </w:pPr>
            <w:r>
              <w:rPr>
                <w:rFonts w:hint="eastAsia" w:ascii="宋体" w:hAnsi="宋体" w:cs="Helvetica"/>
                <w:color w:val="ff0000"/>
                <w:szCs w:val="21"/>
                <w:highlight w:val="none"/>
              </w:rPr>
            </w:r>
            <w:r>
              <w:rPr>
                <w:highlight w:val="none"/>
              </w:rPr>
            </w:r>
            <w:r/>
          </w:p>
        </w:tc>
        <w:tc>
          <w:tcPr>
            <w:tcW w:w="5318" w:type="dxa"/>
            <w:vAlign w:val="center"/>
            <w:textDirection w:val="lrTb"/>
            <w:noWrap w:val="false"/>
          </w:tcPr>
          <w:p>
            <w:pPr>
              <w:pStyle w:val="872"/>
              <w:jc w:val="left"/>
              <w:widowControl/>
              <w:rPr>
                <w:rFonts w:hint="eastAsia" w:ascii="宋体" w:hAnsi="宋体" w:cs="宋体"/>
                <w:color w:val="ff0000"/>
                <w:szCs w:val="21"/>
                <w:highlight w:val="none"/>
              </w:rPr>
            </w:pPr>
            <w:r>
              <w:rPr>
                <w:rFonts w:hint="eastAsia" w:ascii="宋体" w:hAnsi="宋体" w:cs="宋体"/>
                <w:szCs w:val="21"/>
                <w:highlight w:val="none"/>
              </w:rPr>
              <w:t xml:space="preserve">上网行为管理</w:t>
            </w:r>
            <w:r>
              <w:rPr>
                <w:highlight w:val="none"/>
              </w:rPr>
            </w:r>
            <w:r/>
          </w:p>
        </w:tc>
        <w:tc>
          <w:tcPr>
            <w:tcW w:w="1404" w:type="dxa"/>
            <w:vAlign w:val="center"/>
            <w:textDirection w:val="lrTb"/>
            <w:noWrap w:val="false"/>
          </w:tcPr>
          <w:p>
            <w:pPr>
              <w:pStyle w:val="872"/>
              <w:jc w:val="center"/>
              <w:widowControl/>
              <w:rPr>
                <w:rFonts w:hint="eastAsia" w:ascii="宋体" w:hAnsi="宋体" w:cs="宋体"/>
                <w:color w:val="ff0000"/>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hint="eastAsia" w:ascii="宋体" w:hAnsi="宋体" w:cs="宋体"/>
                <w:color w:val="ff0000"/>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宋体"/>
                <w:szCs w:val="21"/>
                <w:highlight w:val="none"/>
                <w:lang w:bidi="ar"/>
              </w:rPr>
              <w:t xml:space="preserve">NVR</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场所全景摄像机</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4</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存储硬盘</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块</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市电接入总配电箱</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项</w:t>
            </w:r>
            <w:r>
              <w:rPr>
                <w:highlight w:val="none"/>
              </w:rPr>
            </w:r>
            <w:r/>
          </w:p>
        </w:tc>
      </w:tr>
      <w:tr>
        <w:trPr/>
        <w:tc>
          <w:tcPr>
            <w:tcW w:w="923" w:type="dxa"/>
            <w:vAlign w:val="center"/>
            <w:textDirection w:val="lrTb"/>
            <w:noWrap w:val="false"/>
          </w:tcPr>
          <w:p>
            <w:pPr>
              <w:pStyle w:val="872"/>
              <w:numPr>
                <w:ilvl w:val="0"/>
                <w:numId w:val="2"/>
              </w:numPr>
              <w:jc w:val="center"/>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接入电缆</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rFonts w:ascii="宋体" w:hAnsi="宋体" w:cs="宋体"/>
                <w:szCs w:val="21"/>
                <w:highlight w:val="none"/>
                <w:lang w:bidi="ar"/>
              </w:rPr>
              <w:t xml:space="preserve">20</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米</w:t>
            </w:r>
            <w:r>
              <w:rPr>
                <w:highlight w:val="none"/>
              </w:rPr>
            </w:r>
            <w:r/>
          </w:p>
        </w:tc>
      </w:tr>
      <w:tr>
        <w:trPr/>
        <w:tc>
          <w:tcPr>
            <w:tcW w:w="923" w:type="dxa"/>
            <w:vAlign w:val="center"/>
            <w:textDirection w:val="lrTb"/>
            <w:noWrap w:val="false"/>
          </w:tcPr>
          <w:p>
            <w:pPr>
              <w:pStyle w:val="872"/>
              <w:numPr>
                <w:ilvl w:val="0"/>
                <w:numId w:val="2"/>
              </w:numPr>
              <w:jc w:val="center"/>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Helvetica"/>
                <w:szCs w:val="21"/>
                <w:highlight w:val="none"/>
              </w:rPr>
            </w:pPr>
            <w:r>
              <w:rPr>
                <w:rFonts w:hint="eastAsia" w:ascii="宋体" w:hAnsi="宋体" w:cs="Helvetica"/>
                <w:szCs w:val="21"/>
                <w:highlight w:val="none"/>
              </w:rPr>
              <w:t xml:space="preserve">设备分电箱</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项</w:t>
            </w:r>
            <w:r>
              <w:rPr>
                <w:highlight w:val="none"/>
              </w:rPr>
            </w:r>
            <w:r/>
          </w:p>
        </w:tc>
      </w:tr>
      <w:tr>
        <w:trPr/>
        <w:tc>
          <w:tcPr>
            <w:tcW w:w="923" w:type="dxa"/>
            <w:vAlign w:val="center"/>
            <w:textDirection w:val="lrTb"/>
            <w:noWrap w:val="false"/>
          </w:tcPr>
          <w:p>
            <w:pPr>
              <w:pStyle w:val="872"/>
              <w:numPr>
                <w:ilvl w:val="0"/>
                <w:numId w:val="2"/>
              </w:numPr>
              <w:jc w:val="center"/>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Helvetica"/>
                <w:color w:val="ff0000"/>
                <w:szCs w:val="21"/>
                <w:highlight w:val="none"/>
              </w:rPr>
            </w:pPr>
            <w:r>
              <w:rPr>
                <w:rFonts w:hint="eastAsia" w:ascii="宋体" w:hAnsi="宋体" w:cs="宋体"/>
                <w:szCs w:val="21"/>
                <w:highlight w:val="none"/>
              </w:rPr>
              <w:t xml:space="preserve">设备间UPS主机</w:t>
            </w:r>
            <w:r>
              <w:rPr>
                <w:highlight w:val="none"/>
              </w:rPr>
            </w:r>
            <w:r/>
          </w:p>
        </w:tc>
        <w:tc>
          <w:tcPr>
            <w:tcW w:w="1404" w:type="dxa"/>
            <w:vAlign w:val="center"/>
            <w:textDirection w:val="lrTb"/>
            <w:noWrap w:val="false"/>
          </w:tcPr>
          <w:p>
            <w:pPr>
              <w:pStyle w:val="872"/>
              <w:jc w:val="center"/>
              <w:widowControl/>
              <w:rPr>
                <w:rFonts w:ascii="宋体" w:hAnsi="宋体" w:cs="宋体"/>
                <w:color w:val="000000"/>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color w:val="000000"/>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center"/>
            <w:textDirection w:val="lrTb"/>
            <w:noWrap w:val="false"/>
          </w:tcPr>
          <w:p>
            <w:pPr>
              <w:pStyle w:val="872"/>
              <w:numPr>
                <w:ilvl w:val="0"/>
                <w:numId w:val="2"/>
              </w:numPr>
              <w:jc w:val="center"/>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Helvetica"/>
                <w:szCs w:val="21"/>
                <w:highlight w:val="none"/>
              </w:rPr>
            </w:pPr>
            <w:r>
              <w:rPr>
                <w:rFonts w:hint="eastAsia" w:ascii="宋体" w:hAnsi="宋体" w:cs="宋体"/>
                <w:szCs w:val="21"/>
                <w:highlight w:val="none"/>
              </w:rPr>
              <w:t xml:space="preserve">电池</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32</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组</w:t>
            </w:r>
            <w:r>
              <w:rPr>
                <w:highlight w:val="none"/>
              </w:rPr>
            </w:r>
            <w:r/>
          </w:p>
        </w:tc>
      </w:tr>
      <w:tr>
        <w:trPr/>
        <w:tc>
          <w:tcPr>
            <w:tcW w:w="923" w:type="dxa"/>
            <w:vAlign w:val="center"/>
            <w:textDirection w:val="lrTb"/>
            <w:noWrap w:val="false"/>
          </w:tcPr>
          <w:p>
            <w:pPr>
              <w:pStyle w:val="872"/>
              <w:numPr>
                <w:ilvl w:val="0"/>
                <w:numId w:val="2"/>
              </w:numPr>
              <w:jc w:val="center"/>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Helvetica"/>
                <w:szCs w:val="21"/>
                <w:highlight w:val="none"/>
              </w:rPr>
            </w:pPr>
            <w:r>
              <w:rPr>
                <w:rFonts w:hint="eastAsia" w:ascii="宋体" w:hAnsi="宋体" w:cs="宋体"/>
                <w:szCs w:val="21"/>
                <w:highlight w:val="none"/>
              </w:rPr>
              <w:t xml:space="preserve">电池柜</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gridSpan w:val="4"/>
            <w:tcW w:w="8365" w:type="dxa"/>
            <w:vAlign w:val="top"/>
            <w:textDirection w:val="lrTb"/>
            <w:noWrap w:val="false"/>
          </w:tcPr>
          <w:p>
            <w:pPr>
              <w:pStyle w:val="872"/>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六、单兵装备</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5G执法视音频记录仪</w:t>
            </w:r>
            <w:r>
              <w:rPr>
                <w:highlight w:val="none"/>
              </w:rPr>
            </w:r>
            <w:r/>
          </w:p>
        </w:tc>
        <w:tc>
          <w:tcPr>
            <w:tcW w:w="1404"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4</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无线智能单兵设备</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5G布控球</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widowControl/>
              <w:rPr>
                <w:rFonts w:ascii="宋体" w:hAnsi="宋体" w:cs="Helvetica"/>
                <w:szCs w:val="21"/>
                <w:highlight w:val="none"/>
              </w:rPr>
            </w:pPr>
            <w:r>
              <w:rPr>
                <w:highlight w:val="none"/>
              </w:rPr>
            </w:r>
            <w:bookmarkStart w:id="5" w:name="_Hlk166075787"/>
            <w:r>
              <w:rPr>
                <w:rFonts w:hint="eastAsia" w:ascii="宋体" w:hAnsi="宋体" w:cs="Helvetica"/>
                <w:szCs w:val="21"/>
                <w:highlight w:val="none"/>
              </w:rPr>
              <w:t xml:space="preserve">监控管理平台设备</w:t>
            </w:r>
            <w:bookmarkEnd w:id="5"/>
            <w:r>
              <w:rPr>
                <w:rFonts w:hint="eastAsia" w:ascii="宋体" w:hAnsi="宋体" w:cs="Helvetica"/>
                <w:szCs w:val="21"/>
                <w:highlight w:val="none"/>
              </w:rPr>
              <w:t xml:space="preserve">（3</w:t>
            </w:r>
            <w:r>
              <w:rPr>
                <w:rFonts w:ascii="宋体" w:hAnsi="宋体" w:cs="Helvetica"/>
                <w:szCs w:val="21"/>
                <w:highlight w:val="none"/>
              </w:rPr>
              <w:t xml:space="preserve">0</w:t>
            </w:r>
            <w:r>
              <w:rPr>
                <w:rFonts w:hint="eastAsia" w:ascii="宋体" w:hAnsi="宋体" w:cs="Helvetica"/>
                <w:szCs w:val="21"/>
                <w:highlight w:val="none"/>
              </w:rPr>
              <w:t xml:space="preserve">路授权）</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gridSpan w:val="4"/>
            <w:tcW w:w="8365" w:type="dxa"/>
            <w:vAlign w:val="top"/>
            <w:textDirection w:val="lrTb"/>
            <w:noWrap w:val="false"/>
          </w:tcPr>
          <w:p>
            <w:pPr>
              <w:pStyle w:val="872"/>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七、操作台、监控席、讨论席</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扇形3人工作台</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2</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8人会议条桌</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2</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定制18人会议桌</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ascii="宋体" w:hAnsi="宋体" w:cs="宋体"/>
                <w:szCs w:val="21"/>
                <w:highlight w:val="none"/>
                <w:lang w:bidi="ar"/>
              </w:rPr>
              <w:t xml:space="preserve">1</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二楼</w:t>
            </w:r>
            <w:r>
              <w:rPr>
                <w:rFonts w:hint="eastAsia" w:ascii="宋体" w:hAnsi="宋体" w:cs="宋体"/>
                <w:szCs w:val="21"/>
                <w:highlight w:val="none"/>
              </w:rPr>
              <w:t xml:space="preserve">“L”型工作台</w:t>
            </w:r>
            <w:r>
              <w:rPr>
                <w:highlight w:val="none"/>
              </w:rPr>
            </w:r>
            <w:r/>
          </w:p>
        </w:tc>
        <w:tc>
          <w:tcPr>
            <w:tcW w:w="1404"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8</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tcW w:w="923" w:type="dxa"/>
            <w:vAlign w:val="top"/>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控制台椅</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48</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把</w:t>
            </w:r>
            <w:r>
              <w:rPr>
                <w:highlight w:val="none"/>
              </w:rPr>
            </w:r>
            <w:r/>
          </w:p>
        </w:tc>
      </w:tr>
      <w:tr>
        <w:trPr/>
        <w:tc>
          <w:tcPr>
            <w:gridSpan w:val="4"/>
            <w:tcW w:w="8365" w:type="dxa"/>
            <w:vAlign w:val="top"/>
            <w:textDirection w:val="lrTb"/>
            <w:noWrap w:val="false"/>
          </w:tcPr>
          <w:p>
            <w:pPr>
              <w:pStyle w:val="872"/>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八、空调及门禁设备</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jc w:val="left"/>
              <w:widowControl/>
              <w:rPr>
                <w:rFonts w:ascii="宋体" w:hAnsi="宋体" w:cs="宋体"/>
                <w:szCs w:val="21"/>
                <w:highlight w:val="none"/>
              </w:rPr>
            </w:pPr>
            <w:r>
              <w:rPr>
                <w:rFonts w:hint="eastAsia" w:ascii="宋体" w:hAnsi="宋体" w:cs="宋体"/>
                <w:szCs w:val="21"/>
                <w:highlight w:val="none"/>
                <w:lang w:bidi="ar"/>
              </w:rPr>
              <w:t xml:space="preserve">人脸识别终端-室内款（含电源）</w:t>
            </w:r>
            <w:r>
              <w:rPr>
                <w:highlight w:val="none"/>
              </w:rPr>
            </w:r>
            <w:r/>
          </w:p>
        </w:tc>
        <w:tc>
          <w:tcPr>
            <w:tcW w:w="1404"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3 </w:t>
            </w:r>
            <w:r>
              <w:rPr>
                <w:highlight w:val="none"/>
              </w:rPr>
            </w:r>
            <w:r/>
          </w:p>
        </w:tc>
        <w:tc>
          <w:tcPr>
            <w:tcW w:w="720" w:type="dxa"/>
            <w:vAlign w:val="center"/>
            <w:textDirection w:val="lrTb"/>
            <w:noWrap w:val="false"/>
          </w:tcPr>
          <w:p>
            <w:pPr>
              <w:pStyle w:val="872"/>
              <w:jc w:val="center"/>
              <w:widowControl/>
              <w:rPr>
                <w:rFonts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jc w:val="left"/>
              <w:widowControl/>
              <w:rPr>
                <w:rFonts w:ascii="宋体" w:hAnsi="宋体" w:cs="宋体"/>
                <w:szCs w:val="21"/>
                <w:highlight w:val="none"/>
              </w:rPr>
            </w:pPr>
            <w:r>
              <w:rPr>
                <w:rFonts w:hint="eastAsia" w:ascii="宋体" w:hAnsi="宋体" w:cs="宋体"/>
                <w:szCs w:val="21"/>
                <w:highlight w:val="none"/>
                <w:lang w:bidi="ar"/>
              </w:rPr>
              <w:t xml:space="preserve">门禁控制设备—电磁锁版</w:t>
            </w:r>
            <w:r>
              <w:rPr>
                <w:highlight w:val="none"/>
              </w:rPr>
            </w:r>
            <w:r/>
          </w:p>
        </w:tc>
        <w:tc>
          <w:tcPr>
            <w:tcW w:w="1404"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3</w:t>
            </w:r>
            <w:r>
              <w:rPr>
                <w:highlight w:val="none"/>
              </w:rPr>
            </w:r>
            <w:r/>
          </w:p>
        </w:tc>
        <w:tc>
          <w:tcPr>
            <w:tcW w:w="720"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jc w:val="left"/>
              <w:widowControl/>
              <w:rPr>
                <w:rFonts w:ascii="宋体" w:hAnsi="宋体" w:cs="宋体"/>
                <w:szCs w:val="21"/>
                <w:highlight w:val="none"/>
              </w:rPr>
            </w:pPr>
            <w:r>
              <w:rPr>
                <w:rFonts w:hint="eastAsia" w:ascii="宋体" w:hAnsi="宋体" w:cs="宋体"/>
                <w:szCs w:val="21"/>
                <w:highlight w:val="none"/>
                <w:lang w:bidi="ar"/>
              </w:rPr>
              <w:t xml:space="preserve">嵌入式安装底盒</w:t>
            </w:r>
            <w:r>
              <w:rPr>
                <w:highlight w:val="none"/>
              </w:rPr>
            </w:r>
            <w:r/>
          </w:p>
        </w:tc>
        <w:tc>
          <w:tcPr>
            <w:tcW w:w="1404"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3 </w:t>
            </w:r>
            <w:r>
              <w:rPr>
                <w:highlight w:val="none"/>
              </w:rPr>
            </w:r>
            <w:r/>
          </w:p>
        </w:tc>
        <w:tc>
          <w:tcPr>
            <w:tcW w:w="720"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套</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吸顶式空调</w:t>
            </w:r>
            <w:r>
              <w:rPr>
                <w:highlight w:val="none"/>
              </w:rPr>
            </w:r>
            <w:r/>
          </w:p>
        </w:tc>
        <w:tc>
          <w:tcPr>
            <w:tcW w:w="1404"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3</w:t>
            </w:r>
            <w:r>
              <w:rPr>
                <w:highlight w:val="none"/>
              </w:rPr>
            </w:r>
            <w:r/>
          </w:p>
        </w:tc>
        <w:tc>
          <w:tcPr>
            <w:tcW w:w="720"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台</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空调设备（4台室内机+1台室外机）</w:t>
            </w:r>
            <w:r>
              <w:rPr>
                <w:highlight w:val="none"/>
              </w:rPr>
            </w:r>
            <w:r/>
          </w:p>
        </w:tc>
        <w:tc>
          <w:tcPr>
            <w:tcW w:w="1404" w:type="dxa"/>
            <w:vAlign w:val="center"/>
            <w:textDirection w:val="lrTb"/>
            <w:noWrap w:val="false"/>
          </w:tcPr>
          <w:p>
            <w:pPr>
              <w:pStyle w:val="872"/>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套</w:t>
            </w:r>
            <w:r>
              <w:rPr>
                <w:highlight w:val="none"/>
              </w:rPr>
            </w:r>
            <w:r/>
          </w:p>
        </w:tc>
      </w:tr>
      <w:tr>
        <w:trPr/>
        <w:tc>
          <w:tcPr>
            <w:tcW w:w="923" w:type="dxa"/>
            <w:vAlign w:val="center"/>
            <w:textDirection w:val="lrTb"/>
            <w:noWrap w:val="false"/>
          </w:tcPr>
          <w:p>
            <w:pPr>
              <w:pStyle w:val="872"/>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rPr>
                <w:highlight w:val="none"/>
              </w:rPr>
            </w:r>
            <w:r/>
          </w:p>
        </w:tc>
        <w:tc>
          <w:tcPr>
            <w:tcW w:w="5318" w:type="dxa"/>
            <w:vAlign w:val="center"/>
            <w:textDirection w:val="lrTb"/>
            <w:noWrap w:val="false"/>
          </w:tcPr>
          <w:p>
            <w:pPr>
              <w:pStyle w:val="872"/>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柜机</w:t>
            </w:r>
            <w:r>
              <w:rPr>
                <w:highlight w:val="none"/>
              </w:rPr>
            </w:r>
            <w:r/>
          </w:p>
        </w:tc>
        <w:tc>
          <w:tcPr>
            <w:tcW w:w="1404" w:type="dxa"/>
            <w:vAlign w:val="center"/>
            <w:textDirection w:val="lrTb"/>
            <w:noWrap w:val="false"/>
          </w:tcPr>
          <w:p>
            <w:pPr>
              <w:pStyle w:val="872"/>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台</w:t>
            </w:r>
            <w:r>
              <w:rPr>
                <w:highlight w:val="none"/>
              </w:rPr>
            </w:r>
            <w:r/>
          </w:p>
        </w:tc>
      </w:tr>
    </w:tbl>
    <w:p>
      <w:pPr>
        <w:pStyle w:val="872"/>
        <w:ind w:firstLine="492"/>
        <w:jc w:val="center"/>
        <w:spacing w:line="360" w:lineRule="auto"/>
        <w:rPr>
          <w:rFonts w:ascii="宋体" w:hAnsi="宋体"/>
          <w:b/>
          <w:bCs/>
          <w:sz w:val="24"/>
          <w:szCs w:val="24"/>
          <w:highlight w:val="none"/>
        </w:rPr>
      </w:pPr>
      <w:r>
        <w:rPr>
          <w:rFonts w:ascii="宋体" w:hAnsi="宋体"/>
          <w:b/>
          <w:bCs/>
          <w:sz w:val="24"/>
          <w:szCs w:val="24"/>
          <w:highlight w:val="none"/>
        </w:rPr>
      </w:r>
      <w:r>
        <w:rPr>
          <w:highlight w:val="none"/>
        </w:rPr>
      </w:r>
      <w:r/>
    </w:p>
    <w:p>
      <w:pPr>
        <w:pStyle w:val="872"/>
        <w:ind w:firstLine="492"/>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硬件设备技术参数及功能指标</w:t>
      </w:r>
      <w:r>
        <w:rPr>
          <w:highlight w:val="none"/>
        </w:rPr>
      </w:r>
      <w:r/>
    </w:p>
    <w:tbl>
      <w:tblPr>
        <w:tblW w:w="85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515"/>
        <w:gridCol w:w="6270"/>
      </w:tblGrid>
      <w:tr>
        <w:trPr/>
        <w:tc>
          <w:tcPr>
            <w:tcW w:w="762" w:type="dxa"/>
            <w:vAlign w:val="center"/>
            <w:textDirection w:val="lrTb"/>
            <w:noWrap w:val="false"/>
          </w:tcPr>
          <w:p>
            <w:pPr>
              <w:pStyle w:val="872"/>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highlight w:val="none"/>
              </w:rPr>
            </w:r>
            <w:r/>
          </w:p>
        </w:tc>
        <w:tc>
          <w:tcPr>
            <w:tcW w:w="1515" w:type="dxa"/>
            <w:vAlign w:val="center"/>
            <w:textDirection w:val="lrTb"/>
            <w:noWrap w:val="false"/>
          </w:tcPr>
          <w:p>
            <w:pPr>
              <w:pStyle w:val="872"/>
              <w:jc w:val="center"/>
              <w:widowControl/>
              <w:rPr>
                <w:rFonts w:hint="eastAsia" w:ascii="宋体" w:hAnsi="宋体" w:cs="宋体"/>
                <w:b/>
                <w:bCs/>
                <w:szCs w:val="21"/>
                <w:highlight w:val="none"/>
              </w:rPr>
            </w:pPr>
            <w:r>
              <w:rPr>
                <w:rFonts w:hint="eastAsia" w:ascii="宋体" w:hAnsi="宋体" w:cs="宋体"/>
                <w:b/>
                <w:bCs/>
                <w:szCs w:val="21"/>
                <w:highlight w:val="none"/>
              </w:rPr>
              <w:t xml:space="preserve">货物（标的）名称</w:t>
            </w:r>
            <w:r>
              <w:rPr>
                <w:highlight w:val="none"/>
              </w:rPr>
            </w:r>
            <w:r/>
          </w:p>
        </w:tc>
        <w:tc>
          <w:tcPr>
            <w:tcW w:w="6270" w:type="dxa"/>
            <w:vAlign w:val="center"/>
            <w:textDirection w:val="lrTb"/>
            <w:noWrap w:val="false"/>
          </w:tcPr>
          <w:p>
            <w:pPr>
              <w:pStyle w:val="872"/>
              <w:jc w:val="left"/>
              <w:widowControl/>
              <w:rPr>
                <w:rFonts w:hint="eastAsia" w:ascii="宋体" w:hAnsi="宋体" w:cs="宋体"/>
                <w:b/>
                <w:bCs/>
                <w:szCs w:val="21"/>
                <w:highlight w:val="none"/>
              </w:rPr>
            </w:pPr>
            <w:r>
              <w:rPr>
                <w:rFonts w:hint="eastAsia" w:ascii="宋体" w:hAnsi="宋体" w:cs="宋体"/>
                <w:b/>
                <w:bCs/>
                <w:szCs w:val="21"/>
                <w:highlight w:val="none"/>
              </w:rPr>
              <w:t xml:space="preserve">技术参数及功能指标</w:t>
            </w:r>
            <w:r>
              <w:rPr>
                <w:highlight w:val="none"/>
              </w:rPr>
            </w:r>
            <w:r/>
          </w:p>
        </w:tc>
      </w:tr>
      <w:tr>
        <w:trPr/>
        <w:tc>
          <w:tcPr>
            <w:gridSpan w:val="3"/>
            <w:tcW w:w="8547" w:type="dxa"/>
            <w:vAlign w:val="center"/>
            <w:textDirection w:val="lrTb"/>
            <w:noWrap w:val="false"/>
          </w:tcPr>
          <w:p>
            <w:pPr>
              <w:pStyle w:val="872"/>
              <w:jc w:val="left"/>
              <w:rPr>
                <w:rFonts w:hint="eastAsia" w:ascii="宋体" w:hAnsi="宋体" w:cs="宋体"/>
                <w:b/>
                <w:bCs/>
                <w:szCs w:val="21"/>
                <w:highlight w:val="none"/>
              </w:rPr>
            </w:pPr>
            <w:r>
              <w:rPr>
                <w:rFonts w:hint="eastAsia" w:ascii="宋体" w:hAnsi="宋体" w:cs="宋体"/>
                <w:b/>
                <w:bCs/>
                <w:szCs w:val="21"/>
                <w:highlight w:val="none"/>
              </w:rPr>
              <w:t xml:space="preserve">一、显示拼接系统</w:t>
            </w:r>
            <w:r>
              <w:rPr>
                <w:highlight w:val="none"/>
              </w:rPr>
            </w:r>
            <w:r/>
          </w:p>
        </w:tc>
      </w:tr>
      <w:tr>
        <w:trPr/>
        <w:tc>
          <w:tcPr>
            <w:tcW w:w="762" w:type="dxa"/>
            <w:vAlign w:val="center"/>
            <w:textDirection w:val="lrTb"/>
            <w:noWrap w:val="false"/>
          </w:tcPr>
          <w:p>
            <w:pPr>
              <w:pStyle w:val="872"/>
              <w:numPr>
                <w:ilvl w:val="0"/>
                <w:numId w:val="3"/>
              </w:num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rPr>
                <w:rFonts w:hint="eastAsia" w:ascii="宋体" w:hAnsi="宋体" w:cs="宋体"/>
                <w:szCs w:val="21"/>
                <w:highlight w:val="none"/>
              </w:rPr>
            </w:pPr>
            <w:r>
              <w:rPr>
                <w:rFonts w:hint="eastAsia" w:ascii="宋体" w:hAnsi="宋体" w:cs="宋体"/>
                <w:szCs w:val="21"/>
                <w:highlight w:val="none"/>
              </w:rPr>
              <w:t xml:space="preserve">控制系统软件</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可实现任意一路画面的任意比例缩放、漫游、跨屏、叠加、开窗等功能，可以输出测试颜色及网格图像，来检验输出通道是否可以正常输出信号。</w:t>
            </w:r>
            <w:r>
              <w:rPr>
                <w:highlight w:val="none"/>
              </w:rPr>
            </w:r>
            <w:r/>
          </w:p>
        </w:tc>
      </w:tr>
      <w:tr>
        <w:trPr/>
        <w:tc>
          <w:tcPr>
            <w:tcW w:w="762" w:type="dxa"/>
            <w:vAlign w:val="center"/>
            <w:textDirection w:val="lrTb"/>
            <w:noWrap w:val="false"/>
          </w:tcPr>
          <w:p>
            <w:pPr>
              <w:pStyle w:val="872"/>
              <w:numPr>
                <w:ilvl w:val="0"/>
                <w:numId w:val="3"/>
              </w:num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rPr>
                <w:rFonts w:hint="eastAsia" w:ascii="宋体" w:hAnsi="宋体" w:cs="宋体"/>
                <w:szCs w:val="21"/>
                <w:highlight w:val="none"/>
              </w:rPr>
            </w:pPr>
            <w:r>
              <w:rPr>
                <w:rFonts w:hint="eastAsia" w:ascii="宋体" w:hAnsi="宋体" w:cs="宋体"/>
                <w:szCs w:val="21"/>
                <w:highlight w:val="none"/>
              </w:rPr>
              <w:t xml:space="preserve">视频拼接处理器</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1.配置16个HDMI信号输入，24个HDMI信号输出,支持HDMI1.3,支持HDCP,支持EDID在线编辑,最大支持分辨率1920*1200@60Hz</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2.设备应为纯硬件架构,采用独享带宽方式为每个输入通道分配带宽，不受操作系统影响</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3.插卡式设计，其中支持冗余电源并且支持热插拔；  </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4.开机时间≤10s，启动电源至输出最终画面的时间间隔，图像开窗响应速度＜15ms，场景调取响应速度＜20ms；</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5、最大单机背板信号处理带宽不小于1140Gbps，输入板卡热插拔恢复时间＜2s，输出板卡热插拔恢复时间＜8s；</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6.设备可实现任意一路画面的任意比例缩放、漫游、截取、叠加、开窗；</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7.支持图像无缝实时切换功能（图像切换间隔无黑场出现），无缝切换时间＜20ms；</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8.支持拼接屏的拼缝补偿，可精确至1像素；</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9.设备应具有支持SDI、HDMI、VGA、CVBS、YPbPr、DVI、HDBaseT、光纤信号等信号的混合输入，同时支持Dual-Link DVI、DP、HDMI1.4等4K分辨率采集，支持选配；  </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10.设备应输出支持DVI、HDMI、VGA、Dual-link DVI、SDI、光纤、双绞线等信号，支持选配； </w:t>
            </w:r>
            <w:r>
              <w:rPr>
                <w:highlight w:val="none"/>
              </w:rPr>
            </w:r>
            <w:r/>
          </w:p>
          <w:p>
            <w:pPr>
              <w:pStyle w:val="872"/>
              <w:jc w:val="left"/>
              <w:rPr>
                <w:rFonts w:hint="eastAsia" w:ascii="宋体" w:hAnsi="宋体" w:cs="宋体"/>
                <w:szCs w:val="21"/>
                <w:highlight w:val="none"/>
              </w:rPr>
            </w:pPr>
            <w:r>
              <w:rPr>
                <w:rFonts w:hint="eastAsia" w:ascii="宋体" w:hAnsi="宋体" w:cs="宋体"/>
                <w:b/>
                <w:bCs/>
                <w:szCs w:val="21"/>
                <w:highlight w:val="none"/>
              </w:rPr>
              <w:t xml:space="preserve">11.</w:t>
            </w:r>
            <w:r>
              <w:rPr>
                <w:rFonts w:hint="eastAsia" w:ascii="宋体" w:hAnsi="宋体" w:cs="宋体"/>
                <w:szCs w:val="21"/>
                <w:highlight w:val="none"/>
              </w:rPr>
              <w:t xml:space="preserve">▲</w:t>
            </w:r>
            <w:r>
              <w:rPr>
                <w:rFonts w:hint="eastAsia" w:ascii="宋体" w:hAnsi="宋体" w:cs="宋体"/>
                <w:b/>
                <w:bCs/>
                <w:szCs w:val="21"/>
                <w:highlight w:val="none"/>
              </w:rPr>
              <w:t xml:space="preserve">支持输出通道测试，可以输出不少于7种测试颜色及网格图像，以对设备输出进行测试；（提供国家认可的第三方检测机构出具的检测报告）</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12.支持输出画面帧率可调，最高可达75Hz/s。</w:t>
            </w:r>
            <w:r>
              <w:rPr>
                <w:highlight w:val="none"/>
              </w:rPr>
            </w:r>
            <w:r/>
          </w:p>
        </w:tc>
      </w:tr>
      <w:tr>
        <w:trPr/>
        <w:tc>
          <w:tcPr>
            <w:gridSpan w:val="3"/>
            <w:tcW w:w="8547" w:type="dxa"/>
            <w:vAlign w:val="center"/>
            <w:textDirection w:val="lrTb"/>
            <w:noWrap w:val="false"/>
          </w:tcPr>
          <w:p>
            <w:pPr>
              <w:pStyle w:val="872"/>
              <w:jc w:val="left"/>
              <w:rPr>
                <w:rFonts w:hint="eastAsia" w:ascii="宋体" w:hAnsi="宋体" w:cs="宋体"/>
                <w:b/>
                <w:bCs/>
                <w:szCs w:val="21"/>
                <w:highlight w:val="none"/>
              </w:rPr>
            </w:pPr>
            <w:r>
              <w:rPr>
                <w:rFonts w:hint="eastAsia" w:ascii="宋体" w:hAnsi="宋体" w:cs="宋体"/>
                <w:b/>
                <w:bCs/>
                <w:szCs w:val="21"/>
                <w:highlight w:val="none"/>
              </w:rPr>
              <w:t xml:space="preserve">二、会议系统</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rPr>
                <w:rFonts w:hint="eastAsia" w:ascii="宋体" w:hAnsi="宋体" w:cs="宋体"/>
                <w:szCs w:val="21"/>
                <w:highlight w:val="none"/>
              </w:rPr>
            </w:pPr>
            <w:r>
              <w:rPr>
                <w:rFonts w:hint="eastAsia" w:ascii="宋体" w:hAnsi="宋体" w:cs="宋体"/>
                <w:szCs w:val="21"/>
                <w:highlight w:val="none"/>
              </w:rPr>
              <w:t xml:space="preserve">数字会议系统主机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1、工作电源 AC100～240V, 50-60Hz</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2、功耗 静态25W ，最大400W</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3、显示菜单 中、英文，可定制</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4、单路容量 20台</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5、系统容量 多功能会议单元100台,可扩展到65535台</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rPr>
                <w:rFonts w:hint="eastAsia" w:ascii="宋体" w:hAnsi="宋体" w:cs="宋体"/>
                <w:szCs w:val="21"/>
                <w:highlight w:val="none"/>
              </w:rPr>
            </w:pPr>
            <w:r>
              <w:rPr>
                <w:rFonts w:hint="eastAsia" w:ascii="宋体" w:hAnsi="宋体" w:cs="宋体"/>
                <w:szCs w:val="21"/>
                <w:highlight w:val="none"/>
              </w:rPr>
              <w:t xml:space="preserve">数字会议系统主席单元</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1、系统容量 视主机数量而定，≤65535</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2、频率响应 20—20KHz (人声黄金频率响应)</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3、麦克风类型 14毫米镀金电容式</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4、麦克风灵敏度</w:t>
            </w:r>
            <w:r>
              <w:rPr>
                <w:rFonts w:hint="eastAsia" w:ascii="宋体" w:hAnsi="宋体" w:cs="宋体"/>
                <w:szCs w:val="21"/>
                <w:highlight w:val="none"/>
              </w:rPr>
              <w:t xml:space="preserve">≥</w:t>
            </w:r>
            <w:r>
              <w:rPr>
                <w:rFonts w:hint="eastAsia" w:ascii="宋体" w:hAnsi="宋体" w:cs="宋体"/>
                <w:szCs w:val="21"/>
                <w:highlight w:val="none"/>
              </w:rPr>
              <w:t xml:space="preserve">－40dB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5、信噪比</w:t>
            </w:r>
            <w:r>
              <w:rPr>
                <w:rFonts w:hint="eastAsia" w:ascii="宋体" w:hAnsi="宋体" w:cs="宋体"/>
                <w:szCs w:val="21"/>
                <w:highlight w:val="none"/>
              </w:rPr>
              <w:t xml:space="preserve">≥</w:t>
            </w:r>
            <w:r>
              <w:rPr>
                <w:rFonts w:hint="eastAsia" w:ascii="宋体" w:hAnsi="宋体" w:cs="宋体"/>
                <w:szCs w:val="21"/>
                <w:highlight w:val="none"/>
              </w:rPr>
              <w:t xml:space="preserve">110dB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6、动态范围</w:t>
            </w:r>
            <w:r>
              <w:rPr>
                <w:rFonts w:hint="eastAsia" w:ascii="宋体" w:hAnsi="宋体" w:cs="宋体"/>
                <w:szCs w:val="21"/>
                <w:highlight w:val="none"/>
              </w:rPr>
              <w:t xml:space="preserve">≥</w:t>
            </w:r>
            <w:r>
              <w:rPr>
                <w:rFonts w:hint="eastAsia" w:ascii="宋体" w:hAnsi="宋体" w:cs="宋体"/>
                <w:szCs w:val="21"/>
                <w:highlight w:val="none"/>
              </w:rPr>
              <w:t xml:space="preserve"> 110dB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7、声压级 </w:t>
            </w:r>
            <w:r>
              <w:rPr>
                <w:rFonts w:hint="eastAsia" w:ascii="宋体" w:hAnsi="宋体" w:cs="宋体"/>
                <w:szCs w:val="21"/>
                <w:highlight w:val="none"/>
              </w:rPr>
              <w:t xml:space="preserve">≥</w:t>
            </w:r>
            <w:r>
              <w:rPr>
                <w:rFonts w:hint="eastAsia" w:ascii="宋体" w:hAnsi="宋体" w:cs="宋体"/>
                <w:szCs w:val="21"/>
                <w:highlight w:val="none"/>
              </w:rPr>
              <w:t xml:space="preserve">138dB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8、总谐波失真 &lt; 0.5%</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9、最大功耗 0.5W</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10、连接头为6芯航空插口及3芯XLR插口</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rPr>
                <w:rFonts w:hint="eastAsia" w:ascii="宋体" w:hAnsi="宋体" w:cs="宋体"/>
                <w:szCs w:val="21"/>
                <w:highlight w:val="none"/>
              </w:rPr>
            </w:pPr>
            <w:r>
              <w:rPr>
                <w:rFonts w:hint="eastAsia" w:ascii="宋体" w:hAnsi="宋体" w:cs="宋体"/>
                <w:szCs w:val="21"/>
                <w:highlight w:val="none"/>
              </w:rPr>
              <w:t xml:space="preserve">数字会议系统代表单元</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1、系统容量 视主机数量而定，≤65535</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2、频率响应 20—20KHz (人声黄金频率响应)</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3、麦克风类型 14毫米镀金电容式</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4、麦克风灵敏度</w:t>
            </w:r>
            <w:r>
              <w:rPr>
                <w:rFonts w:hint="eastAsia" w:ascii="宋体" w:hAnsi="宋体" w:cs="宋体"/>
                <w:szCs w:val="21"/>
                <w:highlight w:val="none"/>
              </w:rPr>
              <w:t xml:space="preserve">≥</w:t>
            </w:r>
            <w:r>
              <w:rPr>
                <w:rFonts w:hint="eastAsia" w:ascii="宋体" w:hAnsi="宋体" w:cs="宋体"/>
                <w:szCs w:val="21"/>
                <w:highlight w:val="none"/>
              </w:rPr>
              <w:t xml:space="preserve"> －40dB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5、信噪比 </w:t>
            </w:r>
            <w:r>
              <w:rPr>
                <w:rFonts w:hint="eastAsia" w:ascii="宋体" w:hAnsi="宋体" w:cs="宋体"/>
                <w:szCs w:val="21"/>
                <w:highlight w:val="none"/>
              </w:rPr>
              <w:t xml:space="preserve">≥</w:t>
            </w:r>
            <w:r>
              <w:rPr>
                <w:rFonts w:hint="eastAsia" w:ascii="宋体" w:hAnsi="宋体" w:cs="宋体"/>
                <w:szCs w:val="21"/>
                <w:highlight w:val="none"/>
              </w:rPr>
              <w:t xml:space="preserve">110dB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6、动态范围 </w:t>
            </w:r>
            <w:r>
              <w:rPr>
                <w:rFonts w:hint="eastAsia" w:ascii="宋体" w:hAnsi="宋体" w:cs="宋体"/>
                <w:szCs w:val="21"/>
                <w:highlight w:val="none"/>
              </w:rPr>
              <w:t xml:space="preserve">≥</w:t>
            </w:r>
            <w:r>
              <w:rPr>
                <w:rFonts w:hint="eastAsia" w:ascii="宋体" w:hAnsi="宋体" w:cs="宋体"/>
                <w:szCs w:val="21"/>
                <w:highlight w:val="none"/>
              </w:rPr>
              <w:t xml:space="preserve">110dB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7、声压级</w:t>
            </w:r>
            <w:r>
              <w:rPr>
                <w:rFonts w:hint="eastAsia" w:ascii="宋体" w:hAnsi="宋体" w:cs="宋体"/>
                <w:szCs w:val="21"/>
                <w:highlight w:val="none"/>
              </w:rPr>
              <w:t xml:space="preserve">≥</w:t>
            </w:r>
            <w:r>
              <w:rPr>
                <w:rFonts w:hint="eastAsia" w:ascii="宋体" w:hAnsi="宋体" w:cs="宋体"/>
                <w:szCs w:val="21"/>
                <w:highlight w:val="none"/>
              </w:rPr>
              <w:t xml:space="preserve"> 138dB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8、总谐波失真 &lt; 0.5%</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9、最大功耗 0.5W</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10、连接头为6芯航空插口及3芯XLR插口</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rPr>
                <w:rFonts w:hint="eastAsia" w:ascii="宋体" w:hAnsi="宋体" w:cs="宋体"/>
                <w:szCs w:val="21"/>
                <w:highlight w:val="none"/>
              </w:rPr>
            </w:pPr>
            <w:r>
              <w:rPr>
                <w:rFonts w:hint="eastAsia" w:ascii="宋体" w:hAnsi="宋体" w:cs="宋体"/>
                <w:szCs w:val="21"/>
                <w:highlight w:val="none"/>
              </w:rPr>
              <w:t xml:space="preserve">无线话筒</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1、使用时间：连续使用</w:t>
            </w:r>
            <w:r>
              <w:rPr>
                <w:rFonts w:hint="eastAsia" w:ascii="宋体" w:hAnsi="宋体" w:cs="宋体"/>
                <w:szCs w:val="21"/>
                <w:highlight w:val="none"/>
              </w:rPr>
              <w:t xml:space="preserve">≥</w:t>
            </w:r>
            <w:r>
              <w:rPr>
                <w:rFonts w:hint="eastAsia" w:ascii="宋体" w:hAnsi="宋体" w:cs="宋体"/>
                <w:szCs w:val="21"/>
                <w:highlight w:val="none"/>
              </w:rPr>
              <w:t xml:space="preserve">13个小时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2、使用距离: &gt;45米</w:t>
            </w:r>
            <w:r>
              <w:rPr>
                <w:highlight w:val="none"/>
              </w:rPr>
            </w:r>
            <w:r/>
          </w:p>
        </w:tc>
      </w:tr>
      <w:tr>
        <w:trPr>
          <w:trHeight w:val="638"/>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rPr>
                <w:rFonts w:hint="eastAsia" w:ascii="宋体" w:hAnsi="宋体" w:cs="宋体"/>
                <w:szCs w:val="21"/>
                <w:highlight w:val="none"/>
              </w:rPr>
            </w:pPr>
            <w:r>
              <w:rPr>
                <w:rFonts w:hint="eastAsia" w:ascii="宋体" w:hAnsi="宋体" w:cs="宋体"/>
                <w:szCs w:val="21"/>
                <w:highlight w:val="none"/>
              </w:rPr>
              <w:t xml:space="preserve">延长线</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6芯公对母25米连接线</w:t>
            </w:r>
            <w:r>
              <w:rPr>
                <w:highlight w:val="none"/>
              </w:rPr>
            </w:r>
            <w:r/>
          </w:p>
        </w:tc>
      </w:tr>
      <w:tr>
        <w:trPr>
          <w:trHeight w:val="90"/>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无纸化主机</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1.自动登录功能 用户使用客户端或web登录时可记住登录密码，用户使用默认密码登录时，系统会自动提示用户修改密码，若启用自动登陆功能，开机登陆后可直接进入系统功能界面</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2.强密码验证功能 开启此功能后弱密码不能使用；支持设置用户默认密码，可作为初始默认密码，并可修改个人密码</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3.参会人添加方式 支持创建快捷分组，把经常参会的人员添加一个快捷分组，在建会时可通过快捷分组快速添加参会人</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4.会议模板添加功能 支持从预约会议、添加参会人、排位、添加议题、添加投票等模块中选取部分模块创建一个会议模板并可进行座位布局操作；会议模板可设置为默认模板，创建会议时，系统自动选用默认模板</w:t>
            </w:r>
            <w:r>
              <w:rPr>
                <w:highlight w:val="none"/>
              </w:rPr>
            </w:r>
            <w:r/>
          </w:p>
          <w:p>
            <w:pPr>
              <w:pStyle w:val="872"/>
              <w:jc w:val="left"/>
              <w:rPr>
                <w:rFonts w:hint="eastAsia" w:ascii="宋体" w:hAnsi="宋体" w:cs="宋体"/>
                <w:b/>
                <w:bCs/>
                <w:i/>
                <w:iCs/>
                <w:szCs w:val="21"/>
                <w:highlight w:val="none"/>
                <w:u w:val="single"/>
              </w:rPr>
            </w:pPr>
            <w:r>
              <w:rPr>
                <w:rFonts w:hint="eastAsia" w:ascii="宋体" w:hAnsi="宋体" w:cs="宋体"/>
                <w:szCs w:val="21"/>
                <w:highlight w:val="none"/>
              </w:rPr>
              <w:t xml:space="preserve">5.</w:t>
            </w:r>
            <w:r>
              <w:rPr>
                <w:rFonts w:hint="eastAsia" w:ascii="宋体" w:hAnsi="宋体" w:cs="宋体"/>
                <w:b/>
                <w:bCs/>
                <w:i/>
                <w:iCs/>
                <w:szCs w:val="21"/>
                <w:highlight w:val="none"/>
                <w:u w:val="single"/>
              </w:rPr>
              <w:t xml:space="preserve">模拟座位调整功能 支持按照会议室自主导入会议室布局图，会前可根据会议室布局拖放座位，每个座位支持360°调整座位方向，摆放座位时可自动显示横向、纵向辅助对齐线（提供国家认可的第三方检测机构出具的检测报告）</w:t>
            </w:r>
            <w:r>
              <w:rPr>
                <w:highlight w:val="none"/>
              </w:rPr>
            </w:r>
            <w:r/>
          </w:p>
          <w:p>
            <w:pPr>
              <w:pStyle w:val="872"/>
              <w:jc w:val="left"/>
              <w:rPr>
                <w:rFonts w:hint="eastAsia" w:ascii="宋体" w:hAnsi="宋体" w:cs="宋体"/>
                <w:b/>
                <w:bCs/>
                <w:szCs w:val="21"/>
                <w:highlight w:val="none"/>
              </w:rPr>
            </w:pPr>
            <w:r>
              <w:rPr>
                <w:rFonts w:hint="eastAsia" w:ascii="宋体" w:hAnsi="宋体" w:cs="宋体"/>
                <w:b/>
                <w:bCs/>
                <w:szCs w:val="21"/>
                <w:highlight w:val="none"/>
              </w:rPr>
              <w:t xml:space="preserve">6.▲硬件接口 无纸化会议控制主机前面板有1个10寸液晶显示屏、≥2个USB 2.0接口、≥1个电源开关，设备后面接口有≥3个RS232接口、≥2个RJ45接口、≥4个USB 3.0接口、≥1个HDMI输出接口、≥1个DVI输出接口、≥1个VGA输出接口、≥1个VGA输入接口、≥1个音频输出接口。样机采用AC220V供电。（需提供设备接口实物照片，实物图片需清晰体现上述接口要求）</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7.上传文件功能 可通过网页一次上传多个文件，并支持上传压缩包，系统可自动解压并生成议题附件，压缩包上传期间可显示压缩进度；需要进行格式转换的文件，可实时显示转换进度</w:t>
            </w:r>
            <w:r>
              <w:rPr>
                <w:highlight w:val="none"/>
              </w:rPr>
            </w:r>
            <w:r/>
          </w:p>
          <w:p>
            <w:pPr>
              <w:pStyle w:val="872"/>
              <w:jc w:val="left"/>
              <w:rPr>
                <w:rFonts w:hint="eastAsia" w:ascii="宋体" w:hAnsi="宋体" w:cs="宋体"/>
                <w:b/>
                <w:bCs/>
                <w:szCs w:val="21"/>
                <w:highlight w:val="none"/>
              </w:rPr>
            </w:pPr>
            <w:r>
              <w:rPr>
                <w:rFonts w:hint="eastAsia" w:ascii="宋体" w:hAnsi="宋体" w:cs="宋体"/>
                <w:b/>
                <w:bCs/>
                <w:szCs w:val="21"/>
                <w:highlight w:val="none"/>
              </w:rPr>
              <w:t xml:space="preserve">8. ▲文件格式 支持多种文件格式如doc、docx、xls、xlsx、ppt、pptx、wps、et、dps、pdf、png、jpg、gif等；支持全格式视频文件（提供国家认可的第三方检测机构出具的检测报告）</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9.会议归档功能 会议预约人员可在会议结束后对签到表、投票结果、评分结果、会议资料等进行归档；会议资料可归档源文件，也可将所有人的批注与原文档合并为一份文档进行归档，也可将每个人的批注与原文档合并为每个人的文档进行归档</w:t>
            </w:r>
            <w:r>
              <w:rPr>
                <w:highlight w:val="none"/>
              </w:rPr>
            </w:r>
            <w:r/>
          </w:p>
          <w:p>
            <w:pPr>
              <w:pStyle w:val="872"/>
              <w:jc w:val="left"/>
              <w:rPr>
                <w:rFonts w:hint="eastAsia" w:ascii="宋体" w:hAnsi="宋体" w:cs="宋体"/>
                <w:b/>
                <w:bCs/>
                <w:szCs w:val="21"/>
                <w:highlight w:val="none"/>
              </w:rPr>
            </w:pPr>
            <w:r>
              <w:rPr>
                <w:rFonts w:hint="eastAsia" w:ascii="宋体" w:hAnsi="宋体" w:cs="宋体"/>
                <w:b/>
                <w:bCs/>
                <w:szCs w:val="21"/>
                <w:highlight w:val="none"/>
              </w:rPr>
              <w:t xml:space="preserve">10.▲投票功能 可创建自定义投票模板，可通过投票模板创建投票（提供国家认可的第三方检测机构出具的检测报告）</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11.评分功能 可通过评分模板创建评分，也可创建自定义评分模板</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12.会议统计功能 可查看已预约、进行中、已结束的会议统计信息；支持以柱状图形式查看当日会议室的预约数量；支持以饼状图查看当日会议室的预定时间和空闲时间占比情况；支持按当日、本月、本年度、全部、指定起止时间等多种方式统计会议室使用情况，可用柱状图形式展示各会议室的使用次数</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13.界面设置功能 支持设置导位界面的布局，可通过拖动方式设置导位信息的显示位置，可设置导位界面字体的位置、字体、字号、颜色，并可查看预览效果；系统默认支持3套客户端皮肤，可指定用户专属皮肤</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14.人员管理功能 支持设置人员的用户名、姓名、密码、职位、工号、邮箱、手机号、短号、所属部门、被赋予的系统角色等信息</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15.会议通知功能 可设置短信、邮件、微信等多种会议通知方式，支持导入邮件通知模板样式（html）格式，并支持预览邮件通知样式</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16.在线升级功能 支持在线升级客户端功能，可单台终端升级也可多台终端升级还支持按照会议室所有终端统一升级软件；支持服务端程序的导入和升级，即使数据库模式修改，无需进行数据库维护等操作，也支持Android客户端在线升级</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17.中控功能 可通过对接中控系统控制无纸化系统统一开关机、统一升降</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智能无纸化会议管理服务器软件</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1、用户使用客户端或web登录时可记住登录密码，用户使用默认密码登录时，系统会自动提示用户修改密码，若启用自动登陆功能，开机登陆后可直接进入系统功能界面；</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2、支持设置用户默认密码，可作为初始默认密码，并可修改个人密码；</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3、支持创建快捷分组，把经常参会的人员添加一个快捷分组，在建会时可通过快捷分组快速添加参会人员；</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4、支持从预约会议、添加参会人、排位、添加议题、添加投票等模块中选取部分模块创建一个会议模板并可进行座位布局操作；会议模板可设置为默认模板，创建会议时，系统自动选用默认模板</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5、可自动按照添加参会人员的顺序进行参会人排位，排位图可全屏显示；可在座位图中直接拖动参会人排位、交换、插入座位；也可在参会人列表中直接拖拽参会人交换位置</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6、支持多种文件格式如doc、docx、xls、xlsx、ppt、pptx、wps、et、dps、pdf、png、jpg、gif等；支持全格式视频文件</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7、可通过评分模板创建评分，也可创建自定义评分模板</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8、支持设置导位界面的布局，可通过拖动方式设置导位信息的显示位置，可设置导位界面字体的位置、字体、字号、颜色，并可查看预览效果；系统默认支持3套客户端皮肤，可指定用户专属皮肤</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rPr>
              <w:t xml:space="preserve">电子升降桌牌</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1.定制型液晶升降器，双面7寸高亮彩色数字TFT屏，分辨率 1024*600；</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2.颜色银灰（可自选），最大功耗10W；</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3.供电及功率：POE供电，24V；</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4.支持统一控制升降；</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5.支持更换背景图；</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6.支持更换字体、字号、颜色等信息；</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7.连接方式：有线（100M Ethernet）；</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8.安装方式：有线连接（电子桌牌直接连到POE拓展主机）；</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rPr>
              <w:t xml:space="preserve">全数字POE拓展主机（含桌牌控制软件）</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1.19"加固型2U上架式铝合金面板机箱，黑色，输入电压交流220V±10% 50-60Hz，外部端口有百兆以太网口不少于24个、千兆以太网口不少于4个；</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2.每个网口配备网口指示灯，支持网络接口诊断；实时监测并显示机箱内温度；</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3.支持会议终端的通讯和控制，支持100M带宽以太网与会议终端单元通讯，一台设备可带24个终端单元，单元与扩展主机点对点有线连接；</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4.支持双1000M带宽以太网口，分别用于连接控制主机和扩展主机级联，网络支持100M Ethernet。</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无纸化会议终端</w:t>
            </w:r>
            <w:r>
              <w:rPr>
                <w:highlight w:val="none"/>
              </w:rPr>
            </w:r>
            <w:r/>
          </w:p>
          <w:p>
            <w:pPr>
              <w:pStyle w:val="872"/>
              <w:ind w:left="1260"/>
              <w:rPr>
                <w:rFonts w:hint="eastAsia" w:ascii="宋体" w:hAnsi="宋体" w:cs="宋体"/>
                <w:szCs w:val="21"/>
                <w:highlight w:val="none"/>
              </w:rPr>
            </w:pPr>
            <w:r>
              <w:rPr>
                <w:rFonts w:hint="eastAsia" w:ascii="宋体" w:hAnsi="宋体" w:cs="宋体"/>
                <w:szCs w:val="21"/>
                <w:highlight w:val="none"/>
                <w:lang w:bidi="ar"/>
              </w:rPr>
              <w:t xml:space="preserve">（</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 外观 样机外观的表面应平整清洁，无毛刺以及生锈和腐蚀等现象，并且无渗漏痕迹， 无尖锐的突起、边角或棱角；透明材料的内 部无明显空穴、气泡、流体痕迹和杂质</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 操作按键面板宽度应≤70mm；操作按键面板厚度应≤4mm；</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 屏幕触控功能  屏幕支持触屏控制，最多支持 10 点触控</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 硬件接口 金属外壳，不少于 1 个 RJ45 网络接口、不少于1个 RS485 接口、不少于2 个 HDMI 接口、不少于3 个 USB 接口。整机采用220V电源输入，内部转为低压12V直流供电，安全电压，对用户无触电隐患</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 支持将截屏内容保存到笔记或文件</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 U 盘导入功能 可将 U 盘插入样机的 usb 口，将 U 盘内的文件上传到客户端软件中</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7. 中控软件功能 可将 U 盘插入样机的 usb 口，将 U 盘内的文件上传到客户端软件中</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szCs w:val="21"/>
                <w:highlight w:val="none"/>
              </w:rPr>
              <w:t xml:space="preserve">8. </w:t>
            </w:r>
            <w:r>
              <w:rPr>
                <w:rFonts w:hint="eastAsia" w:ascii="宋体" w:hAnsi="宋体" w:cs="宋体"/>
                <w:b/>
                <w:bCs/>
                <w:i/>
                <w:iCs/>
                <w:szCs w:val="21"/>
                <w:highlight w:val="none"/>
                <w:u w:val="single"/>
              </w:rPr>
              <w:t xml:space="preserve">升降速度调节功能 支持通过软件调节屏幕的升降速度提供国家认可的第三方检测机构出具的检测报告）</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9. </w:t>
            </w:r>
            <w:r>
              <w:rPr>
                <w:rFonts w:hint="eastAsia" w:ascii="宋体" w:hAnsi="宋体" w:cs="宋体"/>
                <w:b/>
                <w:bCs/>
                <w:szCs w:val="21"/>
                <w:highlight w:val="none"/>
              </w:rPr>
              <w:t xml:space="preserve">▲清空分组功能 可使用软件进行清空分组也可以同时按设备的上、下、停按钮进行清空分组（提供国家认可的第三方检测机构出具的检测报告）</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11. 登陆方式支持通过座位号、密码、会议列表等方式登录会议</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12. 主持人功能主持人可向参会人发送公告并可以设置公告的背景和颜色等；公告可设置横框、飘窗、弹窗等多种显示形式并支持预览公告展示效果</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13. 议题管理功能 大屏可显示当前进行中的议题；主持人可控制议题的开始和结束；可联动会议室门牌显示当前议题的状况并支持议题语音播报</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14. </w:t>
            </w:r>
            <w:r>
              <w:rPr>
                <w:rFonts w:hint="eastAsia" w:ascii="宋体" w:hAnsi="宋体" w:cs="宋体"/>
                <w:b/>
                <w:bCs/>
                <w:i/>
                <w:iCs/>
                <w:szCs w:val="21"/>
                <w:highlight w:val="none"/>
                <w:u w:val="single"/>
              </w:rPr>
              <w:t xml:space="preserve">动态显示任务进度 支持以进度条的方式查看会议议题的进展情况，支持动态显示当前会议需要完成的任务进度参会人可以查看自身签到、投票、评分、公告确认等任务是否执行（提供国家认可的第三方检测机构出具的检测报告）</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15. 文件格式适配功能 支持多种办公文件格式如 doc、docx、xls、xlsx、ppt、pptx、wps、et、dps、pdf、png、jpg、gif 等；并支持 MP4、AVI、MOV、WMV、RMVB、MKV、m4v、3GP、FLV 等多种视频格式的视频文件；系统支持扩展CAD、电子书等文件格式</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16. 批注功能 支持手写批注、文本批注、矩形批注、椭圆批注等多种批注形式</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无纸化会议终端软件</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1、支持人名</w:t>
            </w:r>
            <w:r>
              <w:rPr>
                <w:rFonts w:hint="eastAsia" w:ascii="宋体" w:hAnsi="宋体" w:cs="宋体"/>
                <w:szCs w:val="21"/>
                <w:highlight w:val="none"/>
              </w:rPr>
              <w:t xml:space="preserve">导位</w:t>
            </w:r>
            <w:r>
              <w:rPr>
                <w:rFonts w:hint="eastAsia" w:ascii="宋体" w:hAnsi="宋体" w:cs="宋体"/>
                <w:szCs w:val="21"/>
                <w:highlight w:val="none"/>
              </w:rPr>
              <w:t xml:space="preserve">、会议信息及与会者信息查看、人员交流（点对点、点对多）、会议投票、会议主持、同步演示等功能常规会议应用</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2、到位界面支持显示会议名称、座位号、参会人姓名，支持中控管理可以控制升降屏、升降桌牌、升降话筒的升降，支持一键调出软键盘；</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3、支持手写签到和免签到方式登录会议，手写签到书写流畅支持笔锋效果和橡皮擦功能；</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4、登录会议后支持查看会议开始日期和时间，并支持查看会议详情包括会议名称、主持人、会议开始时间和结束时间、会议地点等信息；</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5、首页支持点击查看流媒体视频信号和共享画面；</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6、支持多级议题查看文件，支持查看文件的大纲（导航窗格）、缩略图和所有参会人员的批注，并可以快速跳转到所需查看批注人员批注的位置；</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7、支持文件的打开和自由预览，支持双指拖动放大和缩小，支持对文档进行批注，批注会自动进行保存和会后归档，支持隐藏批注痕迹，支持输入需要跳转到的页码一键进行跳转功能；</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8、批注功能可以使用铅笔功能进行书写，可以画直线和矩形等形状，支持选择线条粗细和线条颜色，支持橡皮擦功能和清空批注；</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9、支持播放视频功能，可全屏播放，支持快进、快退和暂停功能；</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10、支持文档、视频、PC桌面共享功能，所有共享只需同一个按钮即可实现，发起一次共享可以随意在文档、视频和PC桌面间进行切换；</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11、支持U盘导入功能，可以在会中把U盘插入到客户端上把需要的文件上传到客户端中，然后可以共享给大家进行观看，退出客户端文件自动删除保证上传的临时文件的安全性；</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无纸化流媒体主机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 产品支持2路音视频信号编码，以及TS 流 UDP模式，RTSP流模式；</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 </w:t>
            </w:r>
            <w:r>
              <w:rPr>
                <w:rFonts w:hint="eastAsia" w:ascii="宋体" w:hAnsi="宋体" w:cs="宋体"/>
                <w:b/>
                <w:bCs/>
                <w:szCs w:val="21"/>
                <w:highlight w:val="none"/>
              </w:rPr>
              <w:t xml:space="preserve">▲可实时查看系统运行状态和视频信号侦测结果；（提供国家认可的第三方检测机构出具的检测报告）</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 接口不小于 1*RJ45、1*DVI(IN)、1*DVI(OUT)、1*SDI(IN)、1*SDI(OUT)、1*AUDI0(IN)、1*AUDI0(OUT)、1*RS232、1*AC 接口</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无纸化大屏控制器（含无纸化流媒体服务器嵌入软件）</w:t>
            </w:r>
            <w:r>
              <w:rPr>
                <w:highlight w:val="none"/>
              </w:rPr>
            </w:r>
            <w:r/>
          </w:p>
          <w:p>
            <w:pPr>
              <w:pStyle w:val="872"/>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 设备配置 处理器：≥4核；内存：≥4G；硬盘：≥SSD 128G</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 网卡 一个千兆网卡</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 显卡 集成显卡</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 信号切换 支持信号格式由网络数据信号转换成数字信号</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 音频输出 支持把客户端共享的视频声音输出到扩声系统</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 分辨率自适应 支持自适应投影分辨率</w:t>
            </w:r>
            <w:r>
              <w:rPr>
                <w:highlight w:val="none"/>
              </w:rPr>
            </w:r>
            <w:r/>
          </w:p>
          <w:p>
            <w:pPr>
              <w:pStyle w:val="872"/>
              <w:jc w:val="left"/>
              <w:rPr>
                <w:rFonts w:hint="eastAsia" w:ascii="宋体" w:hAnsi="宋体" w:cs="宋体"/>
                <w:b/>
                <w:bCs/>
                <w:i/>
                <w:iCs/>
                <w:szCs w:val="21"/>
                <w:highlight w:val="none"/>
                <w:u w:val="single"/>
              </w:rPr>
            </w:pPr>
            <w:r>
              <w:rPr>
                <w:rFonts w:hint="eastAsia" w:ascii="宋体" w:hAnsi="宋体" w:cs="宋体"/>
                <w:szCs w:val="21"/>
                <w:highlight w:val="none"/>
              </w:rPr>
              <w:t xml:space="preserve">7. </w:t>
            </w:r>
            <w:r>
              <w:rPr>
                <w:rFonts w:hint="eastAsia" w:ascii="宋体" w:hAnsi="宋体" w:cs="宋体"/>
                <w:b/>
                <w:bCs/>
                <w:i/>
                <w:iCs/>
                <w:szCs w:val="21"/>
                <w:highlight w:val="none"/>
                <w:u w:val="single"/>
              </w:rPr>
              <w:t xml:space="preserve">投影模式 支持遵循先入先出的投影显示模式</w:t>
            </w:r>
            <w:r>
              <w:rPr>
                <w:rFonts w:hint="eastAsia" w:ascii="宋体" w:hAnsi="宋体" w:cs="宋体"/>
                <w:b/>
                <w:bCs/>
                <w:i/>
                <w:iCs/>
                <w:szCs w:val="21"/>
                <w:highlight w:val="none"/>
                <w:u w:val="single"/>
              </w:rPr>
              <w:t xml:space="preserve">（</w:t>
            </w:r>
            <w:r>
              <w:rPr>
                <w:rFonts w:hint="eastAsia" w:ascii="宋体" w:hAnsi="宋体" w:cs="宋体"/>
                <w:b/>
                <w:bCs/>
                <w:i/>
                <w:iCs/>
                <w:szCs w:val="21"/>
                <w:highlight w:val="none"/>
                <w:u w:val="single"/>
              </w:rPr>
              <w:t xml:space="preserve">提供国家认可的第三方检测机构出具的检测报告</w:t>
            </w:r>
            <w:r>
              <w:rPr>
                <w:rFonts w:hint="eastAsia" w:ascii="宋体" w:hAnsi="宋体" w:cs="宋体"/>
                <w:b/>
                <w:bCs/>
                <w:i/>
                <w:iCs/>
                <w:szCs w:val="21"/>
                <w:highlight w:val="none"/>
                <w:u w:val="single"/>
              </w:rPr>
              <w:t xml:space="preserve">）</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8. 接口不小于 1*电源接口、1*HDMI、1*RJ45、1*VGA、4*USB、I*AUDI0 OUT、I*AUDIO IN</w:t>
            </w:r>
            <w:r>
              <w:rPr>
                <w:highlight w:val="none"/>
              </w:rPr>
            </w:r>
            <w:r/>
          </w:p>
        </w:tc>
      </w:tr>
      <w:tr>
        <w:trPr>
          <w:trHeight w:val="682"/>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操作控制终端</w:t>
            </w:r>
            <w:r>
              <w:rPr>
                <w:highlight w:val="none"/>
              </w:rPr>
            </w:r>
            <w:r/>
          </w:p>
        </w:tc>
        <w:tc>
          <w:tcPr>
            <w:tcW w:w="6270" w:type="dxa"/>
            <w:vAlign w:val="center"/>
            <w:textDirection w:val="lrTb"/>
            <w:noWrap w:val="false"/>
          </w:tcPr>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1.CPU：主频≥2GHz缓存容量≥18MB，核心数≥8核/12线程</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2.内存配置容量≥8GB</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3.内存类型支持 DDR4/LPDDR4/LPDDR4X 及以上内存类型</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4.内存条配置数量 （板载内存不涉及）≥1</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5.主板集成模块：集成资源扩展模块、计算处理模块、音频扩展模块等，主板的互联拓扑可通过处理器或交换电路实现</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6.主板支持的CPU和内存情况：配置2根内存插槽，最大支持单根32G满插64G内存容量，</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7.单内存插槽最大可支持容量（板载内存不涉及）：≥8GB</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8.内存插槽满配时提供的最高内存总容量：≥16GB</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9.固态盘数量：≥1 个</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10.固态存储容量：≥240GB</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11.存储设备扩展盘位≥0</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12.存储设备其他参与要求：a）固态盘应符合 SJ/T 11654 相关 规定; b）机械硬盘准备时间应不大于 30s；侧面固定螺丝孔数量可为 4 孔或 6 孔；工作状态环境温度应满 足 5℃~55℃，其它参数应符合 GB/T 12628 的相关规定</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13.显卡类型：独立显卡或集成显卡</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14.显示屏屏占比：≥80%</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15.显示屏分 辨率：≥1920x1080</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16.显示屏尺寸：≥23 英寸</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17.显示屏屏 幕比例：16:9/3:2/21:9/16:10 等</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18.显示器边 框颜色：黑色/白色/银色等商务色系</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19.显示屏防 蓝光：支持防蓝光模式，蓝光加权辐射亮度比应≤0.0012W/(·cd·sr)（瓦每坎特拉每球面度）</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20.显示屏低频闪：显示屏应支持低频闪≤-35dB</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21.显示屏防眩目：显示器镜面反射率≤10%</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22.传声器数量≥1 个</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23.扬声器数量≥1 个</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24.鼠标数量≥1 个</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25.键盘数量：≥1个；</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26.摄像头数量：1个；</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27.键盘按键数目：61键/86键/101键/104键等；</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28.摄像头像素：≥100万</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29.摄像头分辨率：≥1280x720</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30.扬声器功率：≥1瓦/个</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31.扬声器频率范围：100Hz-20kHz，其中 100Hz-200Hz：35dB 及以上；200Hz-12kHz：55dB 及以上，12kHz-18kHz：35dB 及以上</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32.键盘键程：2.3mm~4.0mm；</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33.键盘按键压力：按键压力应在0.54N±0.14N；</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34.键盘颜色：黑色/白色/银色等商务色系；</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35.鼠标连接方式：有线或无线</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36.有线键盘连接线：≥1.5米；</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37.键盘其他要求：键盘外观结构、连接方式、主要功能、安全、电磁兼容性、可靠性应符合GB/T14081的相关规定</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38.鼠标连接方式：有线或无线</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39.有线鼠标连接线≥1.5 米</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40.鼠标DPI分辨率：800~1600</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41.鼠标其他要求：其它参数应符合GB/T26245的相关规定；</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42.有线网卡数量：≥1（可通过扩展坞支持）；</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43.USB接口数量：≥8，机箱前板至少包括2个USB3.0及以上接口</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44.视频接口数量：≥1；</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45.音频接口数量：≥1；</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46.整机外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47.整机结构：a)机箱应符合GB/T4208、GB/T26246的相关规定；b)产品内部结构应符合通用部件的安装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w:t>
            </w:r>
            <w:r>
              <w:rPr>
                <w:rFonts w:hint="eastAsia" w:ascii="宋体" w:hAnsi="宋体" w:cs="宋体"/>
                <w:b/>
                <w:bCs/>
                <w:i/>
                <w:iCs/>
                <w:szCs w:val="21"/>
                <w:highlight w:val="none"/>
                <w:u w:val="single"/>
                <w:lang w:bidi="ar"/>
              </w:rPr>
              <w:t xml:space="preserve">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48.机箱防护要求：机箱应符合GB/T4208中IP20防护要求；</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49.整机噪音：产品工作在空闲状态下，产品的声功率级应不超过4.5Bel；</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50.整机散热：在环境温度25℃及处理器满载情况下，产品表面温度应符合下列要求：</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a)出风口在机箱后面板情况下，出风口温度不高于55℃;b)可触及面温度小于45℃;c)显示器表面温度：显示屏温度不高于38℃,显示屏上下灯带位置温度（如涉及）不高于40℃,出风口温度不高于45℃；</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51.整机能效限定值：产品能效限定值应达到GB28380-2012标准中能效等级2级及以上</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52.机身颜色：一般选用灰色/黑色等商务色系；</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53.机箱尺寸容量：机箱体积应不大于40L；</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54.CPU物理核数：核数或线程数≥4</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55.CPU主频：≥1.5GHz</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56.CPU末级缓存容量：≥2MB</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57.CPU支持的内存最高速率：≥2666MT/s；</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58.内存读写速率：≥2666MT/s；</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59.显示分辨率：≥1920x1080；</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60.显卡显示芯片核心频率：≥300MHz；</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61.显存等效频率：≥1000MT/s显卡可支持多屏同时显示数量：支持2块屏幕同时显示，分辨率应不低于1920×1080；</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62.显示屏刷新率：≥60Hz；</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63.显示屏位深：≥8位；</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64.显示屏色域：≥99%sRGB；</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65.显示屏色准：△E≤4；</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66.显示屏响应时间：≤22ms；</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67.显示屏亮度：≥250尼特；</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68.显示屏亮度一致性：≥70%</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69.显示屏对比度：≥1000：1；</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70.显示屏其他参数：其它参数应符合SJ/T11292的相关规定；</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71.有线网卡速率：最高速率应不低于1000Mbps，应支持10Mbps、100Mbps、1000Mbps速率自适应；</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72.电源适配器电源效率在 20%/50%/100%负载下效率均应不低于 87%</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73.内存扩展接口(板载内存不涉及)：≥0；</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74.主板USB瞬间过流保护：支持瞬间过流保护功能；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75.主板防静电保护：支持防静电保护功能；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76.I/O接口功能：提供基于标准USB接口外设连接功能、基于音频输入输出接口的音频扩展功能、基于PCIe接口板卡扩展功能、基于HDMI/VGA/Type-C/DVI/DP等接口外接显示器扩展功能、基于存储接口对产品进行增容功能等。工作站I/O接口应具备外接标准USB设备、显示器、音频设备等内外部设备能力；</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77.显卡外接显示接口：显卡至少支持VGA、HDMI、DVI、DP、Type-C中1种显示接口，并与显示器接口相匹配；</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78.显示器支架：提供显示器支架</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79.存储功能：支持信息存储功能，包括支持易失性存储功能和非易失性存储功能。 为提升存储性能和降低存储功耗，非易失性存储宜支持固态存储设 备，如 SSD/UFS。 产品应支持外部接口可以与独立的存储设备进行数据交互</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80.网络功能：a)支持网络连接、网络开启/关闭功能；b)支持访问网络和数据交换功能；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81.无线网卡频段：支持双频段</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82.数据传输：支持数据传输能力，并提供数据流量和异常日志记录功能;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83.有线网卡接口类型:支持RJ45接口;</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84.网络设备拆装：若配备的网络设备应支持物理拆装，包括无线网卡和蓝牙模块等；</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85.音频接口类型：不少于 1 个，宜支持 3.5mm 孔径的 3 段式或 4 段式接口。若支持 4 段 式接口，宜支持线序的自动识别及 切换功能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86.视频接口类型：至少支持VGA、HDMI、DVI、DP、Type-C中1种显示接口；</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87.HDMI、DP、Type-C显示接口要求：若提供HDMI或DP或Type-C作为显示接口，应支持音频和视频同步输出；</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88.电源线适配能力：电源适配器电线组件应符合GB/T15934的要求，可拆线的插头和连接器可以不做要求；</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89.中文信息处理要求：符合GB18030的相关规定；</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90.操作系统备份及还原功能：支持操作系统备份及还原功能；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91.固件备份还原能力：支持备份及还原固件的功能；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92.操作系统及驱动升级：支持通过网络、闪存盘等方式对操作系统、驱动进行升级；</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93.BIOS支持关闭通讯接口：支持BIOS关闭以太网及USB接口功能；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94.固件查看信息：支持查看固件版本、内存信息、主板信息、处理器信息和系统时间信息等功能；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95.固件设置启动顺序：支持设置启动顺序功能，并按照设置的启动顺序启动；</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96.固件设置口令：支持设置口令、修改口令、验证口令功能；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97.固件设置网络引导：支持网络引导启动和关闭功能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98.固态存储寿命：TBW≥80TB（条件：240GB硬盘容量）；</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99.机械硬盘寿命：通电时间≥5万小时；</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100.显示屏屏幕失效点：符合GB/T9813.2的要求；</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101.键盘按键寿命：≥1000万次；</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102.鼠标按键寿命：≥500万次；</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103.键盘鼠标线材寿命：键盘鼠标所用线材经±60°弯折不低于3000次，功能、外观完好；</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104.风扇寿命：≥4万小时；</w:t>
            </w:r>
            <w:r>
              <w:rPr>
                <w:highlight w:val="none"/>
              </w:rPr>
            </w:r>
            <w:r/>
          </w:p>
          <w:p>
            <w:pPr>
              <w:pStyle w:val="872"/>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105.电磁兼容性要求的抗扰度：符合GB/T9254.2的</w:t>
            </w:r>
            <w:r>
              <w:rPr>
                <w:highlight w:val="none"/>
              </w:rPr>
            </w:r>
            <w:r/>
          </w:p>
          <w:p>
            <w:pPr>
              <w:pStyle w:val="874"/>
              <w:jc w:val="left"/>
              <w:rPr>
                <w:rFonts w:hint="eastAsia" w:ascii="宋体" w:hAnsi="宋体" w:cs="宋体"/>
                <w:i/>
                <w:iCs/>
                <w:sz w:val="21"/>
                <w:szCs w:val="21"/>
                <w:highlight w:val="none"/>
                <w:u w:val="single"/>
              </w:rPr>
              <w:outlineLvl w:val="1"/>
            </w:pPr>
            <w:r>
              <w:rPr>
                <w:rFonts w:hint="eastAsia" w:ascii="宋体" w:hAnsi="宋体" w:cs="宋体"/>
                <w:i/>
                <w:iCs/>
                <w:sz w:val="21"/>
                <w:szCs w:val="21"/>
                <w:highlight w:val="none"/>
                <w:u w:val="single"/>
                <w:lang w:bidi="ar"/>
              </w:rPr>
              <w:t xml:space="preserve">（提供节能产品认证证书，并加盖投标人公章）</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大屏图像工作站</w:t>
            </w:r>
            <w:r>
              <w:rPr>
                <w:highlight w:val="none"/>
              </w:rPr>
            </w:r>
            <w:r/>
          </w:p>
        </w:tc>
        <w:tc>
          <w:tcPr>
            <w:tcW w:w="6270" w:type="dxa"/>
            <w:vAlign w:val="center"/>
            <w:textDirection w:val="lrTb"/>
            <w:noWrap w:val="false"/>
          </w:tcPr>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55.</w:t>
            </w:r>
            <w:r>
              <w:rPr>
                <w:rFonts w:hint="eastAsia" w:ascii="宋体" w:hAnsi="宋体" w:cs="宋体"/>
                <w:b/>
                <w:bCs/>
                <w:i/>
                <w:iCs/>
                <w:spacing w:val="-3"/>
                <w:szCs w:val="21"/>
                <w:highlight w:val="none"/>
                <w:u w:val="single"/>
              </w:rPr>
              <w:t xml:space="preserve">CPU：2颗处理器每颗处理器主频≥3.0GHz缓存容量≥16MB、核心数≥8核/16线程、支持35度环境95W散热设计。</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56.</w:t>
            </w:r>
            <w:r>
              <w:rPr>
                <w:rFonts w:hint="eastAsia" w:ascii="宋体" w:hAnsi="宋体" w:cs="宋体"/>
                <w:b/>
                <w:bCs/>
                <w:i/>
                <w:iCs/>
                <w:spacing w:val="-2"/>
                <w:szCs w:val="21"/>
                <w:highlight w:val="none"/>
                <w:u w:val="single"/>
              </w:rPr>
              <w:t xml:space="preserve">内存配</w:t>
            </w:r>
            <w:r>
              <w:rPr>
                <w:rFonts w:hint="eastAsia" w:ascii="宋体" w:hAnsi="宋体" w:cs="宋体"/>
                <w:b/>
                <w:bCs/>
                <w:i/>
                <w:iCs/>
                <w:spacing w:val="-4"/>
                <w:szCs w:val="21"/>
                <w:highlight w:val="none"/>
                <w:u w:val="single"/>
              </w:rPr>
              <w:t xml:space="preserve">置容量：</w:t>
            </w:r>
            <w:r>
              <w:rPr>
                <w:rFonts w:hint="eastAsia" w:ascii="宋体" w:hAnsi="宋体" w:cs="宋体"/>
                <w:b/>
                <w:bCs/>
                <w:i/>
                <w:iCs/>
                <w:spacing w:val="-6"/>
                <w:szCs w:val="21"/>
                <w:highlight w:val="none"/>
                <w:u w:val="single"/>
              </w:rPr>
              <w:t xml:space="preserve">≥16GB</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57.</w:t>
            </w:r>
            <w:r>
              <w:rPr>
                <w:rFonts w:hint="eastAsia" w:ascii="宋体" w:hAnsi="宋体" w:cs="宋体"/>
                <w:b/>
                <w:bCs/>
                <w:i/>
                <w:iCs/>
                <w:spacing w:val="-2"/>
                <w:szCs w:val="21"/>
                <w:highlight w:val="none"/>
                <w:u w:val="single"/>
              </w:rPr>
              <w:t xml:space="preserve">内存类</w:t>
            </w:r>
            <w:r>
              <w:rPr>
                <w:rFonts w:hint="eastAsia" w:ascii="宋体" w:hAnsi="宋体" w:cs="宋体"/>
                <w:b/>
                <w:bCs/>
                <w:i/>
                <w:iCs/>
                <w:szCs w:val="21"/>
                <w:highlight w:val="none"/>
                <w:u w:val="single"/>
              </w:rPr>
              <w:t xml:space="preserve">型：支持DDR4/LPDDR4/LPDDR4X及以上内存类型；</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58.</w:t>
            </w:r>
            <w:r>
              <w:rPr>
                <w:rFonts w:hint="eastAsia" w:ascii="宋体" w:hAnsi="宋体" w:cs="宋体"/>
                <w:b/>
                <w:bCs/>
                <w:i/>
                <w:iCs/>
                <w:spacing w:val="-3"/>
                <w:szCs w:val="21"/>
                <w:highlight w:val="none"/>
                <w:u w:val="single"/>
              </w:rPr>
              <w:t xml:space="preserve">内存条配置数量（板载内存不涉及）：</w:t>
            </w:r>
            <w:r>
              <w:rPr>
                <w:rFonts w:hint="eastAsia" w:ascii="宋体" w:hAnsi="宋体" w:cs="宋体"/>
                <w:b/>
                <w:bCs/>
                <w:i/>
                <w:iCs/>
                <w:spacing w:val="-13"/>
                <w:szCs w:val="21"/>
                <w:highlight w:val="none"/>
                <w:u w:val="single"/>
              </w:rPr>
              <w:t xml:space="preserve">≥1；</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59.</w:t>
            </w:r>
            <w:r>
              <w:rPr>
                <w:rFonts w:hint="eastAsia" w:ascii="宋体" w:hAnsi="宋体" w:cs="宋体"/>
                <w:b/>
                <w:bCs/>
                <w:i/>
                <w:iCs/>
                <w:spacing w:val="-3"/>
                <w:szCs w:val="21"/>
                <w:highlight w:val="none"/>
                <w:u w:val="single"/>
              </w:rPr>
              <w:t xml:space="preserve">主板集成模块：</w:t>
            </w:r>
            <w:r>
              <w:rPr>
                <w:rFonts w:hint="eastAsia" w:ascii="宋体" w:hAnsi="宋体" w:cs="宋体"/>
                <w:b/>
                <w:bCs/>
                <w:i/>
                <w:iCs/>
                <w:spacing w:val="-5"/>
                <w:szCs w:val="21"/>
                <w:highlight w:val="none"/>
                <w:u w:val="single"/>
              </w:rPr>
              <w:t xml:space="preserve">集成资源扩展模块、计算处理模块、音频扩展模块等，主板的互联拓扑可通过</w:t>
            </w:r>
            <w:r>
              <w:rPr>
                <w:rFonts w:hint="eastAsia" w:ascii="宋体" w:hAnsi="宋体" w:cs="宋体"/>
                <w:b/>
                <w:bCs/>
                <w:i/>
                <w:iCs/>
                <w:spacing w:val="-1"/>
                <w:szCs w:val="21"/>
                <w:highlight w:val="none"/>
                <w:u w:val="single"/>
              </w:rPr>
              <w:t xml:space="preserve">处理器或交换电路实现；</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60.</w:t>
            </w:r>
            <w:r>
              <w:rPr>
                <w:rFonts w:hint="eastAsia" w:ascii="宋体" w:hAnsi="宋体" w:cs="宋体"/>
                <w:b/>
                <w:bCs/>
                <w:i/>
                <w:iCs/>
                <w:spacing w:val="-2"/>
                <w:szCs w:val="21"/>
                <w:highlight w:val="none"/>
                <w:u w:val="single"/>
              </w:rPr>
              <w:t xml:space="preserve">主板支</w:t>
            </w:r>
            <w:r>
              <w:rPr>
                <w:rFonts w:hint="eastAsia" w:ascii="宋体" w:hAnsi="宋体" w:cs="宋体"/>
                <w:b/>
                <w:bCs/>
                <w:i/>
                <w:iCs/>
                <w:spacing w:val="-3"/>
                <w:szCs w:val="21"/>
                <w:highlight w:val="none"/>
                <w:u w:val="single"/>
              </w:rPr>
              <w:t xml:space="preserve">持的CPU</w:t>
            </w:r>
            <w:r>
              <w:rPr>
                <w:rFonts w:hint="eastAsia" w:ascii="宋体" w:hAnsi="宋体" w:cs="宋体"/>
                <w:b/>
                <w:bCs/>
                <w:i/>
                <w:iCs/>
                <w:spacing w:val="-2"/>
                <w:szCs w:val="21"/>
                <w:highlight w:val="none"/>
                <w:u w:val="single"/>
              </w:rPr>
              <w:t xml:space="preserve">和内存情</w:t>
            </w:r>
            <w:r>
              <w:rPr>
                <w:rFonts w:hint="eastAsia" w:ascii="宋体" w:hAnsi="宋体" w:cs="宋体"/>
                <w:b/>
                <w:bCs/>
                <w:i/>
                <w:iCs/>
                <w:szCs w:val="21"/>
                <w:highlight w:val="none"/>
                <w:u w:val="single"/>
              </w:rPr>
              <w:t xml:space="preserve">况：配置8根内存插槽，最大支持单根64G满插512G内存容量；</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61.</w:t>
            </w:r>
            <w:r>
              <w:rPr>
                <w:rFonts w:hint="eastAsia" w:ascii="宋体" w:hAnsi="宋体" w:cs="宋体"/>
                <w:b/>
                <w:bCs/>
                <w:i/>
                <w:iCs/>
                <w:spacing w:val="-2"/>
                <w:szCs w:val="21"/>
                <w:highlight w:val="none"/>
                <w:u w:val="single"/>
              </w:rPr>
              <w:t xml:space="preserve">主板其</w:t>
            </w:r>
            <w:r>
              <w:rPr>
                <w:rFonts w:hint="eastAsia" w:ascii="宋体" w:hAnsi="宋体" w:cs="宋体"/>
                <w:b/>
                <w:bCs/>
                <w:i/>
                <w:iCs/>
                <w:spacing w:val="-3"/>
                <w:szCs w:val="21"/>
                <w:highlight w:val="none"/>
                <w:u w:val="single"/>
              </w:rPr>
              <w:t xml:space="preserve">他内置接</w:t>
            </w:r>
            <w:r>
              <w:rPr>
                <w:rFonts w:hint="eastAsia" w:ascii="宋体" w:hAnsi="宋体" w:cs="宋体"/>
                <w:b/>
                <w:bCs/>
                <w:i/>
                <w:iCs/>
                <w:szCs w:val="21"/>
                <w:highlight w:val="none"/>
                <w:u w:val="single"/>
              </w:rPr>
              <w:t xml:space="preserve">口：4个USB接口（USB3.0&gt;=2）;1*耳机输出接口;1*麦克风输入接口；</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62.</w:t>
            </w:r>
            <w:r>
              <w:rPr>
                <w:rFonts w:hint="eastAsia" w:ascii="宋体" w:hAnsi="宋体" w:cs="宋体"/>
                <w:b/>
                <w:bCs/>
                <w:i/>
                <w:iCs/>
                <w:spacing w:val="-2"/>
                <w:szCs w:val="21"/>
                <w:highlight w:val="none"/>
                <w:u w:val="single"/>
              </w:rPr>
              <w:t xml:space="preserve">单内存插槽最大可支持容量（板载内存不涉</w:t>
            </w:r>
            <w:bookmarkStart w:id="6" w:name="bookmark2"/>
            <w:r>
              <w:rPr>
                <w:highlight w:val="none"/>
              </w:rPr>
            </w:r>
            <w:bookmarkEnd w:id="6"/>
            <w:r>
              <w:rPr>
                <w:highlight w:val="none"/>
              </w:rPr>
            </w:r>
            <w:bookmarkStart w:id="7" w:name="bookmark1"/>
            <w:r>
              <w:rPr>
                <w:highlight w:val="none"/>
              </w:rPr>
            </w:r>
            <w:bookmarkEnd w:id="7"/>
            <w:r>
              <w:rPr>
                <w:rFonts w:hint="eastAsia" w:ascii="宋体" w:hAnsi="宋体" w:cs="宋体"/>
                <w:b/>
                <w:bCs/>
                <w:i/>
                <w:iCs/>
                <w:spacing w:val="-4"/>
                <w:szCs w:val="21"/>
                <w:highlight w:val="none"/>
                <w:u w:val="single"/>
              </w:rPr>
              <w:t xml:space="preserve">及）：</w:t>
            </w:r>
            <w:r>
              <w:rPr>
                <w:rFonts w:hint="eastAsia" w:ascii="宋体" w:hAnsi="宋体" w:cs="宋体"/>
                <w:b/>
                <w:bCs/>
                <w:i/>
                <w:iCs/>
                <w:spacing w:val="-6"/>
                <w:szCs w:val="21"/>
                <w:highlight w:val="none"/>
                <w:u w:val="single"/>
              </w:rPr>
              <w:t xml:space="preserve">≥16GB；</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63.</w:t>
            </w:r>
            <w:r>
              <w:rPr>
                <w:rFonts w:hint="eastAsia" w:ascii="宋体" w:hAnsi="宋体" w:cs="宋体"/>
                <w:b/>
                <w:bCs/>
                <w:i/>
                <w:iCs/>
                <w:spacing w:val="-2"/>
                <w:szCs w:val="21"/>
                <w:highlight w:val="none"/>
                <w:u w:val="single"/>
              </w:rPr>
              <w:t xml:space="preserve">内存插槽满配时提供的最高内存总</w:t>
            </w:r>
            <w:r>
              <w:rPr>
                <w:rFonts w:hint="eastAsia" w:ascii="宋体" w:hAnsi="宋体" w:cs="宋体"/>
                <w:b/>
                <w:bCs/>
                <w:i/>
                <w:iCs/>
                <w:spacing w:val="-3"/>
                <w:szCs w:val="21"/>
                <w:highlight w:val="none"/>
                <w:u w:val="single"/>
              </w:rPr>
              <w:t xml:space="preserve">容量：</w:t>
            </w:r>
            <w:r>
              <w:rPr>
                <w:rFonts w:hint="eastAsia" w:ascii="宋体" w:hAnsi="宋体" w:cs="宋体"/>
                <w:b/>
                <w:bCs/>
                <w:i/>
                <w:iCs/>
                <w:spacing w:val="-6"/>
                <w:szCs w:val="21"/>
                <w:highlight w:val="none"/>
                <w:u w:val="single"/>
              </w:rPr>
              <w:t xml:space="preserve">≥32GB；</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64.</w:t>
            </w:r>
            <w:r>
              <w:rPr>
                <w:rFonts w:hint="eastAsia" w:ascii="宋体" w:hAnsi="宋体" w:cs="宋体"/>
                <w:b/>
                <w:bCs/>
                <w:i/>
                <w:iCs/>
                <w:spacing w:val="-2"/>
                <w:szCs w:val="21"/>
                <w:highlight w:val="none"/>
                <w:u w:val="single"/>
              </w:rPr>
              <w:t xml:space="preserve">固态盘</w:t>
            </w:r>
            <w:r>
              <w:rPr>
                <w:rFonts w:hint="eastAsia" w:ascii="宋体" w:hAnsi="宋体" w:cs="宋体"/>
                <w:b/>
                <w:bCs/>
                <w:i/>
                <w:iCs/>
                <w:spacing w:val="-4"/>
                <w:szCs w:val="21"/>
                <w:highlight w:val="none"/>
                <w:u w:val="single"/>
              </w:rPr>
              <w:t xml:space="preserve">数量：</w:t>
            </w:r>
            <w:r>
              <w:rPr>
                <w:rFonts w:hint="eastAsia" w:ascii="宋体" w:hAnsi="宋体" w:cs="宋体"/>
                <w:b/>
                <w:bCs/>
                <w:i/>
                <w:iCs/>
                <w:spacing w:val="6"/>
                <w:szCs w:val="21"/>
                <w:highlight w:val="none"/>
                <w:u w:val="single"/>
              </w:rPr>
              <w:t xml:space="preserve">≥1个；</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65.</w:t>
            </w:r>
            <w:r>
              <w:rPr>
                <w:rFonts w:hint="eastAsia" w:ascii="宋体" w:hAnsi="宋体" w:cs="宋体"/>
                <w:b/>
                <w:bCs/>
                <w:i/>
                <w:iCs/>
                <w:spacing w:val="-2"/>
                <w:szCs w:val="21"/>
                <w:highlight w:val="none"/>
                <w:u w:val="single"/>
              </w:rPr>
              <w:t xml:space="preserve">固态存储容量：</w:t>
            </w:r>
            <w:r>
              <w:rPr>
                <w:rFonts w:hint="eastAsia" w:ascii="宋体" w:hAnsi="宋体" w:cs="宋体"/>
                <w:b/>
                <w:bCs/>
                <w:i/>
                <w:iCs/>
                <w:spacing w:val="-5"/>
                <w:szCs w:val="21"/>
                <w:highlight w:val="none"/>
                <w:u w:val="single"/>
              </w:rPr>
              <w:t xml:space="preserve">≥240GB；</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66.</w:t>
            </w:r>
            <w:r>
              <w:rPr>
                <w:rFonts w:hint="eastAsia" w:ascii="宋体" w:hAnsi="宋体" w:cs="宋体"/>
                <w:b/>
                <w:bCs/>
                <w:i/>
                <w:iCs/>
                <w:spacing w:val="-2"/>
                <w:szCs w:val="21"/>
                <w:highlight w:val="none"/>
                <w:u w:val="single"/>
              </w:rPr>
              <w:t xml:space="preserve">机械硬盘数量：</w:t>
            </w:r>
            <w:r>
              <w:rPr>
                <w:rFonts w:hint="eastAsia" w:ascii="宋体" w:hAnsi="宋体" w:cs="宋体"/>
                <w:b/>
                <w:bCs/>
                <w:i/>
                <w:iCs/>
                <w:spacing w:val="-7"/>
                <w:szCs w:val="21"/>
                <w:highlight w:val="none"/>
                <w:u w:val="single"/>
              </w:rPr>
              <w:t xml:space="preserve">≥1个；</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67.</w:t>
            </w:r>
            <w:r>
              <w:rPr>
                <w:rFonts w:hint="eastAsia" w:ascii="宋体" w:hAnsi="宋体" w:cs="宋体"/>
                <w:b/>
                <w:bCs/>
                <w:i/>
                <w:iCs/>
                <w:spacing w:val="-3"/>
                <w:szCs w:val="21"/>
                <w:highlight w:val="none"/>
                <w:u w:val="single"/>
              </w:rPr>
              <w:t xml:space="preserve">机械硬盘总容量：</w:t>
            </w:r>
            <w:r>
              <w:rPr>
                <w:rFonts w:hint="eastAsia" w:ascii="宋体" w:hAnsi="宋体" w:cs="宋体"/>
                <w:b/>
                <w:bCs/>
                <w:i/>
                <w:iCs/>
                <w:spacing w:val="-7"/>
                <w:szCs w:val="21"/>
                <w:highlight w:val="none"/>
                <w:u w:val="single"/>
              </w:rPr>
              <w:t xml:space="preserve">≥1TB</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68.</w:t>
            </w:r>
            <w:r>
              <w:rPr>
                <w:rFonts w:hint="eastAsia" w:ascii="宋体" w:hAnsi="宋体" w:cs="宋体"/>
                <w:b/>
                <w:bCs/>
                <w:i/>
                <w:iCs/>
                <w:spacing w:val="-7"/>
                <w:szCs w:val="21"/>
                <w:highlight w:val="none"/>
                <w:u w:val="single"/>
              </w:rPr>
              <w:t xml:space="preserve">机械硬盘转速：≥7200rpm</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69.</w:t>
            </w:r>
            <w:r>
              <w:rPr>
                <w:rFonts w:hint="eastAsia" w:ascii="宋体" w:hAnsi="宋体" w:cs="宋体"/>
                <w:b/>
                <w:bCs/>
                <w:i/>
                <w:iCs/>
                <w:spacing w:val="-2"/>
                <w:szCs w:val="21"/>
                <w:highlight w:val="none"/>
                <w:u w:val="single"/>
              </w:rPr>
              <w:t xml:space="preserve">固态存储形态：</w:t>
            </w:r>
            <w:r>
              <w:rPr>
                <w:rFonts w:hint="eastAsia" w:ascii="宋体" w:hAnsi="宋体" w:cs="宋体"/>
                <w:b/>
                <w:bCs/>
                <w:i/>
                <w:iCs/>
                <w:spacing w:val="-4"/>
                <w:szCs w:val="21"/>
                <w:highlight w:val="none"/>
                <w:u w:val="single"/>
              </w:rPr>
              <w:t xml:space="preserve">采用插卡或板载等形态，插卡形态宜符</w:t>
            </w:r>
            <w:r>
              <w:rPr>
                <w:rFonts w:hint="eastAsia" w:ascii="宋体" w:hAnsi="宋体" w:cs="宋体"/>
                <w:b/>
                <w:bCs/>
                <w:i/>
                <w:iCs/>
                <w:spacing w:val="4"/>
                <w:szCs w:val="21"/>
                <w:highlight w:val="none"/>
                <w:u w:val="single"/>
              </w:rPr>
              <w:t xml:space="preserve">合M.2或</w:t>
            </w:r>
            <w:r>
              <w:rPr>
                <w:rFonts w:hint="eastAsia" w:ascii="宋体" w:hAnsi="宋体" w:cs="宋体"/>
                <w:b/>
                <w:bCs/>
                <w:i/>
                <w:iCs/>
                <w:szCs w:val="21"/>
                <w:highlight w:val="none"/>
                <w:u w:val="single"/>
              </w:rPr>
              <w:t xml:space="preserve">mSATA</w:t>
            </w:r>
            <w:r>
              <w:rPr>
                <w:rFonts w:hint="eastAsia" w:ascii="宋体" w:hAnsi="宋体" w:cs="宋体"/>
                <w:b/>
                <w:bCs/>
                <w:i/>
                <w:iCs/>
                <w:spacing w:val="4"/>
                <w:szCs w:val="21"/>
                <w:highlight w:val="none"/>
                <w:u w:val="single"/>
              </w:rPr>
              <w:t xml:space="preserve">等标准尺寸和接口定义；</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70.</w:t>
            </w:r>
            <w:r>
              <w:rPr>
                <w:rFonts w:hint="eastAsia" w:ascii="宋体" w:hAnsi="宋体" w:cs="宋体"/>
                <w:b/>
                <w:bCs/>
                <w:i/>
                <w:iCs/>
                <w:spacing w:val="-2"/>
                <w:szCs w:val="21"/>
                <w:highlight w:val="none"/>
                <w:u w:val="single"/>
              </w:rPr>
              <w:t xml:space="preserve">存储设备其他参</w:t>
            </w:r>
            <w:r>
              <w:rPr>
                <w:rFonts w:hint="eastAsia" w:ascii="宋体" w:hAnsi="宋体" w:cs="宋体"/>
                <w:b/>
                <w:bCs/>
                <w:i/>
                <w:iCs/>
                <w:spacing w:val="-3"/>
                <w:szCs w:val="21"/>
                <w:highlight w:val="none"/>
                <w:u w:val="single"/>
              </w:rPr>
              <w:t xml:space="preserve">数要求：a）固态盘应符合SJ/T11654相关规定；b）机械硬盘准备时间应不大于30s；侧面固定螺丝孔数量可为4孔或6孔；工作状态环境温度应满足5℃~55℃;其它参数应符合GB/T12628的相关规定；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71.</w:t>
            </w:r>
            <w:r>
              <w:rPr>
                <w:rFonts w:hint="eastAsia" w:ascii="宋体" w:hAnsi="宋体" w:cs="宋体"/>
                <w:b/>
                <w:bCs/>
                <w:i/>
                <w:iCs/>
                <w:spacing w:val="-2"/>
                <w:szCs w:val="21"/>
                <w:highlight w:val="none"/>
                <w:u w:val="single"/>
              </w:rPr>
              <w:t xml:space="preserve">显卡类</w:t>
            </w:r>
            <w:r>
              <w:rPr>
                <w:rFonts w:hint="eastAsia" w:ascii="宋体" w:hAnsi="宋体" w:cs="宋体"/>
                <w:b/>
                <w:bCs/>
                <w:i/>
                <w:iCs/>
                <w:szCs w:val="21"/>
                <w:highlight w:val="none"/>
                <w:u w:val="single"/>
              </w:rPr>
              <w:t xml:space="preserve">型：</w:t>
            </w:r>
            <w:r>
              <w:rPr>
                <w:rFonts w:hint="eastAsia" w:ascii="宋体" w:hAnsi="宋体" w:cs="宋体"/>
                <w:b/>
                <w:bCs/>
                <w:i/>
                <w:iCs/>
                <w:spacing w:val="-1"/>
                <w:szCs w:val="21"/>
                <w:highlight w:val="none"/>
                <w:u w:val="single"/>
              </w:rPr>
              <w:t xml:space="preserve">独立显卡或集成显卡；</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72.</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卡显存类</w:t>
            </w:r>
            <w:r>
              <w:rPr>
                <w:rFonts w:hint="eastAsia" w:ascii="宋体" w:hAnsi="宋体" w:cs="宋体"/>
                <w:b/>
                <w:bCs/>
                <w:i/>
                <w:iCs/>
                <w:szCs w:val="21"/>
                <w:highlight w:val="none"/>
                <w:u w:val="single"/>
              </w:rPr>
              <w:t xml:space="preserve">型：</w:t>
            </w:r>
            <w:r>
              <w:rPr>
                <w:rFonts w:hint="eastAsia" w:ascii="宋体" w:hAnsi="宋体" w:cs="宋体"/>
                <w:b/>
                <w:bCs/>
                <w:i/>
                <w:iCs/>
                <w:spacing w:val="-1"/>
                <w:szCs w:val="21"/>
                <w:highlight w:val="none"/>
                <w:u w:val="single"/>
              </w:rPr>
              <w:t xml:space="preserve">若配置独立显卡，显存类型应为DDR3/DDR4/GDDR5/GDDR6/LPDDR4；</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73.</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卡显存位</w:t>
            </w:r>
            <w:r>
              <w:rPr>
                <w:rFonts w:hint="eastAsia" w:ascii="宋体" w:hAnsi="宋体" w:cs="宋体"/>
                <w:b/>
                <w:bCs/>
                <w:i/>
                <w:iCs/>
                <w:szCs w:val="21"/>
                <w:highlight w:val="none"/>
                <w:u w:val="single"/>
              </w:rPr>
              <w:t xml:space="preserve">宽：</w:t>
            </w:r>
            <w:r>
              <w:rPr>
                <w:rFonts w:hint="eastAsia" w:ascii="宋体" w:hAnsi="宋体" w:cs="宋体"/>
                <w:b/>
                <w:bCs/>
                <w:i/>
                <w:iCs/>
                <w:spacing w:val="-1"/>
                <w:szCs w:val="21"/>
                <w:highlight w:val="none"/>
                <w:u w:val="single"/>
              </w:rPr>
              <w:t xml:space="preserve">若配置独立显卡，显存位宽≥64位；</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74.</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卡显存容</w:t>
            </w:r>
            <w:r>
              <w:rPr>
                <w:rFonts w:hint="eastAsia" w:ascii="宋体" w:hAnsi="宋体" w:cs="宋体"/>
                <w:b/>
                <w:bCs/>
                <w:i/>
                <w:iCs/>
                <w:szCs w:val="21"/>
                <w:highlight w:val="none"/>
                <w:u w:val="single"/>
              </w:rPr>
              <w:t xml:space="preserve">量：</w:t>
            </w:r>
            <w:r>
              <w:rPr>
                <w:rFonts w:hint="eastAsia" w:ascii="宋体" w:hAnsi="宋体" w:cs="宋体"/>
                <w:b/>
                <w:bCs/>
                <w:i/>
                <w:iCs/>
                <w:spacing w:val="-1"/>
                <w:szCs w:val="21"/>
                <w:highlight w:val="none"/>
                <w:u w:val="single"/>
              </w:rPr>
              <w:t xml:space="preserve">若配置独立显卡，显存容量≥1GB；</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75.</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屏占比：</w:t>
            </w:r>
            <w:r>
              <w:rPr>
                <w:rFonts w:hint="eastAsia" w:ascii="宋体" w:hAnsi="宋体" w:cs="宋体"/>
                <w:b/>
                <w:bCs/>
                <w:i/>
                <w:iCs/>
                <w:spacing w:val="-7"/>
                <w:szCs w:val="21"/>
                <w:highlight w:val="none"/>
                <w:u w:val="single"/>
              </w:rPr>
              <w:t xml:space="preserve">≥80%；</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76.</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分辨率：</w:t>
            </w:r>
            <w:r>
              <w:rPr>
                <w:rFonts w:hint="eastAsia" w:ascii="宋体" w:hAnsi="宋体" w:cs="宋体"/>
                <w:b/>
                <w:bCs/>
                <w:i/>
                <w:iCs/>
                <w:spacing w:val="-3"/>
                <w:szCs w:val="21"/>
                <w:highlight w:val="none"/>
                <w:u w:val="single"/>
              </w:rPr>
              <w:t xml:space="preserve">≥2560×1440；</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77.</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尺寸：</w:t>
            </w:r>
            <w:r>
              <w:rPr>
                <w:rFonts w:hint="eastAsia" w:ascii="宋体" w:hAnsi="宋体" w:cs="宋体"/>
                <w:b/>
                <w:bCs/>
                <w:i/>
                <w:iCs/>
                <w:spacing w:val="-8"/>
                <w:szCs w:val="21"/>
                <w:highlight w:val="none"/>
                <w:u w:val="single"/>
              </w:rPr>
              <w:t xml:space="preserve">≥23英寸；</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78.</w:t>
            </w:r>
            <w:r>
              <w:rPr>
                <w:rFonts w:hint="eastAsia" w:ascii="宋体" w:hAnsi="宋体" w:cs="宋体"/>
                <w:b/>
                <w:bCs/>
                <w:i/>
                <w:iCs/>
                <w:spacing w:val="-2"/>
                <w:szCs w:val="21"/>
                <w:highlight w:val="none"/>
                <w:u w:val="single"/>
              </w:rPr>
              <w:t xml:space="preserve">显示屏屏幕比例：</w:t>
            </w:r>
            <w:r>
              <w:rPr>
                <w:rFonts w:hint="eastAsia" w:ascii="宋体" w:hAnsi="宋体" w:cs="宋体"/>
                <w:b/>
                <w:bCs/>
                <w:i/>
                <w:iCs/>
                <w:spacing w:val="-1"/>
                <w:szCs w:val="21"/>
                <w:highlight w:val="none"/>
                <w:u w:val="single"/>
              </w:rPr>
              <w:t xml:space="preserve">16:9/3:2/21:9/16:10等；</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79.</w:t>
            </w:r>
            <w:r>
              <w:rPr>
                <w:rFonts w:hint="eastAsia" w:ascii="宋体" w:hAnsi="宋体" w:cs="宋体"/>
                <w:b/>
                <w:bCs/>
                <w:i/>
                <w:iCs/>
                <w:spacing w:val="-2"/>
                <w:szCs w:val="21"/>
                <w:highlight w:val="none"/>
                <w:u w:val="single"/>
              </w:rPr>
              <w:t xml:space="preserve">显示器外观颜色：</w:t>
            </w:r>
            <w:r>
              <w:rPr>
                <w:rFonts w:hint="eastAsia" w:ascii="宋体" w:hAnsi="宋体" w:cs="宋体"/>
                <w:b/>
                <w:bCs/>
                <w:i/>
                <w:iCs/>
                <w:spacing w:val="-1"/>
                <w:szCs w:val="21"/>
                <w:highlight w:val="none"/>
                <w:u w:val="single"/>
              </w:rPr>
              <w:t xml:space="preserve">黑色/白色/银色等商务色系；</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80.</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防蓝光：</w:t>
            </w:r>
            <w:r>
              <w:rPr>
                <w:rFonts w:hint="eastAsia" w:ascii="宋体" w:hAnsi="宋体" w:cs="宋体"/>
                <w:b/>
                <w:bCs/>
                <w:i/>
                <w:iCs/>
                <w:spacing w:val="-5"/>
                <w:szCs w:val="21"/>
                <w:highlight w:val="none"/>
                <w:u w:val="single"/>
              </w:rPr>
              <w:t xml:space="preserve">支持防蓝光模式，蓝光加权辐射亮度比</w:t>
            </w:r>
            <w:r>
              <w:rPr>
                <w:rFonts w:hint="eastAsia" w:ascii="宋体" w:hAnsi="宋体" w:cs="宋体"/>
                <w:b/>
                <w:bCs/>
                <w:i/>
                <w:iCs/>
                <w:spacing w:val="-10"/>
                <w:szCs w:val="21"/>
                <w:highlight w:val="none"/>
                <w:u w:val="single"/>
              </w:rPr>
              <w:t xml:space="preserve">应≤0.0012W/(·cd·sr)（瓦每坎特拉</w:t>
            </w:r>
            <w:r>
              <w:rPr>
                <w:rFonts w:hint="eastAsia" w:ascii="宋体" w:hAnsi="宋体" w:cs="宋体"/>
                <w:b/>
                <w:bCs/>
                <w:i/>
                <w:iCs/>
                <w:spacing w:val="-2"/>
                <w:szCs w:val="21"/>
                <w:highlight w:val="none"/>
                <w:u w:val="single"/>
              </w:rPr>
              <w:t xml:space="preserve">每球面度）；</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81.</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低频闪：</w:t>
            </w:r>
            <w:r>
              <w:rPr>
                <w:rFonts w:hint="eastAsia" w:ascii="宋体" w:hAnsi="宋体" w:cs="宋体"/>
                <w:b/>
                <w:bCs/>
                <w:i/>
                <w:iCs/>
                <w:spacing w:val="-1"/>
                <w:szCs w:val="21"/>
                <w:highlight w:val="none"/>
                <w:u w:val="single"/>
              </w:rPr>
              <w:t xml:space="preserve">显示屏应支持低频闪≤-35dB；</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82.</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防眩目：</w:t>
            </w:r>
            <w:r>
              <w:rPr>
                <w:rFonts w:hint="eastAsia" w:ascii="宋体" w:hAnsi="宋体" w:cs="宋体"/>
                <w:b/>
                <w:bCs/>
                <w:i/>
                <w:iCs/>
                <w:spacing w:val="-2"/>
                <w:szCs w:val="21"/>
                <w:highlight w:val="none"/>
                <w:u w:val="single"/>
              </w:rPr>
              <w:t xml:space="preserve">显示屏镜面反射率≤10%；</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83.</w:t>
            </w:r>
            <w:r>
              <w:rPr>
                <w:rFonts w:hint="eastAsia" w:ascii="宋体" w:hAnsi="宋体" w:cs="宋体"/>
                <w:b/>
                <w:bCs/>
                <w:i/>
                <w:iCs/>
                <w:spacing w:val="-2"/>
                <w:szCs w:val="21"/>
                <w:highlight w:val="none"/>
                <w:u w:val="single"/>
              </w:rPr>
              <w:t xml:space="preserve">鼠标数</w:t>
            </w:r>
            <w:r>
              <w:rPr>
                <w:rFonts w:hint="eastAsia" w:ascii="宋体" w:hAnsi="宋体" w:cs="宋体"/>
                <w:b/>
                <w:bCs/>
                <w:i/>
                <w:iCs/>
                <w:szCs w:val="21"/>
                <w:highlight w:val="none"/>
                <w:u w:val="single"/>
              </w:rPr>
              <w:t xml:space="preserve">量：</w:t>
            </w:r>
            <w:r>
              <w:rPr>
                <w:rFonts w:hint="eastAsia" w:ascii="宋体" w:hAnsi="宋体" w:cs="宋体"/>
                <w:b/>
                <w:bCs/>
                <w:i/>
                <w:iCs/>
                <w:spacing w:val="6"/>
                <w:szCs w:val="21"/>
                <w:highlight w:val="none"/>
                <w:u w:val="single"/>
              </w:rPr>
              <w:t xml:space="preserve">≥1个；</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84.</w:t>
            </w:r>
            <w:r>
              <w:rPr>
                <w:rFonts w:hint="eastAsia" w:ascii="宋体" w:hAnsi="宋体" w:cs="宋体"/>
                <w:b/>
                <w:bCs/>
                <w:i/>
                <w:iCs/>
                <w:spacing w:val="-2"/>
                <w:szCs w:val="21"/>
                <w:highlight w:val="none"/>
                <w:u w:val="single"/>
              </w:rPr>
              <w:t xml:space="preserve">键盘数</w:t>
            </w:r>
            <w:r>
              <w:rPr>
                <w:rFonts w:hint="eastAsia" w:ascii="宋体" w:hAnsi="宋体" w:cs="宋体"/>
                <w:b/>
                <w:bCs/>
                <w:i/>
                <w:iCs/>
                <w:szCs w:val="21"/>
                <w:highlight w:val="none"/>
                <w:u w:val="single"/>
              </w:rPr>
              <w:t xml:space="preserve">量：</w:t>
            </w:r>
            <w:r>
              <w:rPr>
                <w:rFonts w:hint="eastAsia" w:ascii="宋体" w:hAnsi="宋体" w:cs="宋体"/>
                <w:b/>
                <w:bCs/>
                <w:i/>
                <w:iCs/>
                <w:spacing w:val="6"/>
                <w:szCs w:val="21"/>
                <w:highlight w:val="none"/>
                <w:u w:val="single"/>
              </w:rPr>
              <w:t xml:space="preserve">≥1个；</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85.</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4"/>
                <w:szCs w:val="21"/>
                <w:highlight w:val="none"/>
                <w:u w:val="single"/>
              </w:rPr>
              <w:t xml:space="preserve">数量：</w:t>
            </w:r>
            <w:r>
              <w:rPr>
                <w:rFonts w:hint="eastAsia" w:ascii="宋体" w:hAnsi="宋体" w:cs="宋体"/>
                <w:szCs w:val="21"/>
                <w:highlight w:val="none"/>
                <w:u w:val="single"/>
              </w:rPr>
              <w:t xml:space="preserve">≥1个</w:t>
            </w:r>
            <w:r>
              <w:rPr>
                <w:rFonts w:hint="eastAsia" w:ascii="宋体" w:hAnsi="宋体" w:cs="宋体"/>
                <w:b/>
                <w:bCs/>
                <w:i/>
                <w:iCs/>
                <w:spacing w:val="6"/>
                <w:szCs w:val="21"/>
                <w:highlight w:val="none"/>
                <w:u w:val="single"/>
              </w:rPr>
              <w:t xml:space="preserve">；</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86.</w:t>
            </w:r>
            <w:r>
              <w:rPr>
                <w:rFonts w:hint="eastAsia" w:ascii="宋体" w:hAnsi="宋体" w:cs="宋体"/>
                <w:b/>
                <w:bCs/>
                <w:i/>
                <w:iCs/>
                <w:spacing w:val="-2"/>
                <w:szCs w:val="21"/>
                <w:highlight w:val="none"/>
                <w:u w:val="single"/>
              </w:rPr>
              <w:t xml:space="preserve">键盘按键数目：</w:t>
            </w:r>
            <w:r>
              <w:rPr>
                <w:rFonts w:hint="eastAsia" w:ascii="宋体" w:hAnsi="宋体" w:cs="宋体"/>
                <w:b/>
                <w:bCs/>
                <w:i/>
                <w:iCs/>
                <w:spacing w:val="-3"/>
                <w:szCs w:val="21"/>
                <w:highlight w:val="none"/>
                <w:u w:val="single"/>
              </w:rPr>
              <w:t xml:space="preserve">61键/86键/101键/104键等；</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87.</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3"/>
                <w:szCs w:val="21"/>
                <w:highlight w:val="none"/>
                <w:u w:val="single"/>
              </w:rPr>
              <w:t xml:space="preserve">像素：</w:t>
            </w:r>
            <w:r>
              <w:rPr>
                <w:rFonts w:hint="eastAsia" w:ascii="宋体" w:hAnsi="宋体" w:cs="宋体"/>
                <w:b/>
                <w:bCs/>
                <w:i/>
                <w:iCs/>
                <w:spacing w:val="-7"/>
                <w:szCs w:val="21"/>
                <w:highlight w:val="none"/>
                <w:u w:val="single"/>
              </w:rPr>
              <w:t xml:space="preserve">≥50万；</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88.</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4"/>
                <w:szCs w:val="21"/>
                <w:highlight w:val="none"/>
                <w:u w:val="single"/>
              </w:rPr>
              <w:t xml:space="preserve">分辨率：≥800×600；</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89.</w:t>
            </w:r>
            <w:r>
              <w:rPr>
                <w:rFonts w:hint="eastAsia" w:ascii="宋体" w:hAnsi="宋体" w:cs="宋体"/>
                <w:b/>
                <w:bCs/>
                <w:i/>
                <w:iCs/>
                <w:spacing w:val="-2"/>
                <w:szCs w:val="21"/>
                <w:highlight w:val="none"/>
                <w:u w:val="single"/>
              </w:rPr>
              <w:t xml:space="preserve">扬声器</w:t>
            </w:r>
            <w:r>
              <w:rPr>
                <w:rFonts w:hint="eastAsia" w:ascii="宋体" w:hAnsi="宋体" w:cs="宋体"/>
                <w:b/>
                <w:bCs/>
                <w:i/>
                <w:iCs/>
                <w:spacing w:val="-5"/>
                <w:szCs w:val="21"/>
                <w:highlight w:val="none"/>
                <w:u w:val="single"/>
              </w:rPr>
              <w:t xml:space="preserve">功率：</w:t>
            </w:r>
            <w:r>
              <w:rPr>
                <w:rFonts w:hint="eastAsia" w:ascii="宋体" w:hAnsi="宋体" w:cs="宋体"/>
                <w:b/>
                <w:bCs/>
                <w:i/>
                <w:iCs/>
                <w:spacing w:val="-8"/>
                <w:szCs w:val="21"/>
                <w:highlight w:val="none"/>
                <w:u w:val="single"/>
              </w:rPr>
              <w:t xml:space="preserve">≥1瓦/个；</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90.</w:t>
            </w:r>
            <w:r>
              <w:rPr>
                <w:rFonts w:hint="eastAsia" w:ascii="宋体" w:hAnsi="宋体" w:cs="宋体"/>
                <w:b/>
                <w:bCs/>
                <w:i/>
                <w:iCs/>
                <w:spacing w:val="-2"/>
                <w:szCs w:val="21"/>
                <w:highlight w:val="none"/>
                <w:u w:val="single"/>
              </w:rPr>
              <w:t xml:space="preserve">扬声器频率范围：</w:t>
            </w:r>
            <w:r>
              <w:rPr>
                <w:rFonts w:hint="eastAsia" w:ascii="宋体" w:hAnsi="宋体" w:cs="宋体"/>
                <w:b/>
                <w:bCs/>
                <w:i/>
                <w:iCs/>
                <w:spacing w:val="-1"/>
                <w:szCs w:val="21"/>
                <w:highlight w:val="none"/>
                <w:u w:val="single"/>
              </w:rPr>
              <w:t xml:space="preserve">不低于（100Hz-8kHz）范围。</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91.</w:t>
            </w:r>
            <w:r>
              <w:rPr>
                <w:rFonts w:hint="eastAsia" w:ascii="宋体" w:hAnsi="宋体" w:cs="宋体"/>
                <w:b/>
                <w:bCs/>
                <w:i/>
                <w:iCs/>
                <w:spacing w:val="-2"/>
                <w:szCs w:val="21"/>
                <w:highlight w:val="none"/>
                <w:u w:val="single"/>
              </w:rPr>
              <w:t xml:space="preserve">键盘连</w:t>
            </w:r>
            <w:r>
              <w:rPr>
                <w:rFonts w:hint="eastAsia" w:ascii="宋体" w:hAnsi="宋体" w:cs="宋体"/>
                <w:b/>
                <w:bCs/>
                <w:i/>
                <w:iCs/>
                <w:spacing w:val="-3"/>
                <w:szCs w:val="21"/>
                <w:highlight w:val="none"/>
                <w:u w:val="single"/>
              </w:rPr>
              <w:t xml:space="preserve">接方式：</w:t>
            </w:r>
            <w:r>
              <w:rPr>
                <w:rFonts w:hint="eastAsia" w:ascii="宋体" w:hAnsi="宋体" w:cs="宋体"/>
                <w:b/>
                <w:bCs/>
                <w:i/>
                <w:iCs/>
                <w:spacing w:val="-2"/>
                <w:szCs w:val="21"/>
                <w:highlight w:val="none"/>
                <w:u w:val="single"/>
              </w:rPr>
              <w:t xml:space="preserve">有线或无线；</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92.</w:t>
            </w:r>
            <w:r>
              <w:rPr>
                <w:rFonts w:hint="eastAsia" w:ascii="宋体" w:hAnsi="宋体" w:cs="宋体"/>
                <w:b/>
                <w:bCs/>
                <w:i/>
                <w:iCs/>
                <w:spacing w:val="-2"/>
                <w:szCs w:val="21"/>
                <w:highlight w:val="none"/>
                <w:u w:val="single"/>
              </w:rPr>
              <w:t xml:space="preserve">键盘键</w:t>
            </w:r>
            <w:r>
              <w:rPr>
                <w:rFonts w:hint="eastAsia" w:ascii="宋体" w:hAnsi="宋体" w:cs="宋体"/>
                <w:b/>
                <w:bCs/>
                <w:i/>
                <w:iCs/>
                <w:szCs w:val="21"/>
                <w:highlight w:val="none"/>
                <w:u w:val="single"/>
              </w:rPr>
              <w:t xml:space="preserve">程：</w:t>
            </w:r>
            <w:r>
              <w:rPr>
                <w:rFonts w:hint="eastAsia" w:ascii="宋体" w:hAnsi="宋体" w:cs="宋体"/>
                <w:b/>
                <w:bCs/>
                <w:i/>
                <w:iCs/>
                <w:spacing w:val="-2"/>
                <w:szCs w:val="21"/>
                <w:highlight w:val="none"/>
                <w:u w:val="single"/>
              </w:rPr>
              <w:t xml:space="preserve">2.3mm~4.0mm；</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93.</w:t>
            </w:r>
            <w:r>
              <w:rPr>
                <w:rFonts w:hint="eastAsia" w:ascii="宋体" w:hAnsi="宋体" w:cs="宋体"/>
                <w:b/>
                <w:bCs/>
                <w:i/>
                <w:iCs/>
                <w:spacing w:val="-2"/>
                <w:szCs w:val="21"/>
                <w:highlight w:val="none"/>
                <w:u w:val="single"/>
              </w:rPr>
              <w:t xml:space="preserve">键盘按键压力：</w:t>
            </w:r>
            <w:r>
              <w:rPr>
                <w:rFonts w:hint="eastAsia" w:ascii="宋体" w:hAnsi="宋体" w:cs="宋体"/>
                <w:b/>
                <w:bCs/>
                <w:i/>
                <w:iCs/>
                <w:spacing w:val="-1"/>
                <w:szCs w:val="21"/>
                <w:highlight w:val="none"/>
                <w:u w:val="single"/>
              </w:rPr>
              <w:t xml:space="preserve">按键压力应在0.54N±0.14N；</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94.</w:t>
            </w:r>
            <w:r>
              <w:rPr>
                <w:rFonts w:hint="eastAsia" w:ascii="宋体" w:hAnsi="宋体" w:cs="宋体"/>
                <w:b/>
                <w:bCs/>
                <w:i/>
                <w:iCs/>
                <w:spacing w:val="-2"/>
                <w:szCs w:val="21"/>
                <w:highlight w:val="none"/>
                <w:u w:val="single"/>
              </w:rPr>
              <w:t xml:space="preserve">有线键盘连接线：</w:t>
            </w:r>
            <w:r>
              <w:rPr>
                <w:rFonts w:hint="eastAsia" w:ascii="宋体" w:hAnsi="宋体" w:cs="宋体"/>
                <w:b/>
                <w:bCs/>
                <w:i/>
                <w:iCs/>
                <w:spacing w:val="-6"/>
                <w:szCs w:val="21"/>
                <w:highlight w:val="none"/>
                <w:u w:val="single"/>
              </w:rPr>
              <w:t xml:space="preserve">≥1.5米；</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95.</w:t>
            </w:r>
            <w:r>
              <w:rPr>
                <w:rFonts w:hint="eastAsia" w:ascii="宋体" w:hAnsi="宋体" w:cs="宋体"/>
                <w:b/>
                <w:bCs/>
                <w:i/>
                <w:iCs/>
                <w:spacing w:val="-2"/>
                <w:szCs w:val="21"/>
                <w:highlight w:val="none"/>
                <w:u w:val="single"/>
              </w:rPr>
              <w:t xml:space="preserve">键盘颜</w:t>
            </w:r>
            <w:r>
              <w:rPr>
                <w:rFonts w:hint="eastAsia" w:ascii="宋体" w:hAnsi="宋体" w:cs="宋体"/>
                <w:b/>
                <w:bCs/>
                <w:i/>
                <w:iCs/>
                <w:szCs w:val="21"/>
                <w:highlight w:val="none"/>
                <w:u w:val="single"/>
              </w:rPr>
              <w:t xml:space="preserve">色：</w:t>
            </w:r>
            <w:r>
              <w:rPr>
                <w:rFonts w:hint="eastAsia" w:ascii="宋体" w:hAnsi="宋体" w:cs="宋体"/>
                <w:b/>
                <w:bCs/>
                <w:i/>
                <w:iCs/>
                <w:spacing w:val="-1"/>
                <w:szCs w:val="21"/>
                <w:highlight w:val="none"/>
                <w:u w:val="single"/>
              </w:rPr>
              <w:t xml:space="preserve">黑色/白色/银色等商务色系；</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96.</w:t>
            </w:r>
            <w:r>
              <w:rPr>
                <w:rFonts w:hint="eastAsia" w:ascii="宋体" w:hAnsi="宋体" w:cs="宋体"/>
                <w:b/>
                <w:bCs/>
                <w:i/>
                <w:iCs/>
                <w:spacing w:val="-2"/>
                <w:szCs w:val="21"/>
                <w:highlight w:val="none"/>
                <w:u w:val="single"/>
              </w:rPr>
              <w:t xml:space="preserve">键盘其</w:t>
            </w:r>
            <w:r>
              <w:rPr>
                <w:rFonts w:hint="eastAsia" w:ascii="宋体" w:hAnsi="宋体" w:cs="宋体"/>
                <w:b/>
                <w:bCs/>
                <w:i/>
                <w:iCs/>
                <w:spacing w:val="-3"/>
                <w:szCs w:val="21"/>
                <w:highlight w:val="none"/>
                <w:u w:val="single"/>
              </w:rPr>
              <w:t xml:space="preserve">他要求：键盘外观结构、连接方式、主要功能、</w:t>
            </w:r>
            <w:r>
              <w:rPr>
                <w:rFonts w:hint="eastAsia" w:ascii="宋体" w:hAnsi="宋体" w:cs="宋体"/>
                <w:b/>
                <w:bCs/>
                <w:i/>
                <w:iCs/>
                <w:spacing w:val="-5"/>
                <w:szCs w:val="21"/>
                <w:highlight w:val="none"/>
                <w:u w:val="single"/>
              </w:rPr>
              <w:t xml:space="preserve">安全、电磁兼容性、可靠性应符合GB/T</w:t>
            </w:r>
            <w:r>
              <w:rPr>
                <w:rFonts w:hint="eastAsia" w:ascii="宋体" w:hAnsi="宋体" w:cs="宋体"/>
                <w:b/>
                <w:bCs/>
                <w:i/>
                <w:iCs/>
                <w:spacing w:val="-4"/>
                <w:szCs w:val="21"/>
                <w:highlight w:val="none"/>
                <w:u w:val="single"/>
              </w:rPr>
              <w:t xml:space="preserve">14081的相关规定；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97.</w:t>
            </w:r>
            <w:r>
              <w:rPr>
                <w:rFonts w:hint="eastAsia" w:ascii="宋体" w:hAnsi="宋体" w:cs="宋体"/>
                <w:b/>
                <w:bCs/>
                <w:i/>
                <w:iCs/>
                <w:spacing w:val="-2"/>
                <w:szCs w:val="21"/>
                <w:highlight w:val="none"/>
                <w:u w:val="single"/>
              </w:rPr>
              <w:t xml:space="preserve">鼠标连</w:t>
            </w:r>
            <w:r>
              <w:rPr>
                <w:rFonts w:hint="eastAsia" w:ascii="宋体" w:hAnsi="宋体" w:cs="宋体"/>
                <w:b/>
                <w:bCs/>
                <w:i/>
                <w:iCs/>
                <w:spacing w:val="-3"/>
                <w:szCs w:val="21"/>
                <w:highlight w:val="none"/>
                <w:u w:val="single"/>
              </w:rPr>
              <w:t xml:space="preserve">接方式：</w:t>
            </w:r>
            <w:r>
              <w:rPr>
                <w:rFonts w:hint="eastAsia" w:ascii="宋体" w:hAnsi="宋体" w:cs="宋体"/>
                <w:b/>
                <w:bCs/>
                <w:i/>
                <w:iCs/>
                <w:spacing w:val="-2"/>
                <w:szCs w:val="21"/>
                <w:highlight w:val="none"/>
                <w:u w:val="single"/>
              </w:rPr>
              <w:t xml:space="preserve">有线或无线；</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98.</w:t>
            </w:r>
            <w:r>
              <w:rPr>
                <w:rFonts w:hint="eastAsia" w:ascii="宋体" w:hAnsi="宋体" w:cs="宋体"/>
                <w:b/>
                <w:bCs/>
                <w:i/>
                <w:iCs/>
                <w:spacing w:val="-3"/>
                <w:szCs w:val="21"/>
                <w:highlight w:val="none"/>
                <w:u w:val="single"/>
              </w:rPr>
              <w:t xml:space="preserve">鼠标DPI分辨率：</w:t>
            </w:r>
            <w:r>
              <w:rPr>
                <w:rFonts w:hint="eastAsia" w:ascii="宋体" w:hAnsi="宋体" w:cs="宋体"/>
                <w:b/>
                <w:bCs/>
                <w:i/>
                <w:iCs/>
                <w:spacing w:val="-1"/>
                <w:szCs w:val="21"/>
                <w:highlight w:val="none"/>
                <w:u w:val="single"/>
              </w:rPr>
              <w:t xml:space="preserve">800~1600；</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99.</w:t>
            </w:r>
            <w:r>
              <w:rPr>
                <w:rFonts w:hint="eastAsia" w:ascii="宋体" w:hAnsi="宋体" w:cs="宋体"/>
                <w:b/>
                <w:bCs/>
                <w:i/>
                <w:iCs/>
                <w:spacing w:val="-2"/>
                <w:szCs w:val="21"/>
                <w:highlight w:val="none"/>
                <w:u w:val="single"/>
              </w:rPr>
              <w:t xml:space="preserve">鼠标其</w:t>
            </w:r>
            <w:r>
              <w:rPr>
                <w:rFonts w:hint="eastAsia" w:ascii="宋体" w:hAnsi="宋体" w:cs="宋体"/>
                <w:b/>
                <w:bCs/>
                <w:i/>
                <w:iCs/>
                <w:spacing w:val="-3"/>
                <w:szCs w:val="21"/>
                <w:highlight w:val="none"/>
                <w:u w:val="single"/>
              </w:rPr>
              <w:t xml:space="preserve">他要求：</w:t>
            </w:r>
            <w:r>
              <w:rPr>
                <w:rFonts w:hint="eastAsia" w:ascii="宋体" w:hAnsi="宋体" w:cs="宋体"/>
                <w:b/>
                <w:bCs/>
                <w:i/>
                <w:iCs/>
                <w:szCs w:val="21"/>
                <w:highlight w:val="none"/>
                <w:u w:val="single"/>
              </w:rPr>
              <w:t xml:space="preserve">其它参数应符合GB/T26245的相关规定；</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100.</w:t>
            </w:r>
            <w:r>
              <w:rPr>
                <w:rFonts w:hint="eastAsia" w:ascii="宋体" w:hAnsi="宋体" w:cs="宋体"/>
                <w:b/>
                <w:bCs/>
                <w:i/>
                <w:iCs/>
                <w:spacing w:val="-2"/>
                <w:szCs w:val="21"/>
                <w:highlight w:val="none"/>
                <w:u w:val="single"/>
              </w:rPr>
              <w:t xml:space="preserve">有线网</w:t>
            </w:r>
            <w:r>
              <w:rPr>
                <w:rFonts w:hint="eastAsia" w:ascii="宋体" w:hAnsi="宋体" w:cs="宋体"/>
                <w:b/>
                <w:bCs/>
                <w:i/>
                <w:iCs/>
                <w:spacing w:val="-3"/>
                <w:szCs w:val="21"/>
                <w:highlight w:val="none"/>
                <w:u w:val="single"/>
              </w:rPr>
              <w:t xml:space="preserve">卡数量：</w:t>
            </w:r>
            <w:r>
              <w:rPr>
                <w:rFonts w:hint="eastAsia" w:ascii="宋体" w:hAnsi="宋体" w:cs="宋体"/>
                <w:b/>
                <w:bCs/>
                <w:i/>
                <w:iCs/>
                <w:spacing w:val="-13"/>
                <w:szCs w:val="21"/>
                <w:highlight w:val="none"/>
                <w:u w:val="single"/>
              </w:rPr>
              <w:t xml:space="preserve">≥1；</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101.</w:t>
            </w:r>
            <w:r>
              <w:rPr>
                <w:rFonts w:hint="eastAsia" w:ascii="宋体" w:hAnsi="宋体" w:cs="宋体"/>
                <w:b/>
                <w:bCs/>
                <w:i/>
                <w:iCs/>
                <w:spacing w:val="-3"/>
                <w:szCs w:val="21"/>
                <w:highlight w:val="none"/>
                <w:u w:val="single"/>
              </w:rPr>
              <w:t xml:space="preserve">USB接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6"/>
                <w:szCs w:val="21"/>
                <w:highlight w:val="none"/>
                <w:u w:val="single"/>
              </w:rPr>
              <w:t xml:space="preserve">≥8，机箱前板至少包括2个USB3.0及</w:t>
            </w:r>
            <w:r>
              <w:rPr>
                <w:rFonts w:hint="eastAsia" w:ascii="宋体" w:hAnsi="宋体" w:cs="宋体"/>
                <w:b/>
                <w:bCs/>
                <w:i/>
                <w:iCs/>
                <w:spacing w:val="-5"/>
                <w:szCs w:val="21"/>
                <w:highlight w:val="none"/>
                <w:u w:val="single"/>
              </w:rPr>
              <w:t xml:space="preserve">以上接口；</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102.</w:t>
            </w:r>
            <w:r>
              <w:rPr>
                <w:rFonts w:hint="eastAsia" w:ascii="宋体" w:hAnsi="宋体" w:cs="宋体"/>
                <w:b/>
                <w:bCs/>
                <w:i/>
                <w:iCs/>
                <w:spacing w:val="-2"/>
                <w:szCs w:val="21"/>
                <w:highlight w:val="none"/>
                <w:u w:val="single"/>
              </w:rPr>
              <w:t xml:space="preserve">视频接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13"/>
                <w:szCs w:val="21"/>
                <w:highlight w:val="none"/>
                <w:u w:val="single"/>
              </w:rPr>
              <w:t xml:space="preserve">≥1；</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103.</w:t>
            </w:r>
            <w:r>
              <w:rPr>
                <w:rFonts w:hint="eastAsia" w:ascii="宋体" w:hAnsi="宋体" w:cs="宋体"/>
                <w:b/>
                <w:bCs/>
                <w:i/>
                <w:iCs/>
                <w:spacing w:val="-2"/>
                <w:szCs w:val="21"/>
                <w:highlight w:val="none"/>
                <w:u w:val="single"/>
              </w:rPr>
              <w:t xml:space="preserve">音频接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13"/>
                <w:szCs w:val="21"/>
                <w:highlight w:val="none"/>
                <w:u w:val="single"/>
              </w:rPr>
              <w:t xml:space="preserve">≥1；</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104.</w:t>
            </w:r>
            <w:r>
              <w:rPr>
                <w:rFonts w:hint="eastAsia" w:ascii="宋体" w:hAnsi="宋体" w:cs="宋体"/>
                <w:b/>
                <w:bCs/>
                <w:i/>
                <w:iCs/>
                <w:spacing w:val="-2"/>
                <w:szCs w:val="21"/>
                <w:highlight w:val="none"/>
                <w:u w:val="single"/>
              </w:rPr>
              <w:t xml:space="preserve">整机外</w:t>
            </w:r>
            <w:r>
              <w:rPr>
                <w:rFonts w:hint="eastAsia" w:ascii="宋体" w:hAnsi="宋体" w:cs="宋体"/>
                <w:b/>
                <w:bCs/>
                <w:i/>
                <w:iCs/>
                <w:szCs w:val="21"/>
                <w:highlight w:val="none"/>
                <w:u w:val="single"/>
              </w:rPr>
              <w:t xml:space="preserve">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105.</w:t>
            </w:r>
            <w:r>
              <w:rPr>
                <w:rFonts w:hint="eastAsia" w:ascii="宋体" w:hAnsi="宋体" w:cs="宋体"/>
                <w:b/>
                <w:bCs/>
                <w:i/>
                <w:iCs/>
                <w:spacing w:val="-2"/>
                <w:szCs w:val="21"/>
                <w:highlight w:val="none"/>
                <w:u w:val="single"/>
              </w:rPr>
              <w:t xml:space="preserve">整机结</w:t>
            </w:r>
            <w:r>
              <w:rPr>
                <w:rFonts w:hint="eastAsia" w:ascii="宋体" w:hAnsi="宋体" w:cs="宋体"/>
                <w:b/>
                <w:bCs/>
                <w:i/>
                <w:iCs/>
                <w:szCs w:val="21"/>
                <w:highlight w:val="none"/>
                <w:u w:val="single"/>
              </w:rPr>
              <w:t xml:space="preserve">构：a)机箱应符合GB/T4208、GB/T26246的相关规定；b)产品内部结构应符合通用部件的安装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w:t>
            </w:r>
            <w:r>
              <w:rPr>
                <w:rFonts w:hint="eastAsia" w:ascii="宋体" w:hAnsi="宋体" w:cs="宋体"/>
                <w:b/>
                <w:bCs/>
                <w:i/>
                <w:iCs/>
                <w:szCs w:val="21"/>
                <w:highlight w:val="none"/>
                <w:u w:val="single"/>
              </w:rPr>
              <w:t xml:space="preserve">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106.</w:t>
            </w:r>
            <w:r>
              <w:rPr>
                <w:rFonts w:hint="eastAsia" w:ascii="宋体" w:hAnsi="宋体" w:cs="宋体"/>
                <w:b/>
                <w:bCs/>
                <w:i/>
                <w:iCs/>
                <w:spacing w:val="-2"/>
                <w:szCs w:val="21"/>
                <w:highlight w:val="none"/>
                <w:u w:val="single"/>
              </w:rPr>
              <w:t xml:space="preserve">机箱防</w:t>
            </w:r>
            <w:r>
              <w:rPr>
                <w:rFonts w:hint="eastAsia" w:ascii="宋体" w:hAnsi="宋体" w:cs="宋体"/>
                <w:b/>
                <w:bCs/>
                <w:i/>
                <w:iCs/>
                <w:spacing w:val="-3"/>
                <w:szCs w:val="21"/>
                <w:highlight w:val="none"/>
                <w:u w:val="single"/>
              </w:rPr>
              <w:t xml:space="preserve">护要求：</w:t>
            </w:r>
            <w:r>
              <w:rPr>
                <w:rFonts w:hint="eastAsia" w:ascii="宋体" w:hAnsi="宋体" w:cs="宋体"/>
                <w:b/>
                <w:bCs/>
                <w:i/>
                <w:iCs/>
                <w:spacing w:val="-5"/>
                <w:szCs w:val="21"/>
                <w:highlight w:val="none"/>
                <w:u w:val="single"/>
              </w:rPr>
              <w:t xml:space="preserve">机箱应符合GB/T4208中IP20防护要</w:t>
            </w:r>
            <w:r>
              <w:rPr>
                <w:rFonts w:hint="eastAsia" w:ascii="宋体" w:hAnsi="宋体" w:cs="宋体"/>
                <w:b/>
                <w:bCs/>
                <w:i/>
                <w:iCs/>
                <w:szCs w:val="21"/>
                <w:highlight w:val="none"/>
                <w:u w:val="single"/>
              </w:rPr>
              <w:t xml:space="preserve">求；</w:t>
            </w:r>
            <w:r>
              <w:rPr>
                <w:highlight w:val="none"/>
              </w:rPr>
            </w:r>
            <w:r/>
          </w:p>
          <w:p>
            <w:pPr>
              <w:pStyle w:val="872"/>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107.</w:t>
            </w:r>
            <w:r>
              <w:rPr>
                <w:rFonts w:hint="eastAsia" w:ascii="宋体" w:hAnsi="宋体" w:cs="宋体"/>
                <w:b/>
                <w:bCs/>
                <w:i/>
                <w:iCs/>
                <w:spacing w:val="-2"/>
                <w:szCs w:val="21"/>
                <w:highlight w:val="none"/>
                <w:u w:val="single"/>
              </w:rPr>
              <w:t xml:space="preserve">整机噪</w:t>
            </w:r>
            <w:r>
              <w:rPr>
                <w:rFonts w:hint="eastAsia" w:ascii="宋体" w:hAnsi="宋体" w:cs="宋体"/>
                <w:b/>
                <w:bCs/>
                <w:i/>
                <w:iCs/>
                <w:szCs w:val="21"/>
                <w:highlight w:val="none"/>
                <w:u w:val="single"/>
              </w:rPr>
              <w:t xml:space="preserve">音：</w:t>
            </w:r>
            <w:r>
              <w:rPr>
                <w:rFonts w:hint="eastAsia" w:ascii="宋体" w:hAnsi="宋体" w:cs="宋体"/>
                <w:b/>
                <w:bCs/>
                <w:i/>
                <w:iCs/>
                <w:spacing w:val="-4"/>
                <w:szCs w:val="21"/>
                <w:highlight w:val="none"/>
                <w:u w:val="single"/>
              </w:rPr>
              <w:t xml:space="preserve">产品工作在空闲状态下，产品的声功率</w:t>
            </w:r>
            <w:r>
              <w:rPr>
                <w:rFonts w:hint="eastAsia" w:ascii="宋体" w:hAnsi="宋体" w:cs="宋体"/>
                <w:b/>
                <w:bCs/>
                <w:i/>
                <w:iCs/>
                <w:spacing w:val="-1"/>
                <w:szCs w:val="21"/>
                <w:highlight w:val="none"/>
                <w:u w:val="single"/>
              </w:rPr>
              <w:t xml:space="preserve">级应不超过4.5Bel；</w:t>
            </w:r>
            <w:r>
              <w:rPr>
                <w:highlight w:val="none"/>
              </w:rPr>
            </w:r>
            <w:r/>
          </w:p>
          <w:p>
            <w:pPr>
              <w:pStyle w:val="872"/>
              <w:jc w:val="left"/>
              <w:rPr>
                <w:rFonts w:hint="eastAsia" w:ascii="宋体" w:hAnsi="宋体" w:cs="宋体"/>
                <w:b/>
                <w:bCs/>
                <w:i/>
                <w:iCs/>
                <w:szCs w:val="21"/>
                <w:highlight w:val="none"/>
                <w:u w:val="single"/>
              </w:rPr>
            </w:pPr>
            <w:r>
              <w:rPr>
                <w:rFonts w:hint="eastAsia" w:ascii="宋体" w:hAnsi="宋体" w:cs="宋体"/>
                <w:b/>
                <w:bCs/>
                <w:i/>
                <w:iCs/>
                <w:szCs w:val="21"/>
                <w:highlight w:val="none"/>
              </w:rPr>
              <w:t xml:space="preserve">108.</w:t>
            </w:r>
            <w:r>
              <w:rPr>
                <w:rFonts w:hint="eastAsia" w:ascii="宋体" w:hAnsi="宋体" w:cs="宋体"/>
                <w:b/>
                <w:bCs/>
                <w:i/>
                <w:iCs/>
                <w:spacing w:val="-2"/>
                <w:szCs w:val="21"/>
                <w:highlight w:val="none"/>
                <w:u w:val="single"/>
              </w:rPr>
              <w:t xml:space="preserve">整机散</w:t>
            </w:r>
            <w:r>
              <w:rPr>
                <w:rFonts w:hint="eastAsia" w:ascii="宋体" w:hAnsi="宋体" w:cs="宋体"/>
                <w:b/>
                <w:bCs/>
                <w:i/>
                <w:iCs/>
                <w:szCs w:val="21"/>
                <w:highlight w:val="none"/>
                <w:u w:val="single"/>
              </w:rPr>
              <w:t xml:space="preserve">热：在环境温度25℃及处理器满载情况下，产品表面温度应符合下列要求：</w:t>
            </w:r>
            <w:r>
              <w:rPr>
                <w:highlight w:val="none"/>
              </w:rPr>
            </w:r>
            <w:r/>
          </w:p>
          <w:p>
            <w:pPr>
              <w:pStyle w:val="872"/>
              <w:numPr>
                <w:ilvl w:val="0"/>
                <w:numId w:val="1"/>
              </w:numPr>
              <w:jc w:val="left"/>
              <w:tabs>
                <w:tab w:val="left" w:pos="1391" w:leader="none"/>
              </w:tabs>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出风口在机箱后面板情况下，出风口温度不高于55℃;b)可触及面温度小于45℃;c)显示器表面温度：显示屏温度不高于38℃,显示屏上下灯带位置温度（如涉及）不高于40℃,出风口温度不高于45℃；</w:t>
            </w:r>
            <w:r>
              <w:rPr>
                <w:highlight w:val="none"/>
              </w:rPr>
            </w:r>
            <w:r/>
          </w:p>
          <w:p>
            <w:pPr>
              <w:pStyle w:val="872"/>
              <w:jc w:val="left"/>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2"/>
                <w:szCs w:val="21"/>
                <w:highlight w:val="none"/>
                <w:u w:val="single"/>
              </w:rPr>
              <w:t xml:space="preserve">53.整机能效限定值：产品能效限定值应达到GB28380-2012标准中能效等级2级及以上；</w:t>
            </w:r>
            <w:r>
              <w:rPr>
                <w:highlight w:val="none"/>
              </w:rPr>
            </w:r>
            <w:r/>
          </w:p>
          <w:p>
            <w:pPr>
              <w:pStyle w:val="872"/>
              <w:jc w:val="left"/>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2"/>
                <w:szCs w:val="21"/>
                <w:highlight w:val="none"/>
                <w:u w:val="single"/>
              </w:rPr>
              <w:t xml:space="preserve">54.机身颜</w:t>
            </w:r>
            <w:r>
              <w:rPr>
                <w:rFonts w:hint="eastAsia" w:ascii="宋体" w:hAnsi="宋体" w:cs="宋体"/>
                <w:b/>
                <w:bCs/>
                <w:i/>
                <w:iCs/>
                <w:szCs w:val="21"/>
                <w:highlight w:val="none"/>
                <w:u w:val="single"/>
              </w:rPr>
              <w:t xml:space="preserve">色：</w:t>
            </w:r>
            <w:r>
              <w:rPr>
                <w:rFonts w:hint="eastAsia" w:ascii="宋体" w:hAnsi="宋体" w:cs="宋体"/>
                <w:b/>
                <w:bCs/>
                <w:i/>
                <w:iCs/>
                <w:spacing w:val="-1"/>
                <w:szCs w:val="21"/>
                <w:highlight w:val="none"/>
                <w:u w:val="single"/>
              </w:rPr>
              <w:t xml:space="preserve">一般选用灰色/黑色等商务色系；</w:t>
            </w:r>
            <w:r>
              <w:rPr>
                <w:highlight w:val="none"/>
              </w:rPr>
            </w:r>
            <w:r/>
          </w:p>
          <w:p>
            <w:pPr>
              <w:pStyle w:val="872"/>
              <w:jc w:val="left"/>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1"/>
                <w:szCs w:val="21"/>
                <w:highlight w:val="none"/>
                <w:u w:val="single"/>
              </w:rPr>
              <w:t xml:space="preserve">55.机箱尺寸容量：机箱体积应不大于40L；</w:t>
            </w:r>
            <w:r>
              <w:rPr>
                <w:highlight w:val="none"/>
              </w:rPr>
            </w:r>
            <w:r/>
          </w:p>
          <w:p>
            <w:pPr>
              <w:pStyle w:val="872"/>
              <w:jc w:val="left"/>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1"/>
                <w:szCs w:val="21"/>
                <w:highlight w:val="none"/>
                <w:u w:val="single"/>
              </w:rPr>
              <w:t xml:space="preserve">56.CPU物理核数：核数或线程数≥8；</w:t>
            </w:r>
            <w:r>
              <w:rPr>
                <w:highlight w:val="none"/>
              </w:rPr>
            </w:r>
            <w:r/>
          </w:p>
          <w:p>
            <w:pPr>
              <w:pStyle w:val="872"/>
              <w:jc w:val="left"/>
              <w:tabs>
                <w:tab w:val="left" w:pos="1391" w:leader="none"/>
              </w:tabs>
              <w:rPr>
                <w:rFonts w:hint="eastAsia" w:ascii="宋体" w:hAnsi="宋体" w:cs="宋体"/>
                <w:b/>
                <w:bCs/>
                <w:i/>
                <w:iCs/>
                <w:spacing w:val="-4"/>
                <w:szCs w:val="21"/>
                <w:highlight w:val="none"/>
                <w:u w:val="single"/>
              </w:rPr>
            </w:pPr>
            <w:r>
              <w:rPr>
                <w:rFonts w:hint="eastAsia" w:ascii="宋体" w:hAnsi="宋体" w:cs="宋体"/>
                <w:b/>
                <w:bCs/>
                <w:i/>
                <w:iCs/>
                <w:spacing w:val="-1"/>
                <w:szCs w:val="21"/>
                <w:highlight w:val="none"/>
                <w:u w:val="single"/>
              </w:rPr>
              <w:t xml:space="preserve">57.</w:t>
            </w:r>
            <w:r>
              <w:rPr>
                <w:rFonts w:hint="eastAsia" w:ascii="宋体" w:hAnsi="宋体" w:cs="宋体"/>
                <w:b/>
                <w:bCs/>
                <w:i/>
                <w:iCs/>
                <w:spacing w:val="-3"/>
                <w:szCs w:val="21"/>
                <w:highlight w:val="none"/>
                <w:u w:val="single"/>
              </w:rPr>
              <w:t xml:space="preserve">CPU主</w:t>
            </w:r>
            <w:r>
              <w:rPr>
                <w:rFonts w:hint="eastAsia" w:ascii="宋体" w:hAnsi="宋体" w:cs="宋体"/>
                <w:b/>
                <w:bCs/>
                <w:i/>
                <w:iCs/>
                <w:szCs w:val="21"/>
                <w:highlight w:val="none"/>
                <w:u w:val="single"/>
              </w:rPr>
              <w:t xml:space="preserve">频：</w:t>
            </w:r>
            <w:r>
              <w:rPr>
                <w:rFonts w:hint="eastAsia" w:ascii="宋体" w:hAnsi="宋体" w:cs="宋体"/>
                <w:b/>
                <w:bCs/>
                <w:i/>
                <w:iCs/>
                <w:spacing w:val="-4"/>
                <w:szCs w:val="21"/>
                <w:highlight w:val="none"/>
                <w:u w:val="single"/>
              </w:rPr>
              <w:t xml:space="preserve">≥2.2GHz；</w:t>
            </w:r>
            <w:r>
              <w:rPr>
                <w:highlight w:val="none"/>
              </w:rPr>
            </w:r>
            <w:r/>
          </w:p>
          <w:p>
            <w:pPr>
              <w:pStyle w:val="872"/>
              <w:jc w:val="left"/>
              <w:tabs>
                <w:tab w:val="left" w:pos="1391" w:leader="none"/>
              </w:tabs>
              <w:rPr>
                <w:rFonts w:hint="eastAsia" w:ascii="宋体" w:hAnsi="宋体" w:cs="宋体"/>
                <w:b/>
                <w:bCs/>
                <w:i/>
                <w:iCs/>
                <w:spacing w:val="-7"/>
                <w:szCs w:val="21"/>
                <w:highlight w:val="none"/>
                <w:u w:val="single"/>
              </w:rPr>
            </w:pPr>
            <w:r>
              <w:rPr>
                <w:rFonts w:hint="eastAsia" w:ascii="宋体" w:hAnsi="宋体" w:cs="宋体"/>
                <w:b/>
                <w:bCs/>
                <w:i/>
                <w:iCs/>
                <w:spacing w:val="-3"/>
                <w:szCs w:val="21"/>
                <w:highlight w:val="none"/>
                <w:u w:val="single"/>
              </w:rPr>
              <w:t xml:space="preserve">58.CPU末级缓存容</w:t>
            </w:r>
            <w:r>
              <w:rPr>
                <w:rFonts w:hint="eastAsia" w:ascii="宋体" w:hAnsi="宋体" w:cs="宋体"/>
                <w:b/>
                <w:bCs/>
                <w:i/>
                <w:iCs/>
                <w:szCs w:val="21"/>
                <w:highlight w:val="none"/>
                <w:u w:val="single"/>
              </w:rPr>
              <w:t xml:space="preserve">量：</w:t>
            </w:r>
            <w:r>
              <w:rPr>
                <w:rFonts w:hint="eastAsia" w:ascii="宋体" w:hAnsi="宋体" w:cs="宋体"/>
                <w:b/>
                <w:bCs/>
                <w:i/>
                <w:iCs/>
                <w:spacing w:val="-7"/>
                <w:szCs w:val="21"/>
                <w:highlight w:val="none"/>
                <w:u w:val="single"/>
              </w:rPr>
              <w:t xml:space="preserve">≥8MB；</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7"/>
                <w:szCs w:val="21"/>
                <w:highlight w:val="none"/>
                <w:u w:val="single"/>
              </w:rPr>
              <w:t xml:space="preserve">59.</w:t>
            </w:r>
            <w:r>
              <w:rPr>
                <w:rFonts w:hint="eastAsia" w:ascii="宋体" w:hAnsi="宋体" w:cs="宋体"/>
                <w:b/>
                <w:bCs/>
                <w:i/>
                <w:iCs/>
                <w:spacing w:val="-4"/>
                <w:szCs w:val="21"/>
                <w:highlight w:val="none"/>
                <w:u w:val="single"/>
              </w:rPr>
              <w:t xml:space="preserve">CPU支</w:t>
            </w:r>
            <w:r>
              <w:rPr>
                <w:rFonts w:hint="eastAsia" w:ascii="宋体" w:hAnsi="宋体" w:cs="宋体"/>
                <w:b/>
                <w:bCs/>
                <w:i/>
                <w:iCs/>
                <w:spacing w:val="-2"/>
                <w:szCs w:val="21"/>
                <w:highlight w:val="none"/>
                <w:u w:val="single"/>
              </w:rPr>
              <w:t xml:space="preserve">持的内存最高速率：</w:t>
            </w:r>
            <w:r>
              <w:rPr>
                <w:rFonts w:hint="eastAsia" w:ascii="宋体" w:hAnsi="宋体" w:cs="宋体"/>
                <w:b/>
                <w:bCs/>
                <w:i/>
                <w:iCs/>
                <w:spacing w:val="-3"/>
                <w:szCs w:val="21"/>
                <w:highlight w:val="none"/>
                <w:u w:val="single"/>
              </w:rPr>
              <w:t xml:space="preserve">≥2666MT/s；</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60.</w:t>
            </w:r>
            <w:r>
              <w:rPr>
                <w:rFonts w:hint="eastAsia" w:ascii="宋体" w:hAnsi="宋体" w:cs="宋体"/>
                <w:b/>
                <w:bCs/>
                <w:i/>
                <w:iCs/>
                <w:spacing w:val="-2"/>
                <w:szCs w:val="21"/>
                <w:highlight w:val="none"/>
                <w:u w:val="single"/>
              </w:rPr>
              <w:t xml:space="preserve">内存读</w:t>
            </w:r>
            <w:r>
              <w:rPr>
                <w:rFonts w:hint="eastAsia" w:ascii="宋体" w:hAnsi="宋体" w:cs="宋体"/>
                <w:b/>
                <w:bCs/>
                <w:i/>
                <w:iCs/>
                <w:spacing w:val="-6"/>
                <w:szCs w:val="21"/>
                <w:highlight w:val="none"/>
                <w:u w:val="single"/>
              </w:rPr>
              <w:t xml:space="preserve">写速率：</w:t>
            </w:r>
            <w:r>
              <w:rPr>
                <w:rFonts w:hint="eastAsia" w:ascii="宋体" w:hAnsi="宋体" w:cs="宋体"/>
                <w:b/>
                <w:bCs/>
                <w:i/>
                <w:iCs/>
                <w:spacing w:val="-3"/>
                <w:szCs w:val="21"/>
                <w:highlight w:val="none"/>
                <w:u w:val="single"/>
              </w:rPr>
              <w:t xml:space="preserve">≥2666MT/s；</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61.</w:t>
            </w:r>
            <w:r>
              <w:rPr>
                <w:rFonts w:hint="eastAsia" w:ascii="宋体" w:hAnsi="宋体" w:cs="宋体"/>
                <w:b/>
                <w:bCs/>
                <w:i/>
                <w:iCs/>
                <w:spacing w:val="-2"/>
                <w:szCs w:val="21"/>
                <w:highlight w:val="none"/>
                <w:u w:val="single"/>
              </w:rPr>
              <w:t xml:space="preserve">显示分</w:t>
            </w:r>
            <w:r>
              <w:rPr>
                <w:rFonts w:hint="eastAsia" w:ascii="宋体" w:hAnsi="宋体" w:cs="宋体"/>
                <w:b/>
                <w:bCs/>
                <w:i/>
                <w:iCs/>
                <w:spacing w:val="-4"/>
                <w:szCs w:val="21"/>
                <w:highlight w:val="none"/>
                <w:u w:val="single"/>
              </w:rPr>
              <w:t xml:space="preserve">辨率：</w:t>
            </w:r>
            <w:r>
              <w:rPr>
                <w:rFonts w:hint="eastAsia" w:ascii="宋体" w:hAnsi="宋体" w:cs="宋体"/>
                <w:b/>
                <w:bCs/>
                <w:i/>
                <w:iCs/>
                <w:spacing w:val="-3"/>
                <w:szCs w:val="21"/>
                <w:highlight w:val="none"/>
                <w:u w:val="single"/>
              </w:rPr>
              <w:t xml:space="preserve">≥2560×1440；</w:t>
            </w:r>
            <w:r>
              <w:rPr>
                <w:highlight w:val="none"/>
              </w:rPr>
            </w:r>
            <w:r/>
          </w:p>
          <w:p>
            <w:pPr>
              <w:pStyle w:val="872"/>
              <w:jc w:val="left"/>
              <w:tabs>
                <w:tab w:val="left" w:pos="1391" w:leader="none"/>
              </w:tabs>
              <w:rPr>
                <w:rFonts w:hint="eastAsia" w:ascii="宋体" w:hAnsi="宋体" w:cs="宋体"/>
                <w:b/>
                <w:bCs/>
                <w:i/>
                <w:iCs/>
                <w:spacing w:val="-4"/>
                <w:szCs w:val="21"/>
                <w:highlight w:val="none"/>
                <w:u w:val="single"/>
              </w:rPr>
            </w:pPr>
            <w:r>
              <w:rPr>
                <w:rFonts w:hint="eastAsia" w:ascii="宋体" w:hAnsi="宋体" w:cs="宋体"/>
                <w:b/>
                <w:bCs/>
                <w:i/>
                <w:iCs/>
                <w:spacing w:val="-3"/>
                <w:szCs w:val="21"/>
                <w:highlight w:val="none"/>
                <w:u w:val="single"/>
              </w:rPr>
              <w:t xml:space="preserve">62.</w:t>
            </w:r>
            <w:r>
              <w:rPr>
                <w:rFonts w:hint="eastAsia" w:ascii="宋体" w:hAnsi="宋体" w:cs="宋体"/>
                <w:b/>
                <w:bCs/>
                <w:i/>
                <w:iCs/>
                <w:spacing w:val="-2"/>
                <w:szCs w:val="21"/>
                <w:highlight w:val="none"/>
                <w:u w:val="single"/>
              </w:rPr>
              <w:t xml:space="preserve">显卡显</w:t>
            </w:r>
            <w:r>
              <w:rPr>
                <w:rFonts w:hint="eastAsia" w:ascii="宋体" w:hAnsi="宋体" w:cs="宋体"/>
                <w:b/>
                <w:bCs/>
                <w:i/>
                <w:iCs/>
                <w:spacing w:val="-3"/>
                <w:szCs w:val="21"/>
                <w:highlight w:val="none"/>
                <w:u w:val="single"/>
              </w:rPr>
              <w:t xml:space="preserve">示芯片核</w:t>
            </w:r>
            <w:r>
              <w:rPr>
                <w:rFonts w:hint="eastAsia" w:ascii="宋体" w:hAnsi="宋体" w:cs="宋体"/>
                <w:b/>
                <w:bCs/>
                <w:i/>
                <w:iCs/>
                <w:spacing w:val="-4"/>
                <w:szCs w:val="21"/>
                <w:highlight w:val="none"/>
                <w:u w:val="single"/>
              </w:rPr>
              <w:t xml:space="preserve">心频率：≥800MHz；</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4"/>
                <w:szCs w:val="21"/>
                <w:highlight w:val="none"/>
                <w:u w:val="single"/>
              </w:rPr>
              <w:t xml:space="preserve">63.</w:t>
            </w:r>
            <w:r>
              <w:rPr>
                <w:rFonts w:hint="eastAsia" w:ascii="宋体" w:hAnsi="宋体" w:cs="宋体"/>
                <w:b/>
                <w:bCs/>
                <w:i/>
                <w:iCs/>
                <w:spacing w:val="-2"/>
                <w:szCs w:val="21"/>
                <w:highlight w:val="none"/>
                <w:u w:val="single"/>
              </w:rPr>
              <w:t xml:space="preserve">显存等</w:t>
            </w:r>
            <w:r>
              <w:rPr>
                <w:rFonts w:hint="eastAsia" w:ascii="宋体" w:hAnsi="宋体" w:cs="宋体"/>
                <w:b/>
                <w:bCs/>
                <w:i/>
                <w:iCs/>
                <w:spacing w:val="-3"/>
                <w:szCs w:val="21"/>
                <w:highlight w:val="none"/>
                <w:u w:val="single"/>
              </w:rPr>
              <w:t xml:space="preserve">效频率：≥1600MT/s；</w:t>
            </w:r>
            <w:r>
              <w:rPr>
                <w:highlight w:val="none"/>
              </w:rPr>
            </w:r>
            <w:r/>
          </w:p>
          <w:p>
            <w:pPr>
              <w:pStyle w:val="872"/>
              <w:jc w:val="left"/>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3"/>
                <w:szCs w:val="21"/>
                <w:highlight w:val="none"/>
                <w:u w:val="single"/>
              </w:rPr>
              <w:t xml:space="preserve">64.</w:t>
            </w:r>
            <w:r>
              <w:rPr>
                <w:rFonts w:hint="eastAsia" w:ascii="宋体" w:hAnsi="宋体" w:cs="宋体"/>
                <w:b/>
                <w:bCs/>
                <w:i/>
                <w:iCs/>
                <w:spacing w:val="-2"/>
                <w:szCs w:val="21"/>
                <w:highlight w:val="none"/>
                <w:u w:val="single"/>
              </w:rPr>
              <w:t xml:space="preserve">显卡可支持多屏同时显示</w:t>
            </w:r>
            <w:r>
              <w:rPr>
                <w:rFonts w:hint="eastAsia" w:ascii="宋体" w:hAnsi="宋体" w:cs="宋体"/>
                <w:b/>
                <w:bCs/>
                <w:i/>
                <w:iCs/>
                <w:spacing w:val="-4"/>
                <w:szCs w:val="21"/>
                <w:highlight w:val="none"/>
                <w:u w:val="single"/>
              </w:rPr>
              <w:t xml:space="preserve">数量：</w:t>
            </w:r>
            <w:r>
              <w:rPr>
                <w:rFonts w:hint="eastAsia" w:ascii="宋体" w:hAnsi="宋体" w:cs="宋体"/>
                <w:b/>
                <w:bCs/>
                <w:i/>
                <w:iCs/>
                <w:spacing w:val="-6"/>
                <w:szCs w:val="21"/>
                <w:highlight w:val="none"/>
                <w:u w:val="single"/>
              </w:rPr>
              <w:t xml:space="preserve">支持2块屏幕同时显示，分辨率应不低</w:t>
            </w:r>
            <w:r>
              <w:rPr>
                <w:rFonts w:hint="eastAsia" w:ascii="宋体" w:hAnsi="宋体" w:cs="宋体"/>
                <w:b/>
                <w:bCs/>
                <w:i/>
                <w:iCs/>
                <w:spacing w:val="-2"/>
                <w:szCs w:val="21"/>
                <w:highlight w:val="none"/>
                <w:u w:val="single"/>
              </w:rPr>
              <w:t xml:space="preserve">于2560×1440；</w:t>
            </w:r>
            <w:r>
              <w:rPr>
                <w:highlight w:val="none"/>
              </w:rPr>
            </w:r>
            <w:r/>
          </w:p>
          <w:p>
            <w:pPr>
              <w:pStyle w:val="872"/>
              <w:jc w:val="left"/>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2"/>
                <w:szCs w:val="21"/>
                <w:highlight w:val="none"/>
                <w:u w:val="single"/>
              </w:rPr>
              <w:t xml:space="preserve">65.显示屏刷新率：</w:t>
            </w:r>
            <w:r>
              <w:rPr>
                <w:rFonts w:hint="eastAsia" w:ascii="宋体" w:hAnsi="宋体" w:cs="宋体"/>
                <w:b/>
                <w:bCs/>
                <w:i/>
                <w:iCs/>
                <w:spacing w:val="-6"/>
                <w:szCs w:val="21"/>
                <w:highlight w:val="none"/>
                <w:u w:val="single"/>
              </w:rPr>
              <w:t xml:space="preserve">≥60Hz；</w:t>
            </w:r>
            <w:r>
              <w:rPr>
                <w:highlight w:val="none"/>
              </w:rPr>
            </w:r>
            <w:r/>
          </w:p>
          <w:p>
            <w:pPr>
              <w:pStyle w:val="872"/>
              <w:jc w:val="left"/>
              <w:tabs>
                <w:tab w:val="left" w:pos="1391" w:leader="none"/>
              </w:tabs>
              <w:rPr>
                <w:rFonts w:hint="eastAsia" w:ascii="宋体" w:hAnsi="宋体" w:cs="宋体"/>
                <w:b/>
                <w:bCs/>
                <w:i/>
                <w:iCs/>
                <w:spacing w:val="-9"/>
                <w:szCs w:val="21"/>
                <w:highlight w:val="none"/>
                <w:u w:val="single"/>
              </w:rPr>
            </w:pPr>
            <w:r>
              <w:rPr>
                <w:rFonts w:hint="eastAsia" w:ascii="宋体" w:hAnsi="宋体" w:cs="宋体"/>
                <w:b/>
                <w:bCs/>
                <w:i/>
                <w:iCs/>
                <w:spacing w:val="-6"/>
                <w:szCs w:val="21"/>
                <w:highlight w:val="none"/>
                <w:u w:val="single"/>
              </w:rPr>
              <w:t xml:space="preserve">66.</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位深：</w:t>
            </w:r>
            <w:r>
              <w:rPr>
                <w:rFonts w:hint="eastAsia" w:ascii="宋体" w:hAnsi="宋体" w:cs="宋体"/>
                <w:b/>
                <w:bCs/>
                <w:i/>
                <w:iCs/>
                <w:spacing w:val="-9"/>
                <w:szCs w:val="21"/>
                <w:highlight w:val="none"/>
                <w:u w:val="single"/>
              </w:rPr>
              <w:t xml:space="preserve">≥8位；</w:t>
            </w:r>
            <w:r>
              <w:rPr>
                <w:highlight w:val="none"/>
              </w:rPr>
            </w:r>
            <w:r/>
          </w:p>
          <w:p>
            <w:pPr>
              <w:pStyle w:val="872"/>
              <w:jc w:val="left"/>
              <w:tabs>
                <w:tab w:val="left" w:pos="1391" w:leader="none"/>
              </w:tabs>
              <w:rPr>
                <w:rFonts w:hint="eastAsia" w:ascii="宋体" w:hAnsi="宋体" w:cs="宋体"/>
                <w:b/>
                <w:bCs/>
                <w:i/>
                <w:iCs/>
                <w:spacing w:val="-5"/>
                <w:szCs w:val="21"/>
                <w:highlight w:val="none"/>
                <w:u w:val="single"/>
              </w:rPr>
            </w:pPr>
            <w:r>
              <w:rPr>
                <w:rFonts w:hint="eastAsia" w:ascii="宋体" w:hAnsi="宋体" w:cs="宋体"/>
                <w:b/>
                <w:bCs/>
                <w:i/>
                <w:iCs/>
                <w:spacing w:val="-9"/>
                <w:szCs w:val="21"/>
                <w:highlight w:val="none"/>
                <w:u w:val="single"/>
              </w:rPr>
              <w:t xml:space="preserve">67.</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5"/>
                <w:szCs w:val="21"/>
                <w:highlight w:val="none"/>
                <w:u w:val="single"/>
              </w:rPr>
              <w:t xml:space="preserve">色域：≥99%sRGB；</w:t>
            </w:r>
            <w:r>
              <w:rPr>
                <w:highlight w:val="none"/>
              </w:rPr>
            </w:r>
            <w:r/>
          </w:p>
          <w:p>
            <w:pPr>
              <w:pStyle w:val="872"/>
              <w:jc w:val="left"/>
              <w:tabs>
                <w:tab w:val="left" w:pos="1391" w:leader="none"/>
              </w:tabs>
              <w:rPr>
                <w:rFonts w:hint="eastAsia" w:ascii="宋体" w:hAnsi="宋体" w:cs="宋体"/>
                <w:b/>
                <w:bCs/>
                <w:i/>
                <w:iCs/>
                <w:spacing w:val="-9"/>
                <w:szCs w:val="21"/>
                <w:highlight w:val="none"/>
                <w:u w:val="single"/>
              </w:rPr>
            </w:pPr>
            <w:r>
              <w:rPr>
                <w:rFonts w:hint="eastAsia" w:ascii="宋体" w:hAnsi="宋体" w:cs="宋体"/>
                <w:b/>
                <w:bCs/>
                <w:i/>
                <w:iCs/>
                <w:spacing w:val="-5"/>
                <w:szCs w:val="21"/>
                <w:highlight w:val="none"/>
                <w:u w:val="single"/>
              </w:rPr>
              <w:t xml:space="preserve">68.</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5"/>
                <w:szCs w:val="21"/>
                <w:highlight w:val="none"/>
                <w:u w:val="single"/>
              </w:rPr>
              <w:t xml:space="preserve">色准：</w:t>
            </w:r>
            <w:r>
              <w:rPr>
                <w:rFonts w:hint="eastAsia" w:ascii="宋体" w:hAnsi="宋体" w:cs="宋体"/>
                <w:b/>
                <w:bCs/>
                <w:i/>
                <w:iCs/>
                <w:spacing w:val="-9"/>
                <w:szCs w:val="21"/>
                <w:highlight w:val="none"/>
                <w:u w:val="single"/>
              </w:rPr>
              <w:t xml:space="preserve">△E≤3；</w:t>
            </w:r>
            <w:r>
              <w:rPr>
                <w:highlight w:val="none"/>
              </w:rPr>
            </w:r>
            <w:r/>
          </w:p>
          <w:p>
            <w:pPr>
              <w:pStyle w:val="872"/>
              <w:jc w:val="left"/>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9"/>
                <w:szCs w:val="21"/>
                <w:highlight w:val="none"/>
                <w:u w:val="single"/>
              </w:rPr>
              <w:t xml:space="preserve">69.</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响应时间：</w:t>
            </w:r>
            <w:r>
              <w:rPr>
                <w:rFonts w:hint="eastAsia" w:ascii="宋体" w:hAnsi="宋体" w:cs="宋体"/>
                <w:b/>
                <w:bCs/>
                <w:i/>
                <w:iCs/>
                <w:spacing w:val="-6"/>
                <w:szCs w:val="21"/>
                <w:highlight w:val="none"/>
                <w:u w:val="single"/>
              </w:rPr>
              <w:t xml:space="preserve">≤6ms；</w:t>
            </w:r>
            <w:r>
              <w:rPr>
                <w:highlight w:val="none"/>
              </w:rPr>
            </w:r>
            <w:r/>
          </w:p>
          <w:p>
            <w:pPr>
              <w:pStyle w:val="872"/>
              <w:jc w:val="left"/>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6"/>
                <w:szCs w:val="21"/>
                <w:highlight w:val="none"/>
                <w:u w:val="single"/>
              </w:rPr>
              <w:t xml:space="preserve">70.</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亮度：≥300尼特；</w:t>
            </w:r>
            <w:r>
              <w:rPr>
                <w:highlight w:val="none"/>
              </w:rPr>
            </w:r>
            <w:r/>
          </w:p>
          <w:p>
            <w:pPr>
              <w:pStyle w:val="872"/>
              <w:jc w:val="left"/>
              <w:tabs>
                <w:tab w:val="left" w:pos="1391" w:leader="none"/>
              </w:tabs>
              <w:rPr>
                <w:rFonts w:hint="eastAsia" w:ascii="宋体" w:hAnsi="宋体" w:cs="宋体"/>
                <w:b/>
                <w:bCs/>
                <w:i/>
                <w:iCs/>
                <w:spacing w:val="-7"/>
                <w:szCs w:val="21"/>
                <w:highlight w:val="none"/>
                <w:u w:val="single"/>
              </w:rPr>
            </w:pPr>
            <w:r>
              <w:rPr>
                <w:rFonts w:hint="eastAsia" w:ascii="宋体" w:hAnsi="宋体" w:cs="宋体"/>
                <w:b/>
                <w:bCs/>
                <w:i/>
                <w:iCs/>
                <w:spacing w:val="-6"/>
                <w:szCs w:val="21"/>
                <w:highlight w:val="none"/>
                <w:u w:val="single"/>
              </w:rPr>
              <w:t xml:space="preserve">71.</w:t>
            </w:r>
            <w:r>
              <w:rPr>
                <w:rFonts w:hint="eastAsia" w:ascii="宋体" w:hAnsi="宋体" w:cs="宋体"/>
                <w:b/>
                <w:bCs/>
                <w:i/>
                <w:iCs/>
                <w:spacing w:val="-2"/>
                <w:szCs w:val="21"/>
                <w:highlight w:val="none"/>
                <w:u w:val="single"/>
              </w:rPr>
              <w:t xml:space="preserve">显示屏亮度一致</w:t>
            </w:r>
            <w:r>
              <w:rPr>
                <w:rFonts w:hint="eastAsia" w:ascii="宋体" w:hAnsi="宋体" w:cs="宋体"/>
                <w:b/>
                <w:bCs/>
                <w:i/>
                <w:iCs/>
                <w:szCs w:val="21"/>
                <w:highlight w:val="none"/>
                <w:u w:val="single"/>
              </w:rPr>
              <w:t xml:space="preserve">性：</w:t>
            </w:r>
            <w:r>
              <w:rPr>
                <w:rFonts w:hint="eastAsia" w:ascii="宋体" w:hAnsi="宋体" w:cs="宋体"/>
                <w:b/>
                <w:bCs/>
                <w:i/>
                <w:iCs/>
                <w:spacing w:val="-7"/>
                <w:szCs w:val="21"/>
                <w:highlight w:val="none"/>
                <w:u w:val="single"/>
              </w:rPr>
              <w:t xml:space="preserve">≥70%；</w:t>
            </w:r>
            <w:r>
              <w:rPr>
                <w:highlight w:val="none"/>
              </w:rPr>
            </w:r>
            <w:r/>
          </w:p>
          <w:p>
            <w:pPr>
              <w:pStyle w:val="872"/>
              <w:jc w:val="left"/>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7"/>
                <w:szCs w:val="21"/>
                <w:highlight w:val="none"/>
                <w:u w:val="single"/>
              </w:rPr>
              <w:t xml:space="preserve">72.</w:t>
            </w:r>
            <w:r>
              <w:rPr>
                <w:rFonts w:hint="eastAsia" w:ascii="宋体" w:hAnsi="宋体" w:cs="宋体"/>
                <w:b/>
                <w:bCs/>
                <w:i/>
                <w:iCs/>
                <w:spacing w:val="-2"/>
                <w:szCs w:val="21"/>
                <w:highlight w:val="none"/>
                <w:u w:val="single"/>
              </w:rPr>
              <w:t xml:space="preserve">显示屏对比度：≥500：1；</w:t>
            </w:r>
            <w:r>
              <w:rPr>
                <w:highlight w:val="none"/>
              </w:rPr>
            </w:r>
            <w:r/>
          </w:p>
          <w:p>
            <w:pPr>
              <w:pStyle w:val="872"/>
              <w:jc w:val="left"/>
              <w:tabs>
                <w:tab w:val="left" w:pos="1391" w:leader="none"/>
              </w:tabs>
              <w:rPr>
                <w:rFonts w:hint="eastAsia" w:ascii="宋体" w:hAnsi="宋体" w:cs="宋体"/>
                <w:b/>
                <w:bCs/>
                <w:i/>
                <w:iCs/>
                <w:szCs w:val="21"/>
                <w:highlight w:val="none"/>
                <w:u w:val="single"/>
              </w:rPr>
            </w:pPr>
            <w:r>
              <w:rPr>
                <w:rFonts w:hint="eastAsia" w:ascii="宋体" w:hAnsi="宋体" w:cs="宋体"/>
                <w:b/>
                <w:bCs/>
                <w:i/>
                <w:iCs/>
                <w:spacing w:val="-2"/>
                <w:szCs w:val="21"/>
                <w:highlight w:val="none"/>
                <w:u w:val="single"/>
              </w:rPr>
              <w:t xml:space="preserve">73.显示屏</w:t>
            </w:r>
            <w:r>
              <w:rPr>
                <w:rFonts w:hint="eastAsia" w:ascii="宋体" w:hAnsi="宋体" w:cs="宋体"/>
                <w:b/>
                <w:bCs/>
                <w:i/>
                <w:iCs/>
                <w:spacing w:val="-3"/>
                <w:szCs w:val="21"/>
                <w:highlight w:val="none"/>
                <w:u w:val="single"/>
              </w:rPr>
              <w:t xml:space="preserve">其他参数：</w:t>
            </w:r>
            <w:r>
              <w:rPr>
                <w:rFonts w:hint="eastAsia" w:ascii="宋体" w:hAnsi="宋体" w:cs="宋体"/>
                <w:b/>
                <w:bCs/>
                <w:i/>
                <w:iCs/>
                <w:szCs w:val="21"/>
                <w:highlight w:val="none"/>
                <w:u w:val="single"/>
              </w:rPr>
              <w:t xml:space="preserve">其它参数应符合SJ/T11292的相关规定；</w:t>
            </w:r>
            <w:r>
              <w:rPr>
                <w:highlight w:val="none"/>
              </w:rPr>
            </w:r>
            <w:r/>
          </w:p>
          <w:p>
            <w:pPr>
              <w:pStyle w:val="872"/>
              <w:jc w:val="left"/>
              <w:tabs>
                <w:tab w:val="left" w:pos="1391" w:leader="none"/>
              </w:tabs>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74.</w:t>
            </w:r>
            <w:r>
              <w:rPr>
                <w:rFonts w:hint="eastAsia" w:ascii="宋体" w:hAnsi="宋体" w:cs="宋体"/>
                <w:b/>
                <w:bCs/>
                <w:i/>
                <w:iCs/>
                <w:spacing w:val="-2"/>
                <w:szCs w:val="21"/>
                <w:highlight w:val="none"/>
                <w:u w:val="single"/>
              </w:rPr>
              <w:t xml:space="preserve">有线网</w:t>
            </w:r>
            <w:r>
              <w:rPr>
                <w:rFonts w:hint="eastAsia" w:ascii="宋体" w:hAnsi="宋体" w:cs="宋体"/>
                <w:b/>
                <w:bCs/>
                <w:i/>
                <w:iCs/>
                <w:spacing w:val="-3"/>
                <w:szCs w:val="21"/>
                <w:highlight w:val="none"/>
                <w:u w:val="single"/>
              </w:rPr>
              <w:t xml:space="preserve">卡速率：</w:t>
            </w:r>
            <w:r>
              <w:rPr>
                <w:rFonts w:hint="eastAsia" w:ascii="宋体" w:hAnsi="宋体" w:cs="宋体"/>
                <w:b/>
                <w:bCs/>
                <w:i/>
                <w:iCs/>
                <w:spacing w:val="-2"/>
                <w:szCs w:val="21"/>
                <w:highlight w:val="none"/>
                <w:u w:val="single"/>
              </w:rPr>
              <w:t xml:space="preserve">最高速率应不低于1000Mbps，应支持</w:t>
            </w:r>
            <w:r>
              <w:rPr>
                <w:rFonts w:hint="eastAsia" w:ascii="宋体" w:hAnsi="宋体" w:cs="宋体"/>
                <w:b/>
                <w:bCs/>
                <w:i/>
                <w:iCs/>
                <w:spacing w:val="-1"/>
                <w:szCs w:val="21"/>
                <w:highlight w:val="none"/>
                <w:u w:val="single"/>
              </w:rPr>
              <w:t xml:space="preserve">10Mbps、100Mbps、1000</w:t>
            </w:r>
            <w:r>
              <w:rPr>
                <w:rFonts w:hint="eastAsia" w:ascii="宋体" w:hAnsi="宋体" w:cs="宋体"/>
                <w:b/>
                <w:bCs/>
                <w:i/>
                <w:iCs/>
                <w:spacing w:val="-2"/>
                <w:szCs w:val="21"/>
                <w:highlight w:val="none"/>
                <w:u w:val="single"/>
              </w:rPr>
              <w:t xml:space="preserve">Mbps速率自适</w:t>
            </w:r>
            <w:r>
              <w:rPr>
                <w:rFonts w:hint="eastAsia" w:ascii="宋体" w:hAnsi="宋体" w:cs="宋体"/>
                <w:b/>
                <w:bCs/>
                <w:i/>
                <w:iCs/>
                <w:szCs w:val="21"/>
                <w:highlight w:val="none"/>
                <w:u w:val="single"/>
              </w:rPr>
              <w:t xml:space="preserve">应；</w:t>
            </w:r>
            <w:r>
              <w:rPr>
                <w:highlight w:val="none"/>
              </w:rPr>
            </w:r>
            <w:r/>
          </w:p>
          <w:p>
            <w:pPr>
              <w:pStyle w:val="872"/>
              <w:jc w:val="left"/>
              <w:tabs>
                <w:tab w:val="left" w:pos="1391" w:leader="none"/>
              </w:tabs>
              <w:rPr>
                <w:rFonts w:hint="eastAsia" w:ascii="宋体" w:hAnsi="宋体" w:cs="宋体"/>
                <w:b/>
                <w:bCs/>
                <w:i/>
                <w:iCs/>
                <w:spacing w:val="-13"/>
                <w:szCs w:val="21"/>
                <w:highlight w:val="none"/>
                <w:u w:val="single"/>
              </w:rPr>
            </w:pPr>
            <w:r>
              <w:rPr>
                <w:rFonts w:hint="eastAsia" w:ascii="宋体" w:hAnsi="宋体" w:cs="宋体"/>
                <w:b/>
                <w:bCs/>
                <w:i/>
                <w:iCs/>
                <w:szCs w:val="21"/>
                <w:highlight w:val="none"/>
                <w:u w:val="single"/>
              </w:rPr>
              <w:t xml:space="preserve">75.</w:t>
            </w:r>
            <w:r>
              <w:rPr>
                <w:rFonts w:hint="eastAsia" w:ascii="宋体" w:hAnsi="宋体" w:cs="宋体"/>
                <w:b/>
                <w:bCs/>
                <w:i/>
                <w:iCs/>
                <w:spacing w:val="-2"/>
                <w:szCs w:val="21"/>
                <w:highlight w:val="none"/>
                <w:u w:val="single"/>
              </w:rPr>
              <w:t xml:space="preserve">内存扩</w:t>
            </w:r>
            <w:r>
              <w:rPr>
                <w:rFonts w:hint="eastAsia" w:ascii="宋体" w:hAnsi="宋体" w:cs="宋体"/>
                <w:b/>
                <w:bCs/>
                <w:i/>
                <w:iCs/>
                <w:spacing w:val="-3"/>
                <w:szCs w:val="21"/>
                <w:highlight w:val="none"/>
                <w:u w:val="single"/>
              </w:rPr>
              <w:t xml:space="preserve">展接口(板载内存不涉</w:t>
            </w:r>
            <w:r>
              <w:rPr>
                <w:rFonts w:hint="eastAsia" w:ascii="宋体" w:hAnsi="宋体" w:cs="宋体"/>
                <w:b/>
                <w:bCs/>
                <w:i/>
                <w:iCs/>
                <w:spacing w:val="-4"/>
                <w:szCs w:val="21"/>
                <w:highlight w:val="none"/>
                <w:u w:val="single"/>
              </w:rPr>
              <w:t xml:space="preserve">及)：</w:t>
            </w:r>
            <w:r>
              <w:rPr>
                <w:rFonts w:hint="eastAsia" w:ascii="宋体" w:hAnsi="宋体" w:cs="宋体"/>
                <w:b/>
                <w:bCs/>
                <w:i/>
                <w:iCs/>
                <w:spacing w:val="-13"/>
                <w:szCs w:val="21"/>
                <w:highlight w:val="none"/>
                <w:u w:val="single"/>
              </w:rPr>
              <w:t xml:space="preserve">≥4；</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76.主板USB瞬间过流保护：支持瞬间过流保护功能；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77.主板防静电保护：支持防静电保护功能；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78.I/O接口功能：提供基于标准USB接口外设连接功能、基于音频输入输出接口的音频扩展功能、基于PCIe接口板卡扩展功能、基于HDMI/VGA/Type-C/DVI/DP等接口外接显示器扩展功能、基于存储接口对产品进行增容功能等。工作站I/O接口应具备外接标准USB设备、显示器、音频设备等内外部设备能力；</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79.显卡外接显示接口：显卡至少支持VGA、HDMI、DVI、DP、Type-C中1种显示接口，并与显示器接口相匹配；</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80.显示器接口：显示器应与显卡外接显示接口匹配；</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81.显示器支架：显示器应提供显示器支架，宜支持屏幕旋转、支架可升降等；</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82.显示器参数调节：a)提供OSD选单按钮用于调节色彩、模式等；b)支持色温、亮度、对比度调节；</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83.存储功能：通过SATA固态存储/PCIe固态存储/UFS固态存储/SATA硬磁盘等存储部件提供存储功能；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84.网络功能：a)支持网络连接、网络开启/关闭功能；b)支持访问网络和数据交换功能；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85.数据传输：支持数据传输能力，并提供数据流量和异常日志记录功能;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86.有线网卡接口类型:支持RJ45接口;</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87.网络设备拆装：若配备的网络设备应支持物理拆装，包括无线网卡和蓝牙模块等；</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88.音频接口类型：支持3.5mm孔径3段式或4段式接口；</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89.视频接口类型：至少支持VGA、HDMI、DVI、DP、Type-C中1种显示接口；</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90.HDMI、DP、Type-C显示接口要求：若提供HDMI或DP或Type-C作为显示接口，应支持音频和视频同步输出；</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91.电源线适配能力：电源适配器电线组件应符合GB/T15934的要求，可拆线的插头和连接器可以不做要求；</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92.中文信息处理要求：符合GB18030的相关规定；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93.操作系统备份及还原功能：支持操作系统备份及还原功能；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94.固件备份还原能力：支持备份及还原固件的功能；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95.操作系统及驱动升级：支持通过网络、闪存盘等方式对操作系统、驱动进行升级；</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96.BIOS支持关闭通讯接口：支持BIOS关闭以太网及USB接口功能；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97.固件查看信息：支持查看固件版本、内存信息、主板信息、处理器信息和系统时间信息等功能；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98.固件设置启动顺序：支持设置启动顺序功能，并按照设置的启动顺序启动；</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99.固件设置口令：支持设置口令、修改口令、验证口令功能；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100.固件设置网络引导：支持网络引导启动和关闭功能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101.固态存储寿命：TBW≥80TB（条件：240GB硬盘容量）；</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102.机械硬盘寿命：通电时间≥5万小时；</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103.显示屏屏幕失效点：符合GB/T9813.2的要求；</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104.键盘按键寿命：≥1000万次；</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105.鼠标按键寿命：≥500万次；</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106.键盘鼠标线材寿命：键盘鼠标所用线材经±60°弯折不低于3000次，功能、外观完好；</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107.风扇寿命：≥4万小时；</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108.电磁兼容性要求的抗扰度：符合GB/T9254.2的规定；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109.环境条件要求的气候环境适应性：符合GB/T9813.1中规定；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110.环境条件要求的振动适应性：符合GB/T9813.1中规定；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111.环境条件要求的冲击适应性：符合GB/T9813.1中规定；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112.环境条件要求的碰撞适应性：符合GB/T9813.1中规定；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113.环境条件要求的运输包装件跌落适应性：符合GB/T9813.1中规定；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114.MTBF测试：MTBF(m1)≥3万小时；</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115.常用软件兼容：应支持流式软件、版式软件、浏览器、邮件客户端、解压软件、多媒体、图形图像处理等常用软件；</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116.数据库兼容：应支持流式软件、版式软件、浏览器、邮件客户端、解压软件、多媒体、图形图像处理等常用软件；</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117.中间件兼容：兼容3个及以上中间件产品</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118.平台软件兼容：兼容3个及以上厂商云计算及大数据平台；</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119.标志、包装、运输和贮存：符合GB/T9813.1和商品包装政府采购需求标准的相关规定；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120.配置检查工具：供应商提供经自检测试工具；</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121.服务响应：a）提供产品3年维保及上门服务（满足同城4小时、异地12小时响应要求）；b）提供政企专线7*24在线服务；c）现场保障技术服务团队员，国内上门服务地级市覆盖率达100%；</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122.服务周期：支持产品延保≥3年提供每年延保服务报价提供备件服务能力≥6年（自购买之日起）；</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123.预装操作系统：预装符合桌面操作系统政府采购需求标准的正版操作系统；</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124.培训服务：供应商提供培训材料、产品手册、培训视频等培训相关内容；</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125.典型问题解决手册：供应商提供典型问题解决说明文档或视频；</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126.厂家升级软件与扩容服务：供应商提供上门升级部件/软件的增值服务；</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127.整机质量服务要求：供应商提供上门升级部件/软件的增值服务；</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128.合格证书要求：供应商提供产品合格证；</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129.开箱组装/使用指导要求：供应商提供开箱组装/使用指导；</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130.驱动下载服务要求：供应商提供驱动光盘或下载方式；</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131.兼容适配软件下载服务要求：供应商提供兼容适配软件下载渠道（光盘、网站）；</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132.产品部件保障：保障产品主要部件提供6年的备件服务能力(自购买之日起)，或提供可兼容原设备的升级换代产品；</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133.抗干扰性：当产品部件出现供应风险时，供应商应通知采购人并提供风险应对方案确保产品的服务保障；</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134.供应能力证明：供应商提供供应链稳定承诺书，确保产品的部件在产品服务周期内稳定供货；</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135.关键部件安全要求：CPU和操作系统等关键部件应当符合安全可靠测评要求；</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136.密码算法实现：CPU芯片应符合GM/T0008的相关规定，或芯片密码模块应符合GB/T37092或GM/T0028的相关规定；</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137.信息安全基本要求：a)应符合GB/T39276的5.2的规定；b)生产厂商应建立漏洞跟踪表，保证产品版本涉及到的漏洞(如驱动程序等)可查看；c)产品不得包含已知的恶意代码或漏洞，不存在未声明的指令、功能、接口；</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138.固件安全启动：支持固件安全启动功能，固件启动过程中只有通过启动校验才能正常启动；</w:t>
            </w:r>
            <w:r>
              <w:rPr>
                <w:highlight w:val="none"/>
              </w:rPr>
            </w:r>
            <w:r/>
          </w:p>
          <w:p>
            <w:pPr>
              <w:pStyle w:val="872"/>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139.限用物质的限量要求：符合GB/T26572中规定；</w:t>
            </w:r>
            <w:r>
              <w:rPr>
                <w:highlight w:val="none"/>
              </w:rPr>
            </w:r>
            <w:r/>
          </w:p>
          <w:p>
            <w:pPr>
              <w:pStyle w:val="872"/>
              <w:jc w:val="left"/>
              <w:tabs>
                <w:tab w:val="left" w:pos="1391" w:leader="none"/>
              </w:tabs>
              <w:rPr>
                <w:rFonts w:hint="eastAsia" w:ascii="宋体" w:hAnsi="宋体" w:cs="宋体"/>
                <w:b/>
                <w:bCs/>
                <w:i/>
                <w:iCs/>
                <w:szCs w:val="21"/>
                <w:highlight w:val="none"/>
                <w:u w:val="single"/>
              </w:rPr>
            </w:pPr>
            <w:r>
              <w:rPr>
                <w:rFonts w:hint="eastAsia" w:ascii="宋体" w:hAnsi="宋体" w:cs="宋体"/>
                <w:b/>
                <w:bCs/>
                <w:spacing w:val="-3"/>
                <w:szCs w:val="21"/>
                <w:highlight w:val="none"/>
              </w:rPr>
              <w:t xml:space="preserve">140.▲数据保护 为保证数据安全，投标方需提供针对本项目提供的数据恢复服务，以保障数据恢复的安全性（在投标时须提供国家信息中心出具的数据恢复售后服务承诺书扫描件，加盖投标人公章</w:t>
            </w:r>
            <w:r>
              <w:rPr>
                <w:rFonts w:hint="eastAsia" w:ascii="宋体" w:hAnsi="宋体" w:cs="宋体"/>
                <w:b/>
                <w:bCs/>
                <w:szCs w:val="21"/>
                <w:highlight w:val="none"/>
              </w:rPr>
              <w:t xml:space="preserve">）</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彩色激光打印机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1、产品类型：彩色激光打印机</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2、最高分辨率(dpi)：600×600dpi</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3、首页打印时间：黑白</w:t>
            </w:r>
            <w:r>
              <w:rPr>
                <w:rFonts w:hint="eastAsia" w:ascii="宋体" w:hAnsi="宋体" w:cs="宋体"/>
                <w:szCs w:val="21"/>
                <w:highlight w:val="none"/>
                <w:lang w:bidi="ar"/>
              </w:rPr>
              <w:t xml:space="preserve">不低于</w:t>
            </w:r>
            <w:r>
              <w:rPr>
                <w:rFonts w:hint="eastAsia" w:ascii="宋体" w:hAnsi="宋体" w:cs="宋体"/>
                <w:szCs w:val="21"/>
                <w:highlight w:val="none"/>
                <w:lang w:bidi="ar"/>
              </w:rPr>
              <w:t xml:space="preserve">12.4秒(就绪)，13秒(睡眠) 彩色</w:t>
            </w:r>
            <w:r>
              <w:rPr>
                <w:rFonts w:hint="eastAsia" w:ascii="宋体" w:hAnsi="宋体" w:cs="宋体"/>
                <w:szCs w:val="21"/>
                <w:highlight w:val="none"/>
                <w:lang w:bidi="ar"/>
              </w:rPr>
              <w:t xml:space="preserve">不低于</w:t>
            </w:r>
            <w:r>
              <w:rPr>
                <w:rFonts w:hint="eastAsia" w:ascii="宋体" w:hAnsi="宋体" w:cs="宋体"/>
                <w:szCs w:val="21"/>
                <w:highlight w:val="none"/>
                <w:lang w:bidi="ar"/>
              </w:rPr>
              <w:t xml:space="preserve">25.3(就绪)，26秒(睡眠)</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4、打印方式：激光打印</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5、月打印负荷：20000页</w:t>
            </w:r>
            <w:r>
              <w:rPr>
                <w:highlight w:val="none"/>
              </w:rPr>
            </w:r>
            <w:r/>
          </w:p>
          <w:p>
            <w:pPr>
              <w:pStyle w:val="872"/>
              <w:jc w:val="left"/>
              <w:widowControl/>
              <w:rPr>
                <w:rFonts w:hint="eastAsia" w:ascii="宋体" w:hAnsi="宋体" w:cs="宋体"/>
                <w:szCs w:val="21"/>
                <w:highlight w:val="none"/>
              </w:rPr>
            </w:pPr>
            <w:r>
              <w:rPr>
                <w:rFonts w:hint="eastAsia" w:ascii="宋体" w:hAnsi="宋体" w:cs="宋体"/>
                <w:b/>
                <w:bCs/>
                <w:i/>
                <w:iCs/>
                <w:szCs w:val="21"/>
                <w:highlight w:val="none"/>
                <w:u w:val="single"/>
                <w:lang w:bidi="ar"/>
              </w:rPr>
              <w:t xml:space="preserve">（</w:t>
            </w:r>
            <w:r>
              <w:rPr>
                <w:rFonts w:hint="eastAsia" w:ascii="宋体" w:hAnsi="宋体" w:cs="宋体"/>
                <w:b/>
                <w:bCs/>
                <w:i/>
                <w:iCs/>
                <w:szCs w:val="21"/>
                <w:highlight w:val="none"/>
                <w:u w:val="single"/>
              </w:rPr>
              <w:t xml:space="preserve">提供节能产品认证证书，并加盖投标人公章</w:t>
            </w:r>
            <w:r>
              <w:rPr>
                <w:rFonts w:hint="eastAsia" w:ascii="宋体" w:hAnsi="宋体" w:cs="宋体"/>
                <w:b/>
                <w:bCs/>
                <w:i/>
                <w:iCs/>
                <w:szCs w:val="21"/>
                <w:highlight w:val="none"/>
                <w:u w:val="single"/>
                <w:lang w:bidi="ar"/>
              </w:rPr>
              <w:t xml:space="preserve">）</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彩色打印/复印/扫描多功能一体机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彩色A3激光打印，双面打印，支持网络打印，支持扫描、装订功能</w:t>
            </w:r>
            <w:r>
              <w:rPr>
                <w:highlight w:val="none"/>
              </w:rPr>
            </w:r>
            <w:r/>
          </w:p>
          <w:p>
            <w:pPr>
              <w:pStyle w:val="872"/>
              <w:jc w:val="left"/>
              <w:widowControl/>
              <w:rPr>
                <w:rFonts w:hint="eastAsia" w:ascii="宋体" w:hAnsi="宋体" w:cs="宋体"/>
                <w:szCs w:val="21"/>
                <w:highlight w:val="none"/>
              </w:rPr>
            </w:pPr>
            <w:r>
              <w:rPr>
                <w:rFonts w:hint="eastAsia" w:ascii="宋体" w:hAnsi="宋体" w:cs="宋体"/>
                <w:b/>
                <w:bCs/>
                <w:i/>
                <w:iCs/>
                <w:szCs w:val="21"/>
                <w:highlight w:val="none"/>
                <w:u w:val="single"/>
                <w:lang w:bidi="ar"/>
              </w:rPr>
              <w:t xml:space="preserve">（</w:t>
            </w:r>
            <w:r>
              <w:rPr>
                <w:rFonts w:hint="eastAsia" w:ascii="宋体" w:hAnsi="宋体" w:cs="宋体"/>
                <w:b/>
                <w:bCs/>
                <w:i/>
                <w:iCs/>
                <w:szCs w:val="21"/>
                <w:highlight w:val="none"/>
                <w:u w:val="single"/>
              </w:rPr>
              <w:t xml:space="preserve">提供节能产品认证证书，并加盖投标人公章</w:t>
            </w:r>
            <w:r>
              <w:rPr>
                <w:rFonts w:hint="eastAsia" w:ascii="宋体" w:hAnsi="宋体" w:cs="宋体"/>
                <w:b/>
                <w:bCs/>
                <w:i/>
                <w:iCs/>
                <w:szCs w:val="21"/>
                <w:highlight w:val="none"/>
                <w:u w:val="single"/>
                <w:lang w:bidi="ar"/>
              </w:rPr>
              <w:t xml:space="preserve">）</w:t>
            </w:r>
            <w:r>
              <w:rPr>
                <w:highlight w:val="none"/>
              </w:rPr>
            </w:r>
            <w:r/>
          </w:p>
        </w:tc>
      </w:tr>
      <w:tr>
        <w:trPr>
          <w:trHeight w:val="767"/>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液晶会议平板</w:t>
            </w:r>
            <w:r>
              <w:rPr>
                <w:highlight w:val="none"/>
              </w:rPr>
            </w:r>
            <w:r/>
          </w:p>
          <w:p>
            <w:pPr>
              <w:pStyle w:val="872"/>
              <w:ind w:left="1260" w:firstLine="420"/>
              <w:rPr>
                <w:rFonts w:hint="eastAsia" w:ascii="宋体" w:hAnsi="宋体" w:cs="宋体"/>
                <w:szCs w:val="21"/>
                <w:highlight w:val="none"/>
              </w:rPr>
            </w:pPr>
            <w:r>
              <w:rPr>
                <w:rFonts w:hint="eastAsia" w:ascii="宋体" w:hAnsi="宋体" w:cs="宋体"/>
                <w:szCs w:val="21"/>
                <w:highlight w:val="none"/>
              </w:rPr>
            </w:r>
            <w:r>
              <w:rPr>
                <w:highlight w:val="none"/>
              </w:rPr>
            </w:r>
            <w:r/>
          </w:p>
        </w:tc>
        <w:tc>
          <w:tcPr>
            <w:tcW w:w="6270" w:type="dxa"/>
            <w:vAlign w:val="center"/>
            <w:textDirection w:val="lrTb"/>
            <w:noWrap w:val="false"/>
          </w:tcPr>
          <w:p>
            <w:pPr>
              <w:pStyle w:val="872"/>
              <w:jc w:val="left"/>
              <w:spacing w:line="360" w:lineRule="exact"/>
              <w:widowControl/>
              <w:rPr>
                <w:rFonts w:hint="eastAsia" w:ascii="宋体" w:hAnsi="宋体" w:cs="宋体"/>
                <w:szCs w:val="21"/>
                <w:highlight w:val="none"/>
              </w:rPr>
            </w:pPr>
            <w:r>
              <w:rPr>
                <w:rFonts w:hint="eastAsia" w:ascii="宋体" w:hAnsi="宋体" w:cs="宋体"/>
                <w:szCs w:val="21"/>
                <w:highlight w:val="none"/>
                <w:lang w:bidi="ar"/>
              </w:rPr>
              <w:t xml:space="preserve">1. 尺寸：≥86英寸LED背光源</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2. 显示比例：16:9</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3. 背光类型：DLED</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4. 分辨率：≥3840（H）×2160（V）</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5. 可视角度：水平≥178°，垂直≥178°</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6. 触摸屏材料：防眩钢化玻璃，表面硬度达莫氏七级</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7. 触摸技术：红外</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8. 触摸点数：20点</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9. 书写工具：手指 + 智能笔</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10. 响应时间：&lt;10ms</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11. 触摸精度：1mm</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12. 摄像头：3200万摄像头</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13. 麦克风：内置 8 阵列，全向拾音器 12米拾音</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14. 扩音：前置2*15W扬声器</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15. 输出接口：HDMI OUT*1、 Line out*1、 S/PDIF*1</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16. 输入接口：Type-C ×2、 HDMI IN ×3、USB 3.0 ×4、RJ45*2、RS232*1、VGA*1、Line IN*1、Touch*2</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18. 操作系统：Android 11.0</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19. 配置：四核处理器，8GRAM+64GB ROM</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20、配置移动支架、投屏器、智能笔、ops</w:t>
            </w:r>
            <w:r>
              <w:rPr>
                <w:highlight w:val="none"/>
              </w:rPr>
            </w:r>
            <w:r/>
          </w:p>
        </w:tc>
      </w:tr>
      <w:tr>
        <w:trPr>
          <w:trHeight w:val="767"/>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移动终端</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要求具备以太网接口(RJ45)和USB接口，处理器6核以上，内存8GB以上，显示器分辨率不低于1920*1080，可自动接收IP地址</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网络主机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1、具有≥48个网络端口，≥4个千兆SFP+光纤口，≥一个控制口。</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2、支持网口和光纤线热插拔，支持双备份链路。</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3、支持胖瘦一体化，具有智能交换机和普通交换机两种工作模式。</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4、通过网络管理平台可实现一键快速替换故障设备。</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5、具有IEEE 802.3az标准的EEE节能技术：当EEE使用时，可大幅度的减少端口在该阶段的功耗，达到了节能的目的。</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6、提供友好的Web管理界面，1:1还原交换机端口和面板状态，可方便、快捷查看交换机端口工作状态、流量趋势等。</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7、采用“零部署”上线方式，交换机接上网线后自动展示在待激活列表，无需配置，一键即可激活。同时控制器还能对故障交换机进行一键重启和替换，最大程度节省运维时间。</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8、具有自动化拓扑生成功能，设备接线后，管理平台自动生成网络拓扑，并且能够直接在拓扑上进行设备配置。</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电源管理器</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1、支持不小于≥8通道电源时序打开/关闭，每路动作延时时间：1秒，支持远程控制（上电+24V直流信号）8通道电源时序打开/关闭—当电源开关处于off位置时有效。支持配置CH1和CH2通道为受控或不受控状态。</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2、当远程控制有效时同时控制后板ALARM（报警）端口导通以起到级联控制ALARM（报警）功能。</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3、单个通道最大负载功率≥2200W，所有通道负载总功率不小于6000W。输出连接器：多用途电源插座。</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4、具有≥一路及以上USB输出接口。</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三层千兆交换机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三层交换机（48口全千兆）48个10/100/1000Base-T以太网端口，4个千兆SFP端口</w:t>
            </w:r>
            <w:r>
              <w:rPr>
                <w:highlight w:val="none"/>
              </w:rPr>
            </w:r>
            <w:r/>
          </w:p>
        </w:tc>
      </w:tr>
      <w:tr>
        <w:trPr/>
        <w:tc>
          <w:tcPr>
            <w:gridSpan w:val="3"/>
            <w:tcW w:w="8547" w:type="dxa"/>
            <w:vAlign w:val="center"/>
            <w:textDirection w:val="lrTb"/>
            <w:noWrap w:val="false"/>
          </w:tcPr>
          <w:p>
            <w:pPr>
              <w:pStyle w:val="872"/>
              <w:jc w:val="left"/>
              <w:widowControl/>
              <w:rPr>
                <w:rFonts w:hint="eastAsia" w:ascii="宋体" w:hAnsi="宋体" w:cs="宋体"/>
                <w:b/>
                <w:bCs/>
                <w:szCs w:val="21"/>
                <w:highlight w:val="none"/>
              </w:rPr>
            </w:pPr>
            <w:r>
              <w:rPr>
                <w:rFonts w:hint="eastAsia" w:ascii="宋体" w:hAnsi="宋体" w:cs="宋体"/>
                <w:b/>
                <w:bCs/>
                <w:szCs w:val="21"/>
                <w:highlight w:val="none"/>
                <w:lang w:bidi="ar"/>
              </w:rPr>
              <w:t xml:space="preserve">三、扩声系统</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阵列音柱</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低音：8x3"</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高音：1x1 "钕磁高音，前置压缩等化器装置；</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频响范围：100Hz~20kHz；</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阻抗：4Ω；</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额定功率:270W;</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最大承载功率：1080W;</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灵敏度(1W/1m) ：93dB；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最大指定频带内声压级（峰值）：124dB；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扩散角度（-6dB）：垂直：30°，水平：160°；</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箱体材质：ABS混合玻璃纤维强化箱体；</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导向系统：前置9条非对称圆形波导风管；</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箱体颜色：黑色/白色；</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铝网颜色：黑色/白色；</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铁网孔型：圆孔；</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吊装方式：壁架/嵌入；</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连接方式：压线端子。</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8寸同轴音箱</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类型:同轴式号筒负载技术</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构成:8"+1"</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阻抗:8Ω</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平均功率:250W</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峰值功率:500W</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频响:90Hz-20KHz</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灵敏度(1W/1M):≥92dB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最大声压级:≤116dB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扩散角度:120º H×120º V</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可调数字功放</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1、专业数字开关电源功放，其系列可以调节功率，分别可以调节设计以下4个功率比，2X400W/2X600W/2X800W/2X1000W,能工作于世界电压（90V-260V）下。</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2、国际标准1U面板/44MM高度/483MM宽度，工厂定制机箱深度为270MM的标准配制尺寸设计。</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3、Class D核心功放模块。</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4、PFC（Power Factor Correction电源系数校正）+SMPS通用电压。</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5、后板输入灵敏度选择（0.775V/1.OV）；后板连接模式选择立体声/并接。</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6、前面板独立通道电源指示灯及信号指示灯/过载指示灯/故障指示灯和2路电平控制器。</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7、整机具备智能全方位各种保护功能。</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8、</w:t>
            </w:r>
            <w:r>
              <w:rPr>
                <w:rFonts w:hint="eastAsia" w:ascii="宋体" w:hAnsi="宋体" w:cs="宋体"/>
                <w:b/>
                <w:bCs/>
                <w:szCs w:val="21"/>
                <w:highlight w:val="none"/>
                <w:lang w:bidi="ar"/>
              </w:rPr>
              <w:t xml:space="preserve">▲符合静电放电抗扰度GB/T 17626.2-2018标准。（</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5寸吸顶音箱</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1、外观采用窄边设计，配备大容量金属腔体。单元采用高功率5寸中低音单元和1寸丝膜高音。</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2、单元组成：5"+1"</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3、频率响应：≥80-20kHz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4、额定功率：≥40W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5、阻抗：8Ω</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6、灵敏度≥89dB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7、开孔尺寸≤204mm</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8、规格≤201×167.5×208mm</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9、重量≤3.2KG</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四通道数字功放</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1、多通道数字功放，超高的信噪 比(99dB不计权);</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2、1U厚度，半机架设计，并可通过附件安装于 标准机架;</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3、失真限制的输出功率(1kHz，THD=1.0%)：200W(每通道)*4</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4、总谐波失真(1kHz，标准测量条件)：0.015%</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5、信噪比(1kHz，不计权)：≥99dB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6、频率响应：≥20-20kHz</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7、7.1额定源电动势(1kHz，THD=1.0%)：1V</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7.2额定工作条件的消耗功率(1kHz，THD=1.0%)：200W(每通道)</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7.3正常工作条件的消耗功率(1kHz)：20W(每通道)</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7.4、正常工作电压(50Hz)：165-255V</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8、输入灵敏度：≥0.775V</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9、工作温度：-10°C~+40°C</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8*8音频处理器</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8进8出的自动混音矩阵，配备8路模拟输入和8路模拟输出。麦克风输入和线路输入自由切换，每路输入带40V环相电源选择。内置反馈抑制，自动混音，矩阵混音，均衡器，分配器，压缩器等DSP功能。通过网络连接电脑软件控制或RS232/TCPIP连接中控远程控制。</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2、8路模拟音频输入8路模拟音频输出;麦克风输入和线路输入自由切换;每路输入带40V环相电源开关;每路输入带反馈抑制功能开关，两档调节。</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3、自动混音和矩阵混音功能;输入31段EQ可调，输出10段EQ可调;USB免驱自动连接软件，RS232中控控制。</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4、DSP芯片</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5、信号处理：32-bit Þxed/βoating-point DSP 300MHz</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6、音频系统延迟：&lt;1ms/</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7、数模转换：24-bit</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8、采样率：48KHz</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9、9.1输入通道：8路平衡输入.Mic/line level</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9.2音频接口：3.81 mm 凤凰插，12-pin</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9.3输入阻抗:11.5kΩ</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9.4最大输入电平：14dBu/Line, -7dBu/Mic</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10、输出通道：8路平衡输出,line level</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11、连接和显示</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11.1 USB：Micro-B type,免驱</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11.2 RS232：Serial port communication串口通信</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11.3 TCPIP网口：RJ-45,Optional</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11.4 指示灯：Power,Link,+48V,输入输出音频信号</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12、电气与物理参数</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12.1供电范围：AC100V---240V 50/60 Hz</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12.2工作温度： -20℃--80℃</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反馈抑制器</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1、自动扫描啸叫点并抑制；</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2、抑制系统微弱噪声干扰；</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3、输入压缩功能，消除反馈同时扩展人声动。</w:t>
            </w:r>
            <w:r>
              <w:rPr>
                <w:highlight w:val="none"/>
              </w:rPr>
            </w:r>
            <w:r/>
          </w:p>
        </w:tc>
      </w:tr>
      <w:tr>
        <w:trPr>
          <w:trHeight w:val="699"/>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数字调音台</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1、16路模拟输入，低本底噪声、多功能参数可调；</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2、内置USB录音、播放功能，支持APE\MP3\FLAC\WAV无损音频格式；</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3、8路DCA编组、8路静音编组，输入输出、效果器通道均可编入；</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4、每路输入通道具有4段参量均衡器、压缩器、噪声门、极性、延时器；</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5、每路输出通道具有6段参量均衡器、31段图示均衡器、高低通滤波器、压限器、延时器、 反馈抑制算法；</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6、支持不少于30组场景预设，且可导入USB存储，便于备份调用；</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7、内置：正弦波、白/粉噪声信号发生器；</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8、Link连接功能，可进行相邻通道绑定设置；防碰、误操作面板锁；</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9、输入 In1~8 平衡式XLR/TRS组合输入接口；stero Input 9~16 TRS1/4立体声输入插孔；</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10、2路USB3.0输入声卡</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11、输出 LR main母线输出；</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12、4路AUX辅助输出；</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13、1路TRS监听</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14、屏幕 7寸高清触摸屏，1024×600分辨率</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15、总谐波失真&amp;噪声 ＜0.002% @ 18dBu A+权</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16、频率响应(20~20KHz)20HZ ~ 20KHz ,±0.2dB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17、采样率 ≥48K</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18、量化位数 24bit</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19、信噪比 -90dBu</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20、最大电平(输入) +20dBu，平衡；最大电平(输出) +15dBu，平衡</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21、模/数动态范围 100dB；数/模动态范围 100dB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22、输入至输出动态范围 108dB</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22.1输入阻抗(平衡式) 20KΩ</w:t>
            </w:r>
            <w:r>
              <w:rPr>
                <w:highlight w:val="none"/>
              </w:rPr>
            </w:r>
            <w:r/>
          </w:p>
          <w:p>
            <w:pPr>
              <w:pStyle w:val="872"/>
              <w:ind w:firstLine="315"/>
              <w:jc w:val="left"/>
              <w:widowControl/>
              <w:rPr>
                <w:rFonts w:hint="eastAsia" w:ascii="宋体" w:hAnsi="宋体" w:cs="宋体"/>
                <w:szCs w:val="21"/>
                <w:highlight w:val="none"/>
              </w:rPr>
            </w:pPr>
            <w:r>
              <w:rPr>
                <w:rFonts w:hint="eastAsia" w:ascii="宋体" w:hAnsi="宋体" w:cs="宋体"/>
                <w:szCs w:val="21"/>
                <w:highlight w:val="none"/>
              </w:rPr>
              <w:t xml:space="preserve">22.2输出阻抗(平衡式) 100Ω</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23、通道隔离度@1KHz 100dB</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24、工作温度 0℃-55℃</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25、工作电源 19/2A</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26、电源功耗≤ 30W</w:t>
            </w:r>
            <w:r>
              <w:rPr>
                <w:highlight w:val="none"/>
              </w:rPr>
            </w:r>
            <w:r/>
          </w:p>
        </w:tc>
      </w:tr>
      <w:tr>
        <w:trPr/>
        <w:tc>
          <w:tcPr>
            <w:gridSpan w:val="3"/>
            <w:tcW w:w="8547" w:type="dxa"/>
            <w:vAlign w:val="center"/>
            <w:textDirection w:val="lrTb"/>
            <w:noWrap w:val="false"/>
          </w:tcPr>
          <w:p>
            <w:pPr>
              <w:pStyle w:val="872"/>
              <w:jc w:val="left"/>
              <w:widowControl/>
              <w:rPr>
                <w:rFonts w:hint="eastAsia" w:ascii="宋体" w:hAnsi="宋体" w:cs="宋体"/>
                <w:b/>
                <w:bCs/>
                <w:szCs w:val="21"/>
                <w:highlight w:val="none"/>
              </w:rPr>
            </w:pPr>
            <w:r>
              <w:rPr>
                <w:rFonts w:hint="eastAsia" w:ascii="宋体" w:hAnsi="宋体" w:cs="宋体"/>
                <w:b/>
                <w:bCs/>
                <w:szCs w:val="21"/>
                <w:highlight w:val="none"/>
                <w:lang w:bidi="ar"/>
              </w:rPr>
              <w:t xml:space="preserve">四、视频处理系统</w:t>
            </w:r>
            <w:r>
              <w:rPr>
                <w:highlight w:val="none"/>
              </w:rPr>
            </w:r>
            <w:r/>
          </w:p>
        </w:tc>
      </w:tr>
      <w:tr>
        <w:trPr/>
        <w:tc>
          <w:tcPr>
            <w:tcW w:w="762" w:type="dxa"/>
            <w:vAlign w:val="center"/>
            <w:textDirection w:val="lrTb"/>
            <w:noWrap w:val="false"/>
          </w:tcPr>
          <w:p>
            <w:pPr>
              <w:pStyle w:val="872"/>
              <w:numPr>
                <w:ilvl w:val="0"/>
                <w:numId w:val="3"/>
              </w:numPr>
              <w:jc w:val="center"/>
              <w:widowControl/>
              <w:tabs>
                <w:tab w:val="left" w:pos="664" w:leader="none"/>
              </w:tabs>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高清视频会议摄像机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1、全高清图像：采用1/2.8英寸207万像素高品质图像传感器，最大分辨率可达1920x1080，输出帧率高达60帧/秒。</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2、具有12倍光学变倍镜头，f=5.5-110MM  3.3°（窄角） 54.7°（广角） F1.6-F3.5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3、领先的自动聚焦技术：先进的自动聚焦算法使得镜头快速、准确、稳定地完成自动聚焦。</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4、低噪声高信噪比：低噪声CMOS有效地保证了摄像机视频的超高信噪比。采用先进的2D、3D降噪技术，进一步降低了噪声，同时又能确保图像清晰度。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5、多种视频输出接口：支持HDMI，SDI，USB、有线LAN；SDI支持在1080P60格式下传输100米。</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6、多种音视频压缩标准：支持H.265/H.264视频压缩，支持AAC、MP3、G.711A音频压缩；支持高达1920x1080分辨率60帧/秒压缩；</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7、音频输入接口：支持8000、16000、32000、44100、48000采样频率，支持AAC、MP3、G.711A音频编码</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8、多种网络协议：支持ONVIF、GB/T28181、RTSP、RTMP协议；支持RTMP推送模式，轻松连接流媒体服务器(Wowza、FMS)；支持RTP组播模式，支持网络全命令VISCA控制协议。</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9、控制接口：RS485、RS232；RS232支持级联，方便工程安装使用。</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10、多种控制协议：支持VISCA、PELCO-D、PELCO-P协议，支持自动识别协议。</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11、超级静音云台：采用高精度步进电机以及精密电机驱动控制器，确保云台低速运行平稳，并且无噪声。</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12、低功耗休眠功能：支持低功耗休眠/唤醒，休眠时功耗低于400mW。</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13、多预置位：支持多达255个预置位(遥控器设置调用为10个)。</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14、多种遥控器：用户可以根据所使用的环境条件，选择红外遥控器或无线遥控器。2.4G无线遥控器不受角度、距离、红外干扰影响。支持遥控器信号透传功能，方便后端设备使用。</w:t>
            </w:r>
            <w:r>
              <w:rPr>
                <w:highlight w:val="none"/>
              </w:rPr>
            </w:r>
            <w:r/>
          </w:p>
        </w:tc>
      </w:tr>
      <w:tr>
        <w:trPr/>
        <w:tc>
          <w:tcPr>
            <w:tcW w:w="762" w:type="dxa"/>
            <w:vAlign w:val="center"/>
            <w:textDirection w:val="lrTb"/>
            <w:noWrap w:val="false"/>
          </w:tcPr>
          <w:p>
            <w:pPr>
              <w:pStyle w:val="872"/>
              <w:numPr>
                <w:ilvl w:val="0"/>
                <w:numId w:val="3"/>
              </w:numPr>
              <w:jc w:val="center"/>
              <w:widowControl/>
              <w:tabs>
                <w:tab w:val="left" w:pos="664" w:leader="none"/>
              </w:tabs>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视频会议主机</w:t>
            </w:r>
            <w:r>
              <w:rPr>
                <w:highlight w:val="none"/>
              </w:rPr>
            </w:r>
            <w:r/>
          </w:p>
        </w:tc>
        <w:tc>
          <w:tcPr>
            <w:tcW w:w="6270" w:type="dxa"/>
            <w:vAlign w:val="center"/>
            <w:textDirection w:val="lrTb"/>
            <w:noWrap w:val="false"/>
          </w:tcPr>
          <w:p>
            <w:pPr>
              <w:pStyle w:val="872"/>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采用嵌入式操作系统，非Windows系统；非PC架构，非工控机架构。</w:t>
            </w:r>
            <w:r>
              <w:rPr>
                <w:highlight w:val="none"/>
              </w:rPr>
            </w:r>
            <w:r/>
          </w:p>
          <w:p>
            <w:pPr>
              <w:pStyle w:val="872"/>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遵循H.323/SIP协议标准。</w:t>
            </w:r>
            <w:r>
              <w:rPr>
                <w:highlight w:val="none"/>
              </w:rPr>
            </w:r>
            <w:r/>
          </w:p>
          <w:p>
            <w:pPr>
              <w:pStyle w:val="872"/>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具备H.261、H.263、H.264、H.264SVC、H.264 High Profile图像编码协议，具备1080P60帧、720P60帧、4CIF，CIF。</w:t>
            </w:r>
            <w:r>
              <w:rPr>
                <w:highlight w:val="none"/>
              </w:rPr>
            </w:r>
            <w:r/>
          </w:p>
          <w:p>
            <w:pPr>
              <w:pStyle w:val="872"/>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音频具备22Khz高清语音。</w:t>
            </w:r>
            <w:r>
              <w:rPr>
                <w:highlight w:val="none"/>
              </w:rPr>
            </w:r>
            <w:r/>
          </w:p>
          <w:p>
            <w:pPr>
              <w:pStyle w:val="872"/>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具备标准H.239协议的双流收发，辅流PC桌面数据输入能达到1920*1080分辨率；为会议室布线方便，终端要具备通过网络发送双流的能力。</w:t>
            </w:r>
            <w:r>
              <w:rPr>
                <w:highlight w:val="none"/>
              </w:rPr>
            </w:r>
            <w:r/>
          </w:p>
          <w:p>
            <w:pPr>
              <w:pStyle w:val="872"/>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具备3路音频输入和2路音频输出接口，终端需有具备阵列MIC输入的数字音频接口,具备两路数字麦克风串联；</w:t>
            </w:r>
            <w:r>
              <w:rPr>
                <w:highlight w:val="none"/>
              </w:rPr>
            </w:r>
            <w:r/>
          </w:p>
          <w:p>
            <w:pPr>
              <w:pStyle w:val="872"/>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具备在三个显示设备分别显示远端视频、本端视频和辅流；</w:t>
            </w:r>
            <w:r>
              <w:rPr>
                <w:highlight w:val="none"/>
              </w:rPr>
            </w:r>
            <w:r/>
          </w:p>
          <w:p>
            <w:pPr>
              <w:pStyle w:val="872"/>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支持预置位功能，预置位数量至少10个；</w:t>
            </w:r>
            <w:r>
              <w:rPr>
                <w:highlight w:val="none"/>
              </w:rPr>
            </w:r>
            <w:r/>
          </w:p>
          <w:p>
            <w:pPr>
              <w:pStyle w:val="872"/>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IP网络抗丢包性能，要求&lt;=20%丢包时，语音连续清晰，视频清晰；要求&lt;=70%丢包时，语音连续清晰。</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10、全中文图形化界面，具备遥控器输入。</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11、终端具备静态NAT、H.460等公私网穿越协议，具备固定信令和视音频端口进行防火墙穿越。</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高清混合插卡矩阵主机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1、支持4×4到32×32的视频切换</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2、采用FPGA架构</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3、设备具有倍频倍线功能，将不同分辨率的信号统一处理输出相同分辨率的信号</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4、不分信号格式，可以任意输入切换到任意输出</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5、先进的EDID管理；支持HDMI1.4a，支持3D</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6、支持按钮，IR和RS232控制，可选TCP / IP控制，同时兼容第三方控制</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7、现场升级和热插拔</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8、支持掉电保护；兼容HDCP</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9、支持HDBaseT技术集成</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4路HDMI输入卡</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1、4路HDMI无缝板卡，4路HDMI输入卡；</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2、最大分辨率达到1080P;</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3、独立的音频输入；</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4路HDMI输出卡</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1、4路HDMI无缝输出卡；</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2、最大分辨率达到1080P;</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3、4路的模拟音频输出；</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信号传输器</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1、支持全高清传输：用单根CAT5e/CAT6类电缆传输</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2、1080p@60Hz@48b/pixels，3D和4Kx2K信号单根CAT5e/CAT6类电缆传输的最大距离为60m；</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3、带POC供电</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摄像机升降器</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定制</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摄像机三脚架</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定制</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tabs>
                <w:tab w:val="left" w:pos="664" w:leader="none"/>
              </w:tabs>
              <w:rPr>
                <w:rFonts w:hint="eastAsia" w:ascii="宋体" w:hAnsi="宋体" w:cs="宋体"/>
                <w:szCs w:val="21"/>
                <w:highlight w:val="none"/>
              </w:rPr>
            </w:pPr>
            <w:r>
              <w:rPr>
                <w:rFonts w:hint="eastAsia" w:ascii="宋体" w:hAnsi="宋体" w:cs="宋体"/>
                <w:szCs w:val="21"/>
                <w:highlight w:val="none"/>
              </w:rPr>
              <w:t xml:space="preserve">视频会议终端</w:t>
            </w:r>
            <w:r>
              <w:rPr>
                <w:highlight w:val="none"/>
              </w:rPr>
            </w:r>
            <w:r/>
          </w:p>
        </w:tc>
        <w:tc>
          <w:tcPr>
            <w:tcW w:w="6270" w:type="dxa"/>
            <w:vAlign w:val="center"/>
            <w:textDirection w:val="lrTb"/>
            <w:noWrap w:val="false"/>
          </w:tcPr>
          <w:p>
            <w:pPr>
              <w:pStyle w:val="872"/>
              <w:jc w:val="left"/>
              <w:widowControl/>
              <w:tabs>
                <w:tab w:val="left" w:pos="664" w:leader="none"/>
              </w:tabs>
              <w:rPr>
                <w:rFonts w:hint="eastAsia" w:ascii="宋体" w:hAnsi="宋体" w:cs="宋体"/>
                <w:szCs w:val="21"/>
                <w:highlight w:val="none"/>
              </w:rPr>
            </w:pPr>
            <w:r>
              <w:rPr>
                <w:rFonts w:hint="eastAsia" w:ascii="宋体" w:hAnsi="宋体" w:cs="宋体"/>
                <w:szCs w:val="21"/>
                <w:highlight w:val="none"/>
              </w:rPr>
              <w:t xml:space="preserve">1、内置1080P高清摄像头；</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2、视频输出接口：HDMI*1；</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3、音频输入接口：内置阵列麦克风*2、USB扩展；</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4、音频输出接口：HDMI、USB扩展</w:t>
            </w:r>
            <w:r>
              <w:rPr>
                <w:highlight w:val="none"/>
              </w:rPr>
            </w:r>
            <w:r/>
          </w:p>
        </w:tc>
      </w:tr>
      <w:tr>
        <w:trPr/>
        <w:tc>
          <w:tcPr>
            <w:gridSpan w:val="3"/>
            <w:tcW w:w="8547" w:type="dxa"/>
            <w:vAlign w:val="center"/>
            <w:textDirection w:val="lrTb"/>
            <w:noWrap w:val="false"/>
          </w:tcPr>
          <w:p>
            <w:pPr>
              <w:pStyle w:val="872"/>
              <w:jc w:val="left"/>
              <w:widowControl/>
              <w:rPr>
                <w:rFonts w:hint="eastAsia" w:ascii="宋体" w:hAnsi="宋体" w:cs="宋体"/>
                <w:b/>
                <w:bCs/>
                <w:szCs w:val="21"/>
                <w:highlight w:val="none"/>
              </w:rPr>
            </w:pPr>
            <w:r>
              <w:rPr>
                <w:rFonts w:hint="eastAsia" w:ascii="宋体" w:hAnsi="宋体" w:cs="宋体"/>
                <w:b/>
                <w:bCs/>
                <w:szCs w:val="21"/>
                <w:highlight w:val="none"/>
              </w:rPr>
              <w:t xml:space="preserve">五、中控系统</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中央控制主机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1、操作系统支持 Linux 或windows</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2、Memory 512M DDR3 RAM</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3、Flash 512M Nand Flash</w:t>
            </w:r>
            <w:r>
              <w:rPr>
                <w:highlight w:val="none"/>
              </w:rPr>
            </w:r>
            <w:r/>
          </w:p>
          <w:p>
            <w:pPr>
              <w:pStyle w:val="872"/>
              <w:jc w:val="left"/>
              <w:widowControl/>
              <w:rPr>
                <w:rFonts w:hint="eastAsia" w:ascii="宋体" w:hAnsi="宋体" w:cs="宋体"/>
                <w:bCs/>
                <w:szCs w:val="21"/>
                <w:highlight w:val="none"/>
              </w:rPr>
            </w:pPr>
            <w:r>
              <w:rPr>
                <w:rFonts w:hint="eastAsia" w:ascii="宋体" w:hAnsi="宋体" w:cs="宋体"/>
                <w:bCs/>
                <w:szCs w:val="21"/>
                <w:highlight w:val="none"/>
              </w:rPr>
              <w:t xml:space="preserve">4、弱电继电器接口≥8路；数字I/O接口≥8路；双向RS-232串行通讯口≥6路；红外或单相RS-232串行通讯口≥8路。网口≥1路，USB口≥1路。</w:t>
            </w:r>
            <w:r>
              <w:rPr>
                <w:highlight w:val="none"/>
              </w:rPr>
            </w:r>
            <w:r/>
          </w:p>
          <w:p>
            <w:pPr>
              <w:pStyle w:val="872"/>
              <w:jc w:val="left"/>
              <w:widowControl/>
              <w:rPr>
                <w:rFonts w:hint="eastAsia" w:ascii="宋体" w:hAnsi="宋体" w:cs="宋体"/>
                <w:bCs/>
                <w:szCs w:val="21"/>
                <w:highlight w:val="none"/>
              </w:rPr>
            </w:pPr>
            <w:r>
              <w:rPr>
                <w:rFonts w:hint="eastAsia" w:ascii="宋体" w:hAnsi="宋体" w:cs="宋体"/>
                <w:bCs/>
                <w:szCs w:val="21"/>
                <w:highlight w:val="none"/>
              </w:rPr>
              <w:t xml:space="preserve">5、支持远程编程，支持语音控制</w:t>
            </w:r>
            <w:r>
              <w:rPr>
                <w:highlight w:val="none"/>
              </w:rPr>
            </w:r>
            <w:r/>
          </w:p>
          <w:p>
            <w:pPr>
              <w:pStyle w:val="872"/>
              <w:jc w:val="left"/>
              <w:widowControl/>
              <w:rPr>
                <w:rFonts w:hint="eastAsia" w:ascii="宋体" w:hAnsi="宋体" w:cs="宋体"/>
                <w:szCs w:val="21"/>
                <w:highlight w:val="none"/>
              </w:rPr>
            </w:pPr>
            <w:r>
              <w:rPr>
                <w:rFonts w:hint="eastAsia" w:ascii="宋体" w:hAnsi="宋体" w:cs="宋体"/>
                <w:bCs/>
                <w:szCs w:val="21"/>
                <w:highlight w:val="none"/>
              </w:rPr>
              <w:t xml:space="preserve">6、抗静电干扰满足GB/T17626.2-2006标准</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8路电源时序器</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1、单路额定输出电流 13A；</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2、彩色液晶智能显示屏，可实时显示当前电压，日期时间，通道开关状态；</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3、内置时钟芯片，可根据日期时间定时设置自动开关机；</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4、支持多台设备级联顺序控制，级联自动检测设置；</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5、支持232控制；</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6、每台设备自带设备编码ID检测和设置，可实现远程集中控制；</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rPr>
              <w:t xml:space="preserve">扩声系统集成软件</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1、通过时序电源网口和串口在中控系统软件中写入对应控制协议实现对机柜设备电源开关控制。</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2、通过LED屏软件在视频处理器里写入对应窗口模式通过串口或网口对接中控写入相应控制协议，控制LED屏显示场景模式。</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3、通过LED屏PLC开关对接中用网口或者串口控制实现对LED屏实现开关机控制。</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4、通过音频处理器串口或网口对接中控，写入对应控制协议实现对音频场景的控制。（可单独控制输入和输出音量）</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5、一键恢复默认开启前状态。（防止乱动处理器系统设置）</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包括音频部分:音频处理器（控制声音加减、静音、非静音）话筒（控制摄像联动）；视频部分:大屏、投影机、一体机（控制开关机）、录播（控制录播开始、暂停、停止）；灯光（灯光打开、关闭、调光）、窗帘（窗帘打开、暂停、关闭）；电脑（控制电脑开关机）。</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移动控制终端</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1、平板电脑屏≥10英寸，内存≥64G 支持无线WIFI</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2、分辨率≥2000*1200</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3、通过无线路由对接中央控制主机实现无线控制功能</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无线路由器</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1、产品类型：企业级无线路由器</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2、频率范围：双频（2.4GHz，5GHz）</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3、最高传输速率：1200Mbps</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4、天线数量：4根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5、天线增益：5dBi</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6、网络接口：1个10/100/1000Mbps WAN口，3个10/100/1000Mbps LAN口，1个10/100/1000Mbps LAN口</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机柜</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42U</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千兆交换机</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24个10/100/1000base-t以太网端口，1个千兆SFP，交流供电，背板带宽336Gbps/3.36Tbps，包转发率：51/126Mpps</w:t>
            </w:r>
            <w:r>
              <w:rPr>
                <w:highlight w:val="none"/>
              </w:rPr>
            </w:r>
            <w:r/>
          </w:p>
        </w:tc>
      </w:tr>
      <w:tr>
        <w:trPr>
          <w:trHeight w:val="763"/>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核心交换机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1、交换容量≥76Tbps，转发性能≥57000Mpps,以官网最小值为准；</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2、设备支持主控引擎≥2，业务槽位≥6个，整机电源槽位数≥4</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3、为保证设备散热效果和可靠性，要求设备支持模块化风扇框，可热插拔，独立风扇框数≥2；</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4、支持整机MAC地址≥1M，ARP表项≥256K，IPv4路由转发FIB表项≥128K，ACL表项≥256K；</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5、支持硬件BFD/OAM，3.3ms稳定均匀发包检测，提高设备的可靠性；</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6、支持独立的硬件集中监控板, 实现对设备的电源模块和风扇模块进行管理，支持热插拔，并支持冗余备份功能；</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7、单台设备配置：万兆光接口≥48个，千兆电接口≥48个，万兆单模光模块≥24块，万兆多模光模块≥24块，双主控，双电源含堆叠所需辅材。</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上网行为管理</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性能参数：网络层吞吐量：3.6Gb，应用层吞吐量：450Mb，支持用户数：800，准入终端数：400，包转发率：45Kpps，每秒新建连接数：4000，最大并发连接数：150000。</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硬件参数：规格：1U，内存大小：4G，硬盘容量：128G SSD，电源：单电源，接口：6千兆电口。</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NVR</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网络硬盘录像机 H.265编码1080P解码高清监控主机 POE供电，8路1盘位</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场所全景摄像机</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1、最高分辨率不小于1920 × 1080 @25 fps，在该分辨率下可输出实时图像</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2、支持用户登录锁定机制，及密码复杂度提示</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3、支持2项智能侦测：越界侦测，区域入侵侦测</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4、支持ROI感兴趣区域增强编码，Smart265/264编码，可根据场景情况自适应调整码率分配，有效节省存储成本</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5、支持背光补偿，强光抑制，3D数字降噪，适应不同使用环境</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6、支持开放型网络视频接口，ISAPI，SDK，GB28181协议</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7、采用高效阵列红外灯，使用寿命长，红外照射距离最远可达30 m</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8、符合IP66防尘防水设计，可靠性高</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存储硬盘</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1、容量：≥4TB。</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2、接口类型：支持SATA。</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3、缓存≥64M。</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4、3.5英寸。</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5、≥5400转。</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市电接入总配电箱</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包含箱体、接线端子</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接入电缆</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国标25mm*4+16mm*1 </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设备分电箱</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定制</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设备间UPS</w:t>
            </w:r>
            <w:r>
              <w:rPr>
                <w:highlight w:val="none"/>
              </w:rPr>
            </w:r>
            <w:r/>
          </w:p>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主机</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含配电模块、隔离变压器，机柜为19英寸机架尺寸，可用功率容量≥30千瓦。</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电池</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120AH</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电池柜</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定制</w:t>
            </w:r>
            <w:r>
              <w:rPr>
                <w:highlight w:val="none"/>
              </w:rPr>
            </w:r>
            <w:r/>
          </w:p>
        </w:tc>
      </w:tr>
      <w:tr>
        <w:trPr/>
        <w:tc>
          <w:tcPr>
            <w:gridSpan w:val="3"/>
            <w:tcW w:w="8547" w:type="dxa"/>
            <w:vAlign w:val="center"/>
            <w:textDirection w:val="lrTb"/>
            <w:noWrap w:val="false"/>
          </w:tcPr>
          <w:p>
            <w:pPr>
              <w:pStyle w:val="872"/>
              <w:jc w:val="left"/>
              <w:rPr>
                <w:rFonts w:hint="eastAsia" w:ascii="宋体" w:hAnsi="宋体" w:cs="宋体"/>
                <w:b/>
                <w:bCs/>
                <w:szCs w:val="21"/>
                <w:highlight w:val="none"/>
              </w:rPr>
            </w:pPr>
            <w:r>
              <w:rPr>
                <w:rFonts w:hint="eastAsia" w:ascii="宋体" w:hAnsi="宋体" w:cs="宋体"/>
                <w:b/>
                <w:bCs/>
                <w:szCs w:val="21"/>
                <w:highlight w:val="none"/>
              </w:rPr>
              <w:t xml:space="preserve">六、单兵装备</w:t>
            </w:r>
            <w:r>
              <w:rPr>
                <w:highlight w:val="none"/>
              </w:rPr>
            </w:r>
            <w:r/>
          </w:p>
        </w:tc>
      </w:tr>
      <w:tr>
        <w:trPr>
          <w:trHeight w:val="723"/>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5G执法视音频记录仪</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1、设备的音频采样率不应低于16kHz，音频编码不应低于48kbps，视频编解码支持采用H.264和H.265格式。</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2、外形尺寸≤90 x 59 x 32mm（长*宽*高），不小于2.4英寸触摸显示屏，设备质量应小于或等于185g（裸机），含背夹应小于或等于205g。</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3、设备硬件接口应支持Micro Usb、Mini Usb或Type-C接口。</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4、设备应具备双mic音频采集。</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5、设备出厂内置存储容量≥64GB。</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6、电池欠压报警后电池剩余容量应能保证执法记录仪正常摄录不少于5min，但不超过30min。</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7、设备远程传输可将现场的图像通过4G/5G无线网络进行传输，实时同步传输至系统平台。</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8、设备可接入移动、联通、电信、广电的5G SIM卡，设备在接入电脑、采集站状态下，应能自动关闭5G信号。</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9、</w:t>
            </w:r>
            <w:r>
              <w:rPr>
                <w:rFonts w:hint="eastAsia" w:ascii="宋体" w:hAnsi="宋体" w:cs="宋体"/>
                <w:b/>
                <w:bCs/>
                <w:szCs w:val="21"/>
                <w:highlight w:val="none"/>
                <w:lang w:bidi="ar"/>
              </w:rPr>
              <w:t xml:space="preserve">▲内置北斗模块，支持通过单北斗模式获取定位信息；支持将采集的定位信息和运行轨迹上报后台，定位信息上报周期可在1s~30min 区间进行设置。（</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10、设备摄像头水平视场角应满足：在3840*2160、2560*1440、1920*1080p、1280*720p、864*480分辨率下均不小于120°</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11、设备采用内置可更换电池供电，电池容量3040mAH。开启网络传输功能后，电池工作时间应满足在视频分辨率1280x720，帧率25帧/s条件下，连续续航传输视频时间大于等于6h。</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12、外壳防护等级≧IP68。</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13、</w:t>
            </w:r>
            <w:r>
              <w:rPr>
                <w:rFonts w:hint="eastAsia" w:ascii="宋体" w:hAnsi="宋体" w:cs="宋体"/>
                <w:b/>
                <w:bCs/>
                <w:szCs w:val="21"/>
                <w:highlight w:val="none"/>
                <w:lang w:bidi="ar"/>
              </w:rPr>
              <w:t xml:space="preserve">▲设备具备对电池健康状态检测功能，在设备使用生命周期内，设备应能判断及展示当前电池的健康状态；当检测到当前电池最大容量低于额定容量80%时，系统自动提醒用户更换电池。（</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14、</w:t>
            </w:r>
            <w:r>
              <w:rPr>
                <w:rFonts w:hint="eastAsia" w:ascii="宋体" w:hAnsi="宋体" w:cs="宋体"/>
                <w:b/>
                <w:bCs/>
                <w:szCs w:val="21"/>
                <w:highlight w:val="none"/>
                <w:lang w:bidi="ar"/>
              </w:rPr>
              <w:t xml:space="preserve">▲设备在进入室内无法定位时，能够上传最后一次有效定位的经纬度值，并在设备取景区域左下角显示经纬度值，最后一次有效定位和正常定位的经纬度数据能够明显区分。（</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15、设备应具备2路摄像头，正面一个摄像头，背面一个摄像头；正面1路摄像头应不小于800W像素，背面1路摄像头应不小于500W像素。</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16、在开启防抖功能后，使用抖动台和“+”字图形进行试验，距离设备1m处，5000K亮度，在1Hz振动频率，振动幅度1°条件下，同一位置点在视音频信息中的最大振动像素差应≤5像素。</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17、</w:t>
            </w:r>
            <w:r>
              <w:rPr>
                <w:rFonts w:hint="eastAsia" w:ascii="宋体" w:hAnsi="宋体" w:cs="宋体"/>
                <w:b/>
                <w:bCs/>
                <w:szCs w:val="21"/>
                <w:highlight w:val="none"/>
                <w:lang w:bidi="ar"/>
              </w:rPr>
              <w:t xml:space="preserve">▲设备支持双国标平台注册功能，当设备空闲时，支持任一国标平台对其进行视频浏览、语音对讲。（</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无线智能单兵设备</w:t>
            </w:r>
            <w:r>
              <w:rPr>
                <w:highlight w:val="none"/>
              </w:rPr>
            </w:r>
            <w:r/>
          </w:p>
        </w:tc>
        <w:tc>
          <w:tcPr>
            <w:tcW w:w="6270" w:type="dxa"/>
            <w:vAlign w:val="center"/>
            <w:textDirection w:val="lrTb"/>
            <w:noWrap w:val="false"/>
          </w:tcPr>
          <w:p>
            <w:pPr>
              <w:pStyle w:val="872"/>
              <w:numPr>
                <w:ilvl w:val="0"/>
                <w:numId w:val="5"/>
              </w:numPr>
              <w:jc w:val="left"/>
              <w:rPr>
                <w:rFonts w:hint="eastAsia" w:ascii="宋体" w:hAnsi="宋体" w:cs="宋体"/>
                <w:szCs w:val="21"/>
                <w:highlight w:val="none"/>
              </w:rPr>
            </w:pPr>
            <w:r>
              <w:rPr>
                <w:rFonts w:hint="eastAsia" w:ascii="宋体" w:hAnsi="宋体" w:cs="宋体"/>
                <w:szCs w:val="21"/>
                <w:highlight w:val="none"/>
              </w:rPr>
              <w:t xml:space="preserve">设备支持通过USB或HDMI接口接入视频源采集设备。</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2、设备具备对电池健康状态检测功能，在设备使用生命周期内，设备能够判断及展示当前电池的健康状态，当检测到电池最大容量低于80%时，系统推送电池告警信息，同时界面弹窗或提示提醒用户更换电池。</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b/>
                <w:bCs/>
                <w:szCs w:val="21"/>
                <w:highlight w:val="none"/>
              </w:rPr>
              <w:t xml:space="preserve">▲设备具有“麦克风”开关，MIC开启时，进行音频采集，平台浏览可以听到前端声音、录像采集音频；MIC关闭时，平台浏览听不到前端声音，录像不采集声音。（</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rPr>
              <w:t xml:space="preserve">）</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5G布控球</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1、设备支持 H.265，H.264 视频压缩标准；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2、最大分辨率 1920×1080、帧率 1-30fps 可调；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3、彩色分辨力：不小于 1050TVL（分辨率为 1920*1080，码率为 2Mbps，帧率为 30 帧/s）；</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4、亮度（灰度）等级不小于 11 级；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5、最低照度：0.003 Lx （F=1.6，AGC ON，彩色模式），能基本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分辨被摄目标的轮廓特征和色彩，0.0003 Lx（F=1.6，AGC ON，黑白模式），能基本分辨被摄目标的轮廓特征；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6、支持 WIFI（支持 5GHz，AC 模式）、内置 SIM 卡，可接入 4G 无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线网络（支持移动、联通、电信网络）；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7、支持蓝牙功能，可接入蓝牙语音设备进行语音对讲；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8、支持本地存储功能，支持 EMMC 存储和 TF 卡存储 2 种方式，最大均支持 128GB；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9、支持断网情况下，信息自动存储到本地，网络恢复后自动上传；</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10、</w:t>
            </w:r>
            <w:r>
              <w:rPr>
                <w:rFonts w:hint="eastAsia" w:ascii="宋体" w:hAnsi="宋体" w:cs="宋体"/>
                <w:b/>
                <w:bCs/>
                <w:szCs w:val="21"/>
                <w:highlight w:val="none"/>
                <w:lang w:bidi="ar"/>
              </w:rPr>
              <w:t xml:space="preserve">▲支持web界面开启和关闭防抖功能；支持电子防抖和陀螺仪防抖设置选项；（</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11、支持在逆光环境下开启背光补偿后，应可看清画面主体部分；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12.当使用内置锂电池供电时，在开启录像、4G、定位、注册视图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库平台、注册监控平台且平台侧没有实时浏览条件下，设备可连续工作 10 小时；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13、支持 256 个预置位，具备存储、调用、删除预置位功能； </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14、</w:t>
            </w:r>
            <w:r>
              <w:rPr>
                <w:rFonts w:hint="eastAsia" w:ascii="宋体" w:hAnsi="宋体" w:cs="宋体"/>
                <w:b/>
                <w:bCs/>
                <w:szCs w:val="21"/>
                <w:highlight w:val="none"/>
                <w:lang w:bidi="ar"/>
              </w:rPr>
              <w:t xml:space="preserve">▲支持感兴趣区域增强编码功能、移动侦测、遮挡报警、警戒线、区域进入/离开/入侵（最大4个区域）、人员聚集、声音异常、物品遗留、物品拿取告警、未佩戴安全帽检测等智能检测功能；（</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15、具有车牌识别功能，可识别出行驶中车辆的车牌信息，支持抓拍监控画面中的人脸信息；</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16、防护等级：≥IP66；</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17、</w:t>
            </w:r>
            <w:r>
              <w:rPr>
                <w:rFonts w:hint="eastAsia" w:ascii="宋体" w:hAnsi="宋体" w:cs="宋体"/>
                <w:b/>
                <w:bCs/>
                <w:szCs w:val="21"/>
                <w:highlight w:val="none"/>
                <w:lang w:bidi="ar"/>
              </w:rPr>
              <w:t xml:space="preserve">▲支持本地存储智能图片，并支持查询和导出功能；（</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18、支持 1 路 DC 12V 电源供电，支持内置可充电 12000mAH 锂电池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组</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lang w:bidi="ar"/>
              </w:rPr>
              <w:t xml:space="preserve">19、</w:t>
            </w:r>
            <w:r>
              <w:rPr>
                <w:rFonts w:hint="eastAsia" w:ascii="宋体" w:hAnsi="宋体" w:cs="宋体"/>
                <w:b/>
                <w:bCs/>
                <w:szCs w:val="21"/>
                <w:highlight w:val="none"/>
                <w:lang w:bidi="ar"/>
              </w:rPr>
              <w:t xml:space="preserve">▲当布控球机使用内置锂电池供电时，在开启录像、 4G/5G 、定位注册监控平台且定位注册监控平台且平台侧没有实时浏览条件下，设备可连续工作时长≥ 10 小时；（</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20、具有隐私区域遮蔽功能，可以支持 2 个区域，大小方位用户可设置。</w:t>
            </w:r>
            <w:r>
              <w:rPr>
                <w:highlight w:val="none"/>
              </w:rPr>
            </w:r>
            <w:r/>
          </w:p>
        </w:tc>
      </w:tr>
      <w:tr>
        <w:trPr/>
        <w:tc>
          <w:tcPr>
            <w:tcW w:w="762" w:type="dxa"/>
            <w:vAlign w:val="center"/>
            <w:textDirection w:val="lrTb"/>
            <w:noWrap w:val="false"/>
          </w:tcPr>
          <w:p>
            <w:pPr>
              <w:pStyle w:val="872"/>
              <w:numPr>
                <w:ilvl w:val="0"/>
                <w:numId w:val="3"/>
              </w:numPr>
              <w:jc w:val="center"/>
              <w:widowControl/>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监控管理平台设备</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1、单台设备支持至少 1000 个点的接入，设备支持平台堆叠</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和级联混合组网；</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2、支持一机四屏功能，将窗口复制到指定显示屏，单个客户端可同时查看视频浏览、录像管理、电视墙和电子地图。</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3、支持报警联动功能，如客户端告警联动、平台告警联动、前端告警联动等。</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4、支持对移动客户端请求的音视频码流进行转码。</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rPr>
              <w:t xml:space="preserve">5、支持混音录像功能，平台和执法记录仪语音对讲时，对讲语音与视频可以同步录制。</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b/>
                <w:bCs/>
                <w:szCs w:val="21"/>
                <w:highlight w:val="none"/>
              </w:rPr>
              <w:t xml:space="preserve">▲支持智能丢包恢复，支持重传缓冲和精确重传功能。（</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rPr>
              <w:t xml:space="preserve">）</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b/>
                <w:bCs/>
                <w:szCs w:val="21"/>
                <w:highlight w:val="none"/>
              </w:rPr>
              <w:t xml:space="preserve">▲支持当监控业务平台故障或下线后，录像业务不受影响，当平台恢复正常工作后，系统恢复正常、录像数据不丢失。（</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rPr>
              <w:t xml:space="preserve">）。</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b/>
                <w:bCs/>
                <w:szCs w:val="21"/>
                <w:highlight w:val="none"/>
              </w:rPr>
              <w:t xml:space="preserve">▲支持对图像或图片进行增强处理功能，包含明亮、柔和、去雾、锐化等功能。（</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rPr>
              <w:t xml:space="preserve">）</w:t>
            </w:r>
            <w:r>
              <w:rPr>
                <w:highlight w:val="none"/>
              </w:rPr>
            </w:r>
            <w:r/>
          </w:p>
        </w:tc>
      </w:tr>
      <w:tr>
        <w:trPr/>
        <w:tc>
          <w:tcPr>
            <w:gridSpan w:val="3"/>
            <w:tcW w:w="8547" w:type="dxa"/>
            <w:vAlign w:val="center"/>
            <w:textDirection w:val="lrTb"/>
            <w:noWrap w:val="false"/>
          </w:tcPr>
          <w:p>
            <w:pPr>
              <w:pStyle w:val="872"/>
              <w:jc w:val="left"/>
              <w:widowControl/>
              <w:rPr>
                <w:rFonts w:hint="eastAsia" w:ascii="宋体" w:hAnsi="宋体" w:cs="宋体"/>
                <w:b/>
                <w:bCs/>
                <w:szCs w:val="21"/>
                <w:highlight w:val="none"/>
              </w:rPr>
            </w:pPr>
            <w:r>
              <w:rPr>
                <w:rFonts w:hint="eastAsia" w:ascii="宋体" w:hAnsi="宋体" w:cs="宋体"/>
                <w:b/>
                <w:bCs/>
                <w:szCs w:val="21"/>
                <w:highlight w:val="none"/>
                <w:lang w:bidi="ar"/>
              </w:rPr>
              <w:t xml:space="preserve">七、操作台、监控席、讨论席</w:t>
            </w:r>
            <w:r>
              <w:rPr>
                <w:highlight w:val="none"/>
              </w:rPr>
            </w:r>
            <w:r/>
          </w:p>
        </w:tc>
      </w:tr>
      <w:tr>
        <w:trPr/>
        <w:tc>
          <w:tcPr>
            <w:tcW w:w="762" w:type="dxa"/>
            <w:vAlign w:val="center"/>
            <w:textDirection w:val="lrTb"/>
            <w:noWrap w:val="false"/>
          </w:tcPr>
          <w:p>
            <w:pPr>
              <w:pStyle w:val="872"/>
              <w:numPr>
                <w:ilvl w:val="0"/>
                <w:numId w:val="6"/>
              </w:numPr>
              <w:widowControl/>
              <w:tabs>
                <w:tab w:val="left" w:pos="420" w:leader="none"/>
              </w:tabs>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扇形3人工作台</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1、工艺流程：采用冷轧碳钢，框架2.0MM,门板1.5MM，内外酸洗磷化除油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2、表层：经静电粉末喷塑，无有机溶液，无污染。</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3、台面采用防火板切割封边。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4、台体内部具备走线功能。台脚侧订制蓝色。前后钢制开门。</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5、尺寸≥3690mm*900mm*750mm</w:t>
            </w:r>
            <w:r>
              <w:rPr>
                <w:highlight w:val="none"/>
              </w:rPr>
            </w:r>
            <w:r/>
          </w:p>
        </w:tc>
      </w:tr>
      <w:tr>
        <w:trPr/>
        <w:tc>
          <w:tcPr>
            <w:tcW w:w="762" w:type="dxa"/>
            <w:vAlign w:val="center"/>
            <w:textDirection w:val="lrTb"/>
            <w:noWrap w:val="false"/>
          </w:tcPr>
          <w:p>
            <w:pPr>
              <w:pStyle w:val="872"/>
              <w:numPr>
                <w:ilvl w:val="0"/>
                <w:numId w:val="6"/>
              </w:numPr>
              <w:widowControl/>
              <w:tabs>
                <w:tab w:val="left" w:pos="420" w:leader="none"/>
              </w:tabs>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8人会议条桌</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1、工艺流程：采用冷轧碳钢，框架2.0MM,门板1.5MM，内外酸洗磷化除油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2、表层：经静电粉末喷塑，无有机溶液，无污染。</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3、台面采用防火板切割封边。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4、台体内部具备走线功能。台脚侧订制蓝色。前后钢制开门。</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5、尺寸≥5400mm*600mm*750mm</w:t>
            </w:r>
            <w:r>
              <w:rPr>
                <w:highlight w:val="none"/>
              </w:rPr>
            </w:r>
            <w:r/>
          </w:p>
        </w:tc>
      </w:tr>
      <w:tr>
        <w:trPr/>
        <w:tc>
          <w:tcPr>
            <w:tcW w:w="762" w:type="dxa"/>
            <w:vAlign w:val="center"/>
            <w:textDirection w:val="lrTb"/>
            <w:noWrap w:val="false"/>
          </w:tcPr>
          <w:p>
            <w:pPr>
              <w:pStyle w:val="872"/>
              <w:numPr>
                <w:ilvl w:val="0"/>
                <w:numId w:val="6"/>
              </w:numPr>
              <w:widowControl/>
              <w:tabs>
                <w:tab w:val="left" w:pos="420" w:leader="none"/>
              </w:tabs>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定制18人会议桌</w:t>
            </w:r>
            <w:r>
              <w:rPr>
                <w:highlight w:val="none"/>
              </w:rPr>
            </w:r>
            <w:r/>
          </w:p>
          <w:p>
            <w:pPr>
              <w:pStyle w:val="872"/>
              <w:ind w:left="1260"/>
              <w:rPr>
                <w:rFonts w:hint="eastAsia" w:ascii="宋体" w:hAnsi="宋体" w:cs="宋体"/>
                <w:szCs w:val="21"/>
                <w:highlight w:val="none"/>
              </w:rPr>
            </w:pPr>
            <w:r>
              <w:rPr>
                <w:rFonts w:hint="eastAsia" w:ascii="宋体" w:hAnsi="宋体" w:cs="宋体"/>
                <w:szCs w:val="21"/>
                <w:highlight w:val="none"/>
              </w:rPr>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1、工艺流程：采用冷轧碳钢，框架2.0MM,门板1.5MM，内外酸洗磷化除油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2、表层：经静电粉末喷塑，无有机溶液，无污染。</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3、台面采用防火板切割封边。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4、台体内部具备走线功能。台脚侧订制蓝色。前后钢制开门。</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5、尺寸≥6150mm*2550mm*750mm</w:t>
            </w:r>
            <w:r>
              <w:rPr>
                <w:highlight w:val="none"/>
              </w:rPr>
            </w:r>
            <w:r/>
          </w:p>
        </w:tc>
      </w:tr>
      <w:tr>
        <w:trPr/>
        <w:tc>
          <w:tcPr>
            <w:tcW w:w="762" w:type="dxa"/>
            <w:vAlign w:val="center"/>
            <w:textDirection w:val="lrTb"/>
            <w:noWrap w:val="false"/>
          </w:tcPr>
          <w:p>
            <w:pPr>
              <w:pStyle w:val="872"/>
              <w:numPr>
                <w:ilvl w:val="0"/>
                <w:numId w:val="6"/>
              </w:numPr>
              <w:widowControl/>
              <w:tabs>
                <w:tab w:val="left" w:pos="420" w:leader="none"/>
              </w:tabs>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rPr>
              <w:t xml:space="preserve">二楼“L”型工作台</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1、工艺流程：采用冷轧碳钢，框架2.0MM,门板1.5MM，内外酸洗磷化除油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2、表层：经静电粉末喷塑，无有机溶液，无污染。</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3、台面采用防火板切割封边。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4、台体内部具备走线功能。台脚侧订制蓝色。前后钢制开门。</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5、尺寸≥8540mm*900mm*750mm</w:t>
            </w:r>
            <w:r>
              <w:rPr>
                <w:highlight w:val="none"/>
              </w:rPr>
            </w:r>
            <w:r/>
          </w:p>
        </w:tc>
      </w:tr>
      <w:tr>
        <w:trPr/>
        <w:tc>
          <w:tcPr>
            <w:tcW w:w="762" w:type="dxa"/>
            <w:vAlign w:val="center"/>
            <w:textDirection w:val="lrTb"/>
            <w:noWrap w:val="false"/>
          </w:tcPr>
          <w:p>
            <w:pPr>
              <w:pStyle w:val="872"/>
              <w:numPr>
                <w:ilvl w:val="0"/>
                <w:numId w:val="6"/>
              </w:numPr>
              <w:widowControl/>
              <w:tabs>
                <w:tab w:val="left" w:pos="420" w:leader="none"/>
              </w:tabs>
              <w:rPr>
                <w:rFonts w:hint="eastAsia" w:ascii="宋体" w:hAnsi="宋体" w:cs="宋体"/>
                <w:szCs w:val="21"/>
                <w:highlight w:val="none"/>
              </w:rPr>
            </w:pPr>
            <w:r>
              <w:rPr>
                <w:rFonts w:hint="eastAsia" w:ascii="宋体" w:hAnsi="宋体" w:cs="宋体"/>
                <w:szCs w:val="21"/>
                <w:highlight w:val="none"/>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控制台椅</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1、工艺流程：采用冷轧碳钢，框架2.0MM,门板1.5MM，内外酸洗磷化除油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2、表层：经静电粉末喷塑，无有机溶液，无污染。</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3、台面采用品牌防火板切割封边。</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4、台体内部具备走线功能。台脚侧订制蓝色。前后钢制开门。</w:t>
            </w:r>
            <w:r>
              <w:rPr>
                <w:highlight w:val="none"/>
              </w:rPr>
            </w:r>
            <w:r/>
          </w:p>
        </w:tc>
      </w:tr>
      <w:tr>
        <w:trPr/>
        <w:tc>
          <w:tcPr>
            <w:gridSpan w:val="3"/>
            <w:tcW w:w="8547" w:type="dxa"/>
            <w:vAlign w:val="center"/>
            <w:textDirection w:val="lrTb"/>
            <w:noWrap w:val="false"/>
          </w:tcPr>
          <w:p>
            <w:pPr>
              <w:pStyle w:val="872"/>
              <w:jc w:val="left"/>
              <w:widowControl/>
              <w:rPr>
                <w:rFonts w:hint="eastAsia" w:ascii="宋体" w:hAnsi="宋体" w:cs="宋体"/>
                <w:b/>
                <w:bCs/>
                <w:szCs w:val="21"/>
                <w:highlight w:val="none"/>
              </w:rPr>
            </w:pPr>
            <w:r>
              <w:rPr>
                <w:rFonts w:hint="eastAsia" w:ascii="宋体" w:hAnsi="宋体" w:cs="宋体"/>
                <w:b/>
                <w:bCs/>
                <w:szCs w:val="21"/>
                <w:highlight w:val="none"/>
                <w:lang w:bidi="ar"/>
              </w:rPr>
              <w:t xml:space="preserve">八、空调及门禁系统</w:t>
            </w:r>
            <w:r>
              <w:rPr>
                <w:highlight w:val="none"/>
              </w:rPr>
            </w:r>
            <w:r/>
          </w:p>
        </w:tc>
      </w:tr>
      <w:tr>
        <w:trPr/>
        <w:tc>
          <w:tcPr>
            <w:tcW w:w="762" w:type="dxa"/>
            <w:vAlign w:val="center"/>
            <w:textDirection w:val="lrTb"/>
            <w:noWrap w:val="false"/>
          </w:tcPr>
          <w:p>
            <w:pPr>
              <w:pStyle w:val="872"/>
              <w:numPr>
                <w:ilvl w:val="0"/>
                <w:numId w:val="7"/>
              </w:numPr>
              <w:widowControl/>
              <w:tabs>
                <w:tab w:val="left" w:pos="420" w:leader="none"/>
              </w:tabs>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人脸识别终端-室内款（含电源）</w:t>
            </w:r>
            <w:r>
              <w:rPr>
                <w:highlight w:val="none"/>
              </w:rPr>
            </w:r>
            <w:r/>
          </w:p>
        </w:tc>
        <w:tc>
          <w:tcPr>
            <w:tcW w:w="6270" w:type="dxa"/>
            <w:vAlign w:val="center"/>
            <w:textDirection w:val="lrTb"/>
            <w:noWrap w:val="false"/>
          </w:tcPr>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操作系统：嵌入式操作系统；</w:t>
            </w:r>
            <w:r>
              <w:rPr>
                <w:highlight w:val="none"/>
              </w:rPr>
            </w:r>
            <w:r/>
          </w:p>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屏幕参数：7英寸IPS触摸显示屏，屏幕比例9:16，屏幕分辨率600*1024；</w:t>
            </w:r>
            <w:r>
              <w:rPr>
                <w:highlight w:val="none"/>
              </w:rPr>
            </w:r>
            <w:r/>
          </w:p>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摄像头参数：采用宽动态200万双目摄像头；</w:t>
            </w:r>
            <w:r>
              <w:rPr>
                <w:highlight w:val="none"/>
              </w:rPr>
            </w:r>
            <w:r/>
          </w:p>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认证方式：支持人脸、刷卡（Mifare卡/IC卡、手机NFC卡、CPU卡序列号/内容、身份证卡序列号）、密码、二维码（通过摄像头识别）；</w:t>
            </w:r>
            <w:r>
              <w:rPr>
                <w:highlight w:val="none"/>
              </w:rPr>
            </w:r>
            <w:r/>
          </w:p>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脸识别距离0.2~3m；人脸比对平均时间≤0.175s；人脸识别误识率≤0.01%的条件下，准确率应99.9%；支持在0.001lux低照度无补光环境下正常实现人脸识别看，人脸识别距离可自定义设置；支持防假体攻击功能，对视频、电子照片、打印照片中的人脸应不能进行人脸识别。</w:t>
            </w:r>
            <w:r>
              <w:rPr>
                <w:highlight w:val="none"/>
              </w:rPr>
            </w:r>
            <w:r/>
          </w:p>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存储容量：本地支持50000人脸库、50000张卡，5万条事件记录；</w:t>
            </w:r>
            <w:r>
              <w:rPr>
                <w:highlight w:val="none"/>
              </w:rPr>
            </w:r>
            <w:r/>
          </w:p>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硬件接口：LAN*1、RS485*1、Wiegand * 1(支持双向)、USB*1、电锁*1、门磁*1、报警输入*2、报警输出*1、开门按钮*1；</w:t>
            </w:r>
            <w:r>
              <w:rPr>
                <w:highlight w:val="none"/>
              </w:rPr>
            </w:r>
            <w:r/>
          </w:p>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通信方式及网络协议：有线网络；网络SDK/ISAPI/Ehome4.0/ISUP5.0；</w:t>
            </w:r>
            <w:r>
              <w:rPr>
                <w:highlight w:val="none"/>
              </w:rPr>
            </w:r>
            <w:r/>
          </w:p>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使用环境：室内环境，不防水；</w:t>
            </w:r>
            <w:r>
              <w:rPr>
                <w:highlight w:val="none"/>
              </w:rPr>
            </w:r>
            <w:r/>
          </w:p>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安装方式：壁挂安装（标配挂板，适配86底盒）；</w:t>
            </w:r>
            <w:r>
              <w:rPr>
                <w:highlight w:val="none"/>
              </w:rPr>
            </w:r>
            <w:r/>
          </w:p>
          <w:p>
            <w:pPr>
              <w:pStyle w:val="872"/>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工作电压： DC 12V/2A（电源需另配）；</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w:t>
            </w:r>
            <w:r>
              <w:rPr>
                <w:rFonts w:ascii="宋体" w:hAnsi="宋体" w:cs="宋体"/>
                <w:szCs w:val="21"/>
                <w:highlight w:val="none"/>
                <w:lang w:bidi="ar"/>
              </w:rPr>
              <w:t xml:space="preserve">2</w:t>
            </w:r>
            <w:r>
              <w:rPr>
                <w:rFonts w:hint="eastAsia" w:ascii="宋体" w:hAnsi="宋体" w:cs="宋体"/>
                <w:szCs w:val="21"/>
                <w:highlight w:val="none"/>
                <w:lang w:bidi="ar"/>
              </w:rPr>
              <w:t xml:space="preserve">、设备支持视频对讲功能，可跟平台或客户端、室内机、管理机、手机APP进行视频对讲，可支持电话网关扩展功能，通过呼叫用户预存手机号码，实现电话对讲并远程开门，支持管理中心远程视频预览功能； 支持接入NVR设备，实现视频监控录像 。</w:t>
            </w:r>
            <w:r>
              <w:rPr>
                <w:highlight w:val="none"/>
              </w:rPr>
            </w:r>
            <w:r/>
          </w:p>
        </w:tc>
      </w:tr>
      <w:tr>
        <w:trPr/>
        <w:tc>
          <w:tcPr>
            <w:tcW w:w="762" w:type="dxa"/>
            <w:vAlign w:val="center"/>
            <w:textDirection w:val="lrTb"/>
            <w:noWrap w:val="false"/>
          </w:tcPr>
          <w:p>
            <w:pPr>
              <w:pStyle w:val="872"/>
              <w:numPr>
                <w:ilvl w:val="0"/>
                <w:numId w:val="7"/>
              </w:numPr>
              <w:widowControl/>
              <w:tabs>
                <w:tab w:val="left" w:pos="420" w:leader="none"/>
              </w:tabs>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门禁控制设备—电磁锁版</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1. 2线电磁锁*1 可承受280G公斤直线拉力 工作电压：DC 12V 工作电流：500mA 适用温度：-20~55摄氏度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2. 86盒式点动开门按钮*1 接电输出 NO/COM接点 </w:t>
            </w:r>
            <w:r>
              <w:rPr>
                <w:highlight w:val="none"/>
              </w:rPr>
            </w:r>
            <w:r/>
          </w:p>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3. 12V2A电源*1。</w:t>
            </w:r>
            <w:r>
              <w:rPr>
                <w:highlight w:val="none"/>
              </w:rPr>
            </w:r>
            <w:r/>
          </w:p>
        </w:tc>
      </w:tr>
      <w:tr>
        <w:trPr/>
        <w:tc>
          <w:tcPr>
            <w:tcW w:w="762" w:type="dxa"/>
            <w:vAlign w:val="center"/>
            <w:textDirection w:val="lrTb"/>
            <w:noWrap w:val="false"/>
          </w:tcPr>
          <w:p>
            <w:pPr>
              <w:pStyle w:val="872"/>
              <w:numPr>
                <w:ilvl w:val="0"/>
                <w:numId w:val="7"/>
              </w:numPr>
              <w:widowControl/>
              <w:tabs>
                <w:tab w:val="left" w:pos="420" w:leader="none"/>
              </w:tabs>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嵌入式安装底盒</w:t>
            </w:r>
            <w:r>
              <w:rPr>
                <w:highlight w:val="none"/>
              </w:rPr>
            </w:r>
            <w:r/>
          </w:p>
        </w:tc>
        <w:tc>
          <w:tcPr>
            <w:tcW w:w="627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定制</w:t>
            </w:r>
            <w:r>
              <w:rPr>
                <w:highlight w:val="none"/>
              </w:rPr>
            </w:r>
            <w:r/>
          </w:p>
        </w:tc>
      </w:tr>
      <w:tr>
        <w:trPr/>
        <w:tc>
          <w:tcPr>
            <w:tcW w:w="762" w:type="dxa"/>
            <w:vAlign w:val="center"/>
            <w:textDirection w:val="lrTb"/>
            <w:noWrap w:val="false"/>
          </w:tcPr>
          <w:p>
            <w:pPr>
              <w:pStyle w:val="872"/>
              <w:numPr>
                <w:ilvl w:val="0"/>
                <w:numId w:val="7"/>
              </w:numPr>
              <w:widowControl/>
              <w:tabs>
                <w:tab w:val="left" w:pos="420" w:leader="none"/>
              </w:tabs>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吸顶式空调</w:t>
            </w:r>
            <w:r>
              <w:rPr>
                <w:highlight w:val="none"/>
              </w:rPr>
            </w:r>
            <w:r/>
          </w:p>
        </w:tc>
        <w:tc>
          <w:tcPr>
            <w:tcW w:w="6270" w:type="dxa"/>
            <w:vAlign w:val="center"/>
            <w:textDirection w:val="lrTb"/>
            <w:noWrap w:val="false"/>
          </w:tcPr>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匹数:≥5p；</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全年能源消耗效率:3.45；</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变频/定频:变频；</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冷暖类型:冷暖；</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额定制冷量(W):3000w-12800w；</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额定制冷消耗功率:680w-5130w；</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额定制热量(W):3400w-15000w+1200w；</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额定制热消耗功率:540w-5090w；</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电辅加热功率:1200；</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循环风量(m3/h):≥2000m³/h；</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室内机运行最大噪音:≤50；</w:t>
            </w:r>
            <w:r>
              <w:rPr>
                <w:highlight w:val="none"/>
              </w:rPr>
            </w:r>
            <w:r/>
          </w:p>
          <w:p>
            <w:pPr>
              <w:pStyle w:val="872"/>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室外机运行最大噪音:≤60；</w:t>
            </w:r>
            <w:r>
              <w:rPr>
                <w:highlight w:val="none"/>
              </w:rPr>
            </w:r>
            <w:r/>
          </w:p>
          <w:p>
            <w:pPr>
              <w:pStyle w:val="872"/>
              <w:jc w:val="left"/>
              <w:widowControl/>
              <w:rPr>
                <w:rFonts w:hint="eastAsia" w:ascii="宋体" w:hAnsi="宋体" w:cs="宋体"/>
                <w:szCs w:val="21"/>
                <w:highlight w:val="none"/>
              </w:rPr>
            </w:pPr>
            <w:r>
              <w:rPr>
                <w:rFonts w:hint="eastAsia" w:ascii="宋体" w:hAnsi="宋体" w:cs="宋体"/>
                <w:b/>
                <w:bCs/>
                <w:i/>
                <w:iCs/>
                <w:szCs w:val="21"/>
                <w:highlight w:val="none"/>
                <w:u w:val="single"/>
              </w:rPr>
              <w:t xml:space="preserve">（提供节能产品认证证书，并加盖投标人公章）</w:t>
            </w:r>
            <w:r>
              <w:rPr>
                <w:highlight w:val="none"/>
              </w:rPr>
            </w:r>
            <w:r/>
          </w:p>
        </w:tc>
      </w:tr>
      <w:tr>
        <w:trPr/>
        <w:tc>
          <w:tcPr>
            <w:tcW w:w="762" w:type="dxa"/>
            <w:vAlign w:val="center"/>
            <w:textDirection w:val="lrTb"/>
            <w:noWrap w:val="false"/>
          </w:tcPr>
          <w:p>
            <w:pPr>
              <w:pStyle w:val="872"/>
              <w:numPr>
                <w:ilvl w:val="0"/>
                <w:numId w:val="7"/>
              </w:numPr>
              <w:widowControl/>
              <w:tabs>
                <w:tab w:val="left" w:pos="420" w:leader="none"/>
              </w:tabs>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空调设备（4台室内机+1台室外机）</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室内机：</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电源：</w:t>
            </w:r>
            <w:r>
              <w:rPr>
                <w:rFonts w:hint="eastAsia" w:ascii="宋体" w:hAnsi="宋体" w:cs="宋体"/>
                <w:szCs w:val="21"/>
                <w:highlight w:val="none"/>
              </w:rPr>
              <w:t xml:space="preserve">220V，50hz；</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t xml:space="preserve">名义制冷能力：≥12.5KW；</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3、名义制热能力：≥14+2.6KW；</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4、标准风量：≥2020m</w:t>
            </w:r>
            <w:r>
              <w:rPr>
                <w:rFonts w:hint="eastAsia" w:ascii="宋体" w:hAnsi="宋体" w:cs="宋体"/>
                <w:szCs w:val="21"/>
                <w:highlight w:val="none"/>
                <w:vertAlign w:val="superscript"/>
              </w:rPr>
              <w:t xml:space="preserve">3</w:t>
            </w:r>
            <w:r>
              <w:rPr>
                <w:rFonts w:hint="eastAsia" w:ascii="宋体" w:hAnsi="宋体" w:cs="宋体"/>
                <w:szCs w:val="21"/>
                <w:highlight w:val="none"/>
              </w:rPr>
              <w:t xml:space="preserve">/h；</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t xml:space="preserve">净重：≤30kg。</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室外机：</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电源：3N-，</w:t>
            </w:r>
            <w:r>
              <w:rPr>
                <w:rFonts w:hint="eastAsia" w:ascii="宋体" w:hAnsi="宋体" w:cs="宋体"/>
                <w:szCs w:val="21"/>
                <w:highlight w:val="none"/>
              </w:rPr>
              <w:t xml:space="preserve">380V，50hz；</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2、名义制冷能力：≥48KW；</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3、名义制热能力：≥53KW；</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4、标准风量：≥19500m</w:t>
            </w:r>
            <w:r>
              <w:rPr>
                <w:rFonts w:hint="eastAsia" w:ascii="宋体" w:hAnsi="宋体" w:cs="宋体"/>
                <w:szCs w:val="21"/>
                <w:highlight w:val="none"/>
                <w:vertAlign w:val="superscript"/>
              </w:rPr>
              <w:t xml:space="preserve">3</w:t>
            </w:r>
            <w:r>
              <w:rPr>
                <w:rFonts w:hint="eastAsia" w:ascii="宋体" w:hAnsi="宋体" w:cs="宋体"/>
                <w:szCs w:val="21"/>
                <w:highlight w:val="none"/>
              </w:rPr>
              <w:t xml:space="preserve">/h；</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5、净重：≤220kg。</w:t>
            </w:r>
            <w:r>
              <w:rPr>
                <w:highlight w:val="none"/>
              </w:rPr>
            </w:r>
            <w:r/>
          </w:p>
          <w:p>
            <w:pPr>
              <w:pStyle w:val="872"/>
              <w:jc w:val="left"/>
              <w:rPr>
                <w:rFonts w:hint="eastAsia" w:ascii="宋体" w:hAnsi="宋体" w:cs="宋体"/>
                <w:szCs w:val="21"/>
                <w:highlight w:val="none"/>
              </w:rPr>
            </w:pPr>
            <w:r>
              <w:rPr>
                <w:rFonts w:hint="eastAsia" w:ascii="宋体" w:hAnsi="宋体" w:cs="宋体"/>
                <w:b/>
                <w:bCs/>
                <w:i/>
                <w:iCs/>
                <w:szCs w:val="21"/>
                <w:highlight w:val="none"/>
                <w:u w:val="single"/>
              </w:rPr>
              <w:t xml:space="preserve">（提供节能产品认证证书，并加盖投标人公章）</w:t>
            </w:r>
            <w:r>
              <w:rPr>
                <w:highlight w:val="none"/>
              </w:rPr>
            </w:r>
            <w:r/>
          </w:p>
        </w:tc>
      </w:tr>
      <w:tr>
        <w:trPr/>
        <w:tc>
          <w:tcPr>
            <w:tcW w:w="762" w:type="dxa"/>
            <w:vAlign w:val="center"/>
            <w:textDirection w:val="lrTb"/>
            <w:noWrap w:val="false"/>
          </w:tcPr>
          <w:p>
            <w:pPr>
              <w:pStyle w:val="872"/>
              <w:numPr>
                <w:ilvl w:val="0"/>
                <w:numId w:val="7"/>
              </w:numPr>
              <w:widowControl/>
              <w:tabs>
                <w:tab w:val="left" w:pos="420" w:leader="none"/>
              </w:tabs>
              <w:rPr>
                <w:rFonts w:hint="eastAsia" w:ascii="宋体" w:hAnsi="宋体" w:cs="宋体"/>
                <w:szCs w:val="21"/>
                <w:highlight w:val="none"/>
              </w:rPr>
            </w:pPr>
            <w:r>
              <w:rPr>
                <w:rFonts w:hint="eastAsia" w:ascii="宋体" w:hAnsi="宋体" w:cs="宋体"/>
                <w:szCs w:val="21"/>
                <w:highlight w:val="none"/>
                <w:lang w:bidi="ar"/>
              </w:rPr>
            </w:r>
            <w:r>
              <w:rPr>
                <w:highlight w:val="none"/>
              </w:rPr>
            </w:r>
            <w:r/>
          </w:p>
        </w:tc>
        <w:tc>
          <w:tcPr>
            <w:tcW w:w="1515"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柜机</w:t>
            </w:r>
            <w:r>
              <w:rPr>
                <w:highlight w:val="none"/>
              </w:rPr>
            </w:r>
            <w:r/>
          </w:p>
        </w:tc>
        <w:tc>
          <w:tcPr>
            <w:tcW w:w="6270" w:type="dxa"/>
            <w:vAlign w:val="center"/>
            <w:textDirection w:val="lrTb"/>
            <w:noWrap w:val="false"/>
          </w:tcPr>
          <w:p>
            <w:pPr>
              <w:pStyle w:val="872"/>
              <w:jc w:val="left"/>
              <w:rPr>
                <w:rFonts w:hint="eastAsia" w:ascii="宋体" w:hAnsi="宋体" w:cs="宋体"/>
                <w:szCs w:val="21"/>
                <w:highlight w:val="none"/>
              </w:rPr>
            </w:pPr>
            <w:r>
              <w:rPr>
                <w:rFonts w:hint="eastAsia" w:ascii="宋体" w:hAnsi="宋体" w:cs="宋体"/>
                <w:szCs w:val="21"/>
                <w:highlight w:val="none"/>
              </w:rPr>
              <w:t xml:space="preserve">1、电源：220V，50hz；</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2、制冷功率：320-3250w；</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t xml:space="preserve">制热功率：250-4150</w:t>
            </w:r>
            <w:r>
              <w:rPr>
                <w:rFonts w:hint="eastAsia" w:ascii="宋体" w:hAnsi="宋体" w:cs="宋体"/>
                <w:szCs w:val="21"/>
                <w:highlight w:val="none"/>
              </w:rPr>
              <w:t xml:space="preserve">w；</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4、待机功率：10w；</w:t>
            </w:r>
            <w:r>
              <w:rPr>
                <w:highlight w:val="none"/>
              </w:rPr>
            </w:r>
            <w:r/>
          </w:p>
          <w:p>
            <w:pPr>
              <w:pStyle w:val="872"/>
              <w:jc w:val="left"/>
              <w:rPr>
                <w:rFonts w:hint="eastAsia" w:ascii="宋体" w:hAnsi="宋体" w:cs="宋体"/>
                <w:szCs w:val="21"/>
                <w:highlight w:val="none"/>
              </w:rPr>
            </w:pPr>
            <w:r>
              <w:rPr>
                <w:rFonts w:hint="eastAsia" w:ascii="宋体" w:hAnsi="宋体" w:cs="宋体"/>
                <w:szCs w:val="21"/>
                <w:highlight w:val="none"/>
              </w:rPr>
              <w:t xml:space="preserve">5、室内机循环风量：≥1400m</w:t>
            </w:r>
            <w:r>
              <w:rPr>
                <w:rFonts w:hint="eastAsia" w:ascii="宋体" w:hAnsi="宋体" w:cs="宋体"/>
                <w:szCs w:val="21"/>
                <w:highlight w:val="none"/>
                <w:vertAlign w:val="superscript"/>
              </w:rPr>
              <w:t xml:space="preserve">3</w:t>
            </w:r>
            <w:r>
              <w:rPr>
                <w:rFonts w:hint="eastAsia" w:ascii="宋体" w:hAnsi="宋体" w:cs="宋体"/>
                <w:szCs w:val="21"/>
                <w:highlight w:val="none"/>
              </w:rPr>
              <w:t xml:space="preserve">/h</w:t>
            </w:r>
            <w:r>
              <w:rPr>
                <w:highlight w:val="none"/>
              </w:rPr>
            </w:r>
            <w:r/>
          </w:p>
          <w:p>
            <w:pPr>
              <w:pStyle w:val="872"/>
              <w:jc w:val="left"/>
              <w:spacing w:line="360" w:lineRule="auto"/>
              <w:rPr>
                <w:rFonts w:hint="eastAsia" w:ascii="宋体" w:hAnsi="宋体" w:cs="宋体"/>
                <w:szCs w:val="21"/>
                <w:highlight w:val="none"/>
              </w:rPr>
            </w:pPr>
            <w:r>
              <w:rPr>
                <w:rFonts w:hint="eastAsia" w:ascii="宋体" w:hAnsi="宋体" w:cs="宋体"/>
                <w:b/>
                <w:bCs/>
                <w:i/>
                <w:iCs/>
                <w:szCs w:val="21"/>
                <w:highlight w:val="none"/>
                <w:u w:val="single"/>
              </w:rPr>
              <w:t xml:space="preserve">（提供节能产品认证证书，并加盖投标人公章）</w:t>
            </w:r>
            <w:r>
              <w:rPr>
                <w:highlight w:val="none"/>
              </w:rPr>
            </w:r>
            <w:r/>
          </w:p>
        </w:tc>
      </w:tr>
    </w:tbl>
    <w:p>
      <w:pPr>
        <w:pStyle w:val="872"/>
        <w:ind w:firstLine="492"/>
        <w:spacing w:line="360" w:lineRule="auto"/>
        <w:rPr>
          <w:rFonts w:ascii="宋体" w:hAnsi="宋体"/>
          <w:b/>
          <w:bCs/>
          <w:sz w:val="24"/>
          <w:szCs w:val="24"/>
          <w:highlight w:val="none"/>
        </w:rPr>
      </w:pPr>
      <w:r>
        <w:rPr>
          <w:rFonts w:hint="eastAsia" w:ascii="宋体" w:hAnsi="宋体"/>
          <w:b/>
          <w:bCs/>
          <w:sz w:val="24"/>
          <w:szCs w:val="24"/>
          <w:highlight w:val="none"/>
        </w:rPr>
        <w:t xml:space="preserve">（三）软硬件集成</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包括通过中控系统对现场的视频显示、无纸化会议系统、音响扩声、电动窗帘、电子玻璃隔断软硬件集成等。通过现有的视频监控系统平台与远程视频会议、单兵设备的软硬件集成实现更高效的数据交换和处理，提高整体系统的性能。通过紧密的协作，优化系统的资源利用，提升系统的运行速度和响应能力以及稳定性和可靠性。通过充分考虑硬件和软件之间的兼容性和协作，减少系统中的错误和故障。此外，集成的硬件和软件还应该实现容错和错误检测机制，从而提高系统的可靠性和容错性。</w:t>
      </w:r>
      <w:r>
        <w:rPr>
          <w:highlight w:val="none"/>
        </w:rPr>
      </w:r>
      <w:r/>
    </w:p>
    <w:p>
      <w:pPr>
        <w:pStyle w:val="872"/>
        <w:ind w:firstLine="492"/>
        <w:spacing w:line="360" w:lineRule="auto"/>
        <w:rPr>
          <w:rFonts w:ascii="宋体" w:hAnsi="宋体"/>
          <w:sz w:val="24"/>
          <w:szCs w:val="24"/>
          <w:highlight w:val="none"/>
        </w:rPr>
      </w:pPr>
      <w:r>
        <w:rPr>
          <w:rFonts w:hint="eastAsia" w:ascii="宋体" w:hAnsi="宋体"/>
          <w:sz w:val="24"/>
          <w:szCs w:val="24"/>
          <w:highlight w:val="none"/>
        </w:rPr>
        <w:t xml:space="preserve">软硬件集成，通过显示系统、会议系统、单兵装备和中控系统等进行数据分析确保实现实时监控、数据展示、应急指挥、调度管理等功能。其次，生态环境监控指挥中心建设需具备数据处理能力、高速稳定的通信网络和可靠的数据安全保障措施，以应对大量生态环境数据的实时处理和分析。</w:t>
      </w:r>
      <w:r>
        <w:rPr>
          <w:highlight w:val="none"/>
        </w:rPr>
      </w:r>
      <w:r/>
    </w:p>
    <w:p>
      <w:pPr>
        <w:pStyle w:val="872"/>
        <w:ind w:firstLine="492"/>
        <w:spacing w:line="360" w:lineRule="auto"/>
        <w:rPr>
          <w:rFonts w:ascii="宋体" w:hAnsi="宋体"/>
          <w:b/>
          <w:bCs/>
          <w:sz w:val="24"/>
          <w:szCs w:val="24"/>
          <w:highlight w:val="none"/>
        </w:rPr>
      </w:pPr>
      <w:r>
        <w:rPr>
          <w:rFonts w:hint="eastAsia" w:ascii="宋体" w:hAnsi="宋体"/>
          <w:b/>
          <w:bCs/>
          <w:sz w:val="24"/>
          <w:szCs w:val="24"/>
          <w:highlight w:val="none"/>
        </w:rPr>
        <w:t xml:space="preserve">（四）生态环境监控指挥中心运维服务</w:t>
      </w:r>
      <w:r>
        <w:rPr>
          <w:highlight w:val="none"/>
        </w:rPr>
      </w:r>
      <w:r/>
    </w:p>
    <w:p>
      <w:pPr>
        <w:pStyle w:val="90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运维服务内容</w:t>
      </w:r>
      <w:r>
        <w:rPr>
          <w:highlight w:val="none"/>
        </w:rPr>
      </w:r>
      <w:r/>
    </w:p>
    <w:p>
      <w:pPr>
        <w:pStyle w:val="90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设备硬件运维</w:t>
      </w:r>
      <w:r>
        <w:rPr>
          <w:highlight w:val="none"/>
        </w:rPr>
      </w:r>
      <w:r/>
    </w:p>
    <w:p>
      <w:pPr>
        <w:pStyle w:val="903"/>
        <w:ind w:firstLine="420"/>
        <w:spacing w:line="360" w:lineRule="auto"/>
        <w:rPr>
          <w:rFonts w:hint="eastAsia" w:ascii="宋体" w:hAnsi="宋体"/>
          <w:color w:val="000000"/>
          <w:sz w:val="24"/>
          <w:highlight w:val="none"/>
        </w:rPr>
      </w:pPr>
      <w:r>
        <w:rPr>
          <w:rFonts w:ascii="宋体" w:hAnsi="宋体"/>
          <w:color w:val="000000"/>
          <w:sz w:val="24"/>
          <w:highlight w:val="none"/>
        </w:rPr>
        <w:t xml:space="preserve">对监控指挥中心内的服务器、存储设备、网络设备、安全设备等硬件进行日常维护、故障排查与修复</w:t>
      </w:r>
      <w:r>
        <w:rPr>
          <w:rFonts w:hint="eastAsia" w:ascii="宋体" w:hAnsi="宋体"/>
          <w:color w:val="000000"/>
          <w:sz w:val="24"/>
          <w:highlight w:val="none"/>
        </w:rPr>
        <w:t xml:space="preserve">，</w:t>
      </w:r>
      <w:r>
        <w:rPr>
          <w:rFonts w:ascii="宋体" w:hAnsi="宋体"/>
          <w:color w:val="000000"/>
          <w:sz w:val="24"/>
          <w:highlight w:val="none"/>
        </w:rPr>
        <w:t xml:space="preserve">定期进行设备巡检，确保设备性能稳定，预防潜在故障。</w:t>
      </w:r>
      <w:r>
        <w:rPr>
          <w:highlight w:val="none"/>
        </w:rPr>
      </w:r>
      <w:r/>
    </w:p>
    <w:p>
      <w:pPr>
        <w:pStyle w:val="90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系统运维：</w:t>
      </w:r>
      <w:r>
        <w:rPr>
          <w:highlight w:val="none"/>
        </w:rPr>
      </w:r>
      <w:r/>
    </w:p>
    <w:p>
      <w:pPr>
        <w:pStyle w:val="903"/>
        <w:ind w:firstLine="420"/>
        <w:spacing w:line="360" w:lineRule="auto"/>
        <w:rPr>
          <w:rFonts w:hint="eastAsia" w:ascii="宋体" w:hAnsi="宋体"/>
          <w:color w:val="000000"/>
          <w:sz w:val="24"/>
          <w:highlight w:val="none"/>
        </w:rPr>
      </w:pPr>
      <w:r>
        <w:rPr>
          <w:rFonts w:ascii="宋体" w:hAnsi="宋体"/>
          <w:color w:val="000000"/>
          <w:sz w:val="24"/>
          <w:highlight w:val="none"/>
        </w:rPr>
        <w:t xml:space="preserve">对生态环境监控指挥中心的信息系统进行日常维护，包括系统升级、补丁安装、安全配置等，确保系统稳定运行</w:t>
      </w:r>
      <w:r>
        <w:rPr>
          <w:rFonts w:hint="eastAsia" w:ascii="宋体" w:hAnsi="宋体"/>
          <w:color w:val="000000"/>
          <w:sz w:val="24"/>
          <w:highlight w:val="none"/>
        </w:rPr>
        <w:t xml:space="preserve">；</w:t>
      </w:r>
      <w:r>
        <w:rPr>
          <w:rFonts w:ascii="宋体" w:hAnsi="宋体"/>
          <w:color w:val="000000"/>
          <w:sz w:val="24"/>
          <w:highlight w:val="none"/>
        </w:rPr>
        <w:t xml:space="preserve">监控系统运行状态，及时发现并处理系统异常，减少系统停机时间。</w:t>
      </w:r>
      <w:r>
        <w:rPr>
          <w:highlight w:val="none"/>
        </w:rPr>
      </w:r>
      <w:r/>
    </w:p>
    <w:p>
      <w:pPr>
        <w:pStyle w:val="90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软件平台运维：</w:t>
      </w:r>
      <w:r>
        <w:rPr>
          <w:highlight w:val="none"/>
        </w:rPr>
      </w:r>
      <w:r/>
    </w:p>
    <w:p>
      <w:pPr>
        <w:pStyle w:val="903"/>
        <w:ind w:firstLine="420"/>
        <w:spacing w:line="360" w:lineRule="auto"/>
        <w:rPr>
          <w:rFonts w:hint="eastAsia" w:ascii="宋体" w:hAnsi="宋体"/>
          <w:color w:val="000000"/>
          <w:sz w:val="24"/>
          <w:highlight w:val="none"/>
        </w:rPr>
      </w:pPr>
      <w:r>
        <w:rPr>
          <w:rFonts w:ascii="宋体" w:hAnsi="宋体"/>
          <w:color w:val="000000"/>
          <w:sz w:val="24"/>
          <w:highlight w:val="none"/>
        </w:rPr>
        <w:t xml:space="preserve">对监控中心的软件平台进行维护，包括数据备份、恢复、迁移等，确保数据安全。</w:t>
      </w:r>
      <w:r>
        <w:rPr>
          <w:highlight w:val="none"/>
        </w:rPr>
      </w:r>
      <w:r/>
    </w:p>
    <w:p>
      <w:pPr>
        <w:pStyle w:val="903"/>
        <w:ind w:firstLine="420"/>
        <w:spacing w:line="360" w:lineRule="auto"/>
        <w:rPr>
          <w:rFonts w:hint="eastAsia" w:ascii="宋体" w:hAnsi="宋体"/>
          <w:color w:val="000000"/>
          <w:sz w:val="24"/>
          <w:highlight w:val="none"/>
        </w:rPr>
      </w:pPr>
      <w:r>
        <w:rPr>
          <w:rFonts w:ascii="宋体" w:hAnsi="宋体"/>
          <w:color w:val="000000"/>
          <w:sz w:val="24"/>
          <w:highlight w:val="none"/>
        </w:rPr>
        <w:t xml:space="preserve">根据业务需求对</w:t>
      </w:r>
      <w:r>
        <w:rPr>
          <w:rFonts w:hint="eastAsia" w:ascii="宋体" w:hAnsi="宋体"/>
          <w:color w:val="000000"/>
          <w:sz w:val="24"/>
          <w:highlight w:val="none"/>
        </w:rPr>
        <w:t xml:space="preserve">系统</w:t>
      </w:r>
      <w:r>
        <w:rPr>
          <w:rFonts w:ascii="宋体" w:hAnsi="宋体"/>
          <w:color w:val="000000"/>
          <w:sz w:val="24"/>
          <w:highlight w:val="none"/>
        </w:rPr>
        <w:t xml:space="preserve">软件进行功能升级和性能优化。</w:t>
      </w:r>
      <w:r>
        <w:rPr>
          <w:highlight w:val="none"/>
        </w:rPr>
      </w:r>
      <w:r/>
    </w:p>
    <w:p>
      <w:pPr>
        <w:pStyle w:val="90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应急响应：</w:t>
      </w:r>
      <w:r>
        <w:rPr>
          <w:highlight w:val="none"/>
        </w:rPr>
      </w:r>
      <w:r/>
    </w:p>
    <w:p>
      <w:pPr>
        <w:pStyle w:val="903"/>
        <w:ind w:firstLine="420"/>
        <w:spacing w:line="360" w:lineRule="auto"/>
        <w:rPr>
          <w:rFonts w:hint="eastAsia" w:ascii="宋体" w:hAnsi="宋体"/>
          <w:color w:val="000000"/>
          <w:sz w:val="24"/>
          <w:highlight w:val="none"/>
        </w:rPr>
      </w:pPr>
      <w:r>
        <w:rPr>
          <w:rFonts w:ascii="宋体" w:hAnsi="宋体"/>
          <w:color w:val="000000"/>
          <w:sz w:val="24"/>
          <w:highlight w:val="none"/>
        </w:rPr>
        <w:t xml:space="preserve">建立应急响应机制，制定应急预案，确保在发生突发事件时能够迅速响应并恢复系统正常运行。</w:t>
      </w:r>
      <w:r>
        <w:rPr>
          <w:highlight w:val="none"/>
        </w:rPr>
      </w:r>
      <w:r/>
    </w:p>
    <w:p>
      <w:pPr>
        <w:pStyle w:val="903"/>
        <w:ind w:firstLine="420"/>
        <w:spacing w:line="360" w:lineRule="auto"/>
        <w:rPr>
          <w:rFonts w:hint="eastAsia" w:ascii="宋体" w:hAnsi="宋体"/>
          <w:color w:val="000000"/>
          <w:sz w:val="24"/>
          <w:highlight w:val="none"/>
        </w:rPr>
      </w:pPr>
      <w:r>
        <w:rPr>
          <w:rFonts w:ascii="宋体" w:hAnsi="宋体"/>
          <w:color w:val="000000"/>
          <w:sz w:val="24"/>
          <w:highlight w:val="none"/>
        </w:rPr>
        <w:t xml:space="preserve">提供7x24小时应急服务，确保在任何时间都能及时处理系统问题。</w:t>
      </w:r>
      <w:r>
        <w:rPr>
          <w:highlight w:val="none"/>
        </w:rPr>
      </w:r>
      <w:r/>
    </w:p>
    <w:p>
      <w:pPr>
        <w:pStyle w:val="90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运维服务要求</w:t>
      </w:r>
      <w:r>
        <w:rPr>
          <w:highlight w:val="none"/>
        </w:rPr>
      </w:r>
      <w:r/>
    </w:p>
    <w:p>
      <w:pPr>
        <w:pStyle w:val="90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专业性：运维服务团队应具备丰富的生态环境监控领域知识和运维经验，能够高效解决各类技术问题。</w:t>
      </w:r>
      <w:r>
        <w:rPr>
          <w:highlight w:val="none"/>
        </w:rPr>
      </w:r>
      <w:r/>
    </w:p>
    <w:p>
      <w:pPr>
        <w:pStyle w:val="90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及时性：运维服务团队应能在规定的时间内响应并处理系统问题，确保系统稳定运行。</w:t>
      </w:r>
      <w:r>
        <w:rPr>
          <w:highlight w:val="none"/>
        </w:rPr>
      </w:r>
      <w:r/>
    </w:p>
    <w:p>
      <w:pPr>
        <w:pStyle w:val="90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安全性：运维服务过程中应严格遵守信息安全规定，确保系统数据的安全性和保密性。</w:t>
      </w:r>
      <w:r>
        <w:rPr>
          <w:highlight w:val="none"/>
        </w:rPr>
      </w:r>
      <w:r/>
    </w:p>
    <w:p>
      <w:pPr>
        <w:pStyle w:val="90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规范性：运维服务应遵循相关标准和规范，确保服务质量和效果。</w:t>
      </w:r>
      <w:r>
        <w:rPr>
          <w:highlight w:val="none"/>
        </w:rPr>
      </w:r>
      <w:r/>
    </w:p>
    <w:p>
      <w:pPr>
        <w:pStyle w:val="903"/>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服务质量</w:t>
      </w:r>
      <w:r>
        <w:rPr>
          <w:rFonts w:hint="eastAsia" w:ascii="宋体" w:hAnsi="宋体"/>
          <w:color w:val="000000"/>
          <w:sz w:val="24"/>
          <w:highlight w:val="none"/>
        </w:rPr>
        <w:t xml:space="preserve">：</w:t>
      </w:r>
      <w:r>
        <w:rPr>
          <w:rFonts w:ascii="宋体" w:hAnsi="宋体"/>
          <w:color w:val="000000"/>
          <w:sz w:val="24"/>
          <w:highlight w:val="none"/>
        </w:rPr>
        <w:t xml:space="preserve">运维服务提供商应确保运维服务的质量，满足客户的各项需求</w:t>
      </w:r>
      <w:r>
        <w:rPr>
          <w:rFonts w:hint="eastAsia" w:ascii="宋体" w:hAnsi="宋体"/>
          <w:color w:val="000000"/>
          <w:sz w:val="24"/>
          <w:highlight w:val="none"/>
        </w:rPr>
        <w:t xml:space="preserve">，</w:t>
      </w:r>
      <w:r>
        <w:rPr>
          <w:rFonts w:ascii="宋体" w:hAnsi="宋体"/>
          <w:color w:val="000000"/>
          <w:sz w:val="24"/>
          <w:highlight w:val="none"/>
        </w:rPr>
        <w:t xml:space="preserve">定期对运维服务进行评估和改进，提高服务质量和客户满意度。</w:t>
      </w:r>
      <w:r>
        <w:rPr>
          <w:highlight w:val="none"/>
        </w:rPr>
      </w:r>
      <w:r/>
    </w:p>
    <w:p>
      <w:pPr>
        <w:pStyle w:val="90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生态环境监控指挥中心运维服务是确保环境监管和决策工作顺利进行的重要保障。通过提供专业的运维服务，确保监控指挥中心的信息系统、硬件设备、软件平台及网络通讯等正常运行。</w:t>
      </w:r>
      <w:r>
        <w:rPr>
          <w:highlight w:val="none"/>
        </w:rPr>
      </w:r>
      <w:r/>
    </w:p>
    <w:p>
      <w:pPr>
        <w:pStyle w:val="872"/>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三、人员配备要求</w:t>
      </w:r>
      <w:r>
        <w:rPr>
          <w:highlight w:val="none"/>
        </w:rPr>
      </w:r>
      <w:r/>
    </w:p>
    <w:p>
      <w:pPr>
        <w:pStyle w:val="90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配备项目组成员不低于6名，至少包含1名项目负责人，项目组成员不低于5名（含质保期内维护人员）。其中负责系统集成、运维服务、质保期内售后服务等各部分工作直接负责人均不少于1人；项目组成员同时配合采购人做好验收工作。</w:t>
      </w:r>
      <w:r>
        <w:rPr>
          <w:highlight w:val="none"/>
        </w:rPr>
      </w:r>
      <w:r/>
    </w:p>
    <w:p>
      <w:pPr>
        <w:pStyle w:val="903"/>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项目负责人：协调项目全过程的各项工作，把握项目进度、质量把控、产品验收、包装运输、指导安装、调试及验收等，有项目维护等相关经验，及时与采购人对接工作，指导项目团队成员认真完成每一项工作。</w:t>
      </w:r>
      <w:r>
        <w:rPr>
          <w:highlight w:val="none"/>
        </w:rPr>
      </w:r>
      <w:r/>
    </w:p>
    <w:p>
      <w:pPr>
        <w:pStyle w:val="883"/>
        <w:ind w:firstLine="480"/>
        <w:rPr>
          <w:rFonts w:hint="eastAsia" w:ascii="宋体" w:hAnsi="宋体"/>
          <w:sz w:val="24"/>
          <w:highlight w:val="none"/>
        </w:rPr>
      </w:pPr>
      <w:r>
        <w:rPr>
          <w:rFonts w:hint="eastAsia" w:ascii="宋体" w:hAnsi="宋体"/>
          <w:sz w:val="24"/>
          <w:highlight w:val="none"/>
        </w:rPr>
        <w:t xml:space="preserve">系统集成人员、运维人员、设备安装调试人员、驻场人员等需为专业人员且具有参与类似项目的经验，以保证项目实施质量。负责连云港市生态环境监控指挥中心的运行维护，根据业务需求调整设备配置。负责各系统的建设、维护与管理。</w:t>
      </w:r>
      <w:r>
        <w:rPr>
          <w:highlight w:val="none"/>
        </w:rPr>
      </w:r>
      <w:r/>
    </w:p>
    <w:p>
      <w:pPr>
        <w:pStyle w:val="872"/>
        <w:numPr>
          <w:ilvl w:val="0"/>
          <w:numId w:val="10"/>
        </w:numPr>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服务期限与项目进度安排</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本项目服务期限分为项目建设期和运维服务期。</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项目建设期为：合同签订后60天内完成安装调试，达到预期效果。</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运维服务期为：从项目验收之日起，三年。运维服务期开始，中标人提供6个月驻场服务，驻场服务期间，应该有专人在现场，提供7×8小时（节假日除外）驻场服务。6个月后至运维期满，中标人确定专人协调处理，并提供7×24小时热线电话服务，接到报修（发现故障）后，应在0.5小时内响应，1小时内到达现场，12小时内排除故障。</w:t>
      </w:r>
      <w:r>
        <w:rPr>
          <w:highlight w:val="none"/>
        </w:rPr>
      </w:r>
      <w:r/>
    </w:p>
    <w:p>
      <w:pPr>
        <w:pStyle w:val="872"/>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五、供货要求：</w:t>
      </w:r>
      <w:r>
        <w:rPr>
          <w:highlight w:val="none"/>
        </w:rPr>
      </w:r>
      <w:r/>
    </w:p>
    <w:p>
      <w:pPr>
        <w:pStyle w:val="872"/>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（1）</w:t>
      </w:r>
      <w:r>
        <w:rPr>
          <w:rFonts w:hint="eastAsia" w:ascii="宋体" w:hAnsi="宋体"/>
          <w:sz w:val="24"/>
          <w:szCs w:val="24"/>
          <w:highlight w:val="none"/>
        </w:rPr>
        <w:t xml:space="preserve">交货期：合同签订后</w:t>
      </w:r>
      <w:r>
        <w:rPr>
          <w:rFonts w:ascii="宋体" w:hAnsi="宋体"/>
          <w:sz w:val="24"/>
          <w:szCs w:val="24"/>
          <w:highlight w:val="none"/>
        </w:rPr>
        <w:t xml:space="preserve">60</w:t>
      </w:r>
      <w:r>
        <w:rPr>
          <w:rFonts w:hint="eastAsia" w:ascii="宋体" w:hAnsi="宋体"/>
          <w:sz w:val="24"/>
          <w:szCs w:val="24"/>
          <w:highlight w:val="none"/>
        </w:rPr>
        <w:t xml:space="preserve">天内完成安装调试，达到预期效果。</w:t>
      </w:r>
      <w:r>
        <w:rPr>
          <w:highlight w:val="none"/>
        </w:rPr>
      </w:r>
      <w:r/>
    </w:p>
    <w:p>
      <w:pPr>
        <w:pStyle w:val="872"/>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（2）</w:t>
      </w:r>
      <w:r>
        <w:rPr>
          <w:rFonts w:hint="eastAsia" w:ascii="宋体" w:hAnsi="宋体"/>
          <w:sz w:val="24"/>
          <w:szCs w:val="24"/>
          <w:highlight w:val="none"/>
        </w:rPr>
        <w:t xml:space="preserve">交货方式：现场验收。</w:t>
      </w:r>
      <w:r>
        <w:rPr>
          <w:highlight w:val="none"/>
        </w:rPr>
      </w:r>
      <w:r/>
    </w:p>
    <w:p>
      <w:pPr>
        <w:pStyle w:val="872"/>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（3）</w:t>
      </w:r>
      <w:r>
        <w:rPr>
          <w:rFonts w:hint="eastAsia" w:ascii="宋体" w:hAnsi="宋体"/>
          <w:sz w:val="24"/>
          <w:szCs w:val="24"/>
          <w:highlight w:val="none"/>
        </w:rPr>
        <w:t xml:space="preserve">交货地点：采购人指定地点。</w:t>
      </w:r>
      <w:r>
        <w:rPr>
          <w:highlight w:val="none"/>
        </w:rPr>
      </w:r>
      <w:r/>
    </w:p>
    <w:p>
      <w:pPr>
        <w:pStyle w:val="872"/>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（4）</w:t>
      </w:r>
      <w:r>
        <w:rPr>
          <w:rFonts w:hint="eastAsia" w:ascii="宋体" w:hAnsi="宋体"/>
          <w:sz w:val="24"/>
          <w:szCs w:val="24"/>
          <w:highlight w:val="none"/>
        </w:rPr>
        <w:t xml:space="preserve">中标人提供的货物（含配件）应是全新的、未使用过的合格正品，并保证所提供货物的开箱合格率为100%，外观和内在质量都不得有任何问题。符合合同规定的质量、规格和性能要求。在规定的质保期内，中标人应对由于设计、工艺或材料的缺陷或故障负责。在未验收前，货物保管、安全均由中标人负责，货物送到采购人指定地点，并负责办理运输和装卸，费用由中标人负责。</w:t>
      </w:r>
      <w:r>
        <w:rPr>
          <w:highlight w:val="none"/>
        </w:rPr>
      </w:r>
      <w:r/>
    </w:p>
    <w:p>
      <w:pPr>
        <w:pStyle w:val="872"/>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（5）</w:t>
      </w:r>
      <w:r>
        <w:rPr>
          <w:rFonts w:hint="eastAsia" w:ascii="宋体" w:hAnsi="宋体"/>
          <w:sz w:val="24"/>
          <w:szCs w:val="24"/>
          <w:highlight w:val="none"/>
        </w:rPr>
        <w:t xml:space="preserve">所提供的技术资料（含软件）完整正确，数据和资料准确无误，能够保证设备按时正确地安装、调试和验收，并能满足正常运行和维修保养的需要。</w:t>
      </w:r>
      <w:r>
        <w:rPr>
          <w:highlight w:val="none"/>
        </w:rPr>
      </w:r>
      <w:r/>
    </w:p>
    <w:p>
      <w:pPr>
        <w:pStyle w:val="872"/>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（6）</w:t>
      </w:r>
      <w:r>
        <w:rPr>
          <w:rFonts w:hint="eastAsia" w:ascii="宋体" w:hAnsi="宋体"/>
          <w:sz w:val="24"/>
          <w:szCs w:val="24"/>
          <w:highlight w:val="none"/>
        </w:rPr>
        <w:t xml:space="preserve">采购人使用该货物的任何一部分，当受第三方提出的侵犯其专利权、商标权或工业设计权的投诉时，一切后果由中标人负责。</w:t>
      </w:r>
      <w:r>
        <w:rPr>
          <w:highlight w:val="none"/>
        </w:rPr>
      </w:r>
      <w:r/>
    </w:p>
    <w:p>
      <w:pPr>
        <w:pStyle w:val="872"/>
        <w:ind w:firstLine="480"/>
        <w:jc w:val="left"/>
        <w:spacing w:line="360" w:lineRule="auto"/>
        <w:rPr>
          <w:rFonts w:hint="eastAsia" w:ascii="Times New Roman" w:hAnsi="Times New Roman"/>
          <w:b/>
          <w:sz w:val="28"/>
          <w:szCs w:val="28"/>
          <w:highlight w:val="none"/>
        </w:rPr>
      </w:pPr>
      <w:r>
        <w:rPr>
          <w:rFonts w:hint="eastAsia" w:ascii="Times New Roman" w:hAnsi="Times New Roman"/>
          <w:sz w:val="24"/>
          <w:szCs w:val="24"/>
          <w:highlight w:val="none"/>
        </w:rPr>
        <w:t xml:space="preserve">（7）</w:t>
      </w:r>
      <w:r>
        <w:rPr>
          <w:rFonts w:hint="eastAsia" w:ascii="宋体" w:hAnsi="宋体"/>
          <w:sz w:val="24"/>
          <w:szCs w:val="24"/>
          <w:highlight w:val="none"/>
        </w:rPr>
        <w:t xml:space="preserve">如未能达到合同要求，采购人有权退货并要求中标人赔偿损失。</w:t>
      </w:r>
      <w:r>
        <w:rPr>
          <w:highlight w:val="none"/>
        </w:rPr>
      </w:r>
      <w:r/>
    </w:p>
    <w:p>
      <w:pPr>
        <w:pStyle w:val="872"/>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六、培训要求</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为保证项目建设质量，更好地满足采购人的需要，制定以下培训方案要求：</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根据本项目实际建设详细内容及应用目标对采购人提供针对性的培训，通过培训使采购人系统管理员、技术人员及设备使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此部分包含在投标报价中。</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1、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2、培训对象：培训对象包括但不限于以下人员：设备使用人员、系统运行维护管理人员等。</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3、培训方式：集中授课、现场应用操作指导等。</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4、培训内容：内容包含但不限于系统总体情况进行介绍、应用操作、常见故障分析、系统运维工作等。</w:t>
      </w:r>
      <w:r>
        <w:rPr>
          <w:highlight w:val="none"/>
        </w:rPr>
      </w:r>
      <w:r/>
    </w:p>
    <w:p>
      <w:pPr>
        <w:pStyle w:val="872"/>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5、培训师资：原厂专业资深工程师、专业资格人员等。</w:t>
      </w:r>
      <w:r>
        <w:rPr>
          <w:highlight w:val="none"/>
        </w:rPr>
      </w:r>
      <w:r/>
    </w:p>
    <w:p>
      <w:pPr>
        <w:pStyle w:val="872"/>
        <w:ind w:firstLine="562"/>
        <w:spacing w:line="360" w:lineRule="auto"/>
        <w:rPr>
          <w:highlight w:val="none"/>
        </w:rPr>
      </w:pPr>
      <w:r>
        <w:rPr>
          <w:rFonts w:hint="eastAsia" w:ascii="Times New Roman" w:hAnsi="Times New Roman"/>
          <w:b/>
          <w:sz w:val="28"/>
          <w:szCs w:val="28"/>
          <w:highlight w:val="none"/>
        </w:rPr>
        <w:t xml:space="preserve">七、对接要求</w:t>
      </w:r>
      <w:r>
        <w:rPr>
          <w:highlight w:val="none"/>
        </w:rPr>
      </w:r>
      <w:r/>
    </w:p>
    <w:p>
      <w:pPr>
        <w:pStyle w:val="872"/>
        <w:ind w:firstLine="492"/>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为了保证会议视频系统的正常使用，视频会议主机、视频会议终端需与省生态环境厅、市生态环境局目前在用的系统兼容，实现有效对接，达到互联互通的要求。</w:t>
      </w:r>
      <w:r>
        <w:rPr>
          <w:highlight w:val="none"/>
        </w:rPr>
      </w:r>
      <w:r/>
    </w:p>
    <w:p>
      <w:pPr>
        <w:pStyle w:val="872"/>
        <w:ind w:firstLine="492"/>
        <w:spacing w:line="360" w:lineRule="auto"/>
        <w:rPr>
          <w:rFonts w:ascii="宋体" w:hAnsi="宋体"/>
          <w:b/>
          <w:bCs/>
          <w:i/>
          <w:iCs/>
          <w:sz w:val="24"/>
          <w:szCs w:val="24"/>
          <w:highlight w:val="none"/>
          <w:u w:val="single"/>
        </w:rPr>
      </w:pPr>
      <w:r>
        <w:rPr>
          <w:rFonts w:hint="eastAsia" w:ascii="宋体" w:hAnsi="宋体"/>
          <w:b/>
          <w:bCs/>
          <w:i/>
          <w:iCs/>
          <w:sz w:val="24"/>
          <w:szCs w:val="24"/>
          <w:highlight w:val="none"/>
          <w:u w:val="single"/>
        </w:rPr>
        <w:t xml:space="preserve">（投标文件中需要提供承诺函，并加盖公章。承诺函格式自拟，否则投标无效）</w:t>
      </w:r>
      <w:r>
        <w:rPr>
          <w:highlight w:val="none"/>
        </w:rPr>
      </w:r>
      <w:r/>
    </w:p>
    <w:p>
      <w:pPr>
        <w:pStyle w:val="872"/>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八、项目实施要求</w:t>
      </w:r>
      <w:r>
        <w:rPr>
          <w:highlight w:val="none"/>
        </w:rPr>
      </w:r>
      <w:r/>
    </w:p>
    <w:p>
      <w:pPr>
        <w:pStyle w:val="885"/>
        <w:ind w:left="0"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1、辅材、配件要求：本项目涉及的辅材，清单中未列的，由中标人提供。下表仅供参考：</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2400"/>
        <w:gridCol w:w="1036"/>
        <w:gridCol w:w="1050"/>
        <w:gridCol w:w="3012"/>
      </w:tblGrid>
      <w:tr>
        <w:trPr/>
        <w:tc>
          <w:tcPr>
            <w:tcW w:w="736" w:type="dxa"/>
            <w:vAlign w:val="center"/>
            <w:textDirection w:val="lrTb"/>
            <w:noWrap w:val="false"/>
          </w:tcPr>
          <w:p>
            <w:pPr>
              <w:pStyle w:val="872"/>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序号</w:t>
            </w:r>
            <w:r>
              <w:rPr>
                <w:highlight w:val="none"/>
              </w:rPr>
            </w:r>
            <w:r/>
          </w:p>
        </w:tc>
        <w:tc>
          <w:tcPr>
            <w:tcW w:w="2400"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名称</w:t>
            </w:r>
            <w:r>
              <w:rPr>
                <w:highlight w:val="none"/>
              </w:rPr>
            </w:r>
            <w:r/>
          </w:p>
        </w:tc>
        <w:tc>
          <w:tcPr>
            <w:tcW w:w="1036"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数量</w:t>
            </w:r>
            <w:r>
              <w:rPr>
                <w:highlight w:val="none"/>
              </w:rPr>
            </w:r>
            <w:r/>
          </w:p>
        </w:tc>
        <w:tc>
          <w:tcPr>
            <w:tcW w:w="1050"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单位</w:t>
            </w:r>
            <w:r>
              <w:rPr>
                <w:highlight w:val="none"/>
              </w:rPr>
            </w:r>
            <w:r/>
          </w:p>
        </w:tc>
        <w:tc>
          <w:tcPr>
            <w:tcW w:w="3012" w:type="dxa"/>
            <w:vAlign w:val="center"/>
            <w:textDirection w:val="lrTb"/>
            <w:noWrap w:val="false"/>
          </w:tcPr>
          <w:p>
            <w:pPr>
              <w:pStyle w:val="872"/>
              <w:jc w:val="center"/>
              <w:widowControl/>
              <w:rPr>
                <w:rFonts w:hint="eastAsia" w:ascii="宋体" w:hAnsi="宋体" w:cs="宋体"/>
                <w:szCs w:val="21"/>
                <w:highlight w:val="none"/>
              </w:rPr>
            </w:pPr>
            <w:r>
              <w:rPr>
                <w:rFonts w:hint="eastAsia" w:ascii="宋体" w:hAnsi="宋体" w:cs="宋体"/>
                <w:szCs w:val="21"/>
                <w:highlight w:val="none"/>
                <w:lang w:bidi="ar"/>
              </w:rPr>
              <w:t xml:space="preserve">参数</w:t>
            </w:r>
            <w:r>
              <w:rPr>
                <w:highlight w:val="none"/>
              </w:rPr>
            </w:r>
            <w:r/>
          </w:p>
        </w:tc>
      </w:tr>
      <w:tr>
        <w:trPr/>
        <w:tc>
          <w:tcPr>
            <w:tcW w:w="736" w:type="dxa"/>
            <w:vAlign w:val="center"/>
            <w:textDirection w:val="lrTb"/>
            <w:noWrap w:val="false"/>
          </w:tcPr>
          <w:p>
            <w:pPr>
              <w:pStyle w:val="872"/>
              <w:numPr>
                <w:ilvl w:val="0"/>
                <w:numId w:val="11"/>
              </w:numPr>
              <w:jc w:val="center"/>
              <w:spacing w:line="360" w:lineRule="auto"/>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桥架</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 </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米</w:t>
            </w:r>
            <w:r>
              <w:rPr>
                <w:highlight w:val="none"/>
              </w:rPr>
            </w:r>
            <w:r/>
          </w:p>
        </w:tc>
        <w:tc>
          <w:tcPr>
            <w:tcW w:w="3012" w:type="dxa"/>
            <w:vAlign w:val="center"/>
            <w:textDirection w:val="lrTb"/>
            <w:noWrap w:val="false"/>
          </w:tcPr>
          <w:p>
            <w:pPr>
              <w:pStyle w:val="872"/>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300CM*150CM</w:t>
            </w:r>
            <w:r>
              <w:rPr>
                <w:highlight w:val="none"/>
              </w:rPr>
            </w:r>
            <w:r/>
          </w:p>
        </w:tc>
      </w:tr>
      <w:tr>
        <w:trPr/>
        <w:tc>
          <w:tcPr>
            <w:tcW w:w="736" w:type="dxa"/>
            <w:vAlign w:val="center"/>
            <w:textDirection w:val="lrTb"/>
            <w:noWrap w:val="false"/>
          </w:tcPr>
          <w:p>
            <w:pPr>
              <w:pStyle w:val="872"/>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HDMI光纤线、HDMI线</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根</w:t>
            </w:r>
            <w:r>
              <w:rPr>
                <w:highlight w:val="none"/>
              </w:rPr>
            </w:r>
            <w:r/>
          </w:p>
        </w:tc>
        <w:tc>
          <w:tcPr>
            <w:tcW w:w="301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30m*4,</w:t>
            </w:r>
            <w:r>
              <w:rPr>
                <w:highlight w:val="none"/>
              </w:rPr>
            </w:r>
            <w:r/>
          </w:p>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20m*4,</w:t>
            </w:r>
            <w:r>
              <w:rPr>
                <w:highlight w:val="none"/>
              </w:rPr>
            </w:r>
            <w:r/>
          </w:p>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15m*6,</w:t>
            </w:r>
            <w:r>
              <w:rPr>
                <w:highlight w:val="none"/>
              </w:rPr>
            </w:r>
            <w:r/>
          </w:p>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5m*16,</w:t>
            </w:r>
            <w:r>
              <w:rPr>
                <w:highlight w:val="none"/>
              </w:rPr>
            </w:r>
            <w:r/>
          </w:p>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2m*8</w:t>
            </w:r>
            <w:r>
              <w:rPr>
                <w:highlight w:val="none"/>
              </w:rPr>
            </w:r>
            <w:r/>
          </w:p>
        </w:tc>
      </w:tr>
      <w:tr>
        <w:trPr/>
        <w:tc>
          <w:tcPr>
            <w:tcW w:w="736" w:type="dxa"/>
            <w:vAlign w:val="center"/>
            <w:textDirection w:val="lrTb"/>
            <w:noWrap w:val="false"/>
          </w:tcPr>
          <w:p>
            <w:pPr>
              <w:pStyle w:val="872"/>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网线</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箱</w:t>
            </w:r>
            <w:r>
              <w:rPr>
                <w:highlight w:val="none"/>
              </w:rPr>
            </w:r>
            <w:r/>
          </w:p>
        </w:tc>
        <w:tc>
          <w:tcPr>
            <w:tcW w:w="301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超六类</w:t>
            </w:r>
            <w:r>
              <w:rPr>
                <w:highlight w:val="none"/>
              </w:rPr>
            </w:r>
            <w:r/>
          </w:p>
        </w:tc>
      </w:tr>
      <w:tr>
        <w:trPr/>
        <w:tc>
          <w:tcPr>
            <w:tcW w:w="736" w:type="dxa"/>
            <w:vAlign w:val="center"/>
            <w:textDirection w:val="lrTb"/>
            <w:noWrap w:val="false"/>
          </w:tcPr>
          <w:p>
            <w:pPr>
              <w:pStyle w:val="872"/>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音箱线</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350 </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米</w:t>
            </w:r>
            <w:r>
              <w:rPr>
                <w:highlight w:val="none"/>
              </w:rPr>
            </w:r>
            <w:r/>
          </w:p>
        </w:tc>
        <w:tc>
          <w:tcPr>
            <w:tcW w:w="301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300芯</w:t>
            </w:r>
            <w:r>
              <w:rPr>
                <w:highlight w:val="none"/>
              </w:rPr>
            </w:r>
            <w:r/>
          </w:p>
        </w:tc>
      </w:tr>
      <w:tr>
        <w:trPr/>
        <w:tc>
          <w:tcPr>
            <w:tcW w:w="736" w:type="dxa"/>
            <w:vAlign w:val="center"/>
            <w:textDirection w:val="lrTb"/>
            <w:noWrap w:val="false"/>
          </w:tcPr>
          <w:p>
            <w:pPr>
              <w:pStyle w:val="872"/>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双麦音频线</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300 </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米</w:t>
            </w:r>
            <w:r>
              <w:rPr>
                <w:highlight w:val="none"/>
              </w:rPr>
            </w:r>
            <w:r/>
          </w:p>
        </w:tc>
        <w:tc>
          <w:tcPr>
            <w:tcW w:w="301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国标</w:t>
            </w:r>
            <w:r>
              <w:rPr>
                <w:highlight w:val="none"/>
              </w:rPr>
            </w:r>
            <w:r/>
          </w:p>
        </w:tc>
      </w:tr>
      <w:tr>
        <w:trPr/>
        <w:tc>
          <w:tcPr>
            <w:tcW w:w="736" w:type="dxa"/>
            <w:vAlign w:val="center"/>
            <w:textDirection w:val="lrTb"/>
            <w:noWrap w:val="false"/>
          </w:tcPr>
          <w:p>
            <w:pPr>
              <w:pStyle w:val="872"/>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数据跳线</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条</w:t>
            </w:r>
            <w:r>
              <w:rPr>
                <w:highlight w:val="none"/>
              </w:rPr>
            </w:r>
            <w:r/>
          </w:p>
        </w:tc>
        <w:tc>
          <w:tcPr>
            <w:tcW w:w="301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CAT6,3米</w:t>
            </w:r>
            <w:r>
              <w:rPr>
                <w:highlight w:val="none"/>
              </w:rPr>
            </w:r>
            <w:r/>
          </w:p>
        </w:tc>
      </w:tr>
      <w:tr>
        <w:trPr/>
        <w:tc>
          <w:tcPr>
            <w:tcW w:w="736" w:type="dxa"/>
            <w:vAlign w:val="center"/>
            <w:textDirection w:val="lrTb"/>
            <w:noWrap w:val="false"/>
          </w:tcPr>
          <w:p>
            <w:pPr>
              <w:pStyle w:val="872"/>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网络配线架</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 </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highlight w:val="none"/>
              </w:rPr>
            </w:r>
            <w:r/>
          </w:p>
        </w:tc>
        <w:tc>
          <w:tcPr>
            <w:tcW w:w="301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24口</w:t>
            </w:r>
            <w:r>
              <w:rPr>
                <w:highlight w:val="none"/>
              </w:rPr>
            </w:r>
            <w:r/>
          </w:p>
        </w:tc>
      </w:tr>
      <w:tr>
        <w:trPr/>
        <w:tc>
          <w:tcPr>
            <w:tcW w:w="736" w:type="dxa"/>
            <w:vAlign w:val="center"/>
            <w:textDirection w:val="lrTb"/>
            <w:noWrap w:val="false"/>
          </w:tcPr>
          <w:p>
            <w:pPr>
              <w:pStyle w:val="872"/>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理线架</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 </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highlight w:val="none"/>
              </w:rPr>
            </w:r>
            <w:r/>
          </w:p>
        </w:tc>
        <w:tc>
          <w:tcPr>
            <w:tcW w:w="301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国标</w:t>
            </w:r>
            <w:r>
              <w:rPr>
                <w:highlight w:val="none"/>
              </w:rPr>
            </w:r>
            <w:r/>
          </w:p>
        </w:tc>
      </w:tr>
      <w:tr>
        <w:trPr/>
        <w:tc>
          <w:tcPr>
            <w:tcW w:w="736" w:type="dxa"/>
            <w:vAlign w:val="center"/>
            <w:textDirection w:val="lrTb"/>
            <w:noWrap w:val="false"/>
          </w:tcPr>
          <w:p>
            <w:pPr>
              <w:pStyle w:val="872"/>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语音配线架</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 </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highlight w:val="none"/>
              </w:rPr>
            </w:r>
            <w:r/>
          </w:p>
        </w:tc>
        <w:tc>
          <w:tcPr>
            <w:tcW w:w="301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24口</w:t>
            </w:r>
            <w:r>
              <w:rPr>
                <w:highlight w:val="none"/>
              </w:rPr>
            </w:r>
            <w:r/>
          </w:p>
        </w:tc>
      </w:tr>
      <w:tr>
        <w:trPr/>
        <w:tc>
          <w:tcPr>
            <w:tcW w:w="736" w:type="dxa"/>
            <w:vAlign w:val="center"/>
            <w:textDirection w:val="lrTb"/>
            <w:noWrap w:val="false"/>
          </w:tcPr>
          <w:p>
            <w:pPr>
              <w:pStyle w:val="872"/>
              <w:numPr>
                <w:ilvl w:val="0"/>
                <w:numId w:val="11"/>
              </w:numPr>
              <w:jc w:val="center"/>
              <w:spacing w:line="360" w:lineRule="auto"/>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各类接插件</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 </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批</w:t>
            </w:r>
            <w:r>
              <w:rPr>
                <w:highlight w:val="none"/>
              </w:rPr>
            </w:r>
            <w:r/>
          </w:p>
        </w:tc>
        <w:tc>
          <w:tcPr>
            <w:tcW w:w="301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国标</w:t>
            </w:r>
            <w:r>
              <w:rPr>
                <w:highlight w:val="none"/>
              </w:rPr>
            </w:r>
            <w:r/>
          </w:p>
        </w:tc>
      </w:tr>
      <w:tr>
        <w:trPr/>
        <w:tc>
          <w:tcPr>
            <w:tcW w:w="736" w:type="dxa"/>
            <w:vAlign w:val="center"/>
            <w:textDirection w:val="lrTb"/>
            <w:noWrap w:val="false"/>
          </w:tcPr>
          <w:p>
            <w:pPr>
              <w:pStyle w:val="872"/>
              <w:numPr>
                <w:ilvl w:val="0"/>
                <w:numId w:val="11"/>
              </w:numPr>
              <w:jc w:val="center"/>
              <w:spacing w:line="360" w:lineRule="auto"/>
              <w:widowControl/>
              <w:rPr>
                <w:rFonts w:hint="eastAsia" w:ascii="宋体" w:hAnsi="宋体" w:cs="宋体"/>
                <w:sz w:val="20"/>
                <w:szCs w:val="20"/>
                <w:highlight w:val="none"/>
              </w:rPr>
            </w:pPr>
            <w:r>
              <w:rPr>
                <w:rFonts w:hint="eastAsia" w:ascii="宋体" w:hAnsi="宋体" w:cs="宋体"/>
                <w:sz w:val="20"/>
                <w:szCs w:val="20"/>
                <w:highlight w:val="none"/>
              </w:rPr>
            </w:r>
            <w:r>
              <w:rPr>
                <w:highlight w:val="none"/>
              </w:rPr>
            </w:r>
            <w:r/>
          </w:p>
        </w:tc>
        <w:tc>
          <w:tcPr>
            <w:tcW w:w="240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多媒体信息盒</w:t>
            </w:r>
            <w:r>
              <w:rPr>
                <w:highlight w:val="none"/>
              </w:rPr>
            </w:r>
            <w:r/>
          </w:p>
        </w:tc>
        <w:tc>
          <w:tcPr>
            <w:tcW w:w="1036"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 </w:t>
            </w:r>
            <w:r>
              <w:rPr>
                <w:highlight w:val="none"/>
              </w:rPr>
            </w:r>
            <w:r/>
          </w:p>
        </w:tc>
        <w:tc>
          <w:tcPr>
            <w:tcW w:w="1050"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highlight w:val="none"/>
              </w:rPr>
            </w:r>
            <w:r/>
          </w:p>
        </w:tc>
        <w:tc>
          <w:tcPr>
            <w:tcW w:w="301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HDMI*1,网口*4，音频*1.3孔2位电源*1</w:t>
            </w:r>
            <w:r>
              <w:rPr>
                <w:highlight w:val="none"/>
              </w:rPr>
            </w:r>
            <w:r/>
          </w:p>
        </w:tc>
      </w:tr>
    </w:tbl>
    <w:p>
      <w:pPr>
        <w:pStyle w:val="885"/>
        <w:ind w:left="0"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2、配套环境改造</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390"/>
        <w:gridCol w:w="1023"/>
        <w:gridCol w:w="1022"/>
        <w:gridCol w:w="3072"/>
      </w:tblGrid>
      <w:tr>
        <w:trPr/>
        <w:tc>
          <w:tcPr>
            <w:tcW w:w="762"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序号</w:t>
            </w:r>
            <w:r>
              <w:rPr>
                <w:highlight w:val="none"/>
              </w:rPr>
            </w:r>
            <w:r/>
          </w:p>
        </w:tc>
        <w:tc>
          <w:tcPr>
            <w:tcW w:w="2390" w:type="dxa"/>
            <w:vAlign w:val="center"/>
            <w:textDirection w:val="lrTb"/>
            <w:noWrap w:val="false"/>
          </w:tcPr>
          <w:p>
            <w:pPr>
              <w:pStyle w:val="872"/>
              <w:jc w:val="left"/>
              <w:widowControl/>
              <w:rPr>
                <w:rFonts w:hint="eastAsia" w:ascii="宋体" w:hAnsi="宋体" w:cs="宋体"/>
                <w:szCs w:val="21"/>
                <w:highlight w:val="none"/>
              </w:rPr>
            </w:pPr>
            <w:r>
              <w:rPr>
                <w:rFonts w:hint="eastAsia" w:ascii="宋体" w:hAnsi="宋体" w:cs="宋体"/>
                <w:szCs w:val="21"/>
                <w:highlight w:val="none"/>
                <w:lang w:bidi="ar"/>
              </w:rPr>
              <w:t xml:space="preserve">名称</w:t>
            </w:r>
            <w:r>
              <w:rPr>
                <w:highlight w:val="none"/>
              </w:rPr>
            </w:r>
            <w:r/>
          </w:p>
        </w:tc>
        <w:tc>
          <w:tcPr>
            <w:tcW w:w="1023"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数量</w:t>
            </w:r>
            <w:r>
              <w:rPr>
                <w:highlight w:val="none"/>
              </w:rPr>
            </w:r>
            <w:r/>
          </w:p>
        </w:tc>
        <w:tc>
          <w:tcPr>
            <w:tcW w:w="1022"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单位</w:t>
            </w:r>
            <w:r>
              <w:rPr>
                <w:highlight w:val="none"/>
              </w:rPr>
            </w:r>
            <w:r/>
          </w:p>
        </w:tc>
        <w:tc>
          <w:tcPr>
            <w:tcW w:w="3072" w:type="dxa"/>
            <w:vAlign w:val="center"/>
            <w:textDirection w:val="lrTb"/>
            <w:noWrap w:val="false"/>
          </w:tcPr>
          <w:p>
            <w:pPr>
              <w:pStyle w:val="872"/>
              <w:widowControl/>
              <w:rPr>
                <w:rFonts w:hint="eastAsia" w:ascii="宋体" w:hAnsi="宋体" w:cs="宋体"/>
                <w:szCs w:val="21"/>
                <w:highlight w:val="none"/>
              </w:rPr>
            </w:pPr>
            <w:r>
              <w:rPr>
                <w:rFonts w:hint="eastAsia" w:ascii="宋体" w:hAnsi="宋体" w:cs="宋体"/>
                <w:szCs w:val="21"/>
                <w:highlight w:val="none"/>
                <w:lang w:bidi="ar"/>
              </w:rPr>
              <w:t xml:space="preserve">参数</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强弱电改造</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272.4</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rPr>
                <w:highlight w:val="none"/>
              </w:rPr>
            </w:r>
            <w:r/>
          </w:p>
        </w:tc>
        <w:tc>
          <w:tcPr>
            <w:tcW w:w="3072" w:type="dxa"/>
            <w:vAlign w:val="center"/>
            <w:textDirection w:val="lrTb"/>
            <w:noWrap w:val="false"/>
          </w:tcPr>
          <w:p>
            <w:pPr>
              <w:pStyle w:val="872"/>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强弱电点位布置，人工及材料</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地面瓷砖</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194.4</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rPr>
                <w:highlight w:val="none"/>
              </w:rPr>
            </w:r>
            <w:r/>
          </w:p>
        </w:tc>
        <w:tc>
          <w:tcPr>
            <w:tcW w:w="3072" w:type="dxa"/>
            <w:vAlign w:val="center"/>
            <w:textDirection w:val="lrTb"/>
            <w:noWrap w:val="false"/>
          </w:tcPr>
          <w:p>
            <w:pPr>
              <w:pStyle w:val="872"/>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全瓷，750mm*1500mm</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实木地板</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78</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rPr>
                <w:highlight w:val="none"/>
              </w:rPr>
            </w:r>
            <w:r/>
          </w:p>
        </w:tc>
        <w:tc>
          <w:tcPr>
            <w:tcW w:w="3072" w:type="dxa"/>
            <w:vAlign w:val="center"/>
            <w:textDirection w:val="lrTb"/>
            <w:noWrap w:val="false"/>
          </w:tcPr>
          <w:p>
            <w:pPr>
              <w:pStyle w:val="872"/>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实木</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上翻梁加固</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rPr>
                <w:highlight w:val="none"/>
              </w:rPr>
            </w:r>
            <w:r/>
          </w:p>
        </w:tc>
        <w:tc>
          <w:tcPr>
            <w:tcW w:w="3072" w:type="dxa"/>
            <w:vAlign w:val="center"/>
            <w:textDirection w:val="lrTb"/>
            <w:noWrap w:val="false"/>
          </w:tcPr>
          <w:p>
            <w:pPr>
              <w:pStyle w:val="872"/>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根据设计图</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夹层电子雾化玻璃</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36</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rPr>
                <w:highlight w:val="none"/>
              </w:rPr>
            </w:r>
            <w:r/>
          </w:p>
        </w:tc>
        <w:tc>
          <w:tcPr>
            <w:tcW w:w="3072" w:type="dxa"/>
            <w:vAlign w:val="center"/>
            <w:textDirection w:val="lrTb"/>
            <w:noWrap w:val="false"/>
          </w:tcPr>
          <w:p>
            <w:pPr>
              <w:pStyle w:val="872"/>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具备可调光玻璃隔断</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隐形门</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樘</w:t>
            </w:r>
            <w:r>
              <w:rPr>
                <w:highlight w:val="none"/>
              </w:rPr>
            </w:r>
            <w:r/>
          </w:p>
        </w:tc>
        <w:tc>
          <w:tcPr>
            <w:tcW w:w="3072" w:type="dxa"/>
            <w:vAlign w:val="center"/>
            <w:textDirection w:val="lrTb"/>
            <w:noWrap w:val="false"/>
          </w:tcPr>
          <w:p>
            <w:pPr>
              <w:pStyle w:val="872"/>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成品烤漆门</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大厅墙面木饰面及造型</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270</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rPr>
                <w:highlight w:val="none"/>
              </w:rPr>
            </w:r>
            <w:r/>
          </w:p>
        </w:tc>
        <w:tc>
          <w:tcPr>
            <w:tcW w:w="3072" w:type="dxa"/>
            <w:vAlign w:val="center"/>
            <w:textDirection w:val="lrTb"/>
            <w:noWrap w:val="false"/>
          </w:tcPr>
          <w:p>
            <w:pPr>
              <w:pStyle w:val="872"/>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木工板基层、墙面饰面板</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吊顶</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194.4</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rPr>
                <w:highlight w:val="none"/>
              </w:rPr>
            </w:r>
            <w:r/>
          </w:p>
        </w:tc>
        <w:tc>
          <w:tcPr>
            <w:tcW w:w="3072" w:type="dxa"/>
            <w:vAlign w:val="center"/>
            <w:textDirection w:val="lrTb"/>
            <w:noWrap w:val="false"/>
          </w:tcPr>
          <w:p>
            <w:pPr>
              <w:pStyle w:val="872"/>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造型顶</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智能开关插座、灯具</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rPr>
                <w:highlight w:val="none"/>
              </w:rPr>
            </w:r>
            <w:r/>
          </w:p>
        </w:tc>
        <w:tc>
          <w:tcPr>
            <w:tcW w:w="3072" w:type="dxa"/>
            <w:vAlign w:val="center"/>
            <w:textDirection w:val="lrTb"/>
            <w:noWrap w:val="false"/>
          </w:tcPr>
          <w:p>
            <w:pPr>
              <w:pStyle w:val="872"/>
              <w:ind w:left="420" w:firstLine="400"/>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top"/>
            <w:textDirection w:val="lrTb"/>
            <w:noWrap w:val="false"/>
          </w:tcPr>
          <w:p>
            <w:pPr>
              <w:pStyle w:val="872"/>
              <w:jc w:val="left"/>
              <w:spacing w:line="360" w:lineRule="auto"/>
              <w:widowControl/>
              <w:rPr>
                <w:rFonts w:hint="eastAsia" w:ascii="宋体" w:hAnsi="宋体" w:cs="宋体"/>
                <w:sz w:val="20"/>
                <w:szCs w:val="20"/>
                <w:highlight w:val="none"/>
              </w:rPr>
            </w:pPr>
            <w:r>
              <w:rPr>
                <w:rFonts w:hint="eastAsia" w:ascii="宋体" w:hAnsi="宋体" w:cs="宋体"/>
                <w:sz w:val="20"/>
                <w:szCs w:val="20"/>
                <w:highlight w:val="none"/>
              </w:rPr>
              <w:t xml:space="preserve">电动窗帘</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rPr>
                <w:highlight w:val="none"/>
              </w:rPr>
            </w:r>
            <w:r/>
          </w:p>
        </w:tc>
        <w:tc>
          <w:tcPr>
            <w:tcW w:w="3072" w:type="dxa"/>
            <w:vAlign w:val="center"/>
            <w:textDirection w:val="lrTb"/>
            <w:noWrap w:val="false"/>
          </w:tcPr>
          <w:p>
            <w:pPr>
              <w:pStyle w:val="872"/>
              <w:ind w:left="420" w:firstLine="400"/>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highlight w:val="none"/>
              </w:rPr>
            </w:r>
            <w:r/>
          </w:p>
        </w:tc>
      </w:tr>
      <w:tr>
        <w:trPr/>
        <w:tc>
          <w:tcPr>
            <w:tcW w:w="762" w:type="dxa"/>
            <w:vAlign w:val="center"/>
            <w:textDirection w:val="lrTb"/>
            <w:noWrap w:val="false"/>
          </w:tcPr>
          <w:p>
            <w:pPr>
              <w:pStyle w:val="872"/>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lang w:bidi="ar"/>
              </w:rPr>
            </w:r>
            <w:r>
              <w:rPr>
                <w:highlight w:val="none"/>
              </w:rPr>
            </w:r>
            <w:r/>
          </w:p>
        </w:tc>
        <w:tc>
          <w:tcPr>
            <w:tcW w:w="2390" w:type="dxa"/>
            <w:vAlign w:val="top"/>
            <w:textDirection w:val="lrTb"/>
            <w:noWrap w:val="false"/>
          </w:tcPr>
          <w:p>
            <w:pPr>
              <w:pStyle w:val="872"/>
              <w:jc w:val="left"/>
              <w:spacing w:line="360" w:lineRule="auto"/>
              <w:widowControl/>
              <w:rPr>
                <w:rFonts w:hint="eastAsia" w:ascii="宋体" w:hAnsi="宋体" w:cs="宋体"/>
                <w:sz w:val="20"/>
                <w:szCs w:val="20"/>
                <w:highlight w:val="none"/>
              </w:rPr>
            </w:pPr>
            <w:r>
              <w:rPr>
                <w:rFonts w:hint="eastAsia" w:ascii="宋体" w:hAnsi="宋体" w:cs="宋体"/>
                <w:sz w:val="20"/>
                <w:szCs w:val="20"/>
                <w:highlight w:val="none"/>
              </w:rPr>
              <w:t xml:space="preserve">静电地板</w:t>
            </w:r>
            <w:r>
              <w:rPr>
                <w:highlight w:val="none"/>
              </w:rPr>
            </w:r>
            <w:r/>
          </w:p>
        </w:tc>
        <w:tc>
          <w:tcPr>
            <w:tcW w:w="1023"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w:t>
            </w:r>
            <w:r>
              <w:rPr>
                <w:highlight w:val="none"/>
              </w:rPr>
            </w:r>
            <w:r/>
          </w:p>
        </w:tc>
        <w:tc>
          <w:tcPr>
            <w:tcW w:w="1022" w:type="dxa"/>
            <w:vAlign w:val="center"/>
            <w:textDirection w:val="lrTb"/>
            <w:noWrap w:val="false"/>
          </w:tcPr>
          <w:p>
            <w:pPr>
              <w:pStyle w:val="872"/>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rPr>
                <w:highlight w:val="none"/>
              </w:rPr>
            </w:r>
            <w:r/>
          </w:p>
        </w:tc>
        <w:tc>
          <w:tcPr>
            <w:tcW w:w="3072" w:type="dxa"/>
            <w:vAlign w:val="center"/>
            <w:textDirection w:val="lrTb"/>
            <w:noWrap w:val="false"/>
          </w:tcPr>
          <w:p>
            <w:pPr>
              <w:pStyle w:val="872"/>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600mm*600mm*38mm</w:t>
            </w:r>
            <w:r>
              <w:rPr>
                <w:highlight w:val="none"/>
              </w:rPr>
            </w:r>
            <w:r/>
          </w:p>
          <w:p>
            <w:pPr>
              <w:pStyle w:val="872"/>
              <w:jc w:val="left"/>
              <w:rPr>
                <w:rFonts w:hint="eastAsia" w:ascii="宋体" w:hAnsi="宋体" w:cs="宋体"/>
                <w:sz w:val="20"/>
                <w:szCs w:val="20"/>
                <w:highlight w:val="none"/>
              </w:rPr>
            </w:pPr>
            <w:r>
              <w:rPr>
                <w:rFonts w:hint="eastAsia" w:ascii="宋体" w:hAnsi="宋体" w:cs="宋体"/>
                <w:sz w:val="20"/>
                <w:szCs w:val="20"/>
                <w:highlight w:val="none"/>
              </w:rPr>
              <w:t xml:space="preserve">面层：PVC</w:t>
            </w:r>
            <w:r>
              <w:rPr>
                <w:highlight w:val="none"/>
              </w:rPr>
            </w:r>
            <w:r/>
          </w:p>
          <w:p>
            <w:pPr>
              <w:pStyle w:val="872"/>
              <w:jc w:val="left"/>
              <w:rPr>
                <w:rFonts w:hint="eastAsia" w:ascii="宋体" w:hAnsi="宋体" w:cs="宋体"/>
                <w:sz w:val="20"/>
                <w:szCs w:val="20"/>
                <w:highlight w:val="none"/>
              </w:rPr>
            </w:pPr>
            <w:r>
              <w:rPr>
                <w:rFonts w:hint="eastAsia" w:ascii="宋体" w:hAnsi="宋体" w:cs="宋体"/>
                <w:sz w:val="20"/>
                <w:szCs w:val="20"/>
                <w:highlight w:val="none"/>
              </w:rPr>
              <w:t xml:space="preserve">材质：钢制</w:t>
            </w:r>
            <w:r>
              <w:rPr>
                <w:highlight w:val="none"/>
              </w:rPr>
            </w:r>
            <w:r/>
          </w:p>
          <w:p>
            <w:pPr>
              <w:pStyle w:val="872"/>
              <w:jc w:val="left"/>
              <w:rPr>
                <w:rFonts w:hint="eastAsia" w:ascii="宋体" w:hAnsi="宋体" w:cs="宋体"/>
                <w:sz w:val="20"/>
                <w:szCs w:val="20"/>
                <w:highlight w:val="none"/>
              </w:rPr>
            </w:pPr>
            <w:r>
              <w:rPr>
                <w:rFonts w:hint="eastAsia" w:ascii="宋体" w:hAnsi="宋体" w:cs="宋体"/>
                <w:sz w:val="20"/>
                <w:szCs w:val="20"/>
                <w:highlight w:val="none"/>
              </w:rPr>
              <w:t xml:space="preserve">安装方式：四角支撑式</w:t>
            </w:r>
            <w:r>
              <w:rPr>
                <w:highlight w:val="none"/>
              </w:rPr>
            </w:r>
            <w:r/>
          </w:p>
        </w:tc>
      </w:tr>
    </w:tbl>
    <w:p>
      <w:pPr>
        <w:pStyle w:val="885"/>
        <w:ind w:left="0" w:firstLine="480"/>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t xml:space="preserve">3、安装、调试要求：投标人要充分考虑采购人的需求，提供完整的设备的同时，还必须为所有设备提供规范、达标的安装工作。安装所需的必要仪器和专用工具由中标人自备。</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3859"/>
        <w:gridCol w:w="2713"/>
        <w:gridCol w:w="720"/>
      </w:tblGrid>
      <w:tr>
        <w:trPr/>
        <w:tc>
          <w:tcPr>
            <w:tcW w:w="1073" w:type="dxa"/>
            <w:vAlign w:val="center"/>
            <w:textDirection w:val="lrTb"/>
            <w:noWrap w:val="false"/>
          </w:tcPr>
          <w:p>
            <w:pPr>
              <w:pStyle w:val="872"/>
              <w:spacing w:line="360" w:lineRule="auto"/>
              <w:widowControl/>
              <w:rPr>
                <w:rFonts w:ascii="宋体" w:hAnsi="宋体" w:cs="Helvetica"/>
                <w:szCs w:val="21"/>
                <w:highlight w:val="none"/>
              </w:rPr>
            </w:pPr>
            <w:r>
              <w:rPr>
                <w:rFonts w:hint="eastAsia" w:ascii="宋体" w:hAnsi="宋体" w:cs="Helvetica"/>
                <w:szCs w:val="21"/>
                <w:highlight w:val="none"/>
              </w:rPr>
              <w:t xml:space="preserve">序号</w:t>
            </w:r>
            <w:r>
              <w:rPr>
                <w:highlight w:val="none"/>
              </w:rPr>
            </w:r>
            <w:r/>
          </w:p>
        </w:tc>
        <w:tc>
          <w:tcPr>
            <w:tcW w:w="3859" w:type="dxa"/>
            <w:vAlign w:val="center"/>
            <w:textDirection w:val="lrTb"/>
            <w:noWrap w:val="false"/>
          </w:tcPr>
          <w:p>
            <w:pPr>
              <w:pStyle w:val="872"/>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名称</w:t>
            </w:r>
            <w:r>
              <w:rPr>
                <w:highlight w:val="none"/>
              </w:rPr>
            </w:r>
            <w:r/>
          </w:p>
        </w:tc>
        <w:tc>
          <w:tcPr>
            <w:tcW w:w="2713"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数量</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单位</w:t>
            </w:r>
            <w:r>
              <w:rPr>
                <w:highlight w:val="none"/>
              </w:rPr>
            </w:r>
            <w:r/>
          </w:p>
        </w:tc>
      </w:tr>
      <w:tr>
        <w:trPr/>
        <w:tc>
          <w:tcPr>
            <w:tcW w:w="1073" w:type="dxa"/>
            <w:vAlign w:val="center"/>
            <w:textDirection w:val="lrTb"/>
            <w:noWrap w:val="false"/>
          </w:tcPr>
          <w:p>
            <w:pPr>
              <w:pStyle w:val="872"/>
              <w:numPr>
                <w:ilvl w:val="0"/>
                <w:numId w:val="13"/>
              </w:numPr>
              <w:jc w:val="center"/>
              <w:spacing w:line="360" w:lineRule="auto"/>
              <w:widowControl/>
              <w:rPr>
                <w:rFonts w:ascii="宋体" w:hAnsi="宋体" w:cs="Helvetica"/>
                <w:sz w:val="20"/>
                <w:szCs w:val="20"/>
                <w:highlight w:val="none"/>
              </w:rPr>
            </w:pPr>
            <w:r>
              <w:rPr>
                <w:rFonts w:ascii="宋体" w:hAnsi="宋体" w:cs="Helvetica"/>
                <w:sz w:val="20"/>
                <w:szCs w:val="20"/>
                <w:highlight w:val="none"/>
              </w:rPr>
            </w:r>
            <w:r>
              <w:rPr>
                <w:highlight w:val="none"/>
              </w:rPr>
            </w:r>
            <w:r/>
          </w:p>
        </w:tc>
        <w:tc>
          <w:tcPr>
            <w:tcW w:w="3859" w:type="dxa"/>
            <w:vAlign w:val="center"/>
            <w:textDirection w:val="lrTb"/>
            <w:noWrap w:val="false"/>
          </w:tcPr>
          <w:p>
            <w:pPr>
              <w:pStyle w:val="872"/>
              <w:jc w:val="left"/>
              <w:spacing w:line="360" w:lineRule="auto"/>
              <w:widowControl/>
              <w:rPr>
                <w:rFonts w:hint="eastAsia" w:ascii="宋体" w:hAnsi="宋体" w:cs="Helvetica"/>
                <w:sz w:val="20"/>
                <w:szCs w:val="20"/>
                <w:highlight w:val="none"/>
              </w:rPr>
            </w:pPr>
            <w:r>
              <w:rPr>
                <w:rFonts w:hint="eastAsia" w:ascii="宋体" w:hAnsi="宋体" w:cs="Helvetica"/>
                <w:sz w:val="20"/>
                <w:szCs w:val="20"/>
                <w:highlight w:val="none"/>
              </w:rPr>
              <w:t xml:space="preserve">空调安装</w:t>
            </w:r>
            <w:r>
              <w:rPr>
                <w:highlight w:val="none"/>
              </w:rPr>
            </w:r>
            <w:r/>
          </w:p>
        </w:tc>
        <w:tc>
          <w:tcPr>
            <w:tcW w:w="2713" w:type="dxa"/>
            <w:vAlign w:val="center"/>
            <w:textDirection w:val="lrTb"/>
            <w:noWrap w:val="false"/>
          </w:tcPr>
          <w:p>
            <w:pPr>
              <w:pStyle w:val="872"/>
              <w:jc w:val="center"/>
              <w:spacing w:line="360" w:lineRule="auto"/>
              <w:widowControl/>
              <w:rPr>
                <w:rFonts w:hint="eastAsia" w:ascii="宋体" w:hAnsi="宋体" w:cs="Helvetica"/>
                <w:sz w:val="20"/>
                <w:szCs w:val="20"/>
                <w:highlight w:val="none"/>
              </w:rPr>
            </w:pPr>
            <w:r>
              <w:rPr>
                <w:rFonts w:hint="eastAsia" w:ascii="宋体" w:hAnsi="宋体" w:cs="Helvetica"/>
                <w:sz w:val="20"/>
                <w:szCs w:val="20"/>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hint="eastAsia" w:ascii="宋体" w:hAnsi="宋体" w:cs="Helvetica"/>
                <w:sz w:val="20"/>
                <w:szCs w:val="20"/>
                <w:highlight w:val="none"/>
              </w:rPr>
            </w:pPr>
            <w:r>
              <w:rPr>
                <w:rFonts w:hint="eastAsia" w:ascii="宋体" w:hAnsi="宋体" w:cs="Helvetica"/>
                <w:sz w:val="20"/>
                <w:szCs w:val="20"/>
                <w:highlight w:val="none"/>
              </w:rPr>
              <w:t xml:space="preserve">项</w:t>
            </w:r>
            <w:r>
              <w:rPr>
                <w:highlight w:val="none"/>
              </w:rPr>
            </w:r>
            <w:r/>
          </w:p>
        </w:tc>
      </w:tr>
      <w:tr>
        <w:trPr/>
        <w:tc>
          <w:tcPr>
            <w:tcW w:w="1073" w:type="dxa"/>
            <w:vAlign w:val="center"/>
            <w:textDirection w:val="lrTb"/>
            <w:noWrap w:val="false"/>
          </w:tcPr>
          <w:p>
            <w:pPr>
              <w:pStyle w:val="872"/>
              <w:numPr>
                <w:ilvl w:val="0"/>
                <w:numId w:val="13"/>
              </w:numPr>
              <w:jc w:val="center"/>
              <w:spacing w:line="360" w:lineRule="auto"/>
              <w:widowControl/>
              <w:rPr>
                <w:rFonts w:ascii="宋体" w:hAnsi="宋体" w:cs="Helvetica"/>
                <w:sz w:val="20"/>
                <w:szCs w:val="20"/>
                <w:highlight w:val="none"/>
              </w:rPr>
            </w:pPr>
            <w:r>
              <w:rPr>
                <w:rFonts w:ascii="宋体" w:hAnsi="宋体" w:cs="Helvetica"/>
                <w:sz w:val="20"/>
                <w:szCs w:val="20"/>
                <w:highlight w:val="none"/>
              </w:rPr>
            </w:r>
            <w:r>
              <w:rPr>
                <w:highlight w:val="none"/>
              </w:rPr>
            </w:r>
            <w:r/>
          </w:p>
        </w:tc>
        <w:tc>
          <w:tcPr>
            <w:tcW w:w="3859" w:type="dxa"/>
            <w:vAlign w:val="center"/>
            <w:textDirection w:val="lrTb"/>
            <w:noWrap w:val="false"/>
          </w:tcPr>
          <w:p>
            <w:pPr>
              <w:pStyle w:val="872"/>
              <w:jc w:val="left"/>
              <w:spacing w:line="360" w:lineRule="auto"/>
              <w:widowControl/>
              <w:rPr>
                <w:rFonts w:ascii="宋体" w:hAnsi="宋体" w:cs="Helvetica"/>
                <w:sz w:val="20"/>
                <w:szCs w:val="20"/>
                <w:highlight w:val="none"/>
              </w:rPr>
            </w:pPr>
            <w:r>
              <w:rPr>
                <w:rFonts w:hint="eastAsia" w:ascii="宋体" w:hAnsi="宋体" w:cs="Helvetica"/>
                <w:sz w:val="20"/>
                <w:szCs w:val="20"/>
                <w:highlight w:val="none"/>
              </w:rPr>
              <w:t xml:space="preserve">设备调试</w:t>
            </w:r>
            <w:r>
              <w:rPr>
                <w:highlight w:val="none"/>
              </w:rPr>
            </w:r>
            <w:r/>
          </w:p>
        </w:tc>
        <w:tc>
          <w:tcPr>
            <w:tcW w:w="2713" w:type="dxa"/>
            <w:vAlign w:val="center"/>
            <w:textDirection w:val="lrTb"/>
            <w:noWrap w:val="false"/>
          </w:tcPr>
          <w:p>
            <w:pPr>
              <w:pStyle w:val="872"/>
              <w:jc w:val="center"/>
              <w:spacing w:line="360" w:lineRule="auto"/>
              <w:widowControl/>
              <w:rPr>
                <w:rFonts w:ascii="宋体" w:hAnsi="宋体" w:cs="Helvetica"/>
                <w:sz w:val="20"/>
                <w:szCs w:val="20"/>
                <w:highlight w:val="none"/>
              </w:rPr>
            </w:pPr>
            <w:r>
              <w:rPr>
                <w:rFonts w:hint="eastAsia" w:ascii="宋体" w:hAnsi="宋体" w:cs="Helvetica"/>
                <w:sz w:val="20"/>
                <w:szCs w:val="20"/>
                <w:highlight w:val="none"/>
              </w:rPr>
              <w:t xml:space="preserve">1</w:t>
            </w:r>
            <w:r>
              <w:rPr>
                <w:highlight w:val="none"/>
              </w:rPr>
            </w:r>
            <w:r/>
          </w:p>
        </w:tc>
        <w:tc>
          <w:tcPr>
            <w:tcW w:w="720" w:type="dxa"/>
            <w:vAlign w:val="center"/>
            <w:textDirection w:val="lrTb"/>
            <w:noWrap w:val="false"/>
          </w:tcPr>
          <w:p>
            <w:pPr>
              <w:pStyle w:val="872"/>
              <w:jc w:val="center"/>
              <w:spacing w:line="360" w:lineRule="auto"/>
              <w:widowControl/>
              <w:rPr>
                <w:rFonts w:ascii="宋体" w:hAnsi="宋体" w:cs="Helvetica"/>
                <w:sz w:val="20"/>
                <w:szCs w:val="20"/>
                <w:highlight w:val="none"/>
              </w:rPr>
            </w:pPr>
            <w:r>
              <w:rPr>
                <w:rFonts w:hint="eastAsia" w:ascii="宋体" w:hAnsi="宋体" w:cs="Helvetica"/>
                <w:sz w:val="20"/>
                <w:szCs w:val="20"/>
                <w:highlight w:val="none"/>
              </w:rPr>
              <w:t xml:space="preserve">项</w:t>
            </w:r>
            <w:r>
              <w:rPr>
                <w:highlight w:val="none"/>
              </w:rPr>
            </w:r>
            <w:r/>
          </w:p>
        </w:tc>
      </w:tr>
    </w:tbl>
    <w:p>
      <w:pPr>
        <w:pStyle w:val="872"/>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九、履约验收</w:t>
      </w:r>
      <w:r>
        <w:rPr>
          <w:highlight w:val="none"/>
        </w:rPr>
      </w:r>
      <w:r/>
    </w:p>
    <w:p>
      <w:pPr>
        <w:pStyle w:val="872"/>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验收标准和验收方法：设备按国家行业标准进行验收。产品质量达到设计要求安装调试各项指标符合技术参数。严禁虚报技术参数，验收时对设备参数进行核对，不能满足本次招标功能需求或存在弄虚作假等行为的，如经核实，采购人有权暂停合同签订，已经签订合同的，采购人有权终止履行合同。</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采购人依法组织履约验收工作。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对于实际使用人和采购人分离的项目，采购人邀请实际使用人参与验收。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如有必要，采购人邀请参加本项目的其他供应商或第三方专业机构及专家参与验收，相关意见将作为验收书的参考资料。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872"/>
        <w:ind w:firstLine="480"/>
        <w:jc w:val="left"/>
        <w:spacing w:line="500" w:lineRule="exact"/>
        <w:rPr>
          <w:rFonts w:hint="eastAsia"/>
          <w:sz w:val="24"/>
          <w:szCs w:val="24"/>
          <w:highlight w:val="none"/>
        </w:rPr>
      </w:pPr>
      <w:r>
        <w:rPr>
          <w:rFonts w:hint="eastAsia"/>
          <w:sz w:val="24"/>
          <w:szCs w:val="24"/>
          <w:highlight w:val="none"/>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rPr>
          <w:highlight w:val="none"/>
        </w:rPr>
      </w:r>
      <w:r/>
    </w:p>
    <w:p>
      <w:pPr>
        <w:pStyle w:val="872"/>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十、售后服务</w:t>
      </w:r>
      <w:r>
        <w:rPr>
          <w:highlight w:val="none"/>
        </w:rPr>
      </w:r>
      <w:r/>
    </w:p>
    <w:p>
      <w:pPr>
        <w:pStyle w:val="872"/>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1、软硬件质保期：三年。质保期间，中标人承担维修、保养、安检、调换等，相关费用包含在预算内，采购方不再支付任何费用；对于采购方人为原因造成的故障，中标人只收取维保成本费用。</w:t>
      </w:r>
      <w:r>
        <w:rPr>
          <w:highlight w:val="none"/>
        </w:rPr>
      </w:r>
      <w:r/>
    </w:p>
    <w:p>
      <w:pPr>
        <w:pStyle w:val="872"/>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（1）故障响应时间：在质保期内要求每年回访，有问题做到及时处理，出现质量问题或故障时，响应时间为0.5小时，遇到紧急突发事件远程无法解决，工程师应在1小时内到达现场，12小时内排除故障。</w:t>
      </w:r>
      <w:r>
        <w:rPr>
          <w:highlight w:val="none"/>
        </w:rPr>
      </w:r>
      <w:r/>
    </w:p>
    <w:p>
      <w:pPr>
        <w:pStyle w:val="872"/>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（2）质保期内如同一故障发生三次，或在2月内无法修复，中标人无条件换货，立即更换新机。质保期结束后，中标人仍应负责提供终身维修服务，但只能收取配件费，配件费按投标单价收取。</w:t>
      </w:r>
      <w:r>
        <w:rPr>
          <w:highlight w:val="none"/>
        </w:rPr>
      </w:r>
      <w:r/>
    </w:p>
    <w:p>
      <w:pPr>
        <w:pStyle w:val="883"/>
        <w:ind w:firstLine="480"/>
        <w:rPr>
          <w:rFonts w:ascii="宋体" w:hAnsi="宋体"/>
          <w:sz w:val="24"/>
          <w:highlight w:val="none"/>
        </w:rPr>
      </w:pPr>
      <w:r>
        <w:rPr>
          <w:rFonts w:hint="eastAsia" w:ascii="宋体" w:hAnsi="宋体"/>
          <w:sz w:val="24"/>
          <w:highlight w:val="none"/>
        </w:rPr>
        <w:t xml:space="preserve">2、运行维护期：</w:t>
      </w:r>
      <w:r>
        <w:rPr>
          <w:rFonts w:hint="eastAsia"/>
          <w:sz w:val="24"/>
          <w:highlight w:val="none"/>
        </w:rPr>
        <w:t xml:space="preserve">在系统验收后运维期内，由专业技术人员负责期间售后服务，提供7x24小时热线服务，支持邮件、短信、人工三种方式。协助开展运行管理、提供技术资源，并随时响应用户的各种技术需求。运维人员将定期现场对系统进行保养观察和回访，保证系统正常运行，并定期给予客户系统运行状态文档以及建议报告。</w:t>
      </w:r>
      <w:r>
        <w:rPr>
          <w:highlight w:val="none"/>
        </w:rPr>
      </w:r>
      <w:r/>
    </w:p>
    <w:p>
      <w:pPr>
        <w:pStyle w:val="883"/>
        <w:ind w:firstLine="562"/>
        <w:spacing w:line="240" w:lineRule="auto"/>
        <w:rPr>
          <w:b/>
          <w:sz w:val="28"/>
          <w:szCs w:val="28"/>
          <w:highlight w:val="none"/>
        </w:rPr>
      </w:pPr>
      <w:r>
        <w:rPr>
          <w:highlight w:val="none"/>
        </w:rPr>
      </w:r>
      <w:bookmarkStart w:id="8" w:name="_Toc155796360"/>
      <w:r>
        <w:rPr>
          <w:rFonts w:hint="eastAsia"/>
          <w:b/>
          <w:sz w:val="28"/>
          <w:szCs w:val="28"/>
          <w:highlight w:val="none"/>
        </w:rPr>
        <w:t xml:space="preserve">十一、商品包装及快递包装要求</w:t>
      </w:r>
      <w:r>
        <w:rPr>
          <w:highlight w:val="none"/>
        </w:rPr>
      </w:r>
      <w:r/>
    </w:p>
    <w:p>
      <w:pPr>
        <w:pStyle w:val="872"/>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）商品包装尽可能使用单一材质的包装材料，如因功能需求必须使用不同材质，不同材质间应便于分离；</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highlight w:val="none"/>
        </w:rPr>
      </w:r>
      <w:r/>
    </w:p>
    <w:p>
      <w:pPr>
        <w:pStyle w:val="872"/>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r/>
    </w:p>
    <w:p>
      <w:pPr>
        <w:pStyle w:val="872"/>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r/>
    </w:p>
    <w:p>
      <w:pPr>
        <w:pStyle w:val="872"/>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（7）快递中使用的集装袋应为单一材质制成，其重复使用次数应不小于 80 次；</w:t>
      </w:r>
      <w:r>
        <w:rPr>
          <w:highlight w:val="none"/>
        </w:rPr>
      </w:r>
      <w:r/>
    </w:p>
    <w:p>
      <w:pPr>
        <w:pStyle w:val="872"/>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（8）快递中应使用幅宽不大于45mm 的生物降解胶带；</w:t>
      </w:r>
      <w:r>
        <w:rPr>
          <w:highlight w:val="none"/>
        </w:rPr>
      </w:r>
      <w:r/>
    </w:p>
    <w:p>
      <w:pPr>
        <w:pStyle w:val="872"/>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（9）快递包装中不得使用溶剂型胶黏剂；</w:t>
      </w:r>
      <w:r>
        <w:rPr>
          <w:highlight w:val="none"/>
        </w:rPr>
      </w:r>
      <w:r/>
    </w:p>
    <w:p>
      <w:pPr>
        <w:pStyle w:val="872"/>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（10）快递应使用电子面单；</w:t>
      </w:r>
      <w:r>
        <w:rPr>
          <w:highlight w:val="none"/>
        </w:rPr>
      </w:r>
      <w:r/>
    </w:p>
    <w:p>
      <w:pPr>
        <w:pStyle w:val="872"/>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（11）直接使用商品包装作为快递包装的商品，其商品包装满足《商品包装政府采购需求标准（试行）》即可；</w:t>
      </w:r>
      <w:r>
        <w:rPr>
          <w:highlight w:val="none"/>
        </w:rPr>
      </w:r>
      <w:r/>
    </w:p>
    <w:p>
      <w:pPr>
        <w:pStyle w:val="872"/>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（12）快递包装产品质量和封装方式应符合相关国家或行业标准技术指标要求。</w:t>
      </w:r>
      <w:r>
        <w:rPr>
          <w:highlight w:val="none"/>
        </w:rPr>
      </w:r>
      <w:r/>
    </w:p>
    <w:p>
      <w:pPr>
        <w:pStyle w:val="872"/>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十二、付款方式与履约保证金</w:t>
      </w:r>
      <w:r>
        <w:rPr>
          <w:highlight w:val="none"/>
        </w:rPr>
      </w:r>
      <w:r/>
    </w:p>
    <w:p>
      <w:pPr>
        <w:pStyle w:val="872"/>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1、付款方式</w:t>
      </w:r>
      <w:r>
        <w:rPr>
          <w:highlight w:val="none"/>
        </w:rPr>
      </w:r>
      <w:r/>
    </w:p>
    <w:p>
      <w:pPr>
        <w:pStyle w:val="872"/>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1.1 签订合同后，</w:t>
      </w:r>
      <w:r>
        <w:rPr>
          <w:rFonts w:hint="eastAsia"/>
          <w:sz w:val="24"/>
          <w:szCs w:val="24"/>
          <w:highlight w:val="none"/>
        </w:rPr>
        <w:t xml:space="preserve">硬件到货后付至合同款的30%</w:t>
      </w:r>
      <w:r>
        <w:rPr>
          <w:rFonts w:hint="eastAsia" w:ascii="宋体" w:hAnsi="宋体"/>
          <w:sz w:val="24"/>
          <w:szCs w:val="24"/>
          <w:highlight w:val="none"/>
        </w:rPr>
        <w:t xml:space="preserve">；</w:t>
      </w:r>
      <w:r>
        <w:rPr>
          <w:highlight w:val="none"/>
        </w:rPr>
      </w:r>
      <w:r/>
    </w:p>
    <w:p>
      <w:pPr>
        <w:pStyle w:val="872"/>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1.2 设备安装调试完成，验收合格后付至合同款的90%；</w:t>
      </w:r>
      <w:r>
        <w:rPr>
          <w:highlight w:val="none"/>
        </w:rPr>
      </w:r>
      <w:r/>
    </w:p>
    <w:p>
      <w:pPr>
        <w:pStyle w:val="872"/>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1.3 驻场运维期满后付至合同款的100%。（无息）。</w:t>
      </w:r>
      <w:r>
        <w:rPr>
          <w:highlight w:val="none"/>
        </w:rPr>
      </w:r>
      <w:r/>
    </w:p>
    <w:p>
      <w:pPr>
        <w:pStyle w:val="872"/>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2、履约保证金</w:t>
      </w:r>
      <w:r>
        <w:rPr>
          <w:highlight w:val="none"/>
        </w:rPr>
      </w:r>
      <w:r/>
    </w:p>
    <w:p>
      <w:pPr>
        <w:pStyle w:val="872"/>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本项目收取履约保证金，金额为合同金额的</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5</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w:t>
      </w:r>
      <w:r>
        <w:rPr>
          <w:highlight w:val="none"/>
        </w:rPr>
      </w:r>
      <w:r/>
    </w:p>
    <w:p>
      <w:pPr>
        <w:pStyle w:val="872"/>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中标人应当以支票、汇票、本票或者金融机构、担保机构出具的保函等非现金形式在合同签订前提交。</w:t>
      </w:r>
      <w:r>
        <w:rPr>
          <w:highlight w:val="none"/>
        </w:rPr>
      </w:r>
      <w:r/>
    </w:p>
    <w:p>
      <w:pPr>
        <w:pStyle w:val="872"/>
        <w:ind w:firstLine="480"/>
        <w:jc w:val="left"/>
        <w:spacing w:line="360" w:lineRule="auto"/>
        <w:rPr>
          <w:rFonts w:ascii="宋体" w:hAnsi="宋体"/>
          <w:bCs/>
          <w:sz w:val="24"/>
          <w:highlight w:val="none"/>
        </w:rPr>
      </w:pPr>
      <w:r>
        <w:rPr>
          <w:rFonts w:hint="eastAsia" w:ascii="宋体" w:hAnsi="宋体"/>
          <w:bCs/>
          <w:sz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rPr>
          <w:highlight w:val="none"/>
        </w:rPr>
      </w:r>
      <w:r/>
    </w:p>
    <w:p>
      <w:pPr>
        <w:pStyle w:val="872"/>
        <w:ind w:firstLine="480"/>
        <w:spacing w:line="360" w:lineRule="auto"/>
        <w:rPr>
          <w:highlight w:val="none"/>
        </w:rPr>
      </w:pPr>
      <w:r>
        <w:rPr>
          <w:rFonts w:hint="eastAsia" w:ascii="宋体" w:hAnsi="宋体"/>
          <w:bCs/>
          <w:sz w:val="24"/>
          <w:highlight w:val="none"/>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highlight w:val="none"/>
        </w:rPr>
      </w:r>
      <w:r/>
    </w:p>
    <w:p>
      <w:pPr>
        <w:pStyle w:val="872"/>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十三、报价要求</w:t>
      </w:r>
      <w:r>
        <w:rPr>
          <w:highlight w:val="none"/>
        </w:rPr>
      </w:r>
      <w:r/>
    </w:p>
    <w:p>
      <w:pPr>
        <w:pStyle w:val="872"/>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1．报价币种为人民币。</w:t>
      </w:r>
      <w:r>
        <w:rPr>
          <w:highlight w:val="none"/>
        </w:rPr>
      </w:r>
      <w:r/>
    </w:p>
    <w:p>
      <w:pPr>
        <w:pStyle w:val="872"/>
        <w:ind w:firstLine="480"/>
        <w:jc w:val="left"/>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t xml:space="preserve">2．报价包含所有设备运输、安装、验收及人员培训费用。</w:t>
      </w:r>
      <w:r>
        <w:rPr>
          <w:highlight w:val="none"/>
        </w:rPr>
      </w:r>
      <w:r/>
    </w:p>
    <w:p>
      <w:pPr>
        <w:pStyle w:val="872"/>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十四、其他</w:t>
      </w:r>
      <w:r>
        <w:rPr>
          <w:highlight w:val="none"/>
        </w:rPr>
      </w:r>
      <w:r/>
    </w:p>
    <w:p>
      <w:pPr>
        <w:pStyle w:val="872"/>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1、技术资料要求：提供完整的技术资料，包括：产品验收标准（含产品合格证验收清单等）；技术说明书；使用说明书；用户手册（中文）；设备安装调试资料；配置清单、分项价格及耗材价格；备品备件易耗件清单及合同中要求的其他文件资料。</w:t>
      </w:r>
      <w:r>
        <w:rPr>
          <w:highlight w:val="none"/>
        </w:rPr>
      </w:r>
      <w:r/>
    </w:p>
    <w:p>
      <w:pPr>
        <w:pStyle w:val="872"/>
        <w:ind w:firstLine="480"/>
        <w:spacing w:line="360" w:lineRule="auto"/>
        <w:rPr>
          <w:sz w:val="24"/>
          <w:highlight w:val="none"/>
        </w:rPr>
      </w:pPr>
      <w:r>
        <w:rPr>
          <w:rFonts w:hint="eastAsia" w:ascii="Times New Roman" w:hAnsi="Times New Roman"/>
          <w:sz w:val="24"/>
          <w:szCs w:val="24"/>
          <w:highlight w:val="none"/>
        </w:rPr>
        <w:t xml:space="preserve">2、</w:t>
      </w:r>
      <w:r>
        <w:rPr>
          <w:rFonts w:hint="eastAsia"/>
          <w:sz w:val="24"/>
          <w:highlight w:val="none"/>
        </w:rPr>
        <w:t xml:space="preserve">本项目报价不得超过预算价（最高限价）。</w:t>
      </w:r>
      <w:r>
        <w:rPr>
          <w:highlight w:val="none"/>
        </w:rPr>
      </w:r>
      <w:r/>
    </w:p>
    <w:p>
      <w:pPr>
        <w:pStyle w:val="872"/>
        <w:ind w:firstLine="480"/>
        <w:spacing w:line="360" w:lineRule="auto"/>
        <w:rPr>
          <w:sz w:val="24"/>
          <w:highlight w:val="none"/>
        </w:rPr>
      </w:pPr>
      <w:r>
        <w:rPr>
          <w:rFonts w:hint="eastAsia" w:ascii="Times New Roman" w:hAnsi="Times New Roman"/>
          <w:sz w:val="24"/>
          <w:szCs w:val="24"/>
          <w:highlight w:val="none"/>
        </w:rPr>
        <w:t xml:space="preserve">3、</w:t>
      </w:r>
      <w:r>
        <w:rPr>
          <w:rFonts w:hint="eastAsia"/>
          <w:sz w:val="24"/>
          <w:highlight w:val="none"/>
        </w:rPr>
        <w:t xml:space="preserve">特别提醒投标人：应根据国家收费标准并结合市场实际进行报价，总价包干。</w:t>
      </w:r>
      <w:r>
        <w:rPr>
          <w:highlight w:val="none"/>
        </w:rPr>
      </w:r>
      <w:r/>
    </w:p>
    <w:p>
      <w:pPr>
        <w:pStyle w:val="872"/>
        <w:ind w:firstLine="480"/>
        <w:spacing w:line="360" w:lineRule="auto"/>
        <w:rPr>
          <w:sz w:val="24"/>
          <w:szCs w:val="24"/>
          <w:highlight w:val="none"/>
        </w:rPr>
      </w:pPr>
      <w:r>
        <w:rPr>
          <w:rFonts w:hint="eastAsia" w:ascii="Times New Roman" w:hAnsi="Times New Roman"/>
          <w:sz w:val="24"/>
          <w:szCs w:val="24"/>
          <w:highlight w:val="none"/>
        </w:rPr>
        <w:t xml:space="preserve">4、</w:t>
      </w:r>
      <w:r>
        <w:rPr>
          <w:rFonts w:hint="eastAsia"/>
          <w:sz w:val="24"/>
          <w:highlight w:val="none"/>
        </w:rPr>
        <w:t xml:space="preserve">工作中涉及的敏感资料、电子数据等相关信息，中标人应严格执行保密的相关规定，不得以任何方式向任何第三人披露、泄露或许可第三人使用，否则追究其相应法律责任。</w:t>
      </w:r>
      <w:r>
        <w:rPr>
          <w:highlight w:val="none"/>
        </w:rPr>
      </w:r>
      <w:r/>
    </w:p>
    <w:p>
      <w:pPr>
        <w:pStyle w:val="872"/>
        <w:jc w:val="left"/>
        <w:widowControl/>
        <w:rPr>
          <w:rFonts w:ascii="黑体" w:hAnsi="黑体" w:eastAsia="黑体"/>
          <w:bCs/>
          <w:sz w:val="44"/>
          <w:szCs w:val="44"/>
          <w:highlight w:val="none"/>
        </w:rPr>
      </w:pPr>
      <w:r>
        <w:rPr>
          <w:rFonts w:ascii="黑体" w:hAnsi="黑体" w:eastAsia="黑体"/>
          <w:b/>
          <w:highlight w:val="none"/>
        </w:rPr>
        <w:br w:type="page" w:clear="all"/>
      </w:r>
      <w:r>
        <w:rPr>
          <w:highlight w:val="none"/>
        </w:rPr>
      </w:r>
      <w:r/>
    </w:p>
    <w:p>
      <w:pPr>
        <w:pStyle w:val="873"/>
        <w:jc w:val="center"/>
        <w:spacing w:before="156" w:after="156" w:line="360" w:lineRule="auto"/>
        <w:rPr>
          <w:rFonts w:ascii="黑体" w:hAnsi="黑体" w:eastAsia="黑体"/>
          <w:b w:val="0"/>
          <w:highlight w:val="none"/>
        </w:rPr>
      </w:pP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8"/>
      <w:r>
        <w:rPr>
          <w:highlight w:val="none"/>
        </w:rPr>
      </w:r>
      <w:r/>
    </w:p>
    <w:p>
      <w:pPr>
        <w:pStyle w:val="872"/>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一、评标方法</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highlight w:val="none"/>
        </w:rPr>
      </w:r>
      <w:r/>
    </w:p>
    <w:p>
      <w:pPr>
        <w:pStyle w:val="872"/>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二、评标标准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（3）总得分=价格分+技术分+商务分。</w:t>
      </w:r>
      <w:r>
        <w:rPr>
          <w:highlight w:val="none"/>
        </w:rPr>
      </w:r>
      <w:r/>
    </w:p>
    <w:p>
      <w:pPr>
        <w:pStyle w:val="872"/>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（1）价格分（30分）</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rPr>
          <w:highlight w:val="none"/>
        </w:rPr>
      </w:r>
      <w:r/>
    </w:p>
    <w:p>
      <w:pPr>
        <w:pStyle w:val="872"/>
        <w:ind w:firstLine="480"/>
        <w:jc w:val="left"/>
        <w:spacing w:line="500" w:lineRule="exact"/>
        <w:rPr>
          <w:rFonts w:hint="eastAsia"/>
          <w:sz w:val="24"/>
          <w:szCs w:val="24"/>
          <w:highlight w:val="none"/>
        </w:rPr>
      </w:pPr>
      <w:r>
        <w:rPr>
          <w:rFonts w:hint="eastAsia"/>
          <w:sz w:val="24"/>
          <w:szCs w:val="24"/>
          <w:highlight w:val="none"/>
        </w:rPr>
        <w:t xml:space="preserve">投标报价得分=（评标基准价／投标报价）×30分</w:t>
      </w:r>
      <w:r>
        <w:rPr>
          <w:highlight w:val="none"/>
        </w:rPr>
      </w:r>
      <w:r/>
    </w:p>
    <w:p>
      <w:pPr>
        <w:pStyle w:val="872"/>
        <w:numPr>
          <w:ilvl w:val="0"/>
          <w:numId w:val="14"/>
        </w:numPr>
        <w:ind w:firstLine="480"/>
        <w:jc w:val="left"/>
        <w:spacing w:line="500" w:lineRule="exact"/>
        <w:rPr>
          <w:rFonts w:hint="eastAsia"/>
          <w:sz w:val="24"/>
          <w:szCs w:val="24"/>
          <w:highlight w:val="none"/>
        </w:rPr>
      </w:pPr>
      <w:r>
        <w:rPr>
          <w:rFonts w:hint="eastAsia"/>
          <w:sz w:val="24"/>
          <w:szCs w:val="24"/>
          <w:highlight w:val="none"/>
        </w:rPr>
        <w:t xml:space="preserve">技术分（</w:t>
      </w:r>
      <w:r>
        <w:rPr>
          <w:sz w:val="24"/>
          <w:szCs w:val="24"/>
          <w:highlight w:val="none"/>
        </w:rPr>
        <w:t xml:space="preserve">56</w:t>
      </w:r>
      <w:r>
        <w:rPr>
          <w:rFonts w:hint="eastAsia"/>
          <w:sz w:val="24"/>
          <w:szCs w:val="24"/>
          <w:highlight w:val="none"/>
        </w:rPr>
        <w:t xml:space="preserve">分）</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6"/>
        <w:gridCol w:w="6749"/>
      </w:tblGrid>
      <w:tr>
        <w:trPr>
          <w:trHeight w:val="621"/>
        </w:trPr>
        <w:tc>
          <w:tcPr>
            <w:tcW w:w="1756" w:type="dxa"/>
            <w:vAlign w:val="center"/>
            <w:textDirection w:val="lrTb"/>
            <w:noWrap w:val="false"/>
          </w:tcPr>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评审因素</w:t>
            </w:r>
            <w:r>
              <w:rPr>
                <w:highlight w:val="none"/>
              </w:rPr>
            </w:r>
            <w:r/>
          </w:p>
        </w:tc>
        <w:tc>
          <w:tcPr>
            <w:tcW w:w="6749" w:type="dxa"/>
            <w:vAlign w:val="center"/>
            <w:textDirection w:val="lrTb"/>
            <w:noWrap w:val="false"/>
          </w:tcPr>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评审标准</w:t>
            </w:r>
            <w:r>
              <w:rPr>
                <w:highlight w:val="none"/>
              </w:rPr>
            </w:r>
            <w:r/>
          </w:p>
        </w:tc>
      </w:tr>
      <w:tr>
        <w:trPr>
          <w:trHeight w:val="621"/>
        </w:trPr>
        <w:tc>
          <w:tcPr>
            <w:tcW w:w="1756" w:type="dxa"/>
            <w:vAlign w:val="center"/>
            <w:textDirection w:val="lrTb"/>
            <w:noWrap w:val="false"/>
          </w:tcPr>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技术参数</w:t>
            </w:r>
            <w:r>
              <w:rPr>
                <w:highlight w:val="none"/>
              </w:rPr>
            </w:r>
            <w:r/>
          </w:p>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（40分）</w:t>
            </w:r>
            <w:r>
              <w:rPr>
                <w:highlight w:val="none"/>
              </w:rPr>
            </w:r>
            <w:r/>
          </w:p>
        </w:tc>
        <w:tc>
          <w:tcPr>
            <w:tcW w:w="6749" w:type="dxa"/>
            <w:vAlign w:val="top"/>
            <w:textDirection w:val="lrTb"/>
            <w:noWrap w:val="false"/>
          </w:tcPr>
          <w:p>
            <w:pPr>
              <w:pStyle w:val="872"/>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技术响应评审基准分40分，标注▲的指标每有一项负偏离扣2分,</w:t>
            </w:r>
            <w:r>
              <w:rPr>
                <w:rFonts w:hint="eastAsia" w:ascii="宋体" w:hAnsi="宋体" w:cs="宋体"/>
                <w:sz w:val="24"/>
                <w:szCs w:val="24"/>
                <w:highlight w:val="none"/>
              </w:rPr>
              <w:t xml:space="preserve">其他条款每有一项负偏离扣1分，</w:t>
            </w:r>
            <w:r>
              <w:rPr>
                <w:rFonts w:hint="eastAsia" w:ascii="宋体" w:hAnsi="宋体" w:cs="宋体"/>
                <w:color w:val="000000"/>
                <w:sz w:val="24"/>
                <w:szCs w:val="24"/>
                <w:highlight w:val="none"/>
              </w:rPr>
              <w:t xml:space="preserve">扣完为止。</w:t>
            </w:r>
            <w:r>
              <w:rPr>
                <w:highlight w:val="none"/>
              </w:rPr>
            </w:r>
            <w:r/>
          </w:p>
          <w:p>
            <w:pPr>
              <w:pStyle w:val="872"/>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b/>
                <w:bCs/>
                <w:color w:val="000000"/>
                <w:sz w:val="24"/>
                <w:szCs w:val="24"/>
                <w:highlight w:val="none"/>
                <w:lang w:val="en-GB"/>
              </w:rPr>
              <w:t xml:space="preserve">（投标文件中详细填写</w:t>
            </w:r>
            <w:r>
              <w:rPr>
                <w:rFonts w:hint="eastAsia" w:ascii="宋体" w:hAnsi="宋体" w:cs="宋体"/>
                <w:b/>
                <w:bCs/>
                <w:color w:val="000000"/>
                <w:sz w:val="24"/>
                <w:szCs w:val="24"/>
                <w:highlight w:val="none"/>
                <w:lang w:val="en-GB"/>
              </w:rPr>
              <w:t xml:space="preserve">技术要求响应及偏离表</w:t>
            </w:r>
            <w:r>
              <w:rPr>
                <w:rFonts w:hint="eastAsia" w:ascii="宋体" w:hAnsi="宋体" w:cs="宋体"/>
                <w:b/>
                <w:bCs/>
                <w:color w:val="000000"/>
                <w:sz w:val="24"/>
                <w:szCs w:val="24"/>
                <w:highlight w:val="none"/>
                <w:lang w:val="en-GB"/>
              </w:rPr>
              <w:t xml:space="preserve">，须逐条响应，并标明证明材料在投标文件中的具体位置并做明显标识，便于评审。</w:t>
            </w:r>
            <w:r>
              <w:rPr>
                <w:rFonts w:hint="eastAsia" w:ascii="宋体" w:hAnsi="宋体" w:cs="宋体"/>
                <w:b/>
                <w:bCs/>
                <w:color w:val="000000"/>
                <w:sz w:val="24"/>
                <w:szCs w:val="24"/>
                <w:highlight w:val="none"/>
              </w:rPr>
              <w:t xml:space="preserve">检测报告描述不一致，但功能相近的，由评标委员会统一认定。证明材料未提供的或提供与要求不符的视为负偏离）</w:t>
            </w:r>
            <w:r>
              <w:rPr>
                <w:highlight w:val="none"/>
              </w:rPr>
            </w:r>
            <w:r/>
          </w:p>
        </w:tc>
      </w:tr>
      <w:tr>
        <w:trPr>
          <w:trHeight w:val="621"/>
        </w:trPr>
        <w:tc>
          <w:tcPr>
            <w:tcW w:w="1756" w:type="dxa"/>
            <w:vAlign w:val="center"/>
            <w:textDirection w:val="lrTb"/>
            <w:noWrap w:val="false"/>
          </w:tcPr>
          <w:p>
            <w:pPr>
              <w:pStyle w:val="87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安装调试方案</w:t>
            </w:r>
            <w:r>
              <w:rPr>
                <w:highlight w:val="none"/>
              </w:rPr>
            </w:r>
            <w:r/>
          </w:p>
          <w:p>
            <w:pPr>
              <w:pStyle w:val="87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（6分）</w:t>
            </w:r>
            <w:r>
              <w:rPr>
                <w:highlight w:val="none"/>
              </w:rPr>
            </w:r>
            <w:r/>
          </w:p>
        </w:tc>
        <w:tc>
          <w:tcPr>
            <w:tcW w:w="6749" w:type="dxa"/>
            <w:vAlign w:val="top"/>
            <w:textDirection w:val="lrTb"/>
            <w:noWrap w:val="false"/>
          </w:tcPr>
          <w:p>
            <w:pPr>
              <w:pStyle w:val="872"/>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投标人提供安装调试方案，内容包括不限于人员组织，方案深化设计、实施步骤、进度、安排、质量保证措施、安全文明措施、测试方案、项目实施重点、难点分析、不可预见因素预测分析等内容。</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方案完整、合理，符合规范要求，安全有保证措施，具有可操作性的，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6</w:t>
            </w:r>
            <w:r>
              <w:rPr>
                <w:rFonts w:hint="eastAsia" w:ascii="宋体" w:hAnsi="宋体" w:cs="宋体"/>
                <w:b/>
                <w:bCs/>
                <w:sz w:val="24"/>
                <w:szCs w:val="24"/>
                <w:highlight w:val="none"/>
              </w:rPr>
              <w:t xml:space="preserve">分；</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方案基本完整、合理，基本符合规范要求，安全有保证措施，可操作性一般的，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4</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方案有缺失，基本符合规范要求，安全措施无法保证，不具有可操作性的，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2</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rPr>
                <w:highlight w:val="none"/>
              </w:rPr>
            </w:r>
            <w:r/>
          </w:p>
          <w:p>
            <w:pPr>
              <w:pStyle w:val="872"/>
              <w:jc w:val="left"/>
              <w:spacing w:line="400" w:lineRule="exact"/>
              <w:rPr>
                <w:rFonts w:hint="eastAsia" w:ascii="宋体" w:hAnsi="宋体" w:cs="宋体"/>
                <w:sz w:val="24"/>
                <w:szCs w:val="24"/>
                <w:highlight w:val="none"/>
              </w:rPr>
            </w:pPr>
            <w:r>
              <w:rPr>
                <w:rFonts w:hint="eastAsia" w:ascii="宋体" w:hAnsi="宋体" w:cs="宋体"/>
                <w:b/>
                <w:bCs/>
                <w:sz w:val="24"/>
                <w:szCs w:val="24"/>
                <w:highlight w:val="none"/>
              </w:rPr>
              <w:t xml:space="preserve">该项未见阐述不得分。</w:t>
            </w:r>
            <w:r>
              <w:rPr>
                <w:highlight w:val="none"/>
              </w:rPr>
            </w:r>
            <w:r/>
          </w:p>
        </w:tc>
      </w:tr>
      <w:tr>
        <w:trPr>
          <w:trHeight w:val="621"/>
        </w:trPr>
        <w:tc>
          <w:tcPr>
            <w:tcW w:w="1756" w:type="dxa"/>
            <w:vAlign w:val="center"/>
            <w:textDirection w:val="lrTb"/>
            <w:noWrap w:val="false"/>
          </w:tcPr>
          <w:p>
            <w:pPr>
              <w:pStyle w:val="872"/>
              <w:ind w:right="-21"/>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培训方案</w:t>
            </w:r>
            <w:r>
              <w:rPr>
                <w:highlight w:val="none"/>
              </w:rPr>
            </w:r>
            <w:r/>
          </w:p>
          <w:p>
            <w:pPr>
              <w:pStyle w:val="87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（6分）</w:t>
            </w:r>
            <w:r>
              <w:rPr>
                <w:highlight w:val="none"/>
              </w:rPr>
            </w:r>
            <w:r/>
          </w:p>
        </w:tc>
        <w:tc>
          <w:tcPr>
            <w:tcW w:w="6749" w:type="dxa"/>
            <w:vAlign w:val="center"/>
            <w:textDirection w:val="lrTb"/>
            <w:noWrap w:val="false"/>
          </w:tcPr>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w:t>
            </w:r>
            <w:r>
              <w:rPr>
                <w:rFonts w:hint="eastAsia" w:ascii="宋体" w:hAnsi="宋体" w:cs="宋体"/>
                <w:sz w:val="24"/>
                <w:szCs w:val="24"/>
                <w:highlight w:val="none"/>
              </w:rPr>
              <w:t xml:space="preserve">标人提供培训方案，内容包括但不限于培训计划，培训人员，培训教材等。</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培训计划合理、人员充足，培训内容有针对性的，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6</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培训计划较合理、人员较充足，培训内容较有针对性的，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4</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培训计划合理性一般、内容有针对性一般的，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2</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b/>
                <w:bCs/>
                <w:sz w:val="24"/>
                <w:szCs w:val="24"/>
                <w:highlight w:val="none"/>
              </w:rPr>
              <w:t xml:space="preserve">该项未见阐述不得分。</w:t>
            </w:r>
            <w:r>
              <w:rPr>
                <w:highlight w:val="none"/>
              </w:rPr>
            </w:r>
            <w:r/>
          </w:p>
        </w:tc>
      </w:tr>
      <w:tr>
        <w:trPr>
          <w:trHeight w:val="621"/>
        </w:trPr>
        <w:tc>
          <w:tcPr>
            <w:tcW w:w="1756" w:type="dxa"/>
            <w:vAlign w:val="center"/>
            <w:textDirection w:val="lrTb"/>
            <w:noWrap w:val="false"/>
          </w:tcPr>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w:t>
            </w:r>
            <w:r>
              <w:rPr>
                <w:highlight w:val="none"/>
              </w:rPr>
            </w:r>
            <w:r/>
          </w:p>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color w:val="000000"/>
                <w:sz w:val="24"/>
                <w:szCs w:val="24"/>
                <w:highlight w:val="none"/>
              </w:rPr>
              <w:t xml:space="preserve">（4分）</w:t>
            </w:r>
            <w:r>
              <w:rPr>
                <w:highlight w:val="none"/>
              </w:rPr>
            </w:r>
            <w:r/>
          </w:p>
        </w:tc>
        <w:tc>
          <w:tcPr>
            <w:tcW w:w="6749" w:type="dxa"/>
            <w:vAlign w:val="top"/>
            <w:textDirection w:val="lrTb"/>
            <w:noWrap w:val="false"/>
          </w:tcPr>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投标人根据采购需求提供售后服务方案，内容包括但不限于服务内容、响应时间、故障处理、恢复时效、人员力量、支撑保障、服务保障体系等。</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方案阐述详细，响应时间及故障处理及时，人员配备合理，支撑保障措施完善，具备完善的服务保障体系的，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4</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方案阐述较详细，响应时间及故障处理较及时，人员配备较合理，支撑保障措施较完善，具有一定的服务保障体系的，</w:t>
            </w:r>
            <w:r>
              <w:rPr>
                <w:rFonts w:hint="eastAsia" w:ascii="宋体" w:hAnsi="宋体" w:cs="宋体"/>
                <w:b/>
                <w:bCs/>
                <w:sz w:val="24"/>
                <w:szCs w:val="24"/>
                <w:highlight w:val="none"/>
              </w:rPr>
              <w:t xml:space="preserve">得2分</w:t>
            </w:r>
            <w:r>
              <w:rPr>
                <w:rFonts w:hint="eastAsia" w:ascii="宋体" w:hAnsi="宋体" w:cs="宋体"/>
                <w:sz w:val="24"/>
                <w:szCs w:val="24"/>
                <w:highlight w:val="none"/>
              </w:rPr>
              <w:t xml:space="preserve">；</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方案内容简单粗糙，上述内容有缺项，可实施性一般的，</w:t>
            </w:r>
            <w:r>
              <w:rPr>
                <w:rFonts w:hint="eastAsia" w:ascii="宋体" w:hAnsi="宋体" w:cs="宋体"/>
                <w:b/>
                <w:bCs/>
                <w:sz w:val="24"/>
                <w:szCs w:val="24"/>
                <w:highlight w:val="none"/>
              </w:rPr>
              <w:t xml:space="preserve">得1分</w:t>
            </w:r>
            <w:r>
              <w:rPr>
                <w:rFonts w:hint="eastAsia" w:ascii="宋体" w:hAnsi="宋体" w:cs="宋体"/>
                <w:sz w:val="24"/>
                <w:szCs w:val="24"/>
                <w:highlight w:val="none"/>
              </w:rPr>
              <w:t xml:space="preserve">；</w:t>
            </w:r>
            <w:r>
              <w:rPr>
                <w:highlight w:val="none"/>
              </w:rPr>
            </w:r>
            <w:r/>
          </w:p>
          <w:p>
            <w:pPr>
              <w:pStyle w:val="872"/>
              <w:ind w:right="-21"/>
              <w:spacing w:line="400" w:lineRule="exact"/>
              <w:rPr>
                <w:rFonts w:hint="eastAsia" w:ascii="宋体" w:hAnsi="宋体" w:cs="宋体"/>
                <w:sz w:val="24"/>
                <w:szCs w:val="24"/>
                <w:highlight w:val="none"/>
              </w:rPr>
            </w:pPr>
            <w:r>
              <w:rPr>
                <w:rFonts w:hint="eastAsia" w:ascii="宋体" w:hAnsi="宋体" w:cs="宋体"/>
                <w:b/>
                <w:bCs/>
                <w:sz w:val="24"/>
                <w:szCs w:val="24"/>
                <w:highlight w:val="none"/>
              </w:rPr>
              <w:t xml:space="preserve">该项未见阐述不得分。</w:t>
            </w:r>
            <w:r>
              <w:rPr>
                <w:highlight w:val="none"/>
              </w:rPr>
            </w:r>
            <w:r/>
          </w:p>
        </w:tc>
      </w:tr>
    </w:tbl>
    <w:p>
      <w:pPr>
        <w:pStyle w:val="872"/>
        <w:ind w:firstLine="480"/>
        <w:jc w:val="left"/>
        <w:spacing w:line="500" w:lineRule="exact"/>
        <w:rPr>
          <w:sz w:val="24"/>
          <w:szCs w:val="24"/>
          <w:highlight w:val="none"/>
        </w:rPr>
      </w:pPr>
      <w:r>
        <w:rPr>
          <w:rFonts w:hint="eastAsia"/>
          <w:sz w:val="24"/>
          <w:szCs w:val="24"/>
          <w:highlight w:val="none"/>
        </w:rPr>
        <w:t xml:space="preserve">（3）商务分</w:t>
      </w:r>
      <w:r>
        <w:rPr>
          <w:rFonts w:hint="eastAsia"/>
          <w:sz w:val="24"/>
          <w:szCs w:val="24"/>
          <w:highlight w:val="none"/>
        </w:rPr>
        <w:t xml:space="preserve">（</w:t>
      </w:r>
      <w:r>
        <w:rPr>
          <w:sz w:val="24"/>
          <w:szCs w:val="24"/>
          <w:highlight w:val="none"/>
        </w:rPr>
        <w:t xml:space="preserve">14</w:t>
      </w:r>
      <w:r>
        <w:rPr>
          <w:rFonts w:hint="eastAsia"/>
          <w:sz w:val="24"/>
          <w:szCs w:val="24"/>
          <w:highlight w:val="none"/>
        </w:rPr>
        <w:t xml:space="preserve">分）</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评审因素</w:t>
            </w:r>
            <w:r>
              <w:rPr>
                <w:highlight w:val="none"/>
              </w:rPr>
            </w:r>
            <w:r/>
          </w:p>
        </w:tc>
        <w:tc>
          <w:tcPr>
            <w:tcW w:w="6845" w:type="dxa"/>
            <w:vAlign w:val="center"/>
            <w:textDirection w:val="lrTb"/>
            <w:noWrap w:val="false"/>
          </w:tcPr>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评审标准</w:t>
            </w:r>
            <w:r>
              <w:rPr>
                <w:highlight w:val="none"/>
              </w:rPr>
            </w:r>
            <w:r/>
          </w:p>
        </w:tc>
      </w:tr>
      <w:tr>
        <w:trPr>
          <w:trHeight w:val="621"/>
        </w:trPr>
        <w:tc>
          <w:tcPr>
            <w:tcW w:w="1660" w:type="dxa"/>
            <w:vAlign w:val="center"/>
            <w:textDirection w:val="lrTb"/>
            <w:noWrap w:val="false"/>
          </w:tcPr>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履约能力</w:t>
            </w:r>
            <w:r>
              <w:rPr>
                <w:highlight w:val="none"/>
              </w:rPr>
            </w:r>
            <w:r/>
          </w:p>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highlight w:val="none"/>
              </w:rPr>
            </w:r>
            <w:r/>
          </w:p>
        </w:tc>
        <w:tc>
          <w:tcPr>
            <w:tcW w:w="6845" w:type="dxa"/>
            <w:vAlign w:val="top"/>
            <w:textDirection w:val="lrTb"/>
            <w:noWrap w:val="false"/>
          </w:tcPr>
          <w:p>
            <w:pPr>
              <w:pStyle w:val="872"/>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1、投标人具有质量管理体系认证证书，</w:t>
            </w:r>
            <w:r>
              <w:rPr>
                <w:rFonts w:hint="eastAsia" w:ascii="宋体" w:hAnsi="宋体" w:cs="宋体"/>
                <w:b/>
                <w:bCs/>
                <w:sz w:val="24"/>
                <w:szCs w:val="24"/>
                <w:highlight w:val="none"/>
              </w:rPr>
              <w:t xml:space="preserve">得1分</w:t>
            </w:r>
            <w:r>
              <w:rPr>
                <w:rFonts w:hint="eastAsia" w:ascii="宋体" w:hAnsi="宋体" w:cs="宋体"/>
                <w:sz w:val="24"/>
                <w:szCs w:val="24"/>
                <w:highlight w:val="none"/>
              </w:rPr>
              <w:t xml:space="preserve">；</w:t>
            </w:r>
            <w:r>
              <w:rPr>
                <w:highlight w:val="none"/>
              </w:rPr>
            </w:r>
            <w:r/>
          </w:p>
          <w:p>
            <w:pPr>
              <w:pStyle w:val="872"/>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2、投标人具有环境管理体系认证证书，</w:t>
            </w:r>
            <w:r>
              <w:rPr>
                <w:rFonts w:hint="eastAsia" w:ascii="宋体" w:hAnsi="宋体" w:cs="宋体"/>
                <w:b/>
                <w:bCs/>
                <w:sz w:val="24"/>
                <w:szCs w:val="24"/>
                <w:highlight w:val="none"/>
              </w:rPr>
              <w:t xml:space="preserve">得1分</w:t>
            </w:r>
            <w:r>
              <w:rPr>
                <w:rFonts w:hint="eastAsia" w:ascii="宋体" w:hAnsi="宋体" w:cs="宋体"/>
                <w:sz w:val="24"/>
                <w:szCs w:val="24"/>
                <w:highlight w:val="none"/>
              </w:rPr>
              <w:t xml:space="preserve">；</w:t>
            </w:r>
            <w:r>
              <w:rPr>
                <w:highlight w:val="none"/>
              </w:rPr>
            </w:r>
            <w:r/>
          </w:p>
          <w:p>
            <w:pPr>
              <w:pStyle w:val="87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3、投标人具有职业健康安全管理体系认证证书，</w:t>
            </w:r>
            <w:r>
              <w:rPr>
                <w:rFonts w:hint="eastAsia" w:ascii="宋体" w:hAnsi="宋体" w:cs="宋体"/>
                <w:b/>
                <w:bCs/>
                <w:sz w:val="24"/>
                <w:szCs w:val="24"/>
                <w:highlight w:val="none"/>
              </w:rPr>
              <w:t xml:space="preserve">得1分</w:t>
            </w:r>
            <w:r>
              <w:rPr>
                <w:rFonts w:hint="eastAsia" w:ascii="宋体" w:hAnsi="宋体" w:cs="宋体"/>
                <w:sz w:val="24"/>
                <w:szCs w:val="24"/>
                <w:highlight w:val="none"/>
              </w:rPr>
              <w:t xml:space="preserve">；</w:t>
            </w:r>
            <w:r>
              <w:rPr>
                <w:highlight w:val="none"/>
              </w:rPr>
            </w:r>
            <w:r/>
          </w:p>
          <w:p>
            <w:pPr>
              <w:pStyle w:val="872"/>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4、投标人具有运维管控类软件计算机软件著作权登记证书，</w:t>
            </w:r>
            <w:r>
              <w:rPr>
                <w:rFonts w:hint="eastAsia" w:ascii="宋体" w:hAnsi="宋体" w:cs="宋体"/>
                <w:b/>
                <w:bCs/>
                <w:sz w:val="24"/>
                <w:szCs w:val="24"/>
                <w:highlight w:val="none"/>
              </w:rPr>
              <w:t xml:space="preserve">得1分；</w:t>
            </w:r>
            <w:r>
              <w:rPr>
                <w:highlight w:val="none"/>
              </w:rPr>
            </w:r>
            <w:r/>
          </w:p>
          <w:p>
            <w:pPr>
              <w:pStyle w:val="872"/>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5、投标人具有信息技术服务管理系统认证证书，</w:t>
            </w:r>
            <w:r>
              <w:rPr>
                <w:rFonts w:hint="eastAsia" w:ascii="宋体" w:hAnsi="宋体" w:cs="宋体"/>
                <w:b/>
                <w:bCs/>
                <w:sz w:val="24"/>
                <w:szCs w:val="24"/>
                <w:highlight w:val="none"/>
              </w:rPr>
              <w:t xml:space="preserve">得1分</w:t>
            </w:r>
            <w:r>
              <w:rPr>
                <w:rFonts w:hint="eastAsia" w:ascii="宋体" w:hAnsi="宋体" w:cs="宋体"/>
                <w:sz w:val="24"/>
                <w:szCs w:val="24"/>
                <w:highlight w:val="none"/>
              </w:rPr>
              <w:t xml:space="preserve">；</w:t>
            </w:r>
            <w:r>
              <w:rPr>
                <w:highlight w:val="none"/>
              </w:rPr>
            </w:r>
            <w:r/>
          </w:p>
          <w:p>
            <w:pPr>
              <w:pStyle w:val="874"/>
              <w:spacing w:before="0" w:after="0" w:line="360" w:lineRule="auto"/>
              <w:rPr>
                <w:rFonts w:hint="eastAsia"/>
                <w:b w:val="0"/>
                <w:bCs w:val="0"/>
                <w:highlight w:val="none"/>
              </w:rPr>
              <w:outlineLvl w:val="1"/>
            </w:pPr>
            <w:r>
              <w:rPr>
                <w:rFonts w:hint="eastAsia" w:ascii="宋体" w:hAnsi="宋体" w:cs="宋体"/>
                <w:b w:val="0"/>
                <w:bCs w:val="0"/>
                <w:sz w:val="24"/>
                <w:szCs w:val="24"/>
                <w:highlight w:val="none"/>
              </w:rPr>
              <w:t xml:space="preserve">6、投标人具有信息安全管理体系认证证书，</w:t>
            </w:r>
            <w:r>
              <w:rPr>
                <w:rFonts w:hint="eastAsia" w:ascii="宋体" w:hAnsi="宋体" w:cs="宋体"/>
                <w:sz w:val="24"/>
                <w:szCs w:val="24"/>
                <w:highlight w:val="none"/>
              </w:rPr>
              <w:t xml:space="preserve">得1分</w:t>
            </w:r>
            <w:r>
              <w:rPr>
                <w:rFonts w:hint="eastAsia" w:ascii="宋体" w:hAnsi="宋体" w:cs="宋体"/>
                <w:b w:val="0"/>
                <w:bCs w:val="0"/>
                <w:sz w:val="24"/>
                <w:szCs w:val="24"/>
                <w:highlight w:val="none"/>
              </w:rPr>
              <w:t xml:space="preserve">。</w:t>
            </w:r>
            <w:r>
              <w:rPr>
                <w:highlight w:val="none"/>
              </w:rPr>
            </w:r>
            <w:r/>
          </w:p>
          <w:p>
            <w:pPr>
              <w:pStyle w:val="872"/>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b/>
                <w:bCs/>
                <w:sz w:val="24"/>
                <w:szCs w:val="24"/>
                <w:highlight w:val="none"/>
              </w:rPr>
              <w:t xml:space="preserve">（上述1-6项投标文件中提供有效证书复印件，并加盖公章，否则不得分）</w:t>
            </w:r>
            <w:r>
              <w:rPr>
                <w:highlight w:val="none"/>
              </w:rPr>
            </w:r>
            <w:r/>
          </w:p>
        </w:tc>
      </w:tr>
      <w:tr>
        <w:trPr>
          <w:trHeight w:val="621"/>
        </w:trPr>
        <w:tc>
          <w:tcPr>
            <w:tcW w:w="1660" w:type="dxa"/>
            <w:vAlign w:val="center"/>
            <w:textDirection w:val="lrTb"/>
            <w:noWrap w:val="false"/>
          </w:tcPr>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类似业绩</w:t>
            </w:r>
            <w:r>
              <w:rPr>
                <w:highlight w:val="none"/>
              </w:rPr>
            </w:r>
            <w:r/>
          </w:p>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rPr>
                <w:highlight w:val="none"/>
              </w:rPr>
            </w:r>
            <w:r/>
          </w:p>
        </w:tc>
        <w:tc>
          <w:tcPr>
            <w:tcW w:w="6845" w:type="dxa"/>
            <w:vAlign w:val="top"/>
            <w:textDirection w:val="lrTb"/>
            <w:noWrap w:val="false"/>
          </w:tcPr>
          <w:p>
            <w:pPr>
              <w:pStyle w:val="872"/>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自2021年以来，投标人具有类似项目业绩（合同内容应包含</w:t>
            </w:r>
            <w:r>
              <w:rPr>
                <w:rFonts w:hint="eastAsia" w:ascii="宋体" w:hAnsi="宋体" w:cs="宋体"/>
                <w:bCs/>
                <w:sz w:val="24"/>
                <w:szCs w:val="24"/>
                <w:highlight w:val="none"/>
              </w:rPr>
              <w:t xml:space="preserve">会议设备</w:t>
            </w:r>
            <w:r>
              <w:rPr>
                <w:rFonts w:hint="eastAsia" w:ascii="宋体" w:hAnsi="宋体" w:cs="宋体"/>
                <w:sz w:val="24"/>
                <w:szCs w:val="24"/>
                <w:highlight w:val="none"/>
              </w:rPr>
              <w:t xml:space="preserve">或</w:t>
            </w:r>
            <w:r>
              <w:rPr>
                <w:rFonts w:hint="eastAsia" w:ascii="宋体" w:hAnsi="宋体" w:cs="宋体"/>
                <w:bCs/>
                <w:sz w:val="24"/>
                <w:szCs w:val="24"/>
                <w:highlight w:val="none"/>
              </w:rPr>
              <w:t xml:space="preserve">视频处理系统设备</w:t>
            </w:r>
            <w:r>
              <w:rPr>
                <w:rFonts w:hint="eastAsia" w:ascii="宋体" w:hAnsi="宋体" w:cs="宋体"/>
                <w:sz w:val="24"/>
                <w:szCs w:val="24"/>
                <w:highlight w:val="none"/>
              </w:rPr>
              <w:t xml:space="preserve">或</w:t>
            </w:r>
            <w:r>
              <w:rPr>
                <w:rFonts w:hint="eastAsia" w:ascii="宋体" w:hAnsi="宋体" w:cs="宋体"/>
                <w:bCs/>
                <w:sz w:val="24"/>
                <w:szCs w:val="24"/>
                <w:highlight w:val="none"/>
              </w:rPr>
              <w:t xml:space="preserve">扩声系统设备相关</w:t>
            </w:r>
            <w:r>
              <w:rPr>
                <w:rFonts w:hint="eastAsia" w:ascii="宋体" w:hAnsi="宋体" w:cs="宋体"/>
                <w:sz w:val="24"/>
                <w:szCs w:val="24"/>
                <w:highlight w:val="none"/>
              </w:rPr>
              <w:t xml:space="preserve">），合同每有一个得2分；</w:t>
            </w:r>
            <w:r>
              <w:rPr>
                <w:rFonts w:hint="eastAsia" w:ascii="宋体" w:hAnsi="宋体" w:cs="宋体"/>
                <w:b/>
                <w:bCs/>
                <w:sz w:val="24"/>
                <w:szCs w:val="24"/>
                <w:highlight w:val="none"/>
              </w:rPr>
              <w:t xml:space="preserve">最高得4分</w:t>
            </w:r>
            <w:r>
              <w:rPr>
                <w:rFonts w:hint="eastAsia" w:ascii="宋体" w:hAnsi="宋体" w:cs="宋体"/>
                <w:sz w:val="24"/>
                <w:szCs w:val="24"/>
                <w:highlight w:val="none"/>
              </w:rPr>
              <w:t xml:space="preserve">。</w:t>
            </w:r>
            <w:r>
              <w:rPr>
                <w:highlight w:val="none"/>
              </w:rPr>
            </w:r>
            <w:r/>
          </w:p>
          <w:p>
            <w:pPr>
              <w:pStyle w:val="872"/>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b/>
                <w:bCs/>
                <w:sz w:val="24"/>
                <w:szCs w:val="24"/>
                <w:highlight w:val="none"/>
              </w:rPr>
              <w:t xml:space="preserve">（投标文件中提供合同扫描件并加盖公章，否则不得分。时间、内容以合同为准。设备名称不一致，由评标委员会一致认定）</w:t>
            </w:r>
            <w:r>
              <w:rPr>
                <w:highlight w:val="none"/>
              </w:rPr>
            </w:r>
            <w:r/>
          </w:p>
        </w:tc>
      </w:tr>
      <w:tr>
        <w:trPr>
          <w:trHeight w:val="621"/>
        </w:trPr>
        <w:tc>
          <w:tcPr>
            <w:tcW w:w="1660" w:type="dxa"/>
            <w:vAlign w:val="center"/>
            <w:textDirection w:val="lrTb"/>
            <w:noWrap w:val="false"/>
          </w:tcPr>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服务保障</w:t>
            </w:r>
            <w:r>
              <w:rPr>
                <w:highlight w:val="none"/>
              </w:rPr>
            </w:r>
            <w:r/>
          </w:p>
          <w:p>
            <w:pPr>
              <w:pStyle w:val="87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（2分）</w:t>
            </w:r>
            <w:r>
              <w:rPr>
                <w:highlight w:val="none"/>
              </w:rPr>
            </w:r>
            <w:r/>
          </w:p>
        </w:tc>
        <w:tc>
          <w:tcPr>
            <w:tcW w:w="6845" w:type="dxa"/>
            <w:vAlign w:val="top"/>
            <w:textDirection w:val="lrTb"/>
            <w:noWrap w:val="false"/>
          </w:tcPr>
          <w:p>
            <w:pPr>
              <w:pStyle w:val="872"/>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投标人承诺在原软硬件质保期（三年）的基础上每增加一年的，得1分，</w:t>
            </w:r>
            <w:r>
              <w:rPr>
                <w:rFonts w:hint="eastAsia" w:ascii="宋体" w:hAnsi="宋体" w:cs="宋体"/>
                <w:b/>
                <w:bCs/>
                <w:sz w:val="24"/>
                <w:szCs w:val="24"/>
                <w:highlight w:val="none"/>
              </w:rPr>
              <w:t xml:space="preserve">最高得2分</w:t>
            </w:r>
            <w:r>
              <w:rPr>
                <w:rFonts w:hint="eastAsia" w:ascii="宋体" w:hAnsi="宋体" w:cs="宋体"/>
                <w:sz w:val="24"/>
                <w:szCs w:val="24"/>
                <w:highlight w:val="none"/>
              </w:rPr>
              <w:t xml:space="preserve">。</w:t>
            </w:r>
            <w:r>
              <w:rPr>
                <w:highlight w:val="none"/>
              </w:rPr>
            </w:r>
            <w:r/>
          </w:p>
          <w:p>
            <w:pPr>
              <w:pStyle w:val="872"/>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b/>
                <w:bCs/>
                <w:sz w:val="24"/>
                <w:szCs w:val="24"/>
                <w:highlight w:val="none"/>
              </w:rPr>
              <w:t xml:space="preserve">（投标文件中提供承诺函并加盖公章，否则不得分。承诺函格式自拟）</w:t>
            </w:r>
            <w:r>
              <w:rPr>
                <w:highlight w:val="none"/>
              </w:rPr>
            </w:r>
            <w:r/>
          </w:p>
        </w:tc>
      </w:tr>
      <w:tr>
        <w:trPr>
          <w:trHeight w:val="621"/>
        </w:trPr>
        <w:tc>
          <w:tcPr>
            <w:tcW w:w="1660" w:type="dxa"/>
            <w:vAlign w:val="center"/>
            <w:textDirection w:val="lrTb"/>
            <w:noWrap w:val="false"/>
          </w:tcPr>
          <w:p>
            <w:pPr>
              <w:pStyle w:val="872"/>
              <w:jc w:val="cente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节能环保</w:t>
            </w:r>
            <w:r>
              <w:rPr>
                <w:highlight w:val="none"/>
              </w:rPr>
            </w:r>
            <w:r/>
          </w:p>
          <w:p>
            <w:pPr>
              <w:pStyle w:val="872"/>
              <w:jc w:val="cente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（2分）</w:t>
            </w:r>
            <w:r>
              <w:rPr>
                <w:highlight w:val="none"/>
              </w:rPr>
            </w:r>
            <w:r/>
          </w:p>
        </w:tc>
        <w:tc>
          <w:tcPr>
            <w:tcW w:w="6845" w:type="dxa"/>
            <w:vAlign w:val="center"/>
            <w:textDirection w:val="lrTb"/>
            <w:noWrap w:val="false"/>
          </w:tcPr>
          <w:p>
            <w:pPr>
              <w:pStyle w:val="872"/>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1、投标标的属于财政部、国家发展改革委公布的“节能产品政府采购品目清单”范围内的，投标人提供国家确定的认证机构出具的、处于有效期之内的该节能产品认证证书扫描件的，有1个得0.5分，</w:t>
            </w:r>
            <w:r>
              <w:rPr>
                <w:rFonts w:hint="eastAsia" w:ascii="宋体" w:hAnsi="宋体" w:cs="宋体"/>
                <w:b/>
                <w:bCs/>
                <w:sz w:val="24"/>
                <w:szCs w:val="24"/>
                <w:highlight w:val="none"/>
              </w:rPr>
              <w:t xml:space="preserve">最多得1分</w:t>
            </w:r>
            <w:r>
              <w:rPr>
                <w:rFonts w:hint="eastAsia" w:ascii="宋体" w:hAnsi="宋体" w:cs="宋体"/>
                <w:sz w:val="24"/>
                <w:szCs w:val="24"/>
                <w:highlight w:val="none"/>
              </w:rPr>
              <w:t xml:space="preserve">。如投标标的均属于政府强制采购节能产品品目清单范围内，本项不得分。</w:t>
            </w:r>
            <w:r>
              <w:rPr>
                <w:highlight w:val="none"/>
              </w:rPr>
            </w:r>
            <w:r/>
          </w:p>
          <w:p>
            <w:pPr>
              <w:pStyle w:val="872"/>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2、投标标的属于财政部、生态环境部公布的“环境标志产品政府采购品目清单”范围内的，投标人提供国家确定的认证机构出具的、处于有效期内的该环境标志产品认证证书扫描件的，有1个得0.5分，</w:t>
            </w:r>
            <w:r>
              <w:rPr>
                <w:rFonts w:hint="eastAsia" w:ascii="宋体" w:hAnsi="宋体" w:cs="宋体"/>
                <w:b/>
                <w:bCs/>
                <w:sz w:val="24"/>
                <w:szCs w:val="24"/>
                <w:highlight w:val="none"/>
              </w:rPr>
              <w:t xml:space="preserve">最多得1分</w:t>
            </w:r>
            <w:r>
              <w:rPr>
                <w:rFonts w:hint="eastAsia" w:ascii="宋体" w:hAnsi="宋体" w:cs="宋体"/>
                <w:sz w:val="24"/>
                <w:szCs w:val="24"/>
                <w:highlight w:val="none"/>
              </w:rPr>
              <w:t xml:space="preserve">。</w:t>
            </w:r>
            <w:r>
              <w:rPr>
                <w:highlight w:val="none"/>
              </w:rPr>
            </w:r>
            <w:r/>
          </w:p>
        </w:tc>
      </w:tr>
    </w:tbl>
    <w:p>
      <w:pPr>
        <w:pStyle w:val="872"/>
        <w:jc w:val="left"/>
        <w:widowControl/>
        <w:rPr>
          <w:sz w:val="24"/>
          <w:szCs w:val="24"/>
          <w:highlight w:val="none"/>
        </w:rPr>
      </w:pPr>
      <w:r>
        <w:rPr>
          <w:sz w:val="24"/>
          <w:szCs w:val="24"/>
          <w:highlight w:val="none"/>
        </w:rPr>
        <w:br w:type="page" w:clear="all"/>
      </w:r>
      <w:r>
        <w:rPr>
          <w:highlight w:val="none"/>
        </w:rPr>
      </w:r>
      <w:r/>
    </w:p>
    <w:p>
      <w:pPr>
        <w:pStyle w:val="873"/>
        <w:jc w:val="center"/>
        <w:spacing w:before="156" w:after="156" w:line="360" w:lineRule="auto"/>
        <w:rPr>
          <w:rFonts w:ascii="黑体" w:hAnsi="黑体" w:eastAsia="黑体"/>
          <w:b w:val="0"/>
          <w:highlight w:val="none"/>
        </w:rPr>
      </w:pPr>
      <w:r>
        <w:rPr>
          <w:highlight w:val="none"/>
        </w:rPr>
      </w:r>
      <w:bookmarkStart w:id="9" w:name="_Toc155796361"/>
      <w:r>
        <w:rPr>
          <w:rFonts w:hint="eastAsia" w:ascii="黑体" w:hAnsi="黑体" w:eastAsia="黑体"/>
          <w:b w:val="0"/>
          <w:highlight w:val="none"/>
        </w:rPr>
        <w:t xml:space="preserve">第六章  投标文件格式</w:t>
      </w:r>
      <w:bookmarkEnd w:id="9"/>
      <w:r>
        <w:rPr>
          <w:highlight w:val="none"/>
        </w:rPr>
      </w:r>
      <w:r/>
    </w:p>
    <w:p>
      <w:pPr>
        <w:pStyle w:val="872"/>
        <w:jc w:val="left"/>
        <w:spacing w:line="500" w:lineRule="exact"/>
        <w:rPr>
          <w:sz w:val="24"/>
          <w:szCs w:val="24"/>
          <w:highlight w:val="none"/>
        </w:rPr>
      </w:pPr>
      <w:r>
        <w:rPr>
          <w:sz w:val="24"/>
          <w:szCs w:val="24"/>
          <w:highlight w:val="none"/>
        </w:rPr>
      </w:r>
      <w:r>
        <w:rPr>
          <w:highlight w:val="none"/>
        </w:rPr>
      </w:r>
      <w:r/>
    </w:p>
    <w:p>
      <w:pPr>
        <w:pStyle w:val="872"/>
        <w:jc w:val="center"/>
        <w:rPr>
          <w:rFonts w:ascii="宋体" w:hAnsi="宋体"/>
          <w:b/>
          <w:color w:val="000000"/>
          <w:sz w:val="72"/>
          <w:szCs w:val="21"/>
          <w:highlight w:val="none"/>
        </w:rPr>
      </w:pPr>
      <w:r>
        <w:rPr>
          <w:rFonts w:ascii="宋体" w:hAnsi="宋体"/>
          <w:b/>
          <w:color w:val="000000"/>
          <w:sz w:val="72"/>
          <w:szCs w:val="21"/>
          <w:highlight w:val="none"/>
        </w:rPr>
      </w:r>
      <w:r>
        <w:rPr>
          <w:highlight w:val="none"/>
        </w:rPr>
      </w:r>
      <w:r/>
    </w:p>
    <w:p>
      <w:pPr>
        <w:pStyle w:val="872"/>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rPr>
          <w:highlight w:val="none"/>
        </w:rPr>
      </w:r>
      <w:r/>
    </w:p>
    <w:p>
      <w:pPr>
        <w:pStyle w:val="872"/>
        <w:jc w:val="center"/>
        <w:rPr>
          <w:rFonts w:ascii="宋体" w:hAnsi="宋体"/>
          <w:b/>
          <w:color w:val="000000"/>
          <w:sz w:val="72"/>
          <w:szCs w:val="21"/>
          <w:highlight w:val="none"/>
        </w:rPr>
      </w:pPr>
      <w:r>
        <w:rPr>
          <w:rFonts w:ascii="宋体" w:hAnsi="宋体"/>
          <w:b/>
          <w:color w:val="000000"/>
          <w:sz w:val="72"/>
          <w:szCs w:val="21"/>
          <w:highlight w:val="none"/>
        </w:rPr>
      </w:r>
      <w:r>
        <w:rPr>
          <w:highlight w:val="none"/>
        </w:rPr>
      </w:r>
      <w:r/>
    </w:p>
    <w:p>
      <w:pPr>
        <w:pStyle w:val="872"/>
        <w:jc w:val="center"/>
        <w:rPr>
          <w:rFonts w:ascii="宋体" w:hAnsi="宋体"/>
          <w:b/>
          <w:color w:val="000000"/>
          <w:sz w:val="72"/>
          <w:szCs w:val="21"/>
          <w:highlight w:val="none"/>
        </w:rPr>
      </w:pPr>
      <w:r>
        <w:rPr>
          <w:rFonts w:ascii="宋体" w:hAnsi="宋体"/>
          <w:b/>
          <w:color w:val="000000"/>
          <w:sz w:val="72"/>
          <w:szCs w:val="21"/>
          <w:highlight w:val="none"/>
        </w:rPr>
      </w:r>
      <w:r>
        <w:rPr>
          <w:highlight w:val="none"/>
        </w:rPr>
      </w:r>
      <w:r/>
    </w:p>
    <w:p>
      <w:pPr>
        <w:pStyle w:val="872"/>
        <w:jc w:val="center"/>
        <w:rPr>
          <w:rFonts w:ascii="宋体" w:hAnsi="宋体"/>
          <w:b/>
          <w:color w:val="000000"/>
          <w:sz w:val="36"/>
          <w:szCs w:val="21"/>
          <w:highlight w:val="none"/>
        </w:rPr>
      </w:pPr>
      <w:r>
        <w:rPr>
          <w:rFonts w:ascii="宋体" w:hAnsi="宋体"/>
          <w:b/>
          <w:color w:val="000000"/>
          <w:sz w:val="36"/>
          <w:szCs w:val="21"/>
          <w:highlight w:val="none"/>
        </w:rPr>
      </w:r>
      <w:r>
        <w:rPr>
          <w:highlight w:val="none"/>
        </w:rPr>
      </w:r>
      <w:r/>
    </w:p>
    <w:p>
      <w:pPr>
        <w:pStyle w:val="872"/>
        <w:jc w:val="center"/>
        <w:rPr>
          <w:rFonts w:ascii="宋体" w:hAnsi="宋体"/>
          <w:b/>
          <w:color w:val="000000"/>
          <w:sz w:val="36"/>
          <w:szCs w:val="21"/>
          <w:highlight w:val="none"/>
        </w:rPr>
      </w:pPr>
      <w:r>
        <w:rPr>
          <w:rFonts w:ascii="宋体" w:hAnsi="宋体"/>
          <w:b/>
          <w:color w:val="000000"/>
          <w:sz w:val="36"/>
          <w:szCs w:val="21"/>
          <w:highlight w:val="none"/>
        </w:rPr>
      </w:r>
      <w:r>
        <w:rPr>
          <w:highlight w:val="none"/>
        </w:rPr>
      </w:r>
      <w:r/>
    </w:p>
    <w:p>
      <w:pPr>
        <w:pStyle w:val="872"/>
        <w:jc w:val="center"/>
        <w:rPr>
          <w:rFonts w:ascii="宋体" w:hAnsi="宋体"/>
          <w:b/>
          <w:color w:val="000000"/>
          <w:sz w:val="36"/>
          <w:szCs w:val="21"/>
          <w:highlight w:val="none"/>
        </w:rPr>
      </w:pPr>
      <w:r>
        <w:rPr>
          <w:rFonts w:ascii="宋体" w:hAnsi="宋体"/>
          <w:b/>
          <w:color w:val="000000"/>
          <w:sz w:val="36"/>
          <w:szCs w:val="21"/>
          <w:highlight w:val="none"/>
        </w:rPr>
      </w:r>
      <w:r>
        <w:rPr>
          <w:highlight w:val="none"/>
        </w:rPr>
      </w:r>
      <w:r/>
    </w:p>
    <w:p>
      <w:pPr>
        <w:pStyle w:val="872"/>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highlight w:val="none"/>
        </w:rPr>
      </w:r>
      <w:r/>
    </w:p>
    <w:p>
      <w:pPr>
        <w:pStyle w:val="872"/>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highlight w:val="none"/>
        </w:rPr>
      </w:r>
      <w:r/>
    </w:p>
    <w:p>
      <w:pPr>
        <w:pStyle w:val="872"/>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highlight w:val="none"/>
        </w:rPr>
      </w:r>
      <w:r/>
    </w:p>
    <w:p>
      <w:pPr>
        <w:pStyle w:val="872"/>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highlight w:val="none"/>
        </w:rPr>
      </w:r>
      <w:r/>
    </w:p>
    <w:p>
      <w:pPr>
        <w:pStyle w:val="87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pStyle w:val="872"/>
        <w:spacing w:line="440" w:lineRule="exact"/>
        <w:rPr>
          <w:rFonts w:ascii="宋体" w:hAnsi="宋体"/>
          <w:color w:val="000000"/>
          <w:szCs w:val="21"/>
          <w:highlight w:val="none"/>
        </w:rPr>
      </w:pPr>
      <w:r>
        <w:rPr>
          <w:rFonts w:ascii="宋体" w:hAnsi="宋体"/>
          <w:color w:val="000000"/>
          <w:szCs w:val="21"/>
          <w:highlight w:val="none"/>
        </w:rPr>
      </w:r>
      <w:r>
        <w:rPr>
          <w:highlight w:val="none"/>
        </w:rPr>
      </w:r>
      <w:r/>
    </w:p>
    <w:p>
      <w:pPr>
        <w:pStyle w:val="872"/>
        <w:jc w:val="left"/>
        <w:spacing w:line="500" w:lineRule="exact"/>
        <w:rPr>
          <w:sz w:val="24"/>
          <w:szCs w:val="24"/>
          <w:highlight w:val="none"/>
        </w:rPr>
      </w:pPr>
      <w:r>
        <w:rPr>
          <w:sz w:val="24"/>
          <w:szCs w:val="24"/>
          <w:highlight w:val="none"/>
        </w:rPr>
      </w:r>
      <w:r>
        <w:rPr>
          <w:highlight w:val="none"/>
        </w:rPr>
      </w:r>
      <w:r/>
    </w:p>
    <w:p>
      <w:pPr>
        <w:pStyle w:val="872"/>
        <w:jc w:val="left"/>
        <w:spacing w:line="500" w:lineRule="exact"/>
        <w:rPr>
          <w:sz w:val="24"/>
          <w:szCs w:val="24"/>
          <w:highlight w:val="none"/>
        </w:rPr>
      </w:pPr>
      <w:r>
        <w:rPr>
          <w:sz w:val="24"/>
          <w:szCs w:val="24"/>
          <w:highlight w:val="none"/>
        </w:rPr>
      </w:r>
      <w:r>
        <w:rPr>
          <w:highlight w:val="none"/>
        </w:rPr>
      </w:r>
      <w:r/>
    </w:p>
    <w:p>
      <w:pPr>
        <w:pStyle w:val="872"/>
        <w:jc w:val="left"/>
        <w:spacing w:line="500" w:lineRule="exact"/>
        <w:rPr>
          <w:sz w:val="24"/>
          <w:szCs w:val="24"/>
          <w:highlight w:val="none"/>
        </w:rPr>
      </w:pPr>
      <w:r>
        <w:rPr>
          <w:sz w:val="24"/>
          <w:szCs w:val="24"/>
          <w:highlight w:val="none"/>
        </w:rPr>
      </w:r>
      <w:r>
        <w:rPr>
          <w:highlight w:val="none"/>
        </w:rPr>
      </w:r>
      <w:r/>
    </w:p>
    <w:p>
      <w:pPr>
        <w:pStyle w:val="872"/>
        <w:jc w:val="left"/>
        <w:widowControl/>
        <w:rPr>
          <w:sz w:val="24"/>
          <w:szCs w:val="24"/>
          <w:highlight w:val="none"/>
        </w:rPr>
      </w:pPr>
      <w:r>
        <w:rPr>
          <w:sz w:val="24"/>
          <w:szCs w:val="24"/>
          <w:highlight w:val="none"/>
        </w:rPr>
        <w:br w:type="page" w:clear="all"/>
      </w:r>
      <w:r>
        <w:rPr>
          <w:highlight w:val="none"/>
        </w:rPr>
      </w:r>
      <w:r/>
    </w:p>
    <w:p>
      <w:pPr>
        <w:pStyle w:val="872"/>
        <w:jc w:val="left"/>
        <w:keepLines/>
        <w:keepNext/>
        <w:spacing w:before="360" w:after="200" w:line="360" w:lineRule="auto"/>
        <w:rPr>
          <w:rFonts w:ascii="宋体" w:hAnsi="宋体" w:cs="宋体"/>
          <w:i/>
          <w:sz w:val="36"/>
          <w:szCs w:val="36"/>
          <w:highlight w:val="none"/>
          <w:u w:val="single"/>
        </w:rPr>
        <w:outlineLvl w:val="1"/>
      </w:pPr>
      <w:r>
        <w:rPr>
          <w:rFonts w:hint="eastAsia" w:ascii="宋体" w:hAnsi="宋体" w:cs="宋体"/>
          <w:i/>
          <w:sz w:val="36"/>
          <w:szCs w:val="36"/>
          <w:highlight w:val="none"/>
          <w:u w:val="single"/>
        </w:rPr>
        <w:t xml:space="preserve">一、法人或者其他组织的营业执照等证明文件，自然人的身份证明</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
          <w:sz w:val="36"/>
          <w:highlight w:val="none"/>
          <w:u w:val="single"/>
        </w:rPr>
        <w:outlineLvl w:val="1"/>
      </w:pPr>
      <w:r>
        <w:rPr>
          <w:rFonts w:hint="eastAsia" w:ascii="Arial" w:hAnsi="Arial" w:cs="Arial"/>
          <w:i/>
          <w:sz w:val="36"/>
          <w:highlight w:val="none"/>
          <w:u w:val="single"/>
        </w:rPr>
        <w:t xml:space="preserve">二、上一年度的财务状况报告</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（成立不满一年无需提供）</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三、依法缴纳税收和社会保障资金的相关材料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rPr>
          <w:highlight w:val="none"/>
        </w:rPr>
      </w:r>
      <w:r/>
    </w:p>
    <w:p>
      <w:pPr>
        <w:pStyle w:val="872"/>
        <w:jc w:val="left"/>
        <w:rPr>
          <w:rFonts w:ascii="MS Mincho"/>
          <w:color w:val="000000"/>
          <w:szCs w:val="24"/>
          <w:highlight w:val="none"/>
        </w:rPr>
      </w:pPr>
      <w:r>
        <w:rPr>
          <w:rFonts w:ascii="MS Mincho"/>
          <w:color w:val="000000"/>
          <w:szCs w:val="24"/>
          <w:highlight w:val="none"/>
        </w:rPr>
      </w:r>
      <w:r>
        <w:rPr>
          <w:highlight w:val="none"/>
        </w:rPr>
      </w:r>
      <w:r/>
    </w:p>
    <w:p>
      <w:pPr>
        <w:pStyle w:val="872"/>
        <w:jc w:val="left"/>
        <w:spacing w:line="500" w:lineRule="exact"/>
        <w:rPr>
          <w:sz w:val="24"/>
          <w:szCs w:val="24"/>
          <w:highlight w:val="none"/>
        </w:rPr>
      </w:pPr>
      <w:r>
        <w:rPr>
          <w:rFonts w:hint="eastAsia"/>
          <w:sz w:val="24"/>
          <w:szCs w:val="24"/>
          <w:highlight w:val="none"/>
        </w:rPr>
        <w:t xml:space="preserve">致：</w:t>
      </w:r>
      <w:r>
        <w:rPr>
          <w:rFonts w:hint="eastAsia"/>
          <w:i/>
          <w:sz w:val="24"/>
          <w:szCs w:val="24"/>
          <w:highlight w:val="none"/>
          <w:u w:val="single"/>
        </w:rPr>
        <w:t xml:space="preserve">采购人名称</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（1）具有良好的商业信誉和健全的财务会计制度（财务状况报告）；</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（2）有依法缴纳税收和社会保障资金的良好记录。</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特此承诺</w:t>
      </w:r>
      <w:r>
        <w:rPr>
          <w:highlight w:val="none"/>
        </w:rPr>
      </w:r>
      <w:r/>
    </w:p>
    <w:p>
      <w:pPr>
        <w:pStyle w:val="872"/>
        <w:ind w:firstLine="480"/>
        <w:jc w:val="left"/>
        <w:spacing w:line="500" w:lineRule="exact"/>
        <w:rPr>
          <w:sz w:val="24"/>
          <w:szCs w:val="24"/>
          <w:highlight w:val="none"/>
        </w:rPr>
      </w:pPr>
      <w:r>
        <w:rPr>
          <w:sz w:val="24"/>
          <w:szCs w:val="24"/>
          <w:highlight w:val="none"/>
        </w:rPr>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供应商（公章）：</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日期：    年     月     日</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四、具备履行合同所必需的设备和专业技术能力的声明及证明材料</w:t>
      </w:r>
      <w:r>
        <w:rPr>
          <w:highlight w:val="none"/>
        </w:rPr>
      </w:r>
      <w:r/>
    </w:p>
    <w:p>
      <w:pPr>
        <w:pStyle w:val="872"/>
        <w:jc w:val="center"/>
        <w:spacing w:line="460" w:lineRule="exact"/>
        <w:rPr>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872"/>
        <w:ind w:firstLine="480"/>
        <w:spacing w:line="360" w:lineRule="auto"/>
        <w:rPr>
          <w:sz w:val="24"/>
          <w:szCs w:val="24"/>
          <w:highlight w:val="none"/>
        </w:rP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rPr>
          <w:highlight w:val="none"/>
        </w:rPr>
      </w:r>
      <w:r/>
    </w:p>
    <w:p>
      <w:pPr>
        <w:pStyle w:val="872"/>
        <w:jc w:val="left"/>
        <w:rPr>
          <w:sz w:val="24"/>
          <w:szCs w:val="24"/>
          <w:highlight w:val="none"/>
        </w:rPr>
      </w:pPr>
      <w:r>
        <w:rPr>
          <w:sz w:val="24"/>
          <w:szCs w:val="24"/>
          <w:highlight w:val="none"/>
        </w:rPr>
      </w:r>
      <w:r>
        <w:rPr>
          <w:highlight w:val="none"/>
        </w:rPr>
      </w:r>
      <w:r/>
    </w:p>
    <w:p>
      <w:pPr>
        <w:pStyle w:val="872"/>
        <w:ind w:firstLine="480"/>
        <w:spacing w:line="360" w:lineRule="auto"/>
        <w:rPr>
          <w:sz w:val="24"/>
          <w:szCs w:val="24"/>
          <w:highlight w:val="none"/>
        </w:rP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rPr>
          <w:highlight w:val="none"/>
        </w:rPr>
      </w:r>
      <w:r/>
    </w:p>
    <w:p>
      <w:pPr>
        <w:pStyle w:val="872"/>
        <w:ind w:firstLine="480"/>
        <w:spacing w:line="360" w:lineRule="auto"/>
        <w:rPr>
          <w:sz w:val="24"/>
          <w:szCs w:val="24"/>
          <w:highlight w:val="none"/>
        </w:rPr>
      </w:pPr>
      <w:r>
        <w:rPr>
          <w:sz w:val="24"/>
          <w:szCs w:val="24"/>
          <w:highlight w:val="none"/>
        </w:rPr>
      </w:r>
      <w:r>
        <w:rPr>
          <w:highlight w:val="none"/>
        </w:rPr>
      </w:r>
      <w:r/>
    </w:p>
    <w:p>
      <w:pPr>
        <w:pStyle w:val="872"/>
        <w:ind w:firstLine="480"/>
        <w:spacing w:line="360" w:lineRule="auto"/>
        <w:rPr>
          <w:sz w:val="24"/>
          <w:szCs w:val="24"/>
          <w:highlight w:val="none"/>
        </w:rPr>
      </w:pPr>
      <w:r>
        <w:rPr>
          <w:sz w:val="24"/>
          <w:szCs w:val="24"/>
          <w:highlight w:val="none"/>
        </w:rPr>
      </w:r>
      <w:r>
        <w:rPr>
          <w:highlight w:val="none"/>
        </w:rPr>
      </w:r>
      <w:r/>
    </w:p>
    <w:p>
      <w:pPr>
        <w:pStyle w:val="872"/>
        <w:ind w:firstLine="480"/>
        <w:spacing w:line="360" w:lineRule="auto"/>
        <w:rPr>
          <w:sz w:val="24"/>
          <w:szCs w:val="24"/>
          <w:highlight w:val="none"/>
        </w:rPr>
      </w:pPr>
      <w:r>
        <w:rPr>
          <w:rFonts w:hint="eastAsia"/>
          <w:sz w:val="24"/>
          <w:szCs w:val="24"/>
          <w:highlight w:val="none"/>
        </w:rPr>
        <w:t xml:space="preserve">投标人（盖章）：</w:t>
      </w:r>
      <w:r>
        <w:rPr>
          <w:highlight w:val="none"/>
        </w:rPr>
      </w:r>
      <w:r/>
    </w:p>
    <w:p>
      <w:pPr>
        <w:pStyle w:val="872"/>
        <w:ind w:firstLine="480"/>
        <w:spacing w:line="360" w:lineRule="auto"/>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highlight w:val="none"/>
        </w:rPr>
      </w:r>
      <w:r/>
    </w:p>
    <w:p>
      <w:pPr>
        <w:pStyle w:val="872"/>
        <w:ind w:firstLine="480"/>
        <w:spacing w:line="360" w:lineRule="auto"/>
        <w:rPr>
          <w:sz w:val="24"/>
          <w:szCs w:val="24"/>
          <w:highlight w:val="none"/>
        </w:rPr>
      </w:pPr>
      <w:r>
        <w:rPr>
          <w:rFonts w:hint="eastAsia"/>
          <w:sz w:val="24"/>
          <w:szCs w:val="24"/>
          <w:highlight w:val="none"/>
        </w:rPr>
        <w:t xml:space="preserve">日期：    年     月     日</w:t>
      </w:r>
      <w:r>
        <w:rPr>
          <w:highlight w:val="none"/>
        </w:rPr>
      </w:r>
      <w:r/>
    </w:p>
    <w:p>
      <w:pPr>
        <w:pStyle w:val="872"/>
        <w:jc w:val="left"/>
        <w:rPr>
          <w:rFonts w:ascii="MS Mincho"/>
          <w:color w:val="000000"/>
          <w:szCs w:val="24"/>
          <w:highlight w:val="none"/>
        </w:rPr>
      </w:pPr>
      <w:r>
        <w:rPr>
          <w:rFonts w:ascii="MS Mincho"/>
          <w:color w:val="000000"/>
          <w:szCs w:val="24"/>
          <w:highlight w:val="none"/>
        </w:rPr>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rPr>
          <w:highlight w:val="none"/>
        </w:rPr>
      </w:r>
      <w:r/>
    </w:p>
    <w:p>
      <w:pPr>
        <w:pStyle w:val="872"/>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p>
      <w:pPr>
        <w:pStyle w:val="872"/>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p>
      <w:pPr>
        <w:pStyle w:val="872"/>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五、参加政府采购活动前3年内在经营活动中没有重大违法记录的书面声明</w:t>
      </w:r>
      <w:r>
        <w:rPr>
          <w:highlight w:val="none"/>
        </w:rPr>
      </w:r>
      <w:r/>
    </w:p>
    <w:p>
      <w:pPr>
        <w:pStyle w:val="872"/>
        <w:jc w:val="center"/>
        <w:spacing w:line="460" w:lineRule="exact"/>
        <w:rPr>
          <w:rFonts w:ascii="宋体" w:hAnsi="宋体"/>
          <w:b/>
          <w:bCs/>
          <w:color w:val="000000"/>
          <w:sz w:val="44"/>
          <w:szCs w:val="44"/>
          <w:highlight w:val="none"/>
        </w:rPr>
      </w:pPr>
      <w:r>
        <w:rPr>
          <w:rFonts w:hint="eastAsia" w:ascii="黑体" w:hAnsi="黑体" w:eastAsia="黑体" w:cs="宋体"/>
          <w:bCs/>
          <w:sz w:val="36"/>
          <w:szCs w:val="28"/>
          <w:highlight w:val="none"/>
        </w:rPr>
        <w:t xml:space="preserve">声  明</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872"/>
        <w:ind w:firstLine="480"/>
        <w:jc w:val="left"/>
        <w:spacing w:line="500" w:lineRule="exact"/>
        <w:rPr>
          <w:sz w:val="24"/>
          <w:szCs w:val="24"/>
          <w:highlight w:val="none"/>
        </w:rPr>
      </w:pPr>
      <w:r>
        <w:rPr>
          <w:sz w:val="24"/>
          <w:szCs w:val="24"/>
          <w:highlight w:val="none"/>
        </w:rPr>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投标人（盖章）：</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日期：    年     月     日</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六、法律、行政法规规定的其他条件的证明文件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（如有，请按要求提供）</w:t>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七、落实政府采购政策需满足的资格要求的证明文件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（如有，请按要求提供）</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八、特定资格要求的证明文件</w:t>
      </w:r>
      <w:r>
        <w:rPr>
          <w:highlight w:val="none"/>
        </w:rPr>
      </w:r>
      <w:r/>
    </w:p>
    <w:p>
      <w:pPr>
        <w:pStyle w:val="872"/>
        <w:ind w:firstLine="480"/>
        <w:jc w:val="left"/>
        <w:spacing w:line="500" w:lineRule="exact"/>
        <w:rPr>
          <w:sz w:val="24"/>
          <w:szCs w:val="24"/>
          <w:highlight w:val="none"/>
        </w:rPr>
      </w:pPr>
      <w:r>
        <w:rPr>
          <w:rFonts w:hint="eastAsia"/>
          <w:sz w:val="24"/>
          <w:szCs w:val="24"/>
          <w:highlight w:val="none"/>
        </w:rPr>
        <w:t xml:space="preserve">（如有，请按要求提供）</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九、授权委托书与法定代表人（单位负责人）身份证明</w:t>
      </w:r>
      <w:r>
        <w:rPr>
          <w:highlight w:val="none"/>
        </w:rPr>
      </w:r>
      <w:r/>
    </w:p>
    <w:p>
      <w:pPr>
        <w:pStyle w:val="8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rPr>
          <w:highlight w:val="none"/>
        </w:rPr>
      </w:r>
      <w:r/>
    </w:p>
    <w:p>
      <w:pPr>
        <w:pStyle w:val="872"/>
        <w:spacing w:line="360" w:lineRule="auto"/>
        <w:rPr>
          <w:sz w:val="24"/>
          <w:szCs w:val="24"/>
          <w:highlight w:val="none"/>
        </w:rPr>
      </w:pPr>
      <w:r>
        <w:rPr>
          <w:sz w:val="24"/>
          <w:szCs w:val="24"/>
          <w:highlight w:val="none"/>
        </w:rPr>
        <w:t xml:space="preserve">致：</w:t>
      </w:r>
      <w:r>
        <w:rPr>
          <w:rFonts w:hint="eastAsia"/>
          <w:sz w:val="24"/>
          <w:szCs w:val="24"/>
          <w:highlight w:val="none"/>
          <w:u w:val="single"/>
        </w:rPr>
        <w:t xml:space="preserve">采购单位</w:t>
      </w:r>
      <w:r>
        <w:rPr>
          <w:highlight w:val="none"/>
        </w:rPr>
      </w:r>
      <w:r/>
    </w:p>
    <w:p>
      <w:pPr>
        <w:pStyle w:val="872"/>
        <w:ind w:firstLine="420"/>
        <w:jc w:val="left"/>
        <w:spacing w:line="360" w:lineRule="auto"/>
        <w:rPr>
          <w:sz w:val="24"/>
          <w:szCs w:val="24"/>
          <w:highlight w:val="none"/>
        </w:rPr>
      </w:pPr>
      <w:r>
        <w:rPr>
          <w:rFonts w:hint="eastAsia"/>
          <w:sz w:val="24"/>
          <w:szCs w:val="24"/>
          <w:highlight w:val="none"/>
        </w:rPr>
        <w:t xml:space="preserve">本人</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系</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u w:val="single"/>
        </w:rPr>
        <w:t xml:space="preserve"> </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rPr>
          <w:highlight w:val="none"/>
        </w:rPr>
      </w:r>
      <w:r/>
    </w:p>
    <w:p>
      <w:pPr>
        <w:pStyle w:val="872"/>
        <w:ind w:firstLine="420"/>
        <w:jc w:val="left"/>
        <w:spacing w:line="360" w:lineRule="auto"/>
        <w:rPr>
          <w:sz w:val="24"/>
          <w:szCs w:val="24"/>
          <w:highlight w:val="none"/>
        </w:rP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rPr>
          <w:highlight w:val="none"/>
        </w:rPr>
      </w:r>
      <w:r/>
    </w:p>
    <w:p>
      <w:pPr>
        <w:pStyle w:val="872"/>
        <w:ind w:firstLine="420"/>
        <w:jc w:val="left"/>
        <w:spacing w:line="360" w:lineRule="auto"/>
        <w:rPr>
          <w:sz w:val="24"/>
          <w:szCs w:val="24"/>
          <w:highlight w:val="none"/>
        </w:rPr>
      </w:pPr>
      <w:r>
        <w:rPr>
          <w:rFonts w:hint="eastAsia"/>
          <w:sz w:val="24"/>
          <w:szCs w:val="24"/>
          <w:highlight w:val="none"/>
        </w:rPr>
        <w:t xml:space="preserve">代理人</w:t>
      </w:r>
      <w:r>
        <w:rPr>
          <w:sz w:val="24"/>
          <w:szCs w:val="24"/>
          <w:highlight w:val="none"/>
        </w:rPr>
        <w:t xml:space="preserve">无转委托权。</w:t>
      </w:r>
      <w:r>
        <w:rPr>
          <w:highlight w:val="none"/>
        </w:rPr>
      </w:r>
      <w:r/>
    </w:p>
    <w:p>
      <w:pPr>
        <w:pStyle w:val="872"/>
        <w:ind w:firstLine="420"/>
        <w:jc w:val="left"/>
        <w:spacing w:line="360" w:lineRule="auto"/>
        <w:rPr>
          <w:sz w:val="24"/>
          <w:szCs w:val="24"/>
          <w:highlight w:val="none"/>
        </w:rPr>
      </w:pPr>
      <w:r>
        <w:rPr>
          <w:sz w:val="24"/>
          <w:szCs w:val="24"/>
          <w:highlight w:val="none"/>
        </w:rPr>
      </w:r>
      <w:r>
        <w:rPr>
          <w:highlight w:val="none"/>
        </w:rPr>
      </w:r>
      <w:r/>
    </w:p>
    <w:p>
      <w:pPr>
        <w:pStyle w:val="872"/>
        <w:spacing w:line="360" w:lineRule="auto"/>
        <w:rPr>
          <w:sz w:val="24"/>
          <w:szCs w:val="24"/>
          <w:highlight w:val="none"/>
        </w:rPr>
      </w:pPr>
      <w:r>
        <w:rPr>
          <w:rFonts w:hint="eastAsia"/>
          <w:sz w:val="24"/>
          <w:szCs w:val="24"/>
          <w:highlight w:val="none"/>
        </w:rPr>
        <w:t xml:space="preserve">投标人</w:t>
      </w:r>
      <w:r>
        <w:rPr>
          <w:sz w:val="24"/>
          <w:szCs w:val="24"/>
          <w:highlight w:val="none"/>
        </w:rPr>
        <w:t xml:space="preserve">名称（加盖公章）：</w:t>
      </w:r>
      <w:r>
        <w:rPr>
          <w:rFonts w:hint="eastAsia"/>
          <w:sz w:val="24"/>
          <w:szCs w:val="24"/>
          <w:highlight w:val="none"/>
          <w:u w:val="single"/>
        </w:rPr>
        <w:t xml:space="preserve">             </w:t>
      </w:r>
      <w:r>
        <w:rPr>
          <w:highlight w:val="none"/>
        </w:rPr>
      </w:r>
      <w:r/>
    </w:p>
    <w:p>
      <w:pPr>
        <w:pStyle w:val="872"/>
        <w:spacing w:line="360" w:lineRule="auto"/>
        <w:rPr>
          <w:sz w:val="24"/>
          <w:szCs w:val="24"/>
          <w:highlight w:val="none"/>
        </w:rP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rFonts w:hint="eastAsia"/>
          <w:sz w:val="24"/>
          <w:szCs w:val="24"/>
          <w:highlight w:val="none"/>
          <w:u w:val="single"/>
        </w:rPr>
        <w:t xml:space="preserve">             </w:t>
      </w:r>
      <w:r>
        <w:rPr>
          <w:highlight w:val="none"/>
        </w:rPr>
      </w:r>
      <w:r/>
    </w:p>
    <w:p>
      <w:pPr>
        <w:pStyle w:val="872"/>
        <w:spacing w:line="360" w:lineRule="auto"/>
        <w:rPr>
          <w:sz w:val="24"/>
          <w:szCs w:val="24"/>
          <w:highlight w:val="none"/>
        </w:rP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rFonts w:hint="eastAsia"/>
          <w:sz w:val="24"/>
          <w:szCs w:val="24"/>
          <w:highlight w:val="none"/>
          <w:u w:val="single"/>
        </w:rPr>
        <w:t xml:space="preserve">             </w:t>
      </w:r>
      <w:r>
        <w:rPr>
          <w:highlight w:val="none"/>
        </w:rPr>
      </w:r>
      <w:r/>
    </w:p>
    <w:p>
      <w:pPr>
        <w:pStyle w:val="872"/>
        <w:spacing w:line="360" w:lineRule="auto"/>
        <w:rPr>
          <w:sz w:val="24"/>
          <w:szCs w:val="24"/>
          <w:highlight w:val="none"/>
        </w:rPr>
      </w:pPr>
      <w:r>
        <w:rPr>
          <w:rFonts w:hint="eastAsia"/>
          <w:sz w:val="24"/>
          <w:szCs w:val="24"/>
          <w:highlight w:val="none"/>
        </w:rPr>
        <w:t xml:space="preserve">日期：    年     月     日</w:t>
      </w:r>
      <w:r>
        <w:rPr>
          <w:highlight w:val="none"/>
        </w:rPr>
      </w:r>
      <w:r/>
    </w:p>
    <w:p>
      <w:pPr>
        <w:pStyle w:val="872"/>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tc>
        <w:tc>
          <w:tcPr>
            <w:tcW w:w="4536" w:type="dxa"/>
            <w:vAlign w:val="top"/>
            <w:textDirection w:val="lrTb"/>
            <w:noWrap w:val="false"/>
          </w:tcPr>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tc>
      </w:tr>
    </w:tbl>
    <w:p>
      <w:pPr>
        <w:pStyle w:val="8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tc>
        <w:tc>
          <w:tcPr>
            <w:tcW w:w="4536" w:type="dxa"/>
            <w:vAlign w:val="top"/>
            <w:textDirection w:val="lrTb"/>
            <w:noWrap w:val="false"/>
          </w:tcPr>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tc>
      </w:tr>
    </w:tbl>
    <w:p>
      <w:pPr>
        <w:pStyle w:val="872"/>
        <w:jc w:val="left"/>
        <w:spacing w:line="360" w:lineRule="auto"/>
        <w:tabs>
          <w:tab w:val="left" w:pos="5580" w:leader="none"/>
        </w:tabs>
        <w:rPr>
          <w:sz w:val="24"/>
          <w:szCs w:val="24"/>
          <w:highlight w:val="none"/>
        </w:rPr>
      </w:pPr>
      <w:r>
        <w:rPr>
          <w:rFonts w:hint="eastAsia"/>
          <w:sz w:val="24"/>
          <w:szCs w:val="24"/>
          <w:highlight w:val="none"/>
        </w:rPr>
        <w:t xml:space="preserve">填报说明</w:t>
      </w:r>
      <w:r>
        <w:rPr>
          <w:sz w:val="24"/>
          <w:szCs w:val="24"/>
          <w:highlight w:val="none"/>
        </w:rPr>
        <w:t xml:space="preserve">：</w:t>
      </w:r>
      <w:r>
        <w:rPr>
          <w:highlight w:val="none"/>
        </w:rPr>
      </w:r>
      <w:r/>
    </w:p>
    <w:p>
      <w:pPr>
        <w:pStyle w:val="872"/>
        <w:ind w:firstLine="480"/>
        <w:jc w:val="left"/>
        <w:spacing w:line="360" w:lineRule="auto"/>
        <w:tabs>
          <w:tab w:val="left" w:pos="5580" w:leader="none"/>
        </w:tabs>
        <w:rPr>
          <w:sz w:val="24"/>
          <w:szCs w:val="24"/>
          <w:highlight w:val="none"/>
        </w:rP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rPr>
          <w:highlight w:val="none"/>
        </w:rPr>
      </w:r>
      <w:r/>
    </w:p>
    <w:p>
      <w:pPr>
        <w:pStyle w:val="872"/>
        <w:ind w:firstLine="480"/>
        <w:jc w:val="left"/>
        <w:spacing w:line="360" w:lineRule="auto"/>
        <w:tabs>
          <w:tab w:val="left" w:pos="5580" w:leader="none"/>
        </w:tabs>
        <w:rPr>
          <w:sz w:val="24"/>
          <w:szCs w:val="24"/>
          <w:highlight w:val="none"/>
        </w:rP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rPr>
          <w:highlight w:val="none"/>
        </w:rPr>
      </w:r>
      <w:r/>
    </w:p>
    <w:p>
      <w:pPr>
        <w:pStyle w:val="872"/>
        <w:ind w:firstLine="480"/>
        <w:jc w:val="left"/>
        <w:spacing w:line="360" w:lineRule="auto"/>
        <w:tabs>
          <w:tab w:val="left" w:pos="5580" w:leader="none"/>
        </w:tabs>
        <w:rPr>
          <w:sz w:val="24"/>
          <w:szCs w:val="24"/>
          <w:highlight w:val="none"/>
        </w:rP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rPr>
          <w:highlight w:val="none"/>
        </w:rPr>
      </w:r>
      <w:r/>
    </w:p>
    <w:p>
      <w:pPr>
        <w:pStyle w:val="872"/>
        <w:spacing w:line="200" w:lineRule="exact"/>
        <w:rPr>
          <w:rFonts w:ascii="宋体" w:hAnsi="宋体"/>
          <w:sz w:val="20"/>
          <w:szCs w:val="20"/>
          <w:highlight w:val="none"/>
        </w:rPr>
      </w:pPr>
      <w:r>
        <w:rPr>
          <w:rFonts w:ascii="宋体" w:hAnsi="宋体"/>
          <w:sz w:val="20"/>
          <w:szCs w:val="20"/>
          <w:highlight w:val="none"/>
        </w:rPr>
      </w:r>
      <w:r>
        <w:rPr>
          <w:highlight w:val="none"/>
        </w:rPr>
      </w:r>
      <w:r/>
    </w:p>
    <w:p>
      <w:pPr>
        <w:pStyle w:val="872"/>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rPr>
          <w:highlight w:val="none"/>
        </w:rPr>
      </w:r>
      <w:r/>
    </w:p>
    <w:p>
      <w:pPr>
        <w:pStyle w:val="87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hint="eastAsia" w:ascii="宋体" w:hAnsi="宋体"/>
          <w:sz w:val="24"/>
          <w:szCs w:val="24"/>
          <w:highlight w:val="none"/>
        </w:rPr>
        <w:t xml:space="preserve">兹证明，</w:t>
      </w:r>
      <w:r>
        <w:rPr>
          <w:highlight w:val="none"/>
        </w:rPr>
      </w:r>
      <w:r/>
    </w:p>
    <w:p>
      <w:pPr>
        <w:pStyle w:val="87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Pr>
      <w:r>
        <w:rPr>
          <w:rFonts w:ascii="宋体" w:hAnsi="宋体"/>
          <w:sz w:val="24"/>
          <w:szCs w:val="24"/>
          <w:highlight w:val="none"/>
        </w:rPr>
        <w:t xml:space="preserve">姓名</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ascii="宋体" w:hAnsi="宋体"/>
          <w:sz w:val="24"/>
          <w:szCs w:val="24"/>
          <w:highlight w:val="none"/>
        </w:rPr>
        <w:t xml:space="preserve">性别：</w:t>
      </w:r>
      <w:r>
        <w:rPr>
          <w:rFonts w:hint="eastAsia" w:ascii="宋体" w:hAnsi="宋体"/>
          <w:sz w:val="24"/>
          <w:szCs w:val="24"/>
          <w:highlight w:val="none"/>
          <w:u w:val="single"/>
        </w:rPr>
        <w:t xml:space="preserve">        </w:t>
      </w:r>
      <w:r>
        <w:rPr>
          <w:rFonts w:ascii="宋体" w:hAnsi="宋体"/>
          <w:sz w:val="24"/>
          <w:szCs w:val="24"/>
          <w:highlight w:val="none"/>
        </w:rPr>
        <w:t xml:space="preserve">年龄：</w:t>
      </w:r>
      <w:r>
        <w:rPr>
          <w:rFonts w:hint="eastAsia" w:ascii="宋体" w:hAnsi="宋体"/>
          <w:sz w:val="24"/>
          <w:szCs w:val="24"/>
          <w:highlight w:val="none"/>
          <w:u w:val="single"/>
        </w:rPr>
        <w:t xml:space="preserve">        </w:t>
      </w:r>
      <w:r>
        <w:rPr>
          <w:rFonts w:ascii="宋体" w:hAnsi="宋体"/>
          <w:sz w:val="24"/>
          <w:szCs w:val="24"/>
          <w:highlight w:val="none"/>
        </w:rPr>
        <w:t xml:space="preserve">职务：</w:t>
      </w:r>
      <w:r>
        <w:rPr>
          <w:rFonts w:hint="eastAsia" w:ascii="宋体" w:hAnsi="宋体"/>
          <w:sz w:val="24"/>
          <w:szCs w:val="24"/>
          <w:highlight w:val="none"/>
          <w:u w:val="single"/>
        </w:rPr>
        <w:t xml:space="preserve">        </w:t>
      </w:r>
      <w:r>
        <w:rPr>
          <w:highlight w:val="none"/>
        </w:rPr>
      </w:r>
      <w:r/>
    </w:p>
    <w:p>
      <w:pPr>
        <w:pStyle w:val="87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rPr>
          <w:highlight w:val="none"/>
        </w:rPr>
      </w:r>
      <w:r/>
    </w:p>
    <w:p>
      <w:pPr>
        <w:pStyle w:val="87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t xml:space="preserve">系</w:t>
      </w:r>
      <w:r>
        <w:rPr>
          <w:rFonts w:hint="eastAsia" w:ascii="宋体" w:hAnsi="宋体"/>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u w:val="single"/>
        </w:rPr>
        <w:t xml:space="preserve"> </w:t>
      </w:r>
      <w:r>
        <w:rPr>
          <w:rFonts w:ascii="宋体" w:hAnsi="宋体"/>
          <w:sz w:val="24"/>
          <w:szCs w:val="24"/>
          <w:highlight w:val="none"/>
        </w:rPr>
        <w:t xml:space="preserve">的法定代表人（单位负责人）。</w:t>
      </w:r>
      <w:r>
        <w:rPr>
          <w:highlight w:val="none"/>
        </w:rPr>
      </w:r>
      <w:r/>
    </w:p>
    <w:p>
      <w:pPr>
        <w:pStyle w:val="87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rPr>
          <w:highlight w:val="none"/>
        </w:rPr>
      </w:r>
      <w:r/>
    </w:p>
    <w:p>
      <w:pPr>
        <w:pStyle w:val="87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rPr>
          <w:highlight w:val="none"/>
        </w:rPr>
      </w:r>
      <w:r/>
    </w:p>
    <w:p>
      <w:pPr>
        <w:pStyle w:val="872"/>
        <w:ind w:right="-46"/>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tc>
        <w:tc>
          <w:tcPr>
            <w:tcW w:w="4536" w:type="dxa"/>
            <w:vAlign w:val="top"/>
            <w:textDirection w:val="lrTb"/>
            <w:noWrap w:val="false"/>
          </w:tcPr>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p>
            <w:pPr>
              <w:pStyle w:val="8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r/>
          </w:p>
        </w:tc>
      </w:tr>
    </w:tbl>
    <w:p>
      <w:pPr>
        <w:pStyle w:val="872"/>
        <w:ind w:right="4305"/>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r>
      <w:r>
        <w:rPr>
          <w:highlight w:val="none"/>
        </w:rPr>
      </w:r>
      <w:r/>
    </w:p>
    <w:p>
      <w:pPr>
        <w:pStyle w:val="872"/>
        <w:spacing w:line="360" w:lineRule="auto"/>
        <w:rPr>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sz w:val="24"/>
          <w:szCs w:val="24"/>
          <w:highlight w:val="none"/>
          <w:u w:val="single"/>
        </w:rPr>
        <w:t xml:space="preserve">             </w:t>
      </w:r>
      <w:r>
        <w:rPr>
          <w:highlight w:val="none"/>
        </w:rPr>
      </w:r>
      <w:r/>
    </w:p>
    <w:p>
      <w:pPr>
        <w:pStyle w:val="872"/>
        <w:spacing w:line="360" w:lineRule="auto"/>
        <w:rPr>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rFonts w:hint="eastAsia"/>
          <w:sz w:val="24"/>
          <w:szCs w:val="24"/>
          <w:highlight w:val="none"/>
          <w:u w:val="single"/>
        </w:rPr>
        <w:t xml:space="preserve">             </w:t>
      </w:r>
      <w:r>
        <w:rPr>
          <w:highlight w:val="none"/>
        </w:rPr>
      </w:r>
      <w:r/>
    </w:p>
    <w:p>
      <w:pPr>
        <w:pStyle w:val="872"/>
        <w:spacing w:line="360" w:lineRule="auto"/>
        <w:rPr>
          <w:sz w:val="24"/>
          <w:szCs w:val="24"/>
          <w:highlight w:val="none"/>
        </w:rPr>
      </w:pPr>
      <w:r>
        <w:rPr>
          <w:sz w:val="24"/>
          <w:szCs w:val="24"/>
          <w:highlight w:val="none"/>
        </w:rPr>
      </w:r>
      <w:r>
        <w:rPr>
          <w:highlight w:val="none"/>
        </w:rPr>
      </w:r>
      <w:r/>
    </w:p>
    <w:p>
      <w:pPr>
        <w:pStyle w:val="872"/>
        <w:spacing w:line="360" w:lineRule="auto"/>
        <w:rPr>
          <w:sz w:val="24"/>
          <w:szCs w:val="24"/>
          <w:highlight w:val="none"/>
        </w:rPr>
      </w:pPr>
      <w:r>
        <w:rPr>
          <w:rFonts w:hint="eastAsia"/>
          <w:sz w:val="24"/>
          <w:szCs w:val="24"/>
          <w:highlight w:val="none"/>
        </w:rPr>
        <w:t xml:space="preserve">日期：    年     月     日</w:t>
      </w:r>
      <w:r>
        <w:rPr>
          <w:highlight w:val="none"/>
        </w:rPr>
      </w:r>
      <w:r/>
    </w:p>
    <w:p>
      <w:pPr>
        <w:pStyle w:val="872"/>
        <w:spacing w:line="360" w:lineRule="auto"/>
        <w:rPr>
          <w:sz w:val="24"/>
          <w:szCs w:val="24"/>
          <w:highlight w:val="none"/>
        </w:rPr>
      </w:pPr>
      <w:r>
        <w:rPr>
          <w:sz w:val="24"/>
          <w:szCs w:val="24"/>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sz w:val="36"/>
          <w:highlight w:val="none"/>
          <w:u w:val="single"/>
        </w:rPr>
        <w:t xml:space="preserve">十、投标函</w:t>
      </w:r>
      <w:r>
        <w:rPr>
          <w:highlight w:val="none"/>
        </w:rPr>
      </w:r>
      <w:r/>
    </w:p>
    <w:p>
      <w:pPr>
        <w:pStyle w:val="872"/>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sz w:val="36"/>
          <w:szCs w:val="28"/>
          <w:highlight w:val="none"/>
        </w:rPr>
        <w:t xml:space="preserve">投标函</w:t>
      </w:r>
      <w:r>
        <w:rPr>
          <w:highlight w:val="none"/>
        </w:rPr>
      </w:r>
      <w:r/>
    </w:p>
    <w:p>
      <w:pPr>
        <w:pStyle w:val="872"/>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致：连云港市公共资源交易中心</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1.按招标文件规定的各项要求，向买方提供所需服务（包含与服务相关的货物、工程）。</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highlight w:val="none"/>
        </w:rPr>
      </w:r>
      <w:r/>
    </w:p>
    <w:p>
      <w:pPr>
        <w:pStyle w:val="872"/>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highlight w:val="none"/>
        </w:rPr>
      </w:r>
      <w:r/>
    </w:p>
    <w:p>
      <w:pPr>
        <w:pStyle w:val="872"/>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pStyle w:val="872"/>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pStyle w:val="87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十一、中小企业声明函（服务）（分包号：**）</w:t>
      </w:r>
      <w:r>
        <w:rPr>
          <w:highlight w:val="none"/>
        </w:rPr>
      </w:r>
      <w:r/>
    </w:p>
    <w:p>
      <w:pPr>
        <w:pStyle w:val="872"/>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sz w:val="36"/>
          <w:szCs w:val="28"/>
          <w:highlight w:val="none"/>
        </w:rPr>
        <w:t xml:space="preserve">中小企业声明函</w:t>
      </w:r>
      <w:r>
        <w:rPr>
          <w:highlight w:val="none"/>
        </w:rPr>
      </w:r>
      <w:r/>
    </w:p>
    <w:p>
      <w:pPr>
        <w:pStyle w:val="872"/>
        <w:ind w:firstLine="480"/>
        <w:spacing w:line="500" w:lineRule="exact"/>
        <w:rPr>
          <w:rFonts w:ascii="宋体" w:hAnsi="宋体"/>
          <w:sz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）采购活动，提供的</w:t>
      </w:r>
      <w:r>
        <w:rPr>
          <w:rFonts w:ascii="宋体" w:hAnsi="宋体"/>
          <w:sz w:val="24"/>
          <w:highlight w:val="none"/>
        </w:rPr>
        <w:t xml:space="preserve">服务全部由符合政策要求的中小企业承接。</w:t>
      </w:r>
      <w:r>
        <w:rPr>
          <w:highlight w:val="none"/>
        </w:rPr>
      </w:r>
      <w:r/>
    </w:p>
    <w:p>
      <w:pPr>
        <w:pStyle w:val="872"/>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highlight w:val="none"/>
        </w:rPr>
      </w:r>
      <w:r/>
    </w:p>
    <w:p>
      <w:pPr>
        <w:pStyle w:val="87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87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highlight w:val="none"/>
        </w:rPr>
      </w:r>
      <w:r/>
    </w:p>
    <w:p>
      <w:pPr>
        <w:pStyle w:val="872"/>
        <w:ind w:right="1620"/>
        <w:spacing w:line="56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72"/>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highlight w:val="none"/>
        </w:rPr>
      </w:r>
      <w:r/>
    </w:p>
    <w:p>
      <w:pPr>
        <w:pStyle w:val="872"/>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highlight w:val="none"/>
        </w:rPr>
      </w:r>
      <w:r/>
    </w:p>
    <w:p>
      <w:pPr>
        <w:pStyle w:val="872"/>
        <w:ind w:right="480"/>
        <w:jc w:val="left"/>
        <w:spacing w:line="360" w:lineRule="auto"/>
        <w:rPr>
          <w:rFonts w:ascii="宋体" w:hAnsi="宋体"/>
          <w:sz w:val="24"/>
          <w:szCs w:val="24"/>
          <w:highlight w:val="none"/>
        </w:rPr>
      </w:pPr>
      <w:r>
        <w:rPr>
          <w:rFonts w:ascii="宋体" w:hAnsi="宋体"/>
          <w:sz w:val="24"/>
          <w:szCs w:val="24"/>
          <w:highlight w:val="none"/>
        </w:rPr>
      </w:r>
      <w:r>
        <w:rPr>
          <w:highlight w:val="none"/>
        </w:rPr>
      </w:r>
      <w:r/>
    </w:p>
    <w:p>
      <w:pPr>
        <w:pStyle w:val="872"/>
        <w:ind w:right="480"/>
        <w:jc w:val="left"/>
        <w:spacing w:line="360" w:lineRule="auto"/>
        <w:rPr>
          <w:rFonts w:ascii="宋体" w:hAnsi="宋体"/>
          <w:sz w:val="24"/>
          <w:szCs w:val="24"/>
          <w:highlight w:val="none"/>
        </w:rPr>
      </w:pPr>
      <w:r>
        <w:rPr>
          <w:rFonts w:ascii="宋体" w:hAnsi="宋体"/>
          <w:sz w:val="24"/>
          <w:szCs w:val="24"/>
          <w:highlight w:val="none"/>
        </w:rPr>
      </w:r>
      <w:r>
        <w:rPr>
          <w:highlight w:val="none"/>
        </w:rPr>
      </w:r>
      <w:r/>
    </w:p>
    <w:p>
      <w:pPr>
        <w:pStyle w:val="872"/>
        <w:ind w:right="480"/>
        <w:jc w:val="left"/>
        <w:spacing w:line="360" w:lineRule="auto"/>
        <w:rPr>
          <w:rFonts w:ascii="宋体" w:hAnsi="宋体"/>
          <w:sz w:val="24"/>
          <w:szCs w:val="24"/>
          <w:highlight w:val="none"/>
        </w:rPr>
      </w:pPr>
      <w:r>
        <w:rPr>
          <w:rFonts w:hint="eastAsia" w:ascii="宋体" w:hAnsi="宋体"/>
          <w:sz w:val="24"/>
          <w:szCs w:val="24"/>
          <w:highlight w:val="none"/>
        </w:rPr>
        <w:t xml:space="preserve">填报说明：</w:t>
      </w:r>
      <w:r>
        <w:rPr>
          <w:highlight w:val="none"/>
        </w:rPr>
      </w:r>
      <w:r/>
    </w:p>
    <w:p>
      <w:pPr>
        <w:pStyle w:val="872"/>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rPr>
          <w:highlight w:val="none"/>
        </w:rPr>
      </w:r>
      <w:r/>
    </w:p>
    <w:p>
      <w:pPr>
        <w:pStyle w:val="872"/>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sz w:val="24"/>
          <w:szCs w:val="24"/>
          <w:highlight w:val="none"/>
        </w:rPr>
        <w:t xml:space="preserve">，如填写不完整或不一致或填写有误，将承担一切不利后果。</w:t>
      </w:r>
      <w:r>
        <w:rPr>
          <w:highlight w:val="none"/>
        </w:rPr>
      </w:r>
      <w:r/>
    </w:p>
    <w:p>
      <w:pPr>
        <w:pStyle w:val="872"/>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3、中标人的《中小企业声明函》随中标结果公开，接受社会监督。</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十二、残疾人福利性单位声明函（分包号：**）</w:t>
      </w:r>
      <w:r>
        <w:rPr>
          <w:highlight w:val="none"/>
        </w:rPr>
      </w:r>
      <w:r/>
    </w:p>
    <w:p>
      <w:pPr>
        <w:pStyle w:val="872"/>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sz w:val="36"/>
          <w:szCs w:val="28"/>
          <w:highlight w:val="none"/>
        </w:rPr>
        <w:t xml:space="preserve">残疾人福利性单位声明函</w:t>
      </w:r>
      <w:r>
        <w:rPr>
          <w:highlight w:val="none"/>
        </w:rPr>
      </w:r>
      <w:r/>
    </w:p>
    <w:p>
      <w:pPr>
        <w:pStyle w:val="87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单位的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1"/>
          <w:highlight w:val="none"/>
        </w:rPr>
        <w:t xml:space="preserve">）采购活动由本单位提供全部服务。</w:t>
      </w:r>
      <w:r>
        <w:rPr>
          <w:highlight w:val="none"/>
        </w:rPr>
      </w:r>
      <w:r/>
    </w:p>
    <w:p>
      <w:pPr>
        <w:pStyle w:val="872"/>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highlight w:val="none"/>
        </w:rPr>
      </w:r>
      <w:r/>
    </w:p>
    <w:p>
      <w:pPr>
        <w:pStyle w:val="872"/>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rPr>
          <w:highlight w:val="none"/>
        </w:rPr>
      </w:r>
      <w:r/>
    </w:p>
    <w:p>
      <w:pPr>
        <w:pStyle w:val="872"/>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rPr>
          <w:highlight w:val="none"/>
        </w:rPr>
      </w:r>
      <w:r/>
    </w:p>
    <w:p>
      <w:pPr>
        <w:pStyle w:val="872"/>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spacing w:line="360" w:lineRule="auto"/>
        <w:rPr>
          <w:rFonts w:ascii="宋体" w:hAnsi="宋体"/>
          <w:bCs/>
          <w:sz w:val="24"/>
          <w:szCs w:val="24"/>
          <w:highlight w:val="none"/>
        </w:rPr>
      </w:pPr>
      <w:r>
        <w:rPr>
          <w:rFonts w:hint="eastAsia" w:ascii="宋体" w:hAnsi="宋体"/>
          <w:bCs/>
          <w:sz w:val="24"/>
          <w:szCs w:val="24"/>
          <w:highlight w:val="none"/>
        </w:rPr>
        <w:t xml:space="preserve">填报说明：</w:t>
      </w:r>
      <w:r>
        <w:rPr>
          <w:highlight w:val="none"/>
        </w:rPr>
      </w:r>
      <w:r/>
    </w:p>
    <w:p>
      <w:pPr>
        <w:pStyle w:val="872"/>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sz w:val="24"/>
          <w:szCs w:val="24"/>
          <w:highlight w:val="none"/>
        </w:rPr>
        <w:t xml:space="preserve">，如填写不完整或不一致或填写有误，将承担一切不利后果。</w:t>
      </w:r>
      <w:r>
        <w:rPr>
          <w:highlight w:val="none"/>
        </w:rPr>
      </w:r>
      <w:r/>
    </w:p>
    <w:p>
      <w:pPr>
        <w:pStyle w:val="872"/>
        <w:ind w:firstLine="480"/>
        <w:jc w:val="left"/>
        <w:spacing w:line="360" w:lineRule="auto"/>
        <w:rPr>
          <w:rFonts w:ascii="Times New Roman" w:hAnsi="Times New Roman"/>
          <w:sz w:val="24"/>
          <w:szCs w:val="24"/>
          <w:highlight w:val="none"/>
        </w:rP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十三、联合体协议（参考格式）（分包号：**）</w:t>
      </w:r>
      <w:r>
        <w:rPr>
          <w:highlight w:val="none"/>
        </w:rPr>
      </w:r>
      <w:r/>
    </w:p>
    <w:p>
      <w:pPr>
        <w:pStyle w:val="872"/>
        <w:jc w:val="center"/>
        <w:spacing w:line="360" w:lineRule="auto"/>
        <w:tabs>
          <w:tab w:val="left" w:pos="360" w:leader="none"/>
        </w:tabs>
        <w:rPr>
          <w:rFonts w:ascii="宋体" w:hAnsi="宋体"/>
          <w:color w:val="000000"/>
          <w:sz w:val="24"/>
          <w:szCs w:val="21"/>
          <w:highlight w:val="none"/>
          <w:u w:val="single"/>
        </w:rPr>
      </w:pPr>
      <w:r>
        <w:rPr>
          <w:rFonts w:hint="eastAsia" w:ascii="黑体" w:hAnsi="黑体" w:eastAsia="黑体" w:cs="宋体"/>
          <w:bCs/>
          <w:sz w:val="36"/>
          <w:szCs w:val="28"/>
          <w:highlight w:val="none"/>
        </w:rPr>
        <w:t xml:space="preserve">联合体协议</w:t>
      </w:r>
      <w:r>
        <w:rPr>
          <w:highlight w:val="none"/>
        </w:rPr>
      </w:r>
      <w:r/>
    </w:p>
    <w:p>
      <w:pPr>
        <w:pStyle w:val="872"/>
        <w:spacing w:line="500" w:lineRule="exact"/>
        <w:rPr>
          <w:rFonts w:ascii="宋体" w:hAnsi="宋体"/>
          <w:color w:val="000000"/>
          <w:sz w:val="24"/>
          <w:szCs w:val="21"/>
          <w:highlight w:val="none"/>
        </w:rP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rPr>
          <w:highlight w:val="none"/>
        </w:rPr>
      </w:r>
      <w:r/>
    </w:p>
    <w:p>
      <w:pPr>
        <w:pStyle w:val="87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4"/>
          <w:highlight w:val="none"/>
        </w:rPr>
        <w:t xml:space="preserve">连云港市公共资源交易中心</w:t>
      </w:r>
      <w:r>
        <w:rPr>
          <w:rFonts w:hint="eastAsia" w:ascii="宋体" w:hAnsi="宋体"/>
          <w:color w:val="000000"/>
          <w:sz w:val="24"/>
          <w:szCs w:val="21"/>
          <w:highlight w:val="none"/>
        </w:rPr>
        <w:t xml:space="preserve">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highlight w:val="none"/>
        </w:rPr>
      </w:r>
      <w:r/>
    </w:p>
    <w:p>
      <w:pPr>
        <w:pStyle w:val="87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rPr>
          <w:highlight w:val="none"/>
        </w:rPr>
      </w:r>
      <w:r/>
    </w:p>
    <w:p>
      <w:pPr>
        <w:pStyle w:val="87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rPr>
          <w:highlight w:val="none"/>
        </w:rPr>
      </w:r>
      <w:r/>
    </w:p>
    <w:p>
      <w:pPr>
        <w:pStyle w:val="872"/>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rPr>
          <w:highlight w:val="none"/>
        </w:rPr>
      </w:r>
      <w:r/>
    </w:p>
    <w:p>
      <w:pPr>
        <w:pStyle w:val="87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highlight w:val="none"/>
        </w:rPr>
      </w:r>
      <w:r/>
    </w:p>
    <w:p>
      <w:pPr>
        <w:pStyle w:val="87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供应商1全称（公章）：</w:t>
      </w:r>
      <w:r>
        <w:rPr>
          <w:rFonts w:ascii="宋体" w:hAnsi="宋体"/>
          <w:color w:val="000000"/>
          <w:sz w:val="24"/>
          <w:szCs w:val="21"/>
          <w:highlight w:val="none"/>
        </w:rPr>
        <w:t xml:space="preserve">     </w:t>
      </w:r>
      <w:r>
        <w:rPr>
          <w:highlight w:val="none"/>
        </w:rPr>
      </w:r>
      <w:r/>
    </w:p>
    <w:p>
      <w:pPr>
        <w:pStyle w:val="87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rPr>
          <w:highlight w:val="none"/>
        </w:rPr>
      </w:r>
      <w:r/>
    </w:p>
    <w:p>
      <w:pPr>
        <w:pStyle w:val="87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rPr>
          <w:highlight w:val="none"/>
        </w:rPr>
      </w:r>
      <w:r/>
    </w:p>
    <w:p>
      <w:pPr>
        <w:pStyle w:val="872"/>
        <w:ind w:firstLine="480"/>
        <w:spacing w:line="360" w:lineRule="auto"/>
        <w:rPr>
          <w:rFonts w:ascii="宋体" w:hAnsi="宋体"/>
          <w:sz w:val="24"/>
          <w:szCs w:val="24"/>
          <w:highlight w:val="none"/>
        </w:rPr>
      </w:pPr>
      <w:r>
        <w:rPr>
          <w:rFonts w:ascii="宋体" w:hAnsi="宋体"/>
          <w:sz w:val="24"/>
          <w:szCs w:val="24"/>
          <w:highlight w:val="none"/>
        </w:rPr>
      </w:r>
      <w:r>
        <w:rPr>
          <w:highlight w:val="none"/>
        </w:rPr>
      </w:r>
      <w:r/>
    </w:p>
    <w:p>
      <w:pPr>
        <w:pStyle w:val="87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供应商2全称（公章）：</w:t>
      </w:r>
      <w:r>
        <w:rPr>
          <w:rFonts w:ascii="宋体" w:hAnsi="宋体"/>
          <w:color w:val="000000"/>
          <w:sz w:val="24"/>
          <w:szCs w:val="21"/>
          <w:highlight w:val="none"/>
        </w:rPr>
        <w:t xml:space="preserve">     </w:t>
      </w:r>
      <w:r>
        <w:rPr>
          <w:highlight w:val="none"/>
        </w:rPr>
      </w:r>
      <w:r/>
    </w:p>
    <w:p>
      <w:pPr>
        <w:pStyle w:val="87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rPr>
          <w:highlight w:val="none"/>
        </w:rPr>
      </w:r>
      <w:r/>
    </w:p>
    <w:p>
      <w:pPr>
        <w:pStyle w:val="87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rPr>
          <w:highlight w:val="none"/>
        </w:rPr>
      </w:r>
      <w:r/>
    </w:p>
    <w:p>
      <w:pPr>
        <w:pStyle w:val="872"/>
        <w:ind w:firstLine="480"/>
        <w:spacing w:line="360" w:lineRule="auto"/>
        <w:rPr>
          <w:rFonts w:ascii="宋体" w:hAnsi="宋体"/>
          <w:sz w:val="24"/>
          <w:szCs w:val="24"/>
          <w:highlight w:val="none"/>
        </w:rPr>
      </w:pPr>
      <w:r>
        <w:rPr>
          <w:rFonts w:ascii="宋体" w:hAnsi="宋体"/>
          <w:sz w:val="24"/>
          <w:szCs w:val="24"/>
          <w:highlight w:val="none"/>
        </w:rPr>
      </w:r>
      <w:r>
        <w:rPr>
          <w:highlight w:val="none"/>
        </w:rPr>
      </w:r>
      <w:r/>
    </w:p>
    <w:p>
      <w:pPr>
        <w:pStyle w:val="872"/>
        <w:ind w:firstLine="480"/>
        <w:spacing w:line="500" w:lineRule="exact"/>
        <w:rPr>
          <w:rFonts w:ascii="宋体" w:hAnsi="宋体"/>
          <w:sz w:val="24"/>
          <w:szCs w:val="24"/>
          <w:highlight w:val="none"/>
        </w:rPr>
      </w:pPr>
      <w:r>
        <w:rPr>
          <w:rFonts w:hint="eastAsia" w:ascii="宋体" w:hAnsi="宋体"/>
          <w:sz w:val="24"/>
          <w:szCs w:val="24"/>
          <w:highlight w:val="none"/>
        </w:rPr>
        <w:t xml:space="preserve">……</w:t>
      </w:r>
      <w:r>
        <w:rPr>
          <w:highlight w:val="none"/>
        </w:rPr>
      </w:r>
      <w:r/>
    </w:p>
    <w:p>
      <w:pPr>
        <w:pStyle w:val="872"/>
        <w:ind w:firstLine="480"/>
        <w:spacing w:line="500" w:lineRule="exact"/>
        <w:rPr>
          <w:rFonts w:ascii="宋体" w:hAnsi="宋体"/>
          <w:sz w:val="24"/>
          <w:szCs w:val="24"/>
          <w:highlight w:val="none"/>
        </w:rPr>
      </w:pPr>
      <w:r>
        <w:rPr>
          <w:rFonts w:ascii="宋体" w:hAnsi="宋体"/>
          <w:sz w:val="24"/>
          <w:szCs w:val="24"/>
          <w:highlight w:val="none"/>
        </w:rPr>
      </w:r>
      <w:r>
        <w:rPr>
          <w:highlight w:val="none"/>
        </w:rPr>
      </w:r>
      <w:r/>
    </w:p>
    <w:p>
      <w:pPr>
        <w:pStyle w:val="872"/>
        <w:ind w:firstLine="480"/>
        <w:spacing w:line="500" w:lineRule="exact"/>
        <w:rPr>
          <w:highlight w:val="none"/>
        </w:rPr>
      </w:pPr>
      <w:r>
        <w:rPr>
          <w:rFonts w:hint="eastAsia" w:ascii="宋体" w:hAnsi="宋体"/>
          <w:color w:val="000000"/>
          <w:sz w:val="24"/>
          <w:szCs w:val="21"/>
          <w:highlight w:val="none"/>
        </w:rPr>
        <w:t xml:space="preserve">备注：本招标文件中要求加盖公章的内容，仅需加盖牵头单位的公章。</w:t>
      </w:r>
      <w:r>
        <w:rPr>
          <w:highlight w:val="none"/>
        </w:rPr>
      </w:r>
      <w:r/>
    </w:p>
    <w:p>
      <w:pPr>
        <w:pStyle w:val="872"/>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十四、投标分项报价表（分包号：**）</w:t>
      </w:r>
      <w:r>
        <w:rPr>
          <w:highlight w:val="none"/>
        </w:rPr>
      </w:r>
      <w:r/>
    </w:p>
    <w:p>
      <w:pPr>
        <w:pStyle w:val="872"/>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rPr>
          <w:highlight w:val="none"/>
        </w:rPr>
      </w:r>
      <w:r/>
    </w:p>
    <w:p>
      <w:pPr>
        <w:pStyle w:val="872"/>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highlight w:val="none"/>
        </w:rPr>
      </w:r>
      <w:r/>
    </w:p>
    <w:p>
      <w:pPr>
        <w:pStyle w:val="872"/>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72"/>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rPr>
                <w:highlight w:val="none"/>
              </w:rPr>
            </w:r>
            <w:r/>
          </w:p>
        </w:tc>
        <w:tc>
          <w:tcPr>
            <w:tcW w:w="1756" w:type="dxa"/>
            <w:vAlign w:val="center"/>
            <w:textDirection w:val="lrTb"/>
            <w:noWrap w:val="false"/>
          </w:tcPr>
          <w:p>
            <w:pPr>
              <w:pStyle w:val="872"/>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rPr>
                <w:highlight w:val="none"/>
              </w:rPr>
            </w:r>
            <w:r/>
          </w:p>
        </w:tc>
        <w:tc>
          <w:tcPr>
            <w:tcW w:w="1417" w:type="dxa"/>
            <w:vAlign w:val="center"/>
            <w:textDirection w:val="lrTb"/>
            <w:noWrap w:val="false"/>
          </w:tcPr>
          <w:p>
            <w:pPr>
              <w:pStyle w:val="872"/>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rPr>
                <w:highlight w:val="none"/>
              </w:rPr>
            </w:r>
            <w:r/>
          </w:p>
        </w:tc>
        <w:tc>
          <w:tcPr>
            <w:tcW w:w="993" w:type="dxa"/>
            <w:vAlign w:val="center"/>
            <w:textDirection w:val="lrTb"/>
            <w:noWrap w:val="false"/>
          </w:tcPr>
          <w:p>
            <w:pPr>
              <w:pStyle w:val="872"/>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rPr>
                <w:highlight w:val="none"/>
              </w:rPr>
            </w:r>
            <w:r/>
          </w:p>
        </w:tc>
        <w:tc>
          <w:tcPr>
            <w:tcW w:w="1093" w:type="dxa"/>
            <w:vAlign w:val="center"/>
            <w:textDirection w:val="lrTb"/>
            <w:noWrap w:val="false"/>
          </w:tcPr>
          <w:p>
            <w:pPr>
              <w:pStyle w:val="872"/>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rPr>
                <w:highlight w:val="none"/>
              </w:rPr>
            </w:r>
            <w:r/>
          </w:p>
        </w:tc>
        <w:tc>
          <w:tcPr>
            <w:tcW w:w="2350" w:type="dxa"/>
            <w:vAlign w:val="center"/>
            <w:textDirection w:val="lrTb"/>
            <w:noWrap w:val="false"/>
          </w:tcPr>
          <w:p>
            <w:pPr>
              <w:pStyle w:val="872"/>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rPr>
                <w:highlight w:val="none"/>
              </w:rPr>
            </w:r>
            <w:r/>
          </w:p>
          <w:p>
            <w:pPr>
              <w:pStyle w:val="872"/>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rPr>
                <w:highlight w:val="none"/>
              </w:rPr>
            </w:r>
            <w:r/>
          </w:p>
        </w:tc>
      </w:tr>
      <w:tr>
        <w:trPr>
          <w:cantSplit/>
          <w:trHeight w:val="501"/>
        </w:trPr>
        <w:tc>
          <w:tcPr>
            <w:tcW w:w="896"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1756"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1417"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993"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3"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2350"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trHeight w:val="501"/>
        </w:trPr>
        <w:tc>
          <w:tcPr>
            <w:tcW w:w="896"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1756"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1417"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993"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3"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2350"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trHeight w:val="501"/>
        </w:trPr>
        <w:tc>
          <w:tcPr>
            <w:tcW w:w="896"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1756"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1417"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993"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3"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c>
          <w:tcPr>
            <w:tcW w:w="2350"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trHeight w:val="501"/>
        </w:trPr>
        <w:tc>
          <w:tcPr>
            <w:gridSpan w:val="5"/>
            <w:tcW w:w="6155" w:type="dxa"/>
            <w:vAlign w:val="center"/>
            <w:textDirection w:val="lrTb"/>
            <w:noWrap w:val="false"/>
          </w:tcPr>
          <w:p>
            <w:pPr>
              <w:pStyle w:val="872"/>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rPr>
                <w:highlight w:val="none"/>
              </w:rPr>
            </w:r>
            <w:r/>
          </w:p>
        </w:tc>
        <w:tc>
          <w:tcPr>
            <w:tcW w:w="2350" w:type="dxa"/>
            <w:vAlign w:val="center"/>
            <w:textDirection w:val="lrTb"/>
            <w:noWrap w:val="false"/>
          </w:tcPr>
          <w:p>
            <w:pPr>
              <w:pStyle w:val="872"/>
              <w:jc w:val="center"/>
              <w:spacing w:line="560" w:lineRule="exact"/>
              <w:rPr>
                <w:rFonts w:ascii="宋体" w:hAnsi="宋体"/>
                <w:color w:val="000000"/>
                <w:sz w:val="24"/>
                <w:highlight w:val="none"/>
              </w:rPr>
            </w:pPr>
            <w:r>
              <w:rPr>
                <w:rFonts w:ascii="宋体" w:hAnsi="宋体"/>
                <w:color w:val="000000"/>
                <w:sz w:val="24"/>
                <w:highlight w:val="none"/>
              </w:rPr>
            </w:r>
            <w:r>
              <w:rPr>
                <w:highlight w:val="none"/>
              </w:rPr>
            </w:r>
            <w:r/>
          </w:p>
        </w:tc>
      </w:tr>
    </w:tbl>
    <w:p>
      <w:pPr>
        <w:pStyle w:val="872"/>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rPr>
          <w:highlight w:val="none"/>
        </w:rPr>
      </w:r>
      <w:r/>
    </w:p>
    <w:p>
      <w:pPr>
        <w:pStyle w:val="872"/>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rPr>
          <w:highlight w:val="none"/>
        </w:rPr>
      </w:r>
      <w:r/>
    </w:p>
    <w:p>
      <w:pPr>
        <w:pStyle w:val="872"/>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highlight w:val="none"/>
        </w:rPr>
      </w:r>
      <w:r/>
    </w:p>
    <w:p>
      <w:pPr>
        <w:pStyle w:val="872"/>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rPr>
          <w:highlight w:val="none"/>
        </w:rPr>
      </w:r>
      <w:r/>
    </w:p>
    <w:p>
      <w:pPr>
        <w:pStyle w:val="87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十五、技术要求响应及偏离表（分包号：**）</w:t>
      </w:r>
      <w:r>
        <w:rPr>
          <w:highlight w:val="none"/>
        </w:rPr>
      </w:r>
      <w:r/>
    </w:p>
    <w:p>
      <w:pPr>
        <w:pStyle w:val="872"/>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rPr>
          <w:highlight w:val="none"/>
        </w:rPr>
      </w:r>
      <w:r/>
    </w:p>
    <w:p>
      <w:pPr>
        <w:pStyle w:val="872"/>
        <w:jc w:val="left"/>
        <w:spacing w:line="360" w:lineRule="auto"/>
        <w:rPr>
          <w:rFonts w:ascii="Arial" w:hAnsi="Arial" w:cs="Arial"/>
          <w:sz w:val="36"/>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273"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highlight w:val="none"/>
              </w:rPr>
            </w:r>
            <w:r/>
          </w:p>
        </w:tc>
        <w:tc>
          <w:tcPr>
            <w:tcW w:w="3024"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1399"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809"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273"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2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99"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809"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3273"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2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99"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809"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3273"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2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99"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809"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273"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2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99"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bl>
    <w:p>
      <w:pPr>
        <w:pStyle w:val="87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7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pStyle w:val="87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
          <w:iCs/>
          <w:sz w:val="36"/>
          <w:highlight w:val="none"/>
          <w:u w:val="single"/>
        </w:rPr>
        <w:outlineLvl w:val="1"/>
      </w:pPr>
      <w:r>
        <w:rPr>
          <w:highlight w:val="none"/>
        </w:rPr>
      </w:r>
      <w:bookmarkStart w:id="10" w:name="_Hlt26955054"/>
      <w:r>
        <w:rPr>
          <w:highlight w:val="none"/>
        </w:rPr>
      </w:r>
      <w:bookmarkEnd w:id="10"/>
      <w:r>
        <w:rPr>
          <w:rFonts w:hint="eastAsia" w:ascii="Arial" w:hAnsi="Arial" w:cs="Arial"/>
          <w:i/>
          <w:iCs/>
          <w:sz w:val="36"/>
          <w:highlight w:val="none"/>
          <w:u w:val="single"/>
        </w:rPr>
        <w:t xml:space="preserve">十六、商务要求响应及偏离表（分包号：**）</w:t>
      </w:r>
      <w:r>
        <w:rPr>
          <w:highlight w:val="none"/>
        </w:rPr>
      </w:r>
      <w:r/>
    </w:p>
    <w:p>
      <w:pPr>
        <w:pStyle w:val="872"/>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rPr>
          <w:highlight w:val="none"/>
        </w:rPr>
      </w:r>
      <w:r/>
    </w:p>
    <w:p>
      <w:pPr>
        <w:pStyle w:val="872"/>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72"/>
              <w:jc w:val="center"/>
              <w:rPr>
                <w:rFonts w:ascii="宋体" w:hAnsi="宋体"/>
                <w:color w:val="000000"/>
                <w:sz w:val="24"/>
                <w:szCs w:val="24"/>
                <w:highlight w:val="none"/>
              </w:rPr>
            </w:pPr>
            <w:r>
              <w:rPr>
                <w:highlight w:val="none"/>
              </w:rPr>
            </w:r>
            <w:bookmarkStart w:id="11" w:name="_Hlt24879081"/>
            <w:r>
              <w:rPr>
                <w:highlight w:val="none"/>
              </w:rPr>
            </w:r>
            <w:bookmarkEnd w:id="11"/>
            <w:r>
              <w:rPr>
                <w:highlight w:val="none"/>
              </w:rPr>
            </w:r>
            <w:bookmarkStart w:id="12" w:name="_Hlt26671343"/>
            <w:r>
              <w:rPr>
                <w:highlight w:val="none"/>
              </w:rPr>
            </w:r>
            <w:bookmarkEnd w:id="12"/>
            <w:r>
              <w:rPr>
                <w:highlight w:val="none"/>
              </w:rPr>
            </w:r>
            <w:bookmarkStart w:id="13" w:name="_Hlt26609391"/>
            <w:r>
              <w:rPr>
                <w:highlight w:val="none"/>
              </w:rPr>
            </w:r>
            <w:bookmarkEnd w:id="13"/>
            <w:r>
              <w:rPr>
                <w:highlight w:val="none"/>
              </w:rPr>
            </w:r>
            <w:bookmarkStart w:id="14" w:name="_Hlt26782999"/>
            <w:r>
              <w:rPr>
                <w:highlight w:val="none"/>
              </w:rPr>
            </w:r>
            <w:bookmarkEnd w:id="14"/>
            <w:r>
              <w:rPr>
                <w:highlight w:val="none"/>
              </w:rPr>
            </w:r>
            <w:bookmarkStart w:id="15" w:name="_Hlt26671372"/>
            <w:r>
              <w:rPr>
                <w:highlight w:val="none"/>
              </w:rPr>
            </w:r>
            <w:bookmarkEnd w:id="15"/>
            <w:r>
              <w:rPr>
                <w:highlight w:val="none"/>
              </w:rPr>
            </w:r>
            <w:bookmarkStart w:id="16" w:name="_Hlt26955056"/>
            <w:r>
              <w:rPr>
                <w:highlight w:val="none"/>
              </w:rPr>
            </w:r>
            <w:bookmarkEnd w:id="16"/>
            <w:r>
              <w:rPr>
                <w:highlight w:val="none"/>
              </w:rPr>
            </w:r>
            <w:bookmarkStart w:id="17" w:name="_Hlt26955064"/>
            <w:r>
              <w:rPr>
                <w:highlight w:val="none"/>
              </w:rPr>
            </w:r>
            <w:bookmarkEnd w:id="17"/>
            <w:r>
              <w:rPr>
                <w:highlight w:val="none"/>
              </w:rPr>
            </w:r>
            <w:bookmarkStart w:id="18" w:name="_Hlt26580838"/>
            <w:r>
              <w:rPr>
                <w:highlight w:val="none"/>
              </w:rPr>
            </w:r>
            <w:bookmarkEnd w:id="18"/>
            <w:r>
              <w:rPr>
                <w:rFonts w:hint="eastAsia" w:ascii="宋体" w:hAnsi="宋体"/>
                <w:color w:val="000000"/>
                <w:sz w:val="24"/>
                <w:szCs w:val="24"/>
                <w:highlight w:val="none"/>
              </w:rPr>
              <w:t xml:space="preserve">序号</w:t>
            </w:r>
            <w:r>
              <w:rPr>
                <w:highlight w:val="none"/>
              </w:rPr>
            </w:r>
            <w:r/>
          </w:p>
        </w:tc>
        <w:tc>
          <w:tcPr>
            <w:tcW w:w="3263"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highlight w:val="none"/>
              </w:rPr>
            </w:r>
            <w:r/>
          </w:p>
        </w:tc>
        <w:tc>
          <w:tcPr>
            <w:tcW w:w="3034"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1391"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817"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263"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3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9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3263"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3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9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3263"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3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9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263"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3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9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bl>
    <w:p>
      <w:pPr>
        <w:pStyle w:val="87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7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pStyle w:val="87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highlight w:val="none"/>
        </w:rPr>
      </w:r>
      <w:r/>
    </w:p>
    <w:p>
      <w:pPr>
        <w:pStyle w:val="872"/>
        <w:rPr>
          <w:highlight w:val="none"/>
        </w:rPr>
      </w:pPr>
      <w:r>
        <w:rPr>
          <w:highlight w:val="none"/>
        </w:rPr>
      </w:r>
      <w:bookmarkStart w:id="19" w:name="_格式2__法定代表人授权书"/>
      <w:r>
        <w:rPr>
          <w:highlight w:val="none"/>
        </w:rPr>
      </w:r>
      <w:bookmarkEnd w:id="19"/>
      <w:r>
        <w:rPr>
          <w:highlight w:val="none"/>
        </w:rPr>
      </w:r>
      <w:bookmarkStart w:id="20" w:name="_Hlt26671374"/>
      <w:r>
        <w:rPr>
          <w:highlight w:val="none"/>
        </w:rPr>
      </w:r>
      <w:bookmarkEnd w:id="20"/>
      <w:r>
        <w:rPr>
          <w:highlight w:val="none"/>
        </w:rPr>
      </w:r>
      <w:bookmarkStart w:id="21" w:name="_Hlt26609389"/>
      <w:r>
        <w:rPr>
          <w:highlight w:val="none"/>
        </w:rPr>
      </w:r>
      <w:bookmarkEnd w:id="21"/>
      <w:r>
        <w:rPr>
          <w:highlight w:val="none"/>
        </w:rPr>
      </w:r>
      <w:bookmarkStart w:id="22" w:name="_Hlt26955066"/>
      <w:r>
        <w:rPr>
          <w:highlight w:val="none"/>
        </w:rPr>
      </w:r>
      <w:bookmarkEnd w:id="22"/>
      <w:r>
        <w:rPr>
          <w:highlight w:val="none"/>
        </w:rPr>
      </w:r>
      <w:r/>
    </w:p>
    <w:p>
      <w:pPr>
        <w:pStyle w:val="872"/>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十七、类似项目业绩一览表（分包号：**）</w:t>
      </w:r>
      <w:r>
        <w:rPr>
          <w:highlight w:val="none"/>
        </w:rPr>
      </w:r>
      <w:r/>
    </w:p>
    <w:p>
      <w:pPr>
        <w:pStyle w:val="872"/>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rPr>
          <w:highlight w:val="none"/>
        </w:rPr>
      </w:r>
      <w:r/>
    </w:p>
    <w:p>
      <w:pPr>
        <w:pStyle w:val="872"/>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2686"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highlight w:val="none"/>
              </w:rPr>
            </w:r>
            <w:r/>
          </w:p>
        </w:tc>
        <w:tc>
          <w:tcPr>
            <w:tcW w:w="1850"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rPr>
                <w:highlight w:val="none"/>
              </w:rPr>
            </w:r>
            <w:r/>
          </w:p>
        </w:tc>
        <w:tc>
          <w:tcPr>
            <w:tcW w:w="1985"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rPr>
                <w:highlight w:val="none"/>
              </w:rPr>
            </w:r>
            <w:r/>
          </w:p>
        </w:tc>
        <w:tc>
          <w:tcPr>
            <w:tcW w:w="1309"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highlight w:val="none"/>
              </w:rPr>
            </w:r>
            <w:r/>
          </w:p>
        </w:tc>
      </w:tr>
      <w:tr>
        <w:trPr>
          <w:cantSplit/>
          <w:trHeight w:val="640"/>
        </w:trPr>
        <w:tc>
          <w:tcPr>
            <w:tcW w:w="675"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2686"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850"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985"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09"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675"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2686"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850"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985"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09"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675"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2686"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850"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985"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09"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675"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2686"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850"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985"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309"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bl>
    <w:p>
      <w:pPr>
        <w:pStyle w:val="87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7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pStyle w:val="87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highlight w:val="none"/>
        </w:rPr>
      </w:r>
      <w:r/>
    </w:p>
    <w:p>
      <w:pPr>
        <w:pStyle w:val="872"/>
        <w:rPr>
          <w:highlight w:val="none"/>
        </w:rPr>
      </w:pPr>
      <w:r>
        <w:rPr>
          <w:highlight w:val="none"/>
        </w:rPr>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十八、项目团队人员一览表（分包号：**）</w:t>
      </w:r>
      <w:r>
        <w:rPr>
          <w:highlight w:val="none"/>
        </w:rPr>
      </w:r>
      <w:r/>
    </w:p>
    <w:p>
      <w:pPr>
        <w:pStyle w:val="872"/>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rPr>
          <w:highlight w:val="none"/>
        </w:rPr>
      </w:r>
      <w:r/>
    </w:p>
    <w:p>
      <w:pPr>
        <w:pStyle w:val="872"/>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rPr>
                <w:highlight w:val="none"/>
              </w:rPr>
            </w:r>
            <w:r/>
          </w:p>
        </w:tc>
        <w:tc>
          <w:tcPr>
            <w:tcW w:w="1446"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rPr>
                <w:highlight w:val="none"/>
              </w:rPr>
            </w:r>
            <w:r/>
          </w:p>
        </w:tc>
        <w:tc>
          <w:tcPr>
            <w:tcW w:w="2239"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highlight w:val="none"/>
              </w:rPr>
            </w:r>
            <w:r/>
          </w:p>
        </w:tc>
        <w:tc>
          <w:tcPr>
            <w:tcW w:w="1134"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highlight w:val="none"/>
              </w:rPr>
            </w:r>
            <w:r/>
          </w:p>
        </w:tc>
        <w:tc>
          <w:tcPr>
            <w:tcW w:w="1134"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highlight w:val="none"/>
              </w:rPr>
            </w:r>
            <w:r/>
          </w:p>
        </w:tc>
        <w:tc>
          <w:tcPr>
            <w:tcW w:w="1601" w:type="dxa"/>
            <w:vAlign w:val="center"/>
            <w:textDirection w:val="lrTb"/>
            <w:noWrap w:val="false"/>
          </w:tcPr>
          <w:p>
            <w:pPr>
              <w:pStyle w:val="872"/>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highlight w:val="none"/>
              </w:rPr>
            </w:r>
            <w:r/>
          </w:p>
        </w:tc>
      </w:tr>
      <w:tr>
        <w:trPr>
          <w:cantSplit/>
          <w:trHeight w:val="640"/>
        </w:trPr>
        <w:tc>
          <w:tcPr>
            <w:tcW w:w="95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446"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239"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134"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t xml:space="preserve">根据项目需求、评分办法确定一览表格式</w:t>
            </w:r>
            <w:r>
              <w:rPr>
                <w:highlight w:val="none"/>
              </w:rPr>
            </w:r>
            <w:r/>
          </w:p>
        </w:tc>
        <w:tc>
          <w:tcPr>
            <w:tcW w:w="113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t xml:space="preserve">根据项目需求、评分办法确定一览表格式</w:t>
            </w:r>
            <w:r>
              <w:rPr>
                <w:highlight w:val="none"/>
              </w:rPr>
            </w:r>
            <w:r/>
          </w:p>
        </w:tc>
        <w:tc>
          <w:tcPr>
            <w:tcW w:w="160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95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446"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239"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134"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13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60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95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446"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239"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134"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13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60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40"/>
        </w:trPr>
        <w:tc>
          <w:tcPr>
            <w:tcW w:w="95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446"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239"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134" w:type="dxa"/>
            <w:vAlign w:val="top"/>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134"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601" w:type="dxa"/>
            <w:vAlign w:val="center"/>
            <w:textDirection w:val="lrTb"/>
            <w:noWrap w:val="false"/>
          </w:tcPr>
          <w:p>
            <w:pPr>
              <w:pStyle w:val="872"/>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bl>
    <w:p>
      <w:pPr>
        <w:pStyle w:val="87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7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highlight w:val="none"/>
        </w:rPr>
      </w:r>
      <w:r/>
    </w:p>
    <w:p>
      <w:pPr>
        <w:pStyle w:val="87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pStyle w:val="87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highlight w:val="none"/>
        </w:rPr>
      </w:r>
      <w:r/>
    </w:p>
    <w:p>
      <w:pPr>
        <w:pStyle w:val="872"/>
        <w:rPr>
          <w:highlight w:val="none"/>
        </w:rPr>
      </w:pPr>
      <w:r>
        <w:rPr>
          <w:highlight w:val="none"/>
        </w:rPr>
      </w:r>
      <w:r>
        <w:rPr>
          <w:highlight w:val="none"/>
        </w:rPr>
      </w:r>
      <w:r/>
    </w:p>
    <w:p>
      <w:pPr>
        <w:pStyle w:val="872"/>
        <w:jc w:val="left"/>
        <w:keepLines/>
        <w:keepNext/>
        <w:spacing w:before="360" w:after="200" w:line="360" w:lineRule="auto"/>
        <w:rPr>
          <w:rFonts w:ascii="Arial" w:hAnsi="Arial" w:cs="Arial"/>
          <w:i/>
          <w:sz w:val="36"/>
          <w:highlight w:val="none"/>
          <w:u w:val="single"/>
        </w:rPr>
        <w:outlineLvl w:val="1"/>
      </w:pPr>
      <w:r>
        <w:rPr>
          <w:rFonts w:hint="eastAsia" w:ascii="Arial" w:hAnsi="Arial" w:cs="Arial"/>
          <w:i/>
          <w:sz w:val="36"/>
          <w:highlight w:val="none"/>
          <w:u w:val="single"/>
        </w:rPr>
        <w:t xml:space="preserve">十九、开标一览表</w:t>
      </w:r>
      <w:r>
        <w:rPr>
          <w:highlight w:val="none"/>
        </w:rPr>
      </w:r>
      <w:r/>
    </w:p>
    <w:p>
      <w:pPr>
        <w:pStyle w:val="872"/>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项目编号：      分包号：</w:t>
      </w:r>
      <w:r>
        <w:rPr>
          <w:rFonts w:ascii="宋体" w:hAnsi="宋体"/>
          <w:bCs/>
          <w:color w:val="000000"/>
          <w:sz w:val="24"/>
          <w:szCs w:val="24"/>
          <w:highlight w:val="none"/>
        </w:rPr>
        <w:t xml:space="preserve"> </w:t>
      </w:r>
      <w:r>
        <w:rPr>
          <w:highlight w:val="none"/>
        </w:rPr>
      </w:r>
      <w:r/>
    </w:p>
    <w:p>
      <w:pPr>
        <w:pStyle w:val="872"/>
        <w:ind w:firstLine="480"/>
        <w:jc w:val="right"/>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货币单位：人民币元</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7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项目名称</w:t>
            </w:r>
            <w:r>
              <w:rPr>
                <w:highlight w:val="none"/>
              </w:rPr>
            </w:r>
            <w:r/>
          </w:p>
        </w:tc>
        <w:tc>
          <w:tcPr>
            <w:tcW w:w="2841" w:type="dxa"/>
            <w:vAlign w:val="top"/>
            <w:textDirection w:val="lrTb"/>
            <w:noWrap w:val="false"/>
          </w:tcPr>
          <w:p>
            <w:pPr>
              <w:pStyle w:val="87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项目内容</w:t>
            </w:r>
            <w:r>
              <w:rPr>
                <w:highlight w:val="none"/>
              </w:rPr>
            </w:r>
            <w:r/>
          </w:p>
        </w:tc>
        <w:tc>
          <w:tcPr>
            <w:tcW w:w="2841" w:type="dxa"/>
            <w:vAlign w:val="top"/>
            <w:textDirection w:val="lrTb"/>
            <w:noWrap w:val="false"/>
          </w:tcPr>
          <w:p>
            <w:pPr>
              <w:pStyle w:val="87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w:t>
            </w:r>
            <w:r>
              <w:rPr>
                <w:rFonts w:hint="eastAsia" w:ascii="Times New Roman" w:hAnsi="Times New Roman"/>
                <w:color w:val="000000"/>
                <w:sz w:val="24"/>
                <w:szCs w:val="24"/>
                <w:highlight w:val="none"/>
              </w:rPr>
              <w:t xml:space="preserve">（小写）</w:t>
            </w:r>
            <w:r>
              <w:rPr>
                <w:highlight w:val="none"/>
              </w:rPr>
            </w:r>
            <w:r/>
          </w:p>
        </w:tc>
      </w:tr>
      <w:tr>
        <w:trPr/>
        <w:tc>
          <w:tcPr>
            <w:tcW w:w="2840" w:type="dxa"/>
            <w:vAlign w:val="top"/>
            <w:textDirection w:val="lrTb"/>
            <w:noWrap w:val="false"/>
          </w:tcPr>
          <w:p>
            <w:pPr>
              <w:pStyle w:val="87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W w:w="2841" w:type="dxa"/>
            <w:vAlign w:val="top"/>
            <w:textDirection w:val="lrTb"/>
            <w:noWrap w:val="false"/>
          </w:tcPr>
          <w:p>
            <w:pPr>
              <w:pStyle w:val="87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详见投标文件</w:t>
            </w:r>
            <w:r>
              <w:rPr>
                <w:highlight w:val="none"/>
              </w:rPr>
            </w:r>
            <w:r/>
          </w:p>
        </w:tc>
        <w:tc>
          <w:tcPr>
            <w:tcW w:w="2841" w:type="dxa"/>
            <w:vAlign w:val="top"/>
            <w:textDirection w:val="lrTb"/>
            <w:noWrap w:val="false"/>
          </w:tcPr>
          <w:p>
            <w:pPr>
              <w:pStyle w:val="872"/>
              <w:jc w:val="center"/>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元</w:t>
            </w:r>
            <w:r>
              <w:rPr>
                <w:highlight w:val="none"/>
              </w:rPr>
            </w:r>
            <w:r/>
          </w:p>
        </w:tc>
      </w:tr>
      <w:tr>
        <w:trPr/>
        <w:tc>
          <w:tcPr>
            <w:tcW w:w="2840" w:type="dxa"/>
            <w:vAlign w:val="top"/>
            <w:textDirection w:val="lrTb"/>
            <w:noWrap w:val="false"/>
          </w:tcPr>
          <w:p>
            <w:pPr>
              <w:pStyle w:val="87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总价（大写）</w:t>
            </w:r>
            <w:r>
              <w:rPr>
                <w:highlight w:val="none"/>
              </w:rPr>
            </w:r>
            <w:r/>
          </w:p>
        </w:tc>
        <w:tc>
          <w:tcPr>
            <w:gridSpan w:val="2"/>
            <w:tcW w:w="5682" w:type="dxa"/>
            <w:vAlign w:val="top"/>
            <w:textDirection w:val="lrTb"/>
            <w:noWrap w:val="false"/>
          </w:tcPr>
          <w:p>
            <w:pPr>
              <w:pStyle w:val="87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bl>
    <w:p>
      <w:pPr>
        <w:pStyle w:val="872"/>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投标人公章：</w:t>
      </w:r>
      <w:r>
        <w:rPr>
          <w:rFonts w:hint="eastAsia" w:ascii="Times New Roman" w:hAnsi="Times New Roman"/>
          <w:color w:val="000000"/>
          <w:sz w:val="24"/>
          <w:szCs w:val="24"/>
          <w:highlight w:val="none"/>
        </w:rPr>
        <w:t xml:space="preserve">             （电子签章）</w:t>
      </w:r>
      <w:r>
        <w:rPr>
          <w:highlight w:val="none"/>
        </w:rPr>
      </w:r>
      <w:r/>
    </w:p>
    <w:p>
      <w:pPr>
        <w:pStyle w:val="872"/>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p>
      <w:pPr>
        <w:pStyle w:val="872"/>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r/>
    </w:p>
    <w:p>
      <w:pPr>
        <w:pStyle w:val="872"/>
        <w:rPr>
          <w:rFonts w:ascii="宋体" w:hAnsi="宋体"/>
          <w:color w:val="000000"/>
          <w:sz w:val="24"/>
          <w:szCs w:val="24"/>
          <w:highlight w:val="none"/>
        </w:rPr>
        <w:outlineLvl w:val="1"/>
      </w:pPr>
      <w:r>
        <w:rPr>
          <w:rFonts w:hint="eastAsia" w:ascii="宋体" w:hAnsi="宋体" w:cs="宋体"/>
          <w:bCs/>
          <w:i/>
          <w:color w:val="000000"/>
          <w:sz w:val="36"/>
          <w:szCs w:val="36"/>
          <w:highlight w:val="none"/>
          <w:u w:val="single"/>
        </w:rPr>
        <w:t xml:space="preserve">二十、分包承诺函</w:t>
      </w:r>
      <w:r>
        <w:rPr>
          <w:highlight w:val="none"/>
        </w:rPr>
      </w:r>
      <w:r/>
    </w:p>
    <w:p>
      <w:pPr>
        <w:pStyle w:val="872"/>
        <w:ind w:firstLine="720"/>
        <w:jc w:val="center"/>
        <w:spacing w:line="500" w:lineRule="exact"/>
        <w:rPr>
          <w:rFonts w:hint="eastAsia" w:ascii="宋体" w:hAnsi="宋体" w:cs="宋体"/>
          <w:sz w:val="24"/>
          <w:szCs w:val="24"/>
          <w:highlight w:val="none"/>
        </w:rPr>
      </w:pPr>
      <w:r>
        <w:rPr>
          <w:rFonts w:hint="eastAsia" w:ascii="黑体" w:hAnsi="黑体" w:eastAsia="黑体" w:cs="黑体"/>
          <w:sz w:val="36"/>
          <w:szCs w:val="36"/>
          <w:highlight w:val="none"/>
        </w:rPr>
        <w:t xml:space="preserve">分包承诺函</w:t>
      </w:r>
      <w:r>
        <w:rPr>
          <w:highlight w:val="none"/>
        </w:rPr>
      </w:r>
      <w:r/>
    </w:p>
    <w:p>
      <w:pPr>
        <w:pStyle w:val="872"/>
        <w:spacing w:line="500" w:lineRule="exact"/>
        <w:rPr>
          <w:rFonts w:ascii="宋体" w:hAnsi="宋体" w:cs="宋体"/>
          <w:sz w:val="24"/>
          <w:szCs w:val="24"/>
          <w:highlight w:val="none"/>
        </w:rPr>
      </w:pPr>
      <w:r>
        <w:rPr>
          <w:rFonts w:ascii="宋体" w:hAnsi="宋体" w:cs="宋体"/>
          <w:sz w:val="24"/>
          <w:szCs w:val="24"/>
          <w:highlight w:val="none"/>
        </w:rPr>
        <w:t xml:space="preserve">致：【</w:t>
      </w:r>
      <w:r>
        <w:rPr>
          <w:rFonts w:hint="eastAsia"/>
          <w:sz w:val="24"/>
          <w:szCs w:val="24"/>
          <w:highlight w:val="none"/>
        </w:rPr>
        <w:t xml:space="preserve">连云港市生态环境局</w:t>
      </w:r>
      <w:r>
        <w:rPr>
          <w:rFonts w:ascii="宋体" w:hAnsi="宋体" w:cs="宋体"/>
          <w:sz w:val="24"/>
          <w:szCs w:val="24"/>
          <w:highlight w:val="none"/>
        </w:rPr>
        <w:t xml:space="preserve">】</w:t>
      </w:r>
      <w:r>
        <w:rPr>
          <w:highlight w:val="none"/>
        </w:rPr>
      </w:r>
      <w:r/>
    </w:p>
    <w:p>
      <w:pPr>
        <w:pStyle w:val="872"/>
        <w:ind w:firstLine="480"/>
        <w:spacing w:line="500" w:lineRule="exact"/>
        <w:rPr>
          <w:rFonts w:ascii="宋体" w:hAnsi="宋体" w:cs="宋体"/>
          <w:sz w:val="24"/>
          <w:szCs w:val="24"/>
          <w:highlight w:val="none"/>
        </w:rPr>
      </w:pPr>
      <w:r>
        <w:rPr>
          <w:rFonts w:ascii="宋体" w:hAnsi="宋体" w:cs="宋体"/>
          <w:sz w:val="24"/>
          <w:szCs w:val="24"/>
          <w:highlight w:val="none"/>
        </w:rPr>
        <w:t xml:space="preserve">我单位拟在中标后将第四章</w:t>
      </w:r>
      <w:r>
        <w:rPr>
          <w:rFonts w:hint="eastAsia" w:ascii="宋体" w:hAnsi="宋体" w:cs="宋体"/>
          <w:sz w:val="24"/>
          <w:szCs w:val="24"/>
          <w:highlight w:val="none"/>
        </w:rPr>
        <w:t xml:space="preserve"> </w:t>
      </w:r>
      <w:r>
        <w:rPr>
          <w:rFonts w:ascii="宋体" w:hAnsi="宋体" w:cs="宋体"/>
          <w:sz w:val="24"/>
          <w:szCs w:val="24"/>
          <w:highlight w:val="none"/>
        </w:rPr>
        <w:t xml:space="preserve">采购需求中</w:t>
      </w:r>
      <w:r>
        <w:rPr>
          <w:rFonts w:hint="eastAsia" w:ascii="宋体" w:hAnsi="宋体" w:cs="宋体"/>
          <w:sz w:val="24"/>
          <w:szCs w:val="24"/>
          <w:highlight w:val="none"/>
        </w:rPr>
        <w:t xml:space="preserve">配套环境改造</w:t>
      </w:r>
      <w:r>
        <w:rPr>
          <w:rFonts w:ascii="宋体" w:hAnsi="宋体" w:cs="宋体"/>
          <w:sz w:val="24"/>
          <w:szCs w:val="24"/>
          <w:highlight w:val="none"/>
        </w:rPr>
        <w:t xml:space="preserve">部分予以分包。我公司郑重承诺：</w:t>
      </w:r>
      <w:r>
        <w:rPr>
          <w:rFonts w:ascii="宋体" w:hAnsi="宋体" w:cs="宋体"/>
          <w:b/>
          <w:bCs/>
          <w:sz w:val="24"/>
          <w:szCs w:val="24"/>
          <w:highlight w:val="none"/>
        </w:rPr>
        <w:t xml:space="preserve">分包承担主体应当具备相应资质条件，且不得再次分包</w:t>
      </w:r>
      <w:r>
        <w:rPr>
          <w:rFonts w:ascii="宋体" w:hAnsi="宋体" w:cs="宋体"/>
          <w:sz w:val="24"/>
          <w:szCs w:val="24"/>
          <w:highlight w:val="none"/>
        </w:rPr>
        <w:t xml:space="preserve">。</w:t>
      </w:r>
      <w:r>
        <w:rPr>
          <w:highlight w:val="none"/>
        </w:rPr>
      </w:r>
      <w:r/>
    </w:p>
    <w:p>
      <w:pPr>
        <w:pStyle w:val="872"/>
        <w:ind w:firstLine="480"/>
        <w:spacing w:line="500" w:lineRule="exact"/>
        <w:rPr>
          <w:rFonts w:ascii="宋体" w:hAnsi="宋体" w:cs="宋体"/>
          <w:sz w:val="24"/>
          <w:szCs w:val="24"/>
          <w:highlight w:val="none"/>
        </w:rPr>
      </w:pPr>
      <w:r>
        <w:rPr>
          <w:rFonts w:ascii="宋体" w:hAnsi="宋体" w:cs="宋体"/>
          <w:sz w:val="24"/>
          <w:szCs w:val="24"/>
          <w:highlight w:val="none"/>
        </w:rPr>
        <w:t xml:space="preserve">如未能履行上述事项，采购人有权按违约处理。</w:t>
      </w:r>
      <w:r>
        <w:rPr>
          <w:highlight w:val="none"/>
        </w:rPr>
      </w:r>
      <w:r/>
    </w:p>
    <w:p>
      <w:pPr>
        <w:pStyle w:val="872"/>
        <w:ind w:firstLine="480"/>
        <w:spacing w:line="500" w:lineRule="exact"/>
        <w:rPr>
          <w:rFonts w:hint="eastAsia" w:ascii="宋体" w:hAnsi="宋体"/>
          <w:bCs/>
          <w:color w:val="000000"/>
          <w:sz w:val="24"/>
          <w:szCs w:val="21"/>
          <w:highlight w:val="none"/>
        </w:rPr>
      </w:pPr>
      <w:r>
        <w:rPr>
          <w:rFonts w:ascii="宋体" w:hAnsi="宋体" w:cs="宋体"/>
          <w:sz w:val="24"/>
          <w:szCs w:val="24"/>
          <w:highlight w:val="none"/>
        </w:rPr>
        <w:t xml:space="preserve">特此承诺。</w:t>
      </w:r>
      <w:r>
        <w:rPr>
          <w:highlight w:val="none"/>
        </w:rPr>
      </w:r>
      <w:r/>
    </w:p>
    <w:p>
      <w:pPr>
        <w:shd w:val="nil" w:color="000000"/>
        <w:rPr>
          <w14:ligatures w14:val="none"/>
        </w:rPr>
      </w:pPr>
      <w:r>
        <w:rPr>
          <w14:ligatures w14:val="none"/>
        </w:rPr>
      </w:r>
      <w:r>
        <w:rPr>
          <w14:ligatures w14:val="none"/>
        </w:rPr>
      </w:r>
      <w:r/>
    </w:p>
    <w:p>
      <w:pPr>
        <w:shd w:val="nil" w:color="auto"/>
        <w:rPr>
          <w14:ligatures w14:val="none"/>
        </w:rPr>
      </w:pPr>
      <w:r>
        <w:rPr>
          <w14:ligatures w14:val="none"/>
        </w:rPr>
      </w:r>
      <w:r/>
    </w:p>
    <w:p>
      <w:pPr>
        <w:rPr>
          <w14:ligatures w14:val="none"/>
        </w:rPr>
      </w:pPr>
      <w:r>
        <w:rPr>
          <w14:ligatures w14: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r/>
      <w:r/>
    </w:p>
    <w:p>
      <w:pPr>
        <w:pStyle w:val="872"/>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rPr>
          <w:highlight w:val="none"/>
        </w:rPr>
      </w:r>
      <w:r/>
    </w:p>
    <w:p>
      <w:pPr>
        <w:pStyle w:val="872"/>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rPr>
          <w:highlight w:val="none"/>
        </w:rPr>
      </w:r>
      <w:r/>
    </w:p>
    <w:p>
      <w:pPr>
        <w:pStyle w:val="87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highlight w:val="none"/>
        </w:rPr>
      </w:r>
      <w:r/>
    </w:p>
    <w:p>
      <w:pPr>
        <w:pStyle w:val="87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highlight w:val="none"/>
        </w:rPr>
      </w:r>
      <w:r/>
    </w:p>
    <w:p>
      <w:pPr>
        <w:pStyle w:val="87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highlight w:val="none"/>
        </w:rPr>
      </w:r>
      <w:r/>
    </w:p>
    <w:p>
      <w:pPr>
        <w:pStyle w:val="87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highlight w:val="none"/>
        </w:rPr>
      </w:r>
      <w:r/>
    </w:p>
    <w:p>
      <w:pPr>
        <w:pStyle w:val="87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highlight w:val="none"/>
        </w:rPr>
      </w:r>
      <w:r/>
    </w:p>
    <w:p>
      <w:pPr>
        <w:pStyle w:val="87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highlight w:val="none"/>
        </w:rPr>
      </w:r>
      <w:r/>
    </w:p>
    <w:p>
      <w:pPr>
        <w:pStyle w:val="87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highlight w:val="none"/>
        </w:rPr>
      </w:r>
      <w:r/>
    </w:p>
    <w:p>
      <w:pPr>
        <w:pStyle w:val="872"/>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highlight w:val="none"/>
        </w:rPr>
      </w:r>
      <w:r/>
    </w:p>
    <w:p>
      <w:pPr>
        <w:pStyle w:val="872"/>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highlight w:val="none"/>
        </w:rPr>
      </w:r>
      <w:r/>
    </w:p>
    <w:p>
      <w:pPr>
        <w:pStyle w:val="872"/>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highlight w:val="none"/>
        </w:rPr>
      </w:r>
      <w:r/>
    </w:p>
    <w:p>
      <w:pPr>
        <w:pStyle w:val="87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highlight w:val="none"/>
        </w:rPr>
      </w:r>
      <w:r/>
    </w:p>
    <w:p>
      <w:pPr>
        <w:pStyle w:val="87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none"/>
        </w:rPr>
      </w:r>
      <w:r/>
    </w:p>
    <w:p>
      <w:pPr>
        <w:pStyle w:val="87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highlight w:val="none"/>
        </w:rPr>
      </w:r>
      <w:r/>
    </w:p>
    <w:p>
      <w:pPr>
        <w:pStyle w:val="87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highlight w:val="none"/>
        </w:rPr>
      </w:r>
      <w:r/>
    </w:p>
    <w:p>
      <w:pPr>
        <w:pStyle w:val="87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highlight w:val="none"/>
        </w:rPr>
      </w:r>
      <w:r/>
    </w:p>
    <w:p>
      <w:pPr>
        <w:pStyle w:val="872"/>
        <w:ind w:firstLine="480"/>
        <w:jc w:val="left"/>
        <w:spacing w:line="500" w:lineRule="exact"/>
        <w:widowControl/>
        <w:rPr>
          <w:rFonts w:hint="eastAsia" w:ascii="宋体" w:hAnsi="宋体"/>
          <w:b/>
          <w:color w:val="ff0000"/>
          <w:sz w:val="24"/>
          <w:szCs w:val="24"/>
          <w:highlight w:val="none"/>
        </w:rP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pPr>
    <w:r/>
    <w:r/>
  </w:p>
  <w:p>
    <w:pPr>
      <w:pStyle w:val="89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78</w:t>
    </w:r>
    <w:r>
      <w:rPr>
        <w:lang w:val="zh-CN"/>
      </w:rPr>
      <w:fldChar w:fldCharType="end"/>
    </w:r>
    <w:r/>
  </w:p>
  <w:p>
    <w:pPr>
      <w:pStyle w:val="8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2"/>
        <w:ind w:left="425" w:hanging="425"/>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2"/>
        <w:ind w:left="425" w:hanging="425"/>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4"/>
      <w:numFmt w:val="decimal"/>
      <w:isLgl w:val="false"/>
      <w:suff w:val="tab"/>
      <w:lvlText w:val="%1."/>
      <w:lvlJc w:val="left"/>
      <w:pPr>
        <w:pStyle w:val="872"/>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isLgl w:val="false"/>
      <w:suff w:val="space"/>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72"/>
        <w:ind w:left="63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9"/>
      <w:numFmt w:val="decimal"/>
      <w:isLgl w:val="false"/>
      <w:suff w:val="tab"/>
      <w:lvlText w:val="%1."/>
      <w:lvlJc w:val="left"/>
      <w:pPr>
        <w:pStyle w:val="872"/>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72"/>
        <w:ind w:left="425" w:hanging="425"/>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1"/>
  </w:num>
  <w:num w:numId="3">
    <w:abstractNumId w:val="7"/>
  </w:num>
  <w:num w:numId="4">
    <w:abstractNumId w:val="10"/>
  </w:num>
  <w:num w:numId="5">
    <w:abstractNumId w:val="13"/>
  </w:num>
  <w:num w:numId="6">
    <w:abstractNumId w:val="5"/>
  </w:num>
  <w:num w:numId="7">
    <w:abstractNumId w:val="9"/>
  </w:num>
  <w:num w:numId="8">
    <w:abstractNumId w:val="8"/>
  </w:num>
  <w:num w:numId="9">
    <w:abstractNumId w:val="0"/>
  </w:num>
  <w:num w:numId="10">
    <w:abstractNumId w:val="12"/>
  </w:num>
  <w:num w:numId="11">
    <w:abstractNumId w:val="2"/>
  </w:num>
  <w:num w:numId="12">
    <w:abstractNumId w:val="1"/>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2"/>
    <w:next w:val="872"/>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2"/>
    <w:next w:val="87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2"/>
    <w:next w:val="872"/>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2"/>
    <w:next w:val="872"/>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4"/>
    <w:link w:val="872"/>
    <w:qFormat/>
    <w:pPr>
      <w:jc w:val="both"/>
      <w:widowControl w:val="off"/>
    </w:pPr>
    <w:rPr>
      <w:rFonts w:ascii="Calibri" w:hAnsi="Calibri"/>
      <w:sz w:val="21"/>
      <w:szCs w:val="22"/>
      <w:lang w:val="en-US" w:eastAsia="zh-CN" w:bidi="ar-SA"/>
    </w:rPr>
  </w:style>
  <w:style w:type="paragraph" w:styleId="873">
    <w:name w:val="标题 1"/>
    <w:basedOn w:val="872"/>
    <w:next w:val="872"/>
    <w:link w:val="879"/>
    <w:uiPriority w:val="9"/>
    <w:qFormat/>
    <w:pPr>
      <w:keepLines/>
      <w:keepNext/>
      <w:spacing w:before="340" w:after="330" w:line="578" w:lineRule="auto"/>
      <w:outlineLvl w:val="0"/>
    </w:pPr>
    <w:rPr>
      <w:rFonts w:ascii="Times New Roman" w:hAnsi="Times New Roman"/>
      <w:b/>
      <w:bCs/>
      <w:sz w:val="44"/>
      <w:szCs w:val="44"/>
    </w:rPr>
  </w:style>
  <w:style w:type="paragraph" w:styleId="874">
    <w:name w:val="标题 2"/>
    <w:basedOn w:val="872"/>
    <w:next w:val="872"/>
    <w:link w:val="878"/>
    <w:uiPriority w:val="9"/>
    <w:qFormat/>
    <w:pPr>
      <w:keepLines/>
      <w:keepNext/>
      <w:spacing w:before="260" w:after="260" w:line="416" w:lineRule="auto"/>
      <w:outlineLvl w:val="1"/>
    </w:pPr>
    <w:rPr>
      <w:rFonts w:ascii="Cambria" w:hAnsi="Cambria"/>
      <w:b/>
      <w:bCs/>
      <w:sz w:val="32"/>
      <w:szCs w:val="32"/>
    </w:rPr>
  </w:style>
  <w:style w:type="paragraph" w:styleId="875">
    <w:name w:val="标题 3"/>
    <w:basedOn w:val="872"/>
    <w:next w:val="872"/>
    <w:link w:val="880"/>
    <w:uiPriority w:val="9"/>
    <w:qFormat/>
    <w:pPr>
      <w:keepLines/>
      <w:keepNext/>
      <w:spacing w:before="260" w:after="260" w:line="416" w:lineRule="auto"/>
      <w:outlineLvl w:val="2"/>
    </w:pPr>
    <w:rPr>
      <w:rFonts w:ascii="Times New Roman" w:hAnsi="Times New Roman"/>
      <w:b/>
      <w:bCs/>
      <w:sz w:val="32"/>
      <w:szCs w:val="32"/>
    </w:rPr>
  </w:style>
  <w:style w:type="character" w:styleId="876">
    <w:name w:val="默认段落字体"/>
    <w:next w:val="876"/>
    <w:link w:val="872"/>
    <w:uiPriority w:val="1"/>
    <w:unhideWhenUsed/>
    <w:qFormat/>
  </w:style>
  <w:style w:type="table" w:styleId="877">
    <w:name w:val="普通表格"/>
    <w:next w:val="877"/>
    <w:link w:val="872"/>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78">
    <w:name w:val="标题 2 字符"/>
    <w:next w:val="878"/>
    <w:link w:val="874"/>
    <w:uiPriority w:val="9"/>
    <w:qFormat/>
    <w:rPr>
      <w:rFonts w:ascii="Cambria" w:hAnsi="Cambria" w:eastAsia="宋体" w:cs="Times New Roman"/>
      <w:b/>
      <w:bCs/>
      <w:sz w:val="32"/>
      <w:szCs w:val="32"/>
    </w:rPr>
  </w:style>
  <w:style w:type="character" w:styleId="879">
    <w:name w:val="标题 1 字符"/>
    <w:next w:val="879"/>
    <w:link w:val="873"/>
    <w:uiPriority w:val="9"/>
    <w:qFormat/>
    <w:rPr>
      <w:b/>
      <w:bCs/>
      <w:sz w:val="44"/>
      <w:szCs w:val="44"/>
    </w:rPr>
  </w:style>
  <w:style w:type="character" w:styleId="880">
    <w:name w:val="标题 3 字符"/>
    <w:next w:val="880"/>
    <w:link w:val="875"/>
    <w:uiPriority w:val="9"/>
    <w:qFormat/>
    <w:rPr>
      <w:b/>
      <w:bCs/>
      <w:sz w:val="32"/>
      <w:szCs w:val="32"/>
    </w:rPr>
  </w:style>
  <w:style w:type="paragraph" w:styleId="881">
    <w:name w:val="文档结构图"/>
    <w:basedOn w:val="872"/>
    <w:next w:val="881"/>
    <w:link w:val="882"/>
    <w:uiPriority w:val="99"/>
    <w:unhideWhenUsed/>
    <w:qFormat/>
    <w:rPr>
      <w:rFonts w:ascii="宋体" w:hAnsi="Times New Roman"/>
      <w:sz w:val="18"/>
      <w:szCs w:val="18"/>
    </w:rPr>
  </w:style>
  <w:style w:type="character" w:styleId="882">
    <w:name w:val="文档结构图 字符"/>
    <w:next w:val="882"/>
    <w:link w:val="881"/>
    <w:uiPriority w:val="99"/>
    <w:semiHidden/>
    <w:qFormat/>
    <w:rPr>
      <w:rFonts w:ascii="宋体" w:eastAsia="宋体"/>
      <w:sz w:val="18"/>
      <w:szCs w:val="18"/>
    </w:rPr>
  </w:style>
  <w:style w:type="paragraph" w:styleId="883">
    <w:name w:val="批注文字"/>
    <w:basedOn w:val="872"/>
    <w:next w:val="883"/>
    <w:link w:val="884"/>
    <w:qFormat/>
    <w:pPr>
      <w:ind w:firstLine="922"/>
      <w:jc w:val="left"/>
      <w:spacing w:line="360" w:lineRule="auto"/>
    </w:pPr>
    <w:rPr>
      <w:rFonts w:ascii="Times New Roman" w:hAnsi="Times New Roman"/>
      <w:sz w:val="20"/>
      <w:szCs w:val="24"/>
    </w:rPr>
  </w:style>
  <w:style w:type="character" w:styleId="884">
    <w:name w:val="批注文字 字符"/>
    <w:next w:val="884"/>
    <w:link w:val="883"/>
    <w:qFormat/>
    <w:rPr>
      <w:rFonts w:ascii="Times New Roman" w:hAnsi="Times New Roman" w:eastAsia="宋体" w:cs="Times New Roman"/>
      <w:szCs w:val="24"/>
    </w:rPr>
  </w:style>
  <w:style w:type="paragraph" w:styleId="885">
    <w:name w:val="索引 4"/>
    <w:basedOn w:val="872"/>
    <w:next w:val="872"/>
    <w:link w:val="872"/>
    <w:uiPriority w:val="99"/>
    <w:unhideWhenUsed/>
    <w:qFormat/>
    <w:pPr>
      <w:ind w:left="600"/>
    </w:pPr>
  </w:style>
  <w:style w:type="paragraph" w:styleId="886">
    <w:name w:val="纯文本"/>
    <w:basedOn w:val="872"/>
    <w:next w:val="886"/>
    <w:link w:val="887"/>
    <w:qFormat/>
    <w:rPr>
      <w:rFonts w:ascii="宋体" w:hAnsi="Courier New"/>
      <w:sz w:val="20"/>
      <w:szCs w:val="20"/>
    </w:rPr>
  </w:style>
  <w:style w:type="character" w:styleId="887">
    <w:name w:val="纯文本 字符"/>
    <w:next w:val="887"/>
    <w:link w:val="886"/>
    <w:qFormat/>
    <w:rPr>
      <w:rFonts w:ascii="宋体" w:hAnsi="Courier New" w:eastAsia="宋体" w:cs="Times New Roman"/>
      <w:szCs w:val="20"/>
    </w:rPr>
  </w:style>
  <w:style w:type="paragraph" w:styleId="888">
    <w:name w:val="日期"/>
    <w:basedOn w:val="872"/>
    <w:next w:val="872"/>
    <w:link w:val="889"/>
    <w:uiPriority w:val="99"/>
    <w:unhideWhenUsed/>
    <w:qFormat/>
    <w:pPr>
      <w:ind w:left="100"/>
    </w:pPr>
  </w:style>
  <w:style w:type="character" w:styleId="889">
    <w:name w:val="日期 字符"/>
    <w:next w:val="889"/>
    <w:link w:val="888"/>
    <w:uiPriority w:val="99"/>
    <w:semiHidden/>
    <w:qFormat/>
  </w:style>
  <w:style w:type="paragraph" w:styleId="890">
    <w:name w:val="批注框文本"/>
    <w:basedOn w:val="872"/>
    <w:next w:val="890"/>
    <w:link w:val="891"/>
    <w:uiPriority w:val="99"/>
    <w:unhideWhenUsed/>
    <w:qFormat/>
    <w:rPr>
      <w:rFonts w:ascii="Times New Roman" w:hAnsi="Times New Roman"/>
      <w:sz w:val="18"/>
      <w:szCs w:val="18"/>
    </w:rPr>
  </w:style>
  <w:style w:type="character" w:styleId="891">
    <w:name w:val="批注框文本 字符"/>
    <w:next w:val="891"/>
    <w:link w:val="890"/>
    <w:uiPriority w:val="99"/>
    <w:semiHidden/>
    <w:qFormat/>
    <w:rPr>
      <w:sz w:val="18"/>
      <w:szCs w:val="18"/>
    </w:rPr>
  </w:style>
  <w:style w:type="paragraph" w:styleId="892">
    <w:name w:val="页脚"/>
    <w:basedOn w:val="872"/>
    <w:next w:val="892"/>
    <w:link w:val="893"/>
    <w:uiPriority w:val="99"/>
    <w:unhideWhenUsed/>
    <w:qFormat/>
    <w:pPr>
      <w:jc w:val="left"/>
      <w:tabs>
        <w:tab w:val="center" w:pos="4153" w:leader="none"/>
        <w:tab w:val="right" w:pos="8306" w:leader="none"/>
      </w:tabs>
    </w:pPr>
    <w:rPr>
      <w:rFonts w:ascii="Times New Roman" w:hAnsi="Times New Roman"/>
      <w:sz w:val="18"/>
      <w:szCs w:val="18"/>
    </w:rPr>
  </w:style>
  <w:style w:type="character" w:styleId="893">
    <w:name w:val="页脚 字符"/>
    <w:next w:val="893"/>
    <w:link w:val="892"/>
    <w:uiPriority w:val="99"/>
    <w:qFormat/>
    <w:rPr>
      <w:sz w:val="18"/>
      <w:szCs w:val="18"/>
    </w:rPr>
  </w:style>
  <w:style w:type="paragraph" w:styleId="894">
    <w:name w:val="页眉"/>
    <w:basedOn w:val="872"/>
    <w:next w:val="894"/>
    <w:link w:val="895"/>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95">
    <w:name w:val="页眉 字符"/>
    <w:next w:val="895"/>
    <w:link w:val="894"/>
    <w:uiPriority w:val="99"/>
    <w:semiHidden/>
    <w:qFormat/>
    <w:rPr>
      <w:sz w:val="18"/>
      <w:szCs w:val="18"/>
    </w:rPr>
  </w:style>
  <w:style w:type="paragraph" w:styleId="896">
    <w:name w:val="目录 1"/>
    <w:basedOn w:val="872"/>
    <w:next w:val="872"/>
    <w:link w:val="872"/>
    <w:uiPriority w:val="39"/>
    <w:unhideWhenUsed/>
    <w:qFormat/>
  </w:style>
  <w:style w:type="paragraph" w:styleId="897">
    <w:name w:val="批注主题"/>
    <w:basedOn w:val="883"/>
    <w:next w:val="883"/>
    <w:link w:val="898"/>
    <w:uiPriority w:val="1"/>
    <w:unhideWhenUsed/>
    <w:pPr>
      <w:ind w:firstLine="0"/>
      <w:spacing w:line="240" w:lineRule="auto"/>
    </w:pPr>
    <w:rPr>
      <w:rFonts w:ascii="Calibri" w:hAnsi="Calibri"/>
      <w:b/>
      <w:bCs/>
      <w:szCs w:val="22"/>
    </w:rPr>
  </w:style>
  <w:style w:type="character" w:styleId="898">
    <w:name w:val="批注主题 字符"/>
    <w:next w:val="898"/>
    <w:link w:val="897"/>
    <w:uiPriority w:val="1"/>
    <w:semiHidden/>
    <w:rPr>
      <w:rFonts w:ascii="Calibri" w:hAnsi="Calibri" w:eastAsia="宋体" w:cs="Times New Roman"/>
      <w:b/>
      <w:bCs/>
      <w:sz w:val="21"/>
      <w:szCs w:val="22"/>
    </w:rPr>
  </w:style>
  <w:style w:type="table" w:styleId="899">
    <w:name w:val="网格型"/>
    <w:basedOn w:val="877"/>
    <w:next w:val="899"/>
    <w:link w:val="872"/>
    <w:uiPriority w:val="59"/>
    <w:qFormat/>
    <w:tblPr/>
  </w:style>
  <w:style w:type="character" w:styleId="900">
    <w:name w:val="超链接"/>
    <w:next w:val="900"/>
    <w:link w:val="872"/>
    <w:uiPriority w:val="99"/>
    <w:qFormat/>
    <w:rPr>
      <w:color w:val="0000ff"/>
      <w:u w:val="none"/>
    </w:rPr>
  </w:style>
  <w:style w:type="character" w:styleId="901">
    <w:name w:val="批注引用"/>
    <w:next w:val="901"/>
    <w:link w:val="872"/>
    <w:qFormat/>
    <w:rPr>
      <w:sz w:val="21"/>
      <w:szCs w:val="21"/>
    </w:rPr>
  </w:style>
  <w:style w:type="character" w:styleId="902">
    <w:name w:val="Default Char"/>
    <w:next w:val="902"/>
    <w:link w:val="903"/>
    <w:uiPriority w:val="99"/>
    <w:qFormat/>
    <w:rPr>
      <w:rFonts w:ascii="MS Mincho" w:hAnsi="Calibri"/>
      <w:color w:val="000000"/>
      <w:sz w:val="21"/>
      <w:szCs w:val="24"/>
      <w:lang w:val="en-US" w:eastAsia="zh-CN" w:bidi="ar-SA"/>
    </w:rPr>
  </w:style>
  <w:style w:type="paragraph" w:styleId="903">
    <w:name w:val="Default"/>
    <w:next w:val="903"/>
    <w:link w:val="902"/>
    <w:uiPriority w:val="99"/>
    <w:qFormat/>
    <w:pPr>
      <w:widowControl w:val="off"/>
    </w:pPr>
    <w:rPr>
      <w:rFonts w:ascii="MS Mincho" w:hAnsi="Calibri"/>
      <w:color w:val="000000"/>
      <w:sz w:val="21"/>
      <w:szCs w:val="24"/>
      <w:lang w:val="en-US" w:eastAsia="zh-CN" w:bidi="ar-SA"/>
    </w:rPr>
  </w:style>
  <w:style w:type="paragraph" w:styleId="904">
    <w:name w:val="Table Text"/>
    <w:basedOn w:val="872"/>
    <w:next w:val="904"/>
    <w:link w:val="872"/>
    <w:semiHidden/>
    <w:qFormat/>
    <w:rPr>
      <w:rFonts w:ascii="黑体" w:hAnsi="黑体" w:eastAsia="黑体" w:cs="黑体"/>
      <w:sz w:val="18"/>
      <w:szCs w:val="18"/>
      <w:lang w:val="en-US" w:eastAsia="en-US" w:bidi="ar-SA"/>
    </w:rPr>
  </w:style>
  <w:style w:type="paragraph" w:styleId="905">
    <w:name w:val="正文文本11"/>
    <w:basedOn w:val="872"/>
    <w:next w:val="872"/>
    <w:link w:val="872"/>
    <w:qFormat/>
    <w:rPr>
      <w:rFonts w:ascii="楷体_GB2312" w:hAnsi="Arial" w:eastAsia="楷体_GB2312"/>
      <w:sz w:val="28"/>
      <w:szCs w:val="28"/>
      <w:lang w:eastAsia="en-US"/>
    </w:rPr>
  </w:style>
  <w:style w:type="paragraph" w:styleId="906">
    <w:name w:val="正文首行缩进11"/>
    <w:basedOn w:val="905"/>
    <w:next w:val="906"/>
    <w:link w:val="872"/>
    <w:qFormat/>
    <w:pPr>
      <w:ind w:firstLine="200"/>
      <w:spacing w:line="360" w:lineRule="auto"/>
    </w:pPr>
    <w:rPr>
      <w:rFonts w:ascii="仿宋_GB2312" w:hAnsi="Times New Roman" w:eastAsia="仿宋_GB2312"/>
      <w:sz w:val="30"/>
      <w:szCs w:val="30"/>
    </w:rPr>
  </w:style>
  <w:style w:type="table" w:styleId="907">
    <w:name w:val="网格型11"/>
    <w:next w:val="907"/>
    <w:link w:val="872"/>
    <w:qFormat/>
    <w:pPr>
      <w:jc w:val="both"/>
      <w:widowControl w:val="off"/>
    </w:pPr>
    <w:rPr>
      <w:lang w:val="en-US" w:eastAsia="zh-CN" w:bidi="ar-SA"/>
    </w:rPr>
    <w:tblPr/>
  </w:style>
  <w:style w:type="character" w:styleId="908" w:default="1">
    <w:name w:val="Default Paragraph Font"/>
    <w:uiPriority w:val="1"/>
    <w:semiHidden/>
    <w:unhideWhenUsed/>
  </w:style>
  <w:style w:type="numbering" w:styleId="909" w:default="1">
    <w:name w:val="No List"/>
    <w:uiPriority w:val="99"/>
    <w:semiHidden/>
    <w:unhideWhenUsed/>
  </w:style>
  <w:style w:type="table" w:styleId="9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王一峰</cp:lastModifiedBy>
  <cp:revision>7</cp:revision>
  <dcterms:created xsi:type="dcterms:W3CDTF">2024-11-19T15:28:00Z</dcterms:created>
  <dcterms:modified xsi:type="dcterms:W3CDTF">2024-12-06T08:02:25Z</dcterms:modified>
  <cp:category>“苏采云”公开</cp:category>
</cp:coreProperties>
</file>