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left="66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left="660"/>
        <w:rPr>
          <w:rFonts w:hint="eastAsia" w:ascii="宋体" w:hAnsi="宋体" w:eastAsia="宋体" w:cs="宋体"/>
          <w:color w:val="000000"/>
          <w:sz w:val="30"/>
          <w:szCs w:val="30"/>
        </w:rPr>
      </w:pPr>
      <w:r>
        <w:rPr>
          <w:rFonts w:hint="eastAsia" w:ascii="宋体" w:hAnsi="宋体" w:eastAsia="宋体" w:cs="宋体"/>
          <w:b/>
          <w:color w:val="000000"/>
          <w:sz w:val="30"/>
          <w:szCs w:val="30"/>
        </w:rPr>
        <w:t xml:space="preserve">        </w:t>
      </w:r>
      <w:r>
        <w:rPr>
          <w:rFonts w:hint="eastAsia" w:ascii="宋体" w:hAnsi="宋体" w:eastAsia="宋体" w:cs="宋体"/>
          <w:bCs/>
          <w:color w:val="000000"/>
          <w:sz w:val="30"/>
        </w:rPr>
        <w:t xml:space="preserve">   </w:t>
      </w:r>
      <w:r/>
    </w:p>
    <w:p>
      <w:pPr>
        <w:pStyle w:val="1155"/>
        <w:jc w:val="center"/>
        <w:rPr>
          <w:rFonts w:hint="eastAsia" w:hAnsi="宋体" w:cs="宋体"/>
          <w:b/>
          <w:color w:val="000000"/>
          <w:sz w:val="96"/>
          <w:szCs w:val="96"/>
        </w:rPr>
      </w:pPr>
      <w:r>
        <w:rPr>
          <w:rFonts w:hint="eastAsia" w:hAnsi="宋体" w:cs="宋体"/>
          <w:b/>
          <w:color w:val="000000"/>
          <w:sz w:val="96"/>
          <w:szCs w:val="96"/>
        </w:rPr>
        <w:t xml:space="preserve">锡山区政府采购</w:t>
      </w:r>
      <w:r/>
    </w:p>
    <w:p>
      <w:pPr>
        <w:pStyle w:val="1146"/>
        <w:rPr>
          <w:rFonts w:hint="eastAsia" w:ascii="宋体" w:hAnsi="宋体" w:eastAsia="宋体" w:cs="宋体"/>
          <w:color w:val="000000"/>
        </w:rPr>
      </w:pPr>
      <w:r>
        <w:rPr>
          <w:rFonts w:hint="eastAsia" w:ascii="宋体" w:hAnsi="宋体" w:eastAsia="宋体" w:cs="宋体"/>
          <w:color w:val="000000"/>
        </w:rPr>
      </w:r>
      <w:r/>
    </w:p>
    <w:p>
      <w:pPr>
        <w:pStyle w:val="1146"/>
        <w:rPr>
          <w:rFonts w:hint="eastAsia" w:ascii="宋体" w:hAnsi="宋体" w:eastAsia="宋体" w:cs="宋体"/>
          <w:color w:val="000000"/>
        </w:rPr>
      </w:pPr>
      <w:r>
        <w:rPr>
          <w:rFonts w:hint="eastAsia" w:ascii="宋体" w:hAnsi="宋体" w:eastAsia="宋体" w:cs="宋体"/>
          <w:color w:val="000000"/>
        </w:rPr>
      </w:r>
      <w:r/>
    </w:p>
    <w:p>
      <w:pPr>
        <w:pStyle w:val="1146"/>
        <w:rPr>
          <w:rFonts w:hint="eastAsia" w:ascii="宋体" w:hAnsi="宋体" w:eastAsia="宋体" w:cs="宋体"/>
          <w:color w:val="000000"/>
        </w:rPr>
      </w:pPr>
      <w:r>
        <w:rPr>
          <w:rFonts w:hint="eastAsia" w:ascii="宋体" w:hAnsi="宋体" w:eastAsia="宋体" w:cs="宋体"/>
          <w:color w:val="000000"/>
        </w:rPr>
      </w:r>
      <w:r/>
    </w:p>
    <w:p>
      <w:pPr>
        <w:pStyle w:val="1146"/>
        <w:rPr>
          <w:rFonts w:hint="eastAsia" w:ascii="宋体" w:hAnsi="宋体" w:eastAsia="宋体" w:cs="宋体"/>
          <w:color w:val="000000"/>
        </w:rPr>
      </w:pPr>
      <w:r>
        <w:rPr>
          <w:rFonts w:hint="eastAsia" w:ascii="宋体" w:hAnsi="宋体" w:eastAsia="宋体" w:cs="宋体"/>
          <w:color w:val="000000"/>
        </w:rPr>
      </w:r>
      <w:r/>
    </w:p>
    <w:p>
      <w:pPr>
        <w:pStyle w:val="1146"/>
        <w:rPr>
          <w:rFonts w:hint="eastAsia" w:ascii="宋体" w:hAnsi="宋体" w:eastAsia="宋体" w:cs="宋体"/>
          <w:color w:val="000000"/>
        </w:rPr>
      </w:pPr>
      <w:r>
        <w:rPr>
          <w:rFonts w:hint="eastAsia" w:ascii="宋体" w:hAnsi="宋体" w:eastAsia="宋体" w:cs="宋体"/>
          <w:color w:val="000000"/>
        </w:rPr>
      </w:r>
      <w:r/>
    </w:p>
    <w:p>
      <w:pPr>
        <w:pStyle w:val="1146"/>
        <w:rPr>
          <w:rFonts w:hint="eastAsia" w:ascii="宋体" w:hAnsi="宋体" w:eastAsia="宋体" w:cs="宋体"/>
          <w:color w:val="000000"/>
        </w:rPr>
      </w:pPr>
      <w:r>
        <w:rPr>
          <w:rFonts w:hint="eastAsia" w:ascii="宋体" w:hAnsi="宋体" w:eastAsia="宋体" w:cs="宋体"/>
          <w:color w:val="000000"/>
        </w:rPr>
      </w:r>
      <w:r/>
    </w:p>
    <w:p>
      <w:pPr>
        <w:pStyle w:val="1146"/>
        <w:rPr>
          <w:rFonts w:hint="eastAsia" w:ascii="宋体" w:hAnsi="宋体" w:eastAsia="宋体" w:cs="宋体"/>
          <w:color w:val="000000"/>
        </w:rPr>
      </w:pPr>
      <w:r>
        <w:rPr>
          <w:rFonts w:hint="eastAsia" w:ascii="宋体" w:hAnsi="宋体" w:eastAsia="宋体" w:cs="宋体"/>
          <w:color w:val="000000"/>
        </w:rPr>
      </w:r>
      <w:r/>
    </w:p>
    <w:p>
      <w:pPr>
        <w:pStyle w:val="1155"/>
        <w:jc w:val="center"/>
        <w:rPr>
          <w:rFonts w:hint="eastAsia" w:hAnsi="宋体" w:cs="宋体"/>
          <w:b/>
          <w:color w:val="000000"/>
          <w:sz w:val="72"/>
          <w:szCs w:val="72"/>
        </w:rPr>
      </w:pPr>
      <w:r>
        <w:rPr>
          <w:rFonts w:hint="eastAsia" w:hAnsi="宋体" w:cs="宋体"/>
          <w:b/>
          <w:color w:val="000000"/>
          <w:sz w:val="72"/>
          <w:szCs w:val="72"/>
        </w:rPr>
        <w:t xml:space="preserve">公开招标文件</w:t>
      </w:r>
      <w:r/>
    </w:p>
    <w:p>
      <w:pPr>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（全流程电子化）</w:t>
      </w:r>
      <w:r/>
    </w:p>
    <w:p>
      <w:pPr>
        <w:jc w:val="left"/>
        <w:rPr>
          <w:rFonts w:hint="eastAsia" w:ascii="宋体" w:hAnsi="宋体" w:eastAsia="宋体" w:cs="宋体"/>
          <w:bCs/>
          <w:color w:val="000000"/>
          <w:sz w:val="30"/>
        </w:rPr>
      </w:pPr>
      <w:r>
        <w:rPr>
          <w:rFonts w:hint="eastAsia" w:ascii="宋体" w:hAnsi="宋体" w:eastAsia="宋体" w:cs="宋体"/>
          <w:bCs/>
          <w:color w:val="000000"/>
          <w:sz w:val="30"/>
        </w:rPr>
      </w:r>
      <w:r/>
    </w:p>
    <w:p>
      <w:pPr>
        <w:pStyle w:val="920"/>
        <w:rPr>
          <w:rFonts w:hint="eastAsia"/>
          <w:bCs/>
          <w:color w:val="000000"/>
          <w:sz w:val="30"/>
          <w:lang w:eastAsia="zh-CN"/>
        </w:rPr>
      </w:pPr>
      <w:r>
        <w:rPr>
          <w:rFonts w:hint="eastAsia"/>
          <w:bCs/>
          <w:color w:val="000000"/>
          <w:sz w:val="30"/>
          <w:lang w:eastAsia="zh-CN"/>
        </w:rPr>
      </w:r>
      <w:r/>
    </w:p>
    <w:p>
      <w:pPr>
        <w:pStyle w:val="920"/>
        <w:rPr>
          <w:rFonts w:hint="eastAsia"/>
          <w:bCs/>
          <w:color w:val="000000"/>
          <w:sz w:val="30"/>
          <w:lang w:eastAsia="zh-CN"/>
        </w:rPr>
      </w:pPr>
      <w:r>
        <w:rPr>
          <w:rFonts w:hint="eastAsia"/>
          <w:bCs/>
          <w:color w:val="000000"/>
          <w:sz w:val="30"/>
          <w:lang w:eastAsia="zh-CN"/>
        </w:rPr>
      </w:r>
      <w:r/>
    </w:p>
    <w:p>
      <w:pPr>
        <w:pStyle w:val="920"/>
        <w:rPr>
          <w:rFonts w:hint="eastAsia"/>
          <w:bCs/>
          <w:color w:val="000000"/>
          <w:sz w:val="30"/>
          <w:lang w:eastAsia="zh-CN"/>
        </w:rPr>
      </w:pPr>
      <w:r>
        <w:rPr>
          <w:rFonts w:hint="eastAsia"/>
          <w:bCs/>
          <w:color w:val="000000"/>
          <w:sz w:val="30"/>
          <w:lang w:eastAsia="zh-CN"/>
        </w:rPr>
      </w:r>
      <w:r/>
    </w:p>
    <w:p>
      <w:pPr>
        <w:ind w:left="3878" w:hanging="3336"/>
        <w:jc w:val="left"/>
        <w:spacing w:line="360" w:lineRule="auto"/>
        <w:rPr>
          <w:rFonts w:hint="default" w:ascii="宋体" w:hAnsi="宋体" w:eastAsia="宋体" w:cs="宋体"/>
          <w:b/>
          <w:bCs/>
          <w:sz w:val="32"/>
          <w:szCs w:val="32"/>
          <w:lang w:val="en-US" w:eastAsia="zh-CN"/>
        </w:rPr>
        <w:outlineLvl w:val="0"/>
      </w:pPr>
      <w:r>
        <w:rPr>
          <w:rFonts w:hint="eastAsia" w:ascii="宋体" w:hAnsi="宋体" w:eastAsia="宋体" w:cs="宋体"/>
          <w:b/>
          <w:color w:val="000000"/>
          <w:spacing w:val="108"/>
          <w:sz w:val="32"/>
          <w:szCs w:val="32"/>
        </w:rPr>
        <w:t xml:space="preserve">项目名</w:t>
      </w:r>
      <w:r>
        <w:rPr>
          <w:rFonts w:hint="eastAsia" w:ascii="宋体" w:hAnsi="宋体" w:eastAsia="宋体" w:cs="宋体"/>
          <w:b/>
          <w:color w:val="000000"/>
          <w:sz w:val="32"/>
          <w:szCs w:val="32"/>
        </w:rPr>
        <w:t xml:space="preserve">称：</w:t>
      </w:r>
      <w:r>
        <w:rPr>
          <w:rFonts w:hint="eastAsia" w:ascii="宋体" w:hAnsi="宋体" w:eastAsia="宋体" w:cs="宋体"/>
          <w:b/>
          <w:color w:val="000000"/>
          <w:sz w:val="32"/>
          <w:szCs w:val="32"/>
          <w:lang w:eastAsia="zh-CN"/>
        </w:rPr>
        <w:t xml:space="preserve">江苏省怀仁中学实验室设备购置项目</w:t>
      </w:r>
      <w:r/>
    </w:p>
    <w:p>
      <w:pPr>
        <w:ind w:firstLine="537"/>
        <w:jc w:val="left"/>
        <w:spacing w:line="360" w:lineRule="auto"/>
        <w:rPr>
          <w:rFonts w:hint="eastAsia" w:ascii="宋体" w:hAnsi="宋体" w:eastAsia="宋体" w:cs="宋体"/>
          <w:b/>
          <w:bCs/>
          <w:color w:val="000000" w:themeColor="text1"/>
          <w:sz w:val="32"/>
          <w:szCs w:val="32"/>
          <w:lang w:eastAsia="zh-CN"/>
          <w14:textFill>
            <w14:solidFill>
              <w14:schemeClr w14:val="tx1"/>
            </w14:solidFill>
          </w14:textFill>
        </w:rPr>
        <w:outlineLvl w:val="0"/>
      </w:pPr>
      <w:r>
        <w:rPr>
          <w:rFonts w:hint="eastAsia" w:ascii="宋体" w:hAnsi="宋体" w:eastAsia="宋体" w:cs="宋体"/>
          <w:b/>
          <w:color w:val="000000"/>
          <w:spacing w:val="108"/>
          <w:sz w:val="32"/>
          <w:szCs w:val="32"/>
        </w:rPr>
        <w:t xml:space="preserve">项目编</w:t>
      </w:r>
      <w:r>
        <w:rPr>
          <w:rFonts w:hint="eastAsia" w:ascii="宋体" w:hAnsi="宋体" w:eastAsia="宋体" w:cs="宋体"/>
          <w:b/>
          <w:color w:val="000000"/>
          <w:sz w:val="32"/>
          <w:szCs w:val="32"/>
        </w:rPr>
        <w:t xml:space="preserve">号：</w:t>
      </w:r>
      <w:r>
        <w:rPr>
          <w:rFonts w:hint="eastAsia" w:ascii="宋体" w:hAnsi="宋体" w:eastAsia="宋体" w:cs="宋体"/>
          <w:b/>
          <w:bCs/>
          <w:color w:val="000000" w:themeColor="text1"/>
          <w:sz w:val="32"/>
          <w:szCs w:val="32"/>
          <w:lang w:eastAsia="zh-CN"/>
          <w14:textFill>
            <w14:solidFill>
              <w14:schemeClr w14:val="tx1"/>
            </w14:solidFill>
          </w14:textFill>
        </w:rPr>
        <w:t xml:space="preserve">JSZC-320205-JZCG-G2025-0083</w:t>
      </w:r>
      <w:r/>
    </w:p>
    <w:p>
      <w:pPr>
        <w:ind w:firstLine="537"/>
        <w:jc w:val="left"/>
        <w:spacing w:line="360" w:lineRule="auto"/>
        <w:rPr>
          <w:rFonts w:hint="default" w:ascii="宋体" w:hAnsi="宋体" w:eastAsia="宋体" w:cs="宋体"/>
          <w:b/>
          <w:bCs/>
          <w:sz w:val="32"/>
          <w:szCs w:val="32"/>
          <w:lang w:val="en-US"/>
        </w:rPr>
        <w:outlineLvl w:val="0"/>
      </w:pPr>
      <w:r>
        <w:rPr>
          <w:rFonts w:hint="eastAsia" w:ascii="宋体" w:hAnsi="宋体" w:eastAsia="宋体" w:cs="宋体"/>
          <w:b/>
          <w:bCs/>
          <w:color w:val="000000"/>
          <w:spacing w:val="108"/>
          <w:sz w:val="32"/>
          <w:szCs w:val="32"/>
        </w:rPr>
        <w:t xml:space="preserve">采购单</w:t>
      </w:r>
      <w:r>
        <w:rPr>
          <w:rFonts w:hint="eastAsia" w:ascii="宋体" w:hAnsi="宋体" w:eastAsia="宋体" w:cs="宋体"/>
          <w:b/>
          <w:bCs/>
          <w:color w:val="000000"/>
          <w:sz w:val="32"/>
          <w:szCs w:val="32"/>
        </w:rPr>
        <w:t xml:space="preserve">位：</w:t>
      </w:r>
      <w:r>
        <w:rPr>
          <w:rFonts w:hint="eastAsia" w:ascii="宋体" w:hAnsi="宋体" w:eastAsia="宋体" w:cs="宋体"/>
          <w:b/>
          <w:bCs/>
          <w:sz w:val="32"/>
          <w:szCs w:val="32"/>
          <w:lang w:val="en-US" w:eastAsia="zh-CN"/>
        </w:rPr>
        <w:t xml:space="preserve">江苏省怀仁中学</w:t>
      </w:r>
      <w:r/>
    </w:p>
    <w:p>
      <w:pPr>
        <w:ind w:firstLine="643"/>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集中采购机构：无锡市公共资源交易中心锡山分中心</w:t>
      </w:r>
      <w:r/>
    </w:p>
    <w:p>
      <w:pPr>
        <w:pStyle w:val="1147"/>
        <w:ind w:firstLine="0"/>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07"/>
      </w:pPr>
      <w:r/>
      <w:r/>
    </w:p>
    <w:p>
      <w:pPr>
        <w:jc w:val="center"/>
        <w:rPr>
          <w:rFonts w:hint="eastAsia" w:ascii="宋体" w:hAnsi="宋体" w:eastAsia="宋体" w:cs="宋体"/>
          <w:b/>
          <w:color w:val="000000"/>
          <w:sz w:val="40"/>
          <w:szCs w:val="40"/>
        </w:rPr>
      </w:pPr>
      <w:r>
        <w:rPr>
          <w:rFonts w:hint="eastAsia" w:ascii="宋体" w:hAnsi="宋体" w:eastAsia="宋体" w:cs="宋体"/>
          <w:b/>
          <w:color w:val="000000"/>
          <w:sz w:val="40"/>
          <w:szCs w:val="40"/>
          <w:lang w:eastAsia="zh-CN"/>
        </w:rPr>
        <w:t xml:space="preserve">二〇二五</w:t>
      </w:r>
      <w:r>
        <w:rPr>
          <w:rFonts w:hint="eastAsia" w:ascii="宋体" w:hAnsi="宋体" w:eastAsia="宋体" w:cs="宋体"/>
          <w:b/>
          <w:color w:val="000000"/>
          <w:sz w:val="40"/>
          <w:szCs w:val="40"/>
        </w:rPr>
        <w:t xml:space="preserve">年</w:t>
      </w:r>
      <w:r>
        <w:rPr>
          <w:rFonts w:hint="eastAsia" w:ascii="宋体" w:hAnsi="宋体" w:eastAsia="宋体" w:cs="宋体"/>
          <w:b/>
          <w:color w:val="000000"/>
          <w:sz w:val="40"/>
          <w:szCs w:val="40"/>
          <w:lang w:val="en-US" w:eastAsia="zh-CN"/>
        </w:rPr>
        <w:t xml:space="preserve">十</w:t>
      </w:r>
      <w:r>
        <w:rPr>
          <w:rFonts w:hint="eastAsia" w:ascii="宋体" w:hAnsi="宋体" w:eastAsia="宋体" w:cs="宋体"/>
          <w:b/>
          <w:color w:val="000000"/>
          <w:sz w:val="40"/>
          <w:szCs w:val="40"/>
        </w:rPr>
        <w:t xml:space="preserve">月</w:t>
      </w:r>
      <w:r>
        <w:rPr>
          <w:rFonts w:hint="eastAsia" w:ascii="宋体" w:hAnsi="宋体" w:eastAsia="宋体" w:cs="宋体"/>
          <w:b/>
          <w:color w:val="000000"/>
          <w:sz w:val="40"/>
          <w:szCs w:val="40"/>
          <w:lang w:val="en-US" w:eastAsia="zh-CN"/>
        </w:rPr>
        <w:t xml:space="preserve">二十八</w:t>
      </w:r>
      <w:r>
        <w:rPr>
          <w:rFonts w:hint="eastAsia" w:ascii="宋体" w:hAnsi="宋体" w:eastAsia="宋体" w:cs="宋体"/>
          <w:b/>
          <w:color w:val="000000"/>
          <w:sz w:val="40"/>
          <w:szCs w:val="40"/>
        </w:rPr>
        <w:t xml:space="preserve">日</w:t>
      </w:r>
      <w:r/>
    </w:p>
    <w:p>
      <w:pPr>
        <w:rPr>
          <w:rStyle w:val="1188"/>
          <w:rFonts w:hint="eastAsia" w:ascii="宋体" w:hAnsi="宋体" w:eastAsia="宋体" w:cs="宋体"/>
          <w:sz w:val="48"/>
          <w:szCs w:val="48"/>
        </w:rPr>
      </w:pPr>
      <w:r>
        <w:rPr>
          <w:rFonts w:hint="eastAsia" w:ascii="宋体" w:hAnsi="宋体" w:eastAsia="宋体" w:cs="宋体"/>
          <w:sz w:val="48"/>
          <w:szCs w:val="48"/>
        </w:rPr>
      </w:r>
      <w:r/>
    </w:p>
    <w:p>
      <w:pPr>
        <w:rPr>
          <w:rStyle w:val="1188"/>
          <w:rFonts w:hint="eastAsia" w:ascii="宋体" w:hAnsi="宋体" w:eastAsia="宋体" w:cs="宋体"/>
          <w:sz w:val="48"/>
          <w:szCs w:val="48"/>
        </w:rPr>
      </w:pPr>
      <w:r>
        <w:rPr>
          <w:rFonts w:hint="eastAsia" w:ascii="宋体" w:hAnsi="宋体" w:eastAsia="宋体" w:cs="宋体"/>
          <w:sz w:val="48"/>
          <w:szCs w:val="48"/>
        </w:rPr>
      </w:r>
      <w:r/>
    </w:p>
    <w:p>
      <w:pPr>
        <w:jc w:val="center"/>
        <w:rPr>
          <w:rStyle w:val="1188"/>
          <w:rFonts w:hint="eastAsia" w:ascii="宋体" w:hAnsi="宋体" w:eastAsia="宋体" w:cs="宋体"/>
          <w:bCs/>
          <w:sz w:val="48"/>
        </w:rPr>
      </w:pPr>
      <w:r>
        <w:rPr>
          <w:rStyle w:val="1188"/>
          <w:rFonts w:hint="eastAsia" w:ascii="宋体" w:hAnsi="宋体" w:eastAsia="宋体" w:cs="宋体"/>
          <w:bCs/>
          <w:sz w:val="48"/>
        </w:rPr>
        <w:t xml:space="preserve"> </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52"/>
          <w:szCs w:val="52"/>
        </w:rPr>
        <w:t xml:space="preserve">目    录</w:t>
      </w:r>
      <w:r/>
    </w:p>
    <w:p>
      <w:pPr>
        <w:pStyle w:val="1146"/>
        <w:rPr>
          <w:rFonts w:hint="eastAsia" w:ascii="宋体" w:hAnsi="宋体" w:eastAsia="宋体" w:cs="宋体"/>
          <w:color w:val="000000"/>
        </w:rPr>
      </w:pPr>
      <w:r>
        <w:rPr>
          <w:rFonts w:hint="eastAsia" w:ascii="宋体" w:hAnsi="宋体" w:eastAsia="宋体" w:cs="宋体"/>
          <w:color w:val="000000"/>
        </w:rPr>
      </w:r>
      <w:r/>
    </w:p>
    <w:p>
      <w:pPr>
        <w:pStyle w:val="1168"/>
        <w:jc w:val="both"/>
        <w:rPr>
          <w:rFonts w:ascii="宋体" w:hAnsi="宋体" w:cs="宋体"/>
          <w:bCs/>
          <w:color w:val="000000"/>
          <w:sz w:val="28"/>
          <w:szCs w:val="28"/>
        </w:rPr>
      </w:pPr>
      <w:r>
        <w:rPr>
          <w:rFonts w:hint="eastAsia" w:ascii="宋体" w:hAnsi="宋体" w:eastAsia="宋体" w:cs="宋体"/>
          <w:bCs/>
          <w:color w:val="000000"/>
          <w:sz w:val="28"/>
          <w:szCs w:val="28"/>
        </w:rPr>
        <w:t xml:space="preserve">一、投标邀请函..............</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................3</w:t>
      </w:r>
      <w:r/>
    </w:p>
    <w:p>
      <w:pPr>
        <w:pStyle w:val="1168"/>
        <w:rPr>
          <w:rFonts w:ascii="宋体" w:hAnsi="宋体" w:cs="宋体"/>
          <w:bCs/>
          <w:color w:val="000000"/>
          <w:sz w:val="28"/>
          <w:szCs w:val="28"/>
        </w:rPr>
      </w:pPr>
      <w:r>
        <w:rPr>
          <w:rFonts w:ascii="宋体" w:hAnsi="宋体" w:cs="宋体"/>
          <w:bCs/>
          <w:color w:val="000000"/>
          <w:sz w:val="28"/>
          <w:szCs w:val="28"/>
        </w:rPr>
      </w:r>
      <w:r/>
    </w:p>
    <w:p>
      <w:pPr>
        <w:pStyle w:val="1168"/>
        <w:jc w:val="both"/>
        <w:rPr>
          <w:rFonts w:ascii="宋体" w:hAnsi="宋体" w:cs="宋体"/>
          <w:bCs/>
          <w:color w:val="000000"/>
          <w:sz w:val="28"/>
          <w:szCs w:val="28"/>
        </w:rPr>
      </w:pPr>
      <w:r>
        <w:rPr>
          <w:rFonts w:hint="eastAsia" w:ascii="宋体" w:hAnsi="宋体" w:eastAsia="宋体" w:cs="宋体"/>
          <w:bCs/>
          <w:color w:val="000000"/>
          <w:sz w:val="28"/>
          <w:szCs w:val="28"/>
        </w:rPr>
        <w:t xml:space="preserve">二、供应商须知.....................</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...............6</w:t>
      </w:r>
      <w:r/>
    </w:p>
    <w:p>
      <w:pPr>
        <w:pStyle w:val="1168"/>
        <w:rPr>
          <w:rFonts w:ascii="宋体" w:hAnsi="宋体" w:cs="宋体"/>
          <w:bCs/>
          <w:color w:val="000000"/>
          <w:sz w:val="28"/>
          <w:szCs w:val="28"/>
        </w:rPr>
      </w:pPr>
      <w:r>
        <w:rPr>
          <w:rFonts w:ascii="宋体" w:hAnsi="宋体" w:cs="宋体"/>
          <w:bCs/>
          <w:color w:val="000000"/>
          <w:sz w:val="28"/>
          <w:szCs w:val="28"/>
        </w:rPr>
      </w:r>
      <w:r/>
    </w:p>
    <w:p>
      <w:pPr>
        <w:pStyle w:val="1168"/>
        <w:jc w:val="both"/>
        <w:rPr>
          <w:rFonts w:ascii="宋体" w:hAnsi="宋体" w:cs="宋体"/>
          <w:bCs/>
          <w:color w:val="000000"/>
          <w:sz w:val="28"/>
          <w:szCs w:val="28"/>
        </w:rPr>
      </w:pPr>
      <w:r>
        <w:rPr>
          <w:rFonts w:hint="eastAsia" w:ascii="宋体" w:hAnsi="宋体" w:eastAsia="宋体" w:cs="宋体"/>
          <w:bCs/>
          <w:color w:val="000000"/>
          <w:sz w:val="28"/>
          <w:szCs w:val="28"/>
        </w:rPr>
        <w:t xml:space="preserve">三、项目要求和有关说明...............</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..............19</w:t>
      </w:r>
      <w:r/>
    </w:p>
    <w:p>
      <w:pPr>
        <w:pStyle w:val="1168"/>
        <w:rPr>
          <w:rFonts w:ascii="宋体" w:hAnsi="宋体" w:cs="宋体"/>
          <w:bCs/>
          <w:color w:val="000000"/>
          <w:sz w:val="28"/>
          <w:szCs w:val="28"/>
        </w:rPr>
      </w:pPr>
      <w:r>
        <w:rPr>
          <w:rFonts w:ascii="宋体" w:hAnsi="宋体" w:cs="宋体"/>
          <w:bCs/>
          <w:color w:val="000000"/>
          <w:sz w:val="28"/>
          <w:szCs w:val="28"/>
        </w:rPr>
      </w:r>
      <w:r/>
    </w:p>
    <w:p>
      <w:pPr>
        <w:pStyle w:val="1168"/>
        <w:jc w:val="both"/>
        <w:rPr>
          <w:rFonts w:hint="default" w:ascii="宋体" w:hAnsi="宋体" w:eastAsia="宋体" w:cs="宋体"/>
          <w:bCs/>
          <w:color w:val="000000"/>
          <w:sz w:val="28"/>
          <w:szCs w:val="28"/>
          <w:lang w:val="en-US" w:eastAsia="zh-CN"/>
        </w:rPr>
      </w:pPr>
      <w:r>
        <w:rPr>
          <w:rFonts w:hint="eastAsia" w:ascii="宋体" w:hAnsi="宋体" w:eastAsia="宋体" w:cs="宋体"/>
          <w:bCs/>
          <w:color w:val="000000"/>
          <w:sz w:val="28"/>
          <w:szCs w:val="28"/>
        </w:rPr>
        <w:t xml:space="preserve">四、合同书（格式）.....................</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151</w:t>
      </w:r>
      <w:r/>
    </w:p>
    <w:p>
      <w:pPr>
        <w:pStyle w:val="1168"/>
        <w:rPr>
          <w:rFonts w:ascii="宋体" w:hAnsi="宋体" w:cs="宋体"/>
          <w:bCs/>
          <w:color w:val="000000"/>
          <w:sz w:val="28"/>
          <w:szCs w:val="28"/>
        </w:rPr>
      </w:pPr>
      <w:r>
        <w:rPr>
          <w:rFonts w:ascii="宋体" w:hAnsi="宋体" w:cs="宋体"/>
          <w:bCs/>
          <w:color w:val="000000"/>
          <w:sz w:val="28"/>
          <w:szCs w:val="28"/>
        </w:rPr>
      </w:r>
      <w:r/>
    </w:p>
    <w:p>
      <w:pPr>
        <w:pStyle w:val="1168"/>
        <w:jc w:val="both"/>
        <w:rPr>
          <w:rFonts w:hint="default" w:ascii="宋体" w:hAnsi="宋体" w:eastAsia="宋体" w:cs="宋体"/>
          <w:bCs/>
          <w:color w:val="000000"/>
          <w:sz w:val="28"/>
          <w:szCs w:val="28"/>
          <w:lang w:val="en-US" w:eastAsia="zh-CN"/>
        </w:rPr>
      </w:pPr>
      <w:r>
        <w:rPr>
          <w:rFonts w:hint="eastAsia" w:ascii="宋体" w:hAnsi="宋体" w:eastAsia="宋体" w:cs="宋体"/>
          <w:bCs/>
          <w:color w:val="000000"/>
          <w:sz w:val="28"/>
          <w:szCs w:val="28"/>
        </w:rPr>
        <w:t xml:space="preserve">五、合同条款............................</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155</w:t>
      </w:r>
      <w:r/>
    </w:p>
    <w:p>
      <w:pPr>
        <w:pStyle w:val="1168"/>
        <w:rPr>
          <w:rFonts w:ascii="宋体" w:hAnsi="宋体" w:cs="宋体"/>
          <w:bCs/>
          <w:color w:val="000000"/>
          <w:sz w:val="28"/>
          <w:szCs w:val="28"/>
        </w:rPr>
      </w:pPr>
      <w:r>
        <w:rPr>
          <w:rFonts w:ascii="宋体" w:hAnsi="宋体" w:cs="宋体"/>
          <w:bCs/>
          <w:color w:val="000000"/>
          <w:sz w:val="28"/>
          <w:szCs w:val="28"/>
        </w:rPr>
      </w:r>
      <w:r/>
    </w:p>
    <w:p>
      <w:pPr>
        <w:pStyle w:val="1168"/>
        <w:jc w:val="both"/>
        <w:rPr>
          <w:rFonts w:hint="default" w:ascii="宋体" w:hAnsi="宋体" w:eastAsia="宋体" w:cs="宋体"/>
          <w:bCs/>
          <w:color w:val="000000"/>
          <w:sz w:val="28"/>
          <w:szCs w:val="28"/>
          <w:lang w:val="en-US" w:eastAsia="zh-CN"/>
        </w:rPr>
      </w:pPr>
      <w:r>
        <w:rPr>
          <w:rFonts w:hint="eastAsia" w:ascii="宋体" w:hAnsi="宋体" w:eastAsia="宋体" w:cs="宋体"/>
          <w:bCs/>
          <w:color w:val="000000"/>
          <w:sz w:val="28"/>
          <w:szCs w:val="28"/>
        </w:rPr>
        <w:t xml:space="preserve">六、附件.................................</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167</w:t>
      </w:r>
      <w:r/>
    </w:p>
    <w:p>
      <w:pPr>
        <w:pStyle w:val="1168"/>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168"/>
        <w:rPr>
          <w:rFonts w:hint="eastAsia" w:ascii="宋体" w:hAnsi="宋体" w:eastAsia="宋体" w:cs="宋体"/>
          <w:color w:val="000000"/>
        </w:rPr>
      </w:pPr>
      <w:r>
        <w:rPr>
          <w:rFonts w:hint="eastAsia" w:ascii="宋体" w:hAnsi="宋体" w:eastAsia="宋体" w:cs="宋体"/>
          <w:color w:val="000000"/>
        </w:rPr>
      </w:r>
      <w:r/>
    </w:p>
    <w:p>
      <w:pPr>
        <w:pStyle w:val="1168"/>
        <w:rPr>
          <w:rFonts w:hint="eastAsia" w:ascii="宋体" w:hAnsi="宋体" w:eastAsia="宋体" w:cs="宋体"/>
          <w:color w:val="000000"/>
        </w:rPr>
      </w:pPr>
      <w:r>
        <w:rPr>
          <w:rFonts w:hint="eastAsia" w:ascii="宋体" w:hAnsi="宋体" w:eastAsia="宋体" w:cs="宋体"/>
          <w:color w:val="000000"/>
        </w:rPr>
      </w:r>
      <w:r/>
    </w:p>
    <w:p>
      <w:pPr>
        <w:pStyle w:val="1168"/>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 </w:t>
      </w:r>
      <w:r/>
    </w:p>
    <w:p>
      <w:pPr>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920"/>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920"/>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920"/>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920"/>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920"/>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920"/>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920"/>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1168"/>
        <w:rPr>
          <w:rFonts w:hint="eastAsia" w:ascii="宋体" w:hAnsi="宋体" w:eastAsia="宋体" w:cs="宋体"/>
          <w:color w:val="000000"/>
        </w:rPr>
      </w:pPr>
      <w:r>
        <w:rPr>
          <w:rFonts w:hint="eastAsia" w:ascii="宋体" w:hAnsi="宋体" w:eastAsia="宋体" w:cs="宋体"/>
          <w:color w:val="000000"/>
        </w:rPr>
      </w:r>
      <w:r/>
    </w:p>
    <w:p>
      <w:pPr>
        <w:pStyle w:val="1168"/>
        <w:rPr>
          <w:rFonts w:hint="eastAsia" w:ascii="宋体" w:hAnsi="宋体" w:eastAsia="宋体" w:cs="宋体"/>
          <w:color w:val="000000"/>
        </w:rPr>
      </w:pPr>
      <w:r>
        <w:rPr>
          <w:rFonts w:hint="eastAsia" w:ascii="宋体" w:hAnsi="宋体" w:eastAsia="宋体" w:cs="宋体"/>
          <w:color w:val="000000"/>
        </w:rPr>
      </w:r>
      <w:r/>
    </w:p>
    <w:p>
      <w:pPr>
        <w:pStyle w:val="1168"/>
        <w:rPr>
          <w:rFonts w:hint="eastAsia" w:ascii="宋体" w:hAnsi="宋体" w:eastAsia="宋体" w:cs="宋体"/>
          <w:color w:val="000000"/>
        </w:rPr>
      </w:pPr>
      <w:r>
        <w:rPr>
          <w:rFonts w:hint="eastAsia" w:ascii="宋体" w:hAnsi="宋体" w:eastAsia="宋体" w:cs="宋体"/>
          <w:color w:val="000000"/>
        </w:rPr>
      </w:r>
      <w:r/>
    </w:p>
    <w:p>
      <w:pPr>
        <w:pStyle w:val="1195"/>
        <w:rPr>
          <w:rStyle w:val="1194"/>
          <w:rFonts w:hint="eastAsia" w:ascii="宋体" w:hAnsi="宋体" w:eastAsia="宋体" w:cs="宋体"/>
          <w:b/>
          <w:bCs/>
          <w:smallCaps/>
          <w:color w:val="000000"/>
          <w:sz w:val="24"/>
          <w:szCs w:val="24"/>
        </w:rPr>
      </w:pPr>
      <w:r>
        <w:rPr>
          <w:rFonts w:hint="eastAsia" w:ascii="宋体" w:hAnsi="宋体" w:eastAsia="宋体" w:cs="宋体"/>
          <w:b/>
          <w:bCs/>
          <w:smallCaps/>
          <w:color w:val="000000"/>
          <w:sz w:val="24"/>
          <w:szCs w:val="24"/>
        </w:rPr>
      </w:r>
      <w:r/>
    </w:p>
    <w:p>
      <w:pPr>
        <w:numPr>
          <w:ilvl w:val="0"/>
          <w:numId w:val="3"/>
        </w:numPr>
        <w:jc w:val="center"/>
        <w:spacing w:line="360" w:lineRule="auto"/>
        <w:rPr>
          <w:rFonts w:hint="eastAsia" w:ascii="宋体" w:hAnsi="宋体" w:eastAsia="宋体" w:cs="宋体"/>
          <w:bCs/>
          <w:color w:val="000000"/>
          <w:sz w:val="36"/>
          <w:szCs w:val="36"/>
        </w:rPr>
      </w:pPr>
      <w:r>
        <w:rPr>
          <w:rFonts w:hint="eastAsia" w:ascii="宋体" w:hAnsi="宋体" w:eastAsia="宋体" w:cs="宋体"/>
          <w:bCs/>
          <w:color w:val="000000"/>
          <w:sz w:val="36"/>
          <w:szCs w:val="36"/>
        </w:rPr>
        <w:t xml:space="preserve">投标邀请函</w:t>
      </w:r>
      <w:r/>
    </w:p>
    <w:p>
      <w:pPr>
        <w:ind w:firstLine="480"/>
        <w:jc w:val="left"/>
        <w:spacing w:line="360" w:lineRule="auto"/>
        <w:shd w:val="clear" w:color="auto" w:fill="ffffff"/>
        <w:widowControl/>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无锡市公共资源交易中心锡山分中心受</w:t>
      </w:r>
      <w:r>
        <w:rPr>
          <w:rFonts w:hint="eastAsia" w:ascii="宋体" w:hAnsi="宋体" w:eastAsia="宋体" w:cs="宋体"/>
          <w:bCs/>
          <w:color w:val="000000"/>
          <w:sz w:val="24"/>
          <w:szCs w:val="24"/>
          <w:lang w:eastAsia="zh-CN"/>
        </w:rPr>
        <w:t xml:space="preserve">江苏省怀仁中学</w:t>
      </w:r>
      <w:r>
        <w:rPr>
          <w:rFonts w:hint="eastAsia" w:ascii="宋体" w:hAnsi="宋体" w:eastAsia="宋体" w:cs="宋体"/>
          <w:bCs/>
          <w:color w:val="000000"/>
          <w:sz w:val="24"/>
          <w:szCs w:val="24"/>
          <w:lang w:val="en-US" w:eastAsia="zh-CN"/>
        </w:rPr>
        <w:t xml:space="preserve">的</w:t>
      </w:r>
      <w:r>
        <w:rPr>
          <w:rFonts w:hint="eastAsia" w:ascii="宋体" w:hAnsi="宋体" w:eastAsia="宋体" w:cs="宋体"/>
          <w:bCs/>
          <w:color w:val="000000"/>
          <w:sz w:val="24"/>
          <w:szCs w:val="24"/>
        </w:rPr>
        <w:t xml:space="preserve">委托，对</w:t>
      </w:r>
      <w:r>
        <w:rPr>
          <w:rFonts w:hint="eastAsia" w:ascii="宋体" w:hAnsi="宋体" w:eastAsia="宋体" w:cs="宋体"/>
          <w:bCs/>
          <w:color w:val="000000"/>
          <w:sz w:val="24"/>
          <w:szCs w:val="24"/>
          <w:lang w:eastAsia="zh-CN"/>
        </w:rPr>
        <w:t xml:space="preserve">江苏省怀仁中学实验室设备购置项目</w:t>
      </w:r>
      <w:r>
        <w:rPr>
          <w:rFonts w:hint="eastAsia" w:ascii="宋体" w:hAnsi="宋体" w:eastAsia="宋体" w:cs="宋体"/>
          <w:bCs/>
          <w:color w:val="000000"/>
          <w:sz w:val="24"/>
          <w:szCs w:val="24"/>
        </w:rPr>
        <w:t xml:space="preserve">进行公开招标采购，欢迎符合相关条件的供应商参加投标并提请注意下列相关事项</w:t>
      </w:r>
      <w:r>
        <w:rPr>
          <w:rFonts w:hint="eastAsia" w:ascii="宋体" w:hAnsi="宋体" w:eastAsia="宋体" w:cs="宋体"/>
          <w:bCs/>
          <w:color w:val="000000"/>
          <w:sz w:val="24"/>
          <w:szCs w:val="24"/>
          <w:lang w:eastAsia="zh-CN"/>
        </w:rPr>
        <w:t xml:space="preserve">：</w:t>
      </w:r>
      <w:r/>
    </w:p>
    <w:p>
      <w:pPr>
        <w:ind w:firstLine="480"/>
        <w:jc w:val="left"/>
        <w:spacing w:line="360" w:lineRule="auto"/>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w:t>
      </w:r>
      <w:r>
        <w:rPr>
          <w:rFonts w:hint="eastAsia" w:ascii="宋体" w:hAnsi="宋体" w:eastAsia="宋体" w:cs="宋体"/>
          <w:color w:val="000000"/>
          <w:sz w:val="24"/>
          <w:szCs w:val="24"/>
        </w:rPr>
        <w:t xml:space="preserve">招标项目信息</w:t>
      </w:r>
      <w:r/>
    </w:p>
    <w:p>
      <w:pPr>
        <w:ind w:left="1919" w:hanging="1440"/>
        <w:jc w:val="left"/>
        <w:spacing w:line="360" w:lineRule="auto"/>
        <w:shd w:val="clear" w:color="auto" w:fill="ffffff"/>
        <w:widowControl/>
        <w:rPr>
          <w:rFonts w:hint="eastAsia" w:ascii="宋体" w:hAnsi="宋体" w:eastAsia="宋体" w:cs="宋体"/>
          <w:bCs/>
          <w:color w:val="auto"/>
          <w:sz w:val="24"/>
          <w:szCs w:val="24"/>
          <w:highlight w:val="none"/>
          <w:lang w:eastAsia="zh-CN"/>
        </w:rPr>
      </w:pPr>
      <w:r>
        <w:rPr>
          <w:rFonts w:hint="eastAsia" w:ascii="宋体" w:hAnsi="宋体" w:eastAsia="宋体" w:cs="宋体"/>
          <w:color w:val="000000"/>
          <w:sz w:val="24"/>
          <w:szCs w:val="24"/>
        </w:rPr>
        <w:t xml:space="preserve">1.项目名称：</w:t>
      </w:r>
      <w:r>
        <w:rPr>
          <w:rFonts w:hint="eastAsia" w:ascii="宋体" w:hAnsi="宋体" w:eastAsia="宋体" w:cs="宋体"/>
          <w:bCs/>
          <w:color w:val="000000"/>
          <w:sz w:val="24"/>
          <w:szCs w:val="24"/>
          <w:lang w:eastAsia="zh-CN"/>
        </w:rPr>
        <w:t xml:space="preserve">江苏省怀仁中学实验室设备购置</w:t>
      </w:r>
      <w:r>
        <w:rPr>
          <w:rFonts w:hint="eastAsia" w:ascii="宋体" w:hAnsi="宋体" w:eastAsia="宋体" w:cs="宋体"/>
          <w:bCs/>
          <w:color w:val="000000"/>
          <w:sz w:val="24"/>
          <w:szCs w:val="24"/>
        </w:rPr>
        <w:t xml:space="preserve">项目</w:t>
      </w:r>
      <w:r/>
    </w:p>
    <w:p>
      <w:pPr>
        <w:ind w:firstLine="480"/>
        <w:jc w:val="left"/>
        <w:spacing w:line="360" w:lineRule="auto"/>
        <w:shd w:val="clear" w:color="auto" w:fill="ffffff"/>
        <w:widowControl/>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rPr>
        <w:t xml:space="preserve">2.项目编号：</w:t>
      </w:r>
      <w:r>
        <w:rPr>
          <w:rFonts w:hint="eastAsia" w:ascii="宋体" w:hAnsi="宋体" w:eastAsia="宋体" w:cs="宋体"/>
          <w:bCs/>
          <w:color w:val="000000"/>
          <w:sz w:val="24"/>
          <w:szCs w:val="24"/>
          <w:lang w:eastAsia="zh-CN"/>
        </w:rPr>
        <w:t xml:space="preserve">JSZC-320205-JZCG-G2025-0083</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3.项目预算：</w:t>
      </w:r>
      <w:r>
        <w:rPr>
          <w:rFonts w:hint="eastAsia" w:ascii="宋体" w:hAnsi="宋体" w:eastAsia="宋体" w:cs="宋体"/>
          <w:color w:val="000000"/>
          <w:sz w:val="24"/>
          <w:szCs w:val="24"/>
          <w:highlight w:val="none"/>
          <w:lang w:val="en-US" w:eastAsia="zh-CN"/>
        </w:rPr>
        <w:t xml:space="preserve">359.5172万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投标最高限价为359.5172万元，</w:t>
      </w:r>
      <w:r>
        <w:rPr>
          <w:rFonts w:hint="eastAsia" w:ascii="宋体" w:hAnsi="宋体" w:eastAsia="宋体" w:cs="宋体"/>
          <w:bCs/>
          <w:color w:val="000000"/>
          <w:sz w:val="24"/>
          <w:szCs w:val="24"/>
          <w:highlight w:val="none"/>
        </w:rPr>
        <w:t xml:space="preserve">投标报价不得超过</w:t>
      </w:r>
      <w:r>
        <w:rPr>
          <w:rFonts w:hint="eastAsia" w:ascii="宋体" w:hAnsi="宋体" w:eastAsia="宋体" w:cs="宋体"/>
          <w:bCs/>
          <w:color w:val="000000"/>
          <w:sz w:val="24"/>
          <w:szCs w:val="24"/>
          <w:highlight w:val="none"/>
          <w:lang w:val="en-US" w:eastAsia="zh-CN"/>
        </w:rPr>
        <w:t xml:space="preserve">最高限</w:t>
      </w:r>
      <w:r>
        <w:rPr>
          <w:rFonts w:hint="eastAsia" w:ascii="宋体" w:hAnsi="宋体" w:eastAsia="宋体" w:cs="宋体"/>
          <w:bCs/>
          <w:color w:val="000000"/>
          <w:sz w:val="24"/>
          <w:szCs w:val="24"/>
          <w:highlight w:val="none"/>
        </w:rPr>
        <w:t xml:space="preserve">价，否则作无效响应文件处理</w:t>
      </w:r>
      <w:r>
        <w:rPr>
          <w:rFonts w:hint="eastAsia" w:ascii="宋体" w:hAnsi="宋体" w:eastAsia="宋体" w:cs="宋体"/>
          <w:bCs/>
          <w:color w:val="000000"/>
          <w:sz w:val="24"/>
          <w:szCs w:val="24"/>
          <w:highlight w:val="none"/>
          <w:lang w:eastAsia="zh-CN"/>
        </w:rPr>
        <w:t xml:space="preserve">。</w:t>
      </w:r>
      <w:r/>
    </w:p>
    <w:p>
      <w:pPr>
        <w:numPr>
          <w:ilvl w:val="0"/>
          <w:numId w:val="0"/>
        </w:numPr>
        <w:ind w:firstLine="480"/>
        <w:spacing w:line="360" w:lineRule="auto"/>
        <w:tabs>
          <w:tab w:val="left" w:pos="-200" w:leader="none"/>
          <w:tab w:val="left" w:pos="525" w:leader="none"/>
          <w:tab w:val="left" w:pos="630" w:leader="none"/>
          <w:tab w:val="left" w:pos="735" w:leader="none"/>
          <w:tab w:val="left" w:pos="94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4.合同履约期限：</w:t>
      </w:r>
      <w:r>
        <w:rPr>
          <w:rFonts w:hint="eastAsia" w:ascii="宋体" w:hAnsi="宋体" w:eastAsia="宋体" w:cs="宋体"/>
          <w:color w:val="000000"/>
          <w:sz w:val="24"/>
          <w:szCs w:val="24"/>
          <w:highlight w:val="none"/>
          <w:lang w:val="en-US" w:eastAsia="zh-CN"/>
        </w:rPr>
        <w:t xml:space="preserve">合同签订后30日历天内到货并安装完毕交付使用。</w:t>
      </w:r>
      <w:r/>
    </w:p>
    <w:p>
      <w:pPr>
        <w:contextualSpacing/>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highlight w:val="none"/>
        </w:rPr>
        <w:t xml:space="preserve">项目整体免费质保期：自验收合格之日起3年</w:t>
      </w:r>
      <w:r>
        <w:rPr>
          <w:rFonts w:hint="eastAsia" w:ascii="宋体" w:hAnsi="宋体" w:eastAsia="宋体" w:cs="宋体"/>
          <w:color w:val="000000"/>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6.采购方式：公开招标</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7.采购人：</w:t>
      </w:r>
      <w:r>
        <w:rPr>
          <w:rFonts w:hint="eastAsia" w:ascii="宋体" w:hAnsi="宋体" w:eastAsia="宋体" w:cs="宋体"/>
          <w:bCs/>
          <w:color w:val="000000"/>
          <w:sz w:val="24"/>
          <w:szCs w:val="24"/>
          <w:lang w:eastAsia="zh-CN"/>
        </w:rPr>
        <w:t xml:space="preserve">江苏省怀仁中学</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8.本项目标的所属行业：工业（制造业）。</w:t>
      </w:r>
      <w:r/>
    </w:p>
    <w:p>
      <w:pPr>
        <w:ind w:firstLine="480"/>
        <w:jc w:val="left"/>
        <w:spacing w:line="360" w:lineRule="auto"/>
        <w:shd w:val="clear" w:color="auto" w:fill="ffffff"/>
        <w:widowControl/>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9.</w:t>
      </w:r>
      <w:r>
        <w:rPr>
          <w:rFonts w:hint="eastAsia" w:ascii="宋体" w:hAnsi="宋体" w:eastAsia="宋体" w:cs="宋体"/>
          <w:color w:val="000000" w:themeColor="text1"/>
          <w:sz w:val="24"/>
          <w:szCs w:val="24"/>
          <w14:textFill>
            <w14:solidFill>
              <w14:schemeClr w14:val="tx1"/>
            </w14:solidFill>
          </w14:textFill>
        </w:rPr>
        <w:t xml:space="preserve">本项目是否专门面向中小企业：</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是</w:t>
      </w:r>
      <w:r/>
    </w:p>
    <w:p>
      <w:pPr>
        <w:ind w:firstLine="480"/>
        <w:jc w:val="left"/>
        <w:spacing w:line="360" w:lineRule="auto"/>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10.本项目</w:t>
      </w:r>
      <w:r>
        <w:rPr>
          <w:rFonts w:hint="eastAsia" w:ascii="宋体" w:hAnsi="宋体" w:eastAsia="宋体" w:cs="宋体"/>
          <w:b/>
          <w:color w:val="000000"/>
          <w:sz w:val="24"/>
          <w:szCs w:val="24"/>
        </w:rPr>
        <w:t xml:space="preserve">不接受</w:t>
      </w:r>
      <w:r>
        <w:rPr>
          <w:rFonts w:hint="eastAsia" w:ascii="宋体" w:hAnsi="宋体" w:eastAsia="宋体" w:cs="宋体"/>
          <w:bCs/>
          <w:color w:val="000000"/>
          <w:sz w:val="24"/>
          <w:szCs w:val="24"/>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（二）供应商资格要求</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2.未被“信用中国”网站（www.creditchina.gov.cn）列入失信被执行人、重大税收违法案件当事人名单、政府采购严重违法失信行为记录名单；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3.落实政府采购政策需满足的资格要求：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供应商为中型企业/小型企业/微型企业（监狱企业/残疾人福利性单位视同小微企业）；</w:t>
      </w:r>
      <w:r/>
    </w:p>
    <w:p>
      <w:pPr>
        <w:ind w:firstLine="480"/>
        <w:jc w:val="left"/>
        <w:spacing w:line="360" w:lineRule="auto"/>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4.本项目的特定资格要求：</w:t>
      </w:r>
      <w:r>
        <w:rPr>
          <w:rFonts w:hint="eastAsia" w:ascii="宋体" w:hAnsi="宋体" w:eastAsia="宋体" w:cs="宋体"/>
          <w:color w:val="000000"/>
          <w:sz w:val="24"/>
          <w:szCs w:val="24"/>
          <w:lang w:val="en-US" w:eastAsia="zh-CN"/>
        </w:rPr>
        <w:t xml:space="preserve">无</w:t>
      </w:r>
      <w:r/>
    </w:p>
    <w:p>
      <w:pPr>
        <w:ind w:firstLine="482"/>
        <w:jc w:val="left"/>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（三）供应商主体信息库注册</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1.请有意参加本项目投标的供应商按以下流程进行操作：</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（1）访问“无锡政府采购网”点击“江苏省政府采购（苏采云）平台”—“用户注册”按钮进入注册界面，也可以直接通过http://jszfcg.jsczt.cn/jszc/login</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进入注册界面。</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（2）办理并领取CA和电子签章（办理地址：</w:t>
      </w:r>
      <w:r>
        <w:rPr>
          <w:rFonts w:hint="eastAsia" w:ascii="宋体" w:hAnsi="宋体" w:eastAsia="宋体" w:cs="宋体"/>
          <w:color w:val="000000"/>
          <w:sz w:val="24"/>
        </w:rPr>
        <w:t xml:space="preserve">无锡市观山路市民中心12号楼2楼公共资源交易大厅9号10号窗口</w:t>
      </w:r>
      <w:r>
        <w:rPr>
          <w:rFonts w:hint="eastAsia" w:ascii="宋体" w:hAnsi="宋体" w:eastAsia="宋体" w:cs="宋体"/>
          <w:bCs/>
          <w:color w:val="000000"/>
          <w:sz w:val="24"/>
          <w:szCs w:val="24"/>
        </w:rPr>
        <w:t xml:space="preserve">）。</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（3）“苏采云”系统供应商操作手册链接：</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 完成注册的供应商方可绑定CA，并使用CA登录苏采云平台，参</w:t>
      </w:r>
      <w:r>
        <w:rPr>
          <w:rFonts w:hint="eastAsia" w:ascii="宋体" w:hAnsi="宋体" w:eastAsia="宋体" w:cs="宋体"/>
          <w:color w:val="000000"/>
          <w:sz w:val="24"/>
          <w:szCs w:val="24"/>
        </w:rPr>
        <w:t xml:space="preserve">与项目，上传投标文件，进行投标。</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3.如供应商未按上述要求操作，由此所产生的损失及风险由供应商自行承担。</w:t>
      </w:r>
      <w:r/>
    </w:p>
    <w:p>
      <w:pPr>
        <w:ind w:firstLine="482"/>
        <w:jc w:val="left"/>
        <w:spacing w:line="360" w:lineRule="auto"/>
        <w:shd w:val="clear" w:color="auto" w:fill="ffffff"/>
        <w:widowControl/>
        <w:rPr>
          <w:rFonts w:hint="eastAsia" w:ascii="宋体" w:hAnsi="宋体" w:eastAsia="宋体" w:cs="宋体"/>
          <w:color w:val="000000"/>
          <w:sz w:val="24"/>
          <w:szCs w:val="24"/>
        </w:rPr>
      </w:pPr>
      <w:r/>
      <w:bookmarkStart w:id="0" w:name="_Toc112006902"/>
      <w:r>
        <w:rPr>
          <w:rFonts w:hint="eastAsia" w:ascii="宋体" w:hAnsi="宋体" w:eastAsia="宋体" w:cs="宋体"/>
          <w:b/>
          <w:bCs/>
          <w:color w:val="000000"/>
          <w:sz w:val="24"/>
          <w:szCs w:val="24"/>
        </w:rPr>
        <w:t xml:space="preserve">（四）获取采购文件</w:t>
      </w:r>
      <w:bookmarkEnd w:id="0"/>
      <w:r/>
      <w:r/>
    </w:p>
    <w:p>
      <w:pPr>
        <w:ind w:firstLine="720"/>
        <w:spacing w:line="360" w:lineRule="auto"/>
        <w:rPr>
          <w:rFonts w:hint="eastAsia" w:ascii="宋体" w:hAnsi="宋体" w:eastAsia="宋体" w:cs="宋体"/>
          <w:color w:val="000000" w:themeColor="text1"/>
          <w:sz w:val="24"/>
          <w:szCs w:val="24"/>
          <w14:textFill>
            <w14:solidFill>
              <w14:schemeClr w14:val="tx1"/>
            </w14:solidFill>
          </w14:textFill>
        </w:rPr>
      </w:pPr>
      <w:r/>
      <w:bookmarkStart w:id="1" w:name="_Toc112006903"/>
      <w:r>
        <w:rPr>
          <w:rFonts w:hint="eastAsia" w:ascii="宋体" w:hAnsi="宋体" w:eastAsia="宋体" w:cs="宋体"/>
          <w:color w:val="000000" w:themeColor="text1"/>
          <w:sz w:val="24"/>
          <w:szCs w:val="24"/>
          <w14:textFill>
            <w14:solidFill>
              <w14:schemeClr w14:val="tx1"/>
            </w14:solidFill>
          </w14:textFill>
        </w:rPr>
        <w:t xml:space="preserve">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（五）公开答疑时间、地点</w:t>
      </w:r>
      <w:bookmarkEnd w:id="1"/>
      <w:r/>
      <w:r/>
    </w:p>
    <w:p>
      <w:pPr>
        <w:ind w:firstLine="720"/>
        <w:spacing w:line="360" w:lineRule="auto"/>
        <w:rPr>
          <w:rFonts w:hint="eastAsia" w:ascii="宋体" w:hAnsi="宋体" w:eastAsia="宋体" w:cs="宋体"/>
          <w:sz w:val="24"/>
          <w:szCs w:val="24"/>
        </w:rPr>
      </w:pPr>
      <w:r>
        <w:fldChar w:fldCharType="begin"/>
      </w:r>
      <w: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fldChar w:fldCharType="separate"/>
      </w:r>
      <w:r>
        <w:rPr>
          <w:rFonts w:hint="eastAsia" w:ascii="宋体" w:hAnsi="宋体" w:eastAsia="宋体" w:cs="宋体"/>
          <w:sz w:val="24"/>
          <w:szCs w:val="24"/>
        </w:rPr>
        <w:t xml:space="preserve">采购人、无锡市公共资源交易中心锡山分中心将以电话咨询、发邮件（xszfcgzx@163.com）等方式开展线上不见面答疑服务。截止至</w:t>
      </w:r>
      <w:r>
        <w:rPr>
          <w:rFonts w:hint="eastAsia" w:ascii="宋体" w:hAnsi="宋体" w:eastAsia="宋体" w:cs="宋体"/>
          <w:color w:val="000000" w:themeColor="text1"/>
          <w:sz w:val="24"/>
          <w:szCs w:val="24"/>
          <w:highlight w:val="white"/>
          <w14:textFill>
            <w14:solidFill>
              <w14:schemeClr w14:val="tx1"/>
            </w14:solidFill>
          </w14:textFill>
        </w:rPr>
        <w:t xml:space="preserve">202</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white"/>
          <w14:textFill>
            <w14:solidFill>
              <w14:schemeClr w14:val="tx1"/>
            </w14:solidFill>
          </w14:textFill>
        </w:rPr>
        <w:t xml:space="preserve">年</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white"/>
          <w14:textFill>
            <w14:solidFill>
              <w14:schemeClr w14:val="tx1"/>
            </w14:solidFill>
          </w14:textFill>
        </w:rPr>
        <w:t xml:space="preserve">月</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white"/>
          <w14:textFill>
            <w14:solidFill>
              <w14:schemeClr w14:val="tx1"/>
            </w14:solidFill>
          </w14:textFill>
        </w:rPr>
        <w:t xml:space="preserve">日10:00</w:t>
      </w:r>
      <w:r>
        <w:rPr>
          <w:rFonts w:hint="eastAsia" w:ascii="宋体" w:hAnsi="宋体" w:eastAsia="宋体" w:cs="宋体"/>
          <w:color w:val="000000" w:themeColor="text1"/>
          <w:sz w:val="24"/>
          <w:szCs w:val="24"/>
          <w14:textFill>
            <w14:solidFill>
              <w14:schemeClr w14:val="tx1"/>
            </w14:solidFill>
          </w14:textFill>
        </w:rPr>
        <w:t xml:space="preserve">前，有关单位对于招标文件的相关事项如有疑问可通过上</w:t>
      </w:r>
      <w:r>
        <w:rPr>
          <w:rFonts w:hint="eastAsia" w:ascii="宋体" w:hAnsi="宋体" w:eastAsia="宋体" w:cs="宋体"/>
          <w:sz w:val="24"/>
          <w:szCs w:val="24"/>
        </w:rPr>
        <w:t xml:space="preserve">述方式咨询；供应商如有需要对招标文件要求澄清的问题，请以书面形式（必须加盖供应商公章，也请务必留下联系方式，以便回复）提出“</w:t>
      </w:r>
      <w:r>
        <w:rPr>
          <w:rFonts w:hint="eastAsia" w:ascii="宋体" w:hAnsi="宋体" w:eastAsia="宋体" w:cs="宋体"/>
          <w:sz w:val="24"/>
          <w:szCs w:val="24"/>
        </w:rPr>
        <w:fldChar w:fldCharType="end"/>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JSZC-320205-JZCG-G2025-0083</w:t>
      </w:r>
      <w:r>
        <w:rPr>
          <w:rFonts w:hint="eastAsia" w:ascii="宋体" w:hAnsi="宋体" w:eastAsia="宋体" w:cs="宋体"/>
          <w:sz w:val="24"/>
          <w:szCs w:val="24"/>
        </w:rPr>
        <w:t xml:space="preserve">项目需澄清问题”， </w:t>
      </w:r>
      <w:r>
        <w:fldChar w:fldCharType="begin"/>
      </w:r>
      <w:r>
        <w:instrText xml:space="preserve"> HYPERLINK "mailto:并于答疑截止时间前邮箱（xszfcgzx@163.com）给项目联系人。若未在法定时间内提出澄清，由此造成的损失及风险由投标人自行承担。" </w:instrText>
      </w:r>
      <w:r>
        <w:fldChar w:fldCharType="separate"/>
      </w:r>
      <w:r>
        <w:rPr>
          <w:rFonts w:hint="eastAsia" w:ascii="宋体" w:hAnsi="宋体" w:eastAsia="宋体" w:cs="宋体"/>
          <w:sz w:val="24"/>
          <w:szCs w:val="24"/>
        </w:rPr>
        <w:t xml:space="preserve">并于答疑截止时间前发邮件（xszfcgzx@163.com）给项目联系人。若未在法定时间内提出澄清，由此造成的损失及风险由供应商自行承担。</w:t>
      </w:r>
      <w:r>
        <w:rPr>
          <w:rFonts w:hint="eastAsia" w:ascii="宋体" w:hAnsi="宋体" w:eastAsia="宋体" w:cs="宋体"/>
          <w:sz w:val="24"/>
          <w:szCs w:val="24"/>
        </w:rPr>
        <w:fldChar w:fldCharType="end"/>
      </w:r>
      <w:r/>
    </w:p>
    <w:p>
      <w:pPr>
        <w:ind w:firstLine="482"/>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（六）现场踏勘：</w:t>
      </w:r>
      <w:r>
        <w:rPr>
          <w:rFonts w:hint="eastAsia" w:ascii="宋体" w:hAnsi="宋体" w:eastAsia="宋体" w:cs="宋体"/>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sz w:val="24"/>
          <w:szCs w:val="24"/>
        </w:rPr>
      </w:pPr>
      <w:r/>
      <w:bookmarkStart w:id="2" w:name="_Toc112006904"/>
      <w:r>
        <w:rPr>
          <w:rFonts w:hint="eastAsia" w:ascii="宋体" w:hAnsi="宋体" w:eastAsia="宋体" w:cs="宋体"/>
          <w:b/>
          <w:bCs/>
          <w:sz w:val="24"/>
          <w:szCs w:val="24"/>
        </w:rPr>
        <w:t xml:space="preserve">（七）投标及开标、定标时间、地点：</w:t>
      </w:r>
      <w:bookmarkEnd w:id="2"/>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left="239" w:firstLine="307"/>
        <w:jc w:val="left"/>
        <w:spacing w:line="360" w:lineRule="auto"/>
        <w:shd w:val="clear" w:color="auto" w:fill="ffffff"/>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sz w:val="24"/>
          <w:szCs w:val="24"/>
        </w:rPr>
        <w:t xml:space="preserve">投标截止时间（网上投标截止时间苏采云投标客户端投标）</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202</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white"/>
          <w14:textFill>
            <w14:solidFill>
              <w14:schemeClr w14:val="tx1"/>
            </w14:solidFill>
          </w14:textFill>
        </w:rPr>
        <w:t xml:space="preserve">年</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white"/>
          <w14:textFill>
            <w14:solidFill>
              <w14:schemeClr w14:val="tx1"/>
            </w14:solidFill>
          </w14:textFill>
        </w:rPr>
        <w:t xml:space="preserve">月21</w:t>
      </w:r>
      <w:r>
        <w:rPr>
          <w:rFonts w:hint="eastAsia" w:ascii="宋体" w:hAnsi="宋体" w:eastAsia="宋体" w:cs="宋体"/>
          <w:color w:val="000000" w:themeColor="text1"/>
          <w:sz w:val="24"/>
          <w:szCs w:val="24"/>
          <w:highlight w:val="white"/>
          <w14:textFill>
            <w14:solidFill>
              <w14:schemeClr w14:val="tx1"/>
            </w14:solidFill>
          </w14:textFill>
        </w:rPr>
        <w:t xml:space="preserve">日</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white"/>
          <w14:textFill>
            <w14:solidFill>
              <w14:schemeClr w14:val="tx1"/>
            </w14:solidFill>
          </w14:textFill>
        </w:rPr>
        <w:t xml:space="preserve">:30，投标截止时间后的投标文件恕不接受。</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开标时间：202</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white"/>
          <w14:textFill>
            <w14:solidFill>
              <w14:schemeClr w14:val="tx1"/>
            </w14:solidFill>
          </w14:textFill>
        </w:rPr>
        <w:t xml:space="preserve">年</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white"/>
          <w14:textFill>
            <w14:solidFill>
              <w14:schemeClr w14:val="tx1"/>
            </w14:solidFill>
          </w14:textFill>
        </w:rPr>
        <w:t xml:space="preserve">月</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white"/>
          <w14:textFill>
            <w14:solidFill>
              <w14:schemeClr w14:val="tx1"/>
            </w14:solidFill>
          </w14:textFill>
        </w:rPr>
        <w:t xml:space="preserve">日 </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white"/>
          <w14:textFill>
            <w14:solidFill>
              <w14:schemeClr w14:val="tx1"/>
            </w14:solidFill>
          </w14:textFill>
        </w:rPr>
        <w:t xml:space="preserve">:30</w:t>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投标及开标地点：</w:t>
      </w:r>
      <w:r>
        <w:rPr>
          <w:rFonts w:hint="eastAsia" w:ascii="宋体" w:hAnsi="宋体" w:eastAsia="宋体" w:cs="宋体"/>
          <w:bCs/>
          <w:sz w:val="24"/>
          <w:szCs w:val="24"/>
        </w:rPr>
        <w:t xml:space="preserve">江苏省政府采购（苏采云）平台</w:t>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定标地点：无锡市公共资源交易中心锡山分中心</w:t>
      </w:r>
      <w:bookmarkStart w:id="3" w:name="_Toc112006905"/>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（八）投标文件份数：</w:t>
      </w:r>
      <w:bookmarkEnd w:id="3"/>
      <w:r>
        <w:rPr>
          <w:rFonts w:hint="eastAsia" w:ascii="宋体" w:hAnsi="宋体" w:eastAsia="宋体" w:cs="宋体"/>
          <w:color w:val="000000"/>
          <w:sz w:val="24"/>
          <w:szCs w:val="24"/>
        </w:rPr>
        <w:t xml:space="preserve">请按规定上传电子响应文件，不接收纸质投标文件。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（九）投标有效期：开标之日起90天</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（十）采购方法：</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本次采购采用“</w:t>
      </w:r>
      <w:r>
        <w:rPr>
          <w:rFonts w:hint="eastAsia" w:ascii="宋体" w:hAnsi="宋体" w:eastAsia="宋体" w:cs="宋体"/>
          <w:bCs/>
          <w:sz w:val="24"/>
          <w:szCs w:val="24"/>
        </w:rPr>
        <w:t xml:space="preserve">江苏省政府采购（苏采云）平台</w:t>
      </w:r>
      <w:r>
        <w:rPr>
          <w:rFonts w:hint="eastAsia" w:ascii="宋体" w:hAnsi="宋体" w:eastAsia="宋体" w:cs="宋体"/>
          <w:color w:val="000000"/>
          <w:sz w:val="24"/>
          <w:szCs w:val="24"/>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sz w:val="24"/>
          <w:szCs w:val="24"/>
        </w:rPr>
      </w:pPr>
      <w:r/>
      <w:bookmarkStart w:id="4" w:name="_Toc112006909"/>
      <w:r>
        <w:rPr>
          <w:rFonts w:hint="eastAsia" w:ascii="宋体" w:hAnsi="宋体" w:eastAsia="宋体" w:cs="宋体"/>
          <w:color w:val="000000"/>
          <w:sz w:val="24"/>
          <w:szCs w:val="24"/>
        </w:rPr>
        <w:t xml:space="preserve">（十一）其它</w:t>
      </w:r>
      <w:bookmarkEnd w:id="4"/>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地址：无锡市公共资源交易中心锡山分中心（无锡市锡山区迎宾南路19号） </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联系人：陈中飞</w:t>
      </w:r>
      <w:r/>
    </w:p>
    <w:p>
      <w:pPr>
        <w:ind w:firstLine="480"/>
        <w:jc w:val="left"/>
        <w:spacing w:line="360" w:lineRule="auto"/>
        <w:shd w:val="clear" w:color="auto" w:fill="ffffff"/>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电 话：0510-8821</w:t>
      </w:r>
      <w:r>
        <w:rPr>
          <w:rFonts w:hint="eastAsia" w:ascii="宋体" w:hAnsi="宋体" w:eastAsia="宋体" w:cs="宋体"/>
          <w:color w:val="000000"/>
          <w:sz w:val="24"/>
          <w:szCs w:val="24"/>
          <w:lang w:val="en-US" w:eastAsia="zh-CN"/>
        </w:rPr>
        <w:t xml:space="preserve">3817</w:t>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采购人：</w:t>
      </w:r>
      <w:r>
        <w:rPr>
          <w:rFonts w:hint="eastAsia" w:ascii="宋体" w:hAnsi="宋体" w:eastAsia="宋体" w:cs="宋体"/>
          <w:bCs/>
          <w:color w:val="000000"/>
          <w:sz w:val="24"/>
          <w:szCs w:val="24"/>
          <w:lang w:eastAsia="zh-CN"/>
        </w:rPr>
        <w:t xml:space="preserve">江苏省怀仁中学</w:t>
      </w:r>
      <w:r/>
    </w:p>
    <w:p>
      <w:pPr>
        <w:ind w:firstLine="480"/>
        <w:jc w:val="left"/>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沈波</w:t>
      </w:r>
      <w:r/>
    </w:p>
    <w:p>
      <w:pPr>
        <w:ind w:firstLine="480"/>
        <w:jc w:val="left"/>
        <w:spacing w:line="360" w:lineRule="auto"/>
        <w:shd w:val="clear" w:color="auto" w:fill="ffffff"/>
        <w:widowControl/>
        <w:rPr>
          <w:rFonts w:hint="eastAsia" w:ascii="宋体" w:hAnsi="宋体" w:eastAsia="宋体" w:cs="宋体"/>
          <w:color w:val="ff0000"/>
          <w:sz w:val="24"/>
          <w:szCs w:val="24"/>
        </w:rPr>
      </w:pPr>
      <w:r>
        <w:rPr>
          <w:rFonts w:hint="eastAsia" w:ascii="宋体" w:hAnsi="宋体" w:eastAsia="宋体" w:cs="宋体"/>
          <w:sz w:val="24"/>
          <w:szCs w:val="24"/>
        </w:rPr>
        <w:t xml:space="preserve">电  话</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Times New Roman"/>
          <w:color w:val="000000"/>
          <w:sz w:val="24"/>
          <w:szCs w:val="24"/>
          <w:highlight w:val="none"/>
          <w:lang w:val="en-US" w:eastAsia="zh-CN"/>
        </w:rPr>
        <w:t xml:space="preserve">0510-88790992</w:t>
      </w:r>
      <w:r>
        <w:rPr>
          <w:rFonts w:hint="eastAsia" w:ascii="宋体" w:hAnsi="宋体" w:eastAsia="宋体" w:cs="宋体"/>
          <w:color w:val="ff0000"/>
          <w:sz w:val="24"/>
          <w:szCs w:val="24"/>
        </w:rPr>
        <w:t xml:space="preserve">    </w:t>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360" w:lineRule="auto"/>
        <w:shd w:val="clear" w:color="auto" w:fill="ffffff"/>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二、供应商须知</w:t>
      </w:r>
      <w:r/>
    </w:p>
    <w:p>
      <w:pPr>
        <w:ind w:firstLine="482"/>
        <w:spacing w:line="360" w:lineRule="auto"/>
        <w:rPr>
          <w:rFonts w:hint="eastAsia" w:ascii="宋体" w:hAnsi="宋体" w:eastAsia="宋体" w:cs="宋体"/>
          <w:bCs/>
          <w:color w:val="000000"/>
          <w:sz w:val="24"/>
          <w:szCs w:val="24"/>
        </w:rPr>
      </w:pPr>
      <w:r/>
      <w:bookmarkStart w:id="5" w:name="_Toc112006911"/>
      <w:r>
        <w:rPr>
          <w:rFonts w:hint="eastAsia" w:ascii="宋体" w:hAnsi="宋体" w:eastAsia="宋体" w:cs="宋体"/>
          <w:b/>
          <w:color w:val="000000"/>
          <w:sz w:val="24"/>
          <w:szCs w:val="24"/>
        </w:rPr>
        <w:t xml:space="preserve">（一）遵循原则：</w:t>
      </w:r>
      <w:bookmarkEnd w:id="5"/>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公开透明原则、公平竞争原则、公正原则和诚实信用原则。</w:t>
      </w:r>
      <w:r/>
    </w:p>
    <w:p>
      <w:pPr>
        <w:ind w:firstLine="482"/>
        <w:spacing w:line="360" w:lineRule="auto"/>
        <w:rPr>
          <w:rFonts w:hint="eastAsia" w:ascii="宋体" w:hAnsi="宋体" w:eastAsia="宋体" w:cs="宋体"/>
          <w:b/>
          <w:color w:val="000000"/>
          <w:sz w:val="24"/>
          <w:szCs w:val="24"/>
        </w:rPr>
      </w:pPr>
      <w:r/>
      <w:bookmarkStart w:id="6" w:name="_Toc112006912"/>
      <w:r>
        <w:rPr>
          <w:rFonts w:hint="eastAsia" w:ascii="宋体" w:hAnsi="宋体" w:eastAsia="宋体" w:cs="宋体"/>
          <w:b/>
          <w:color w:val="000000"/>
          <w:sz w:val="24"/>
          <w:szCs w:val="24"/>
        </w:rPr>
        <w:t xml:space="preserve">（二）招标文件：</w:t>
      </w:r>
      <w:bookmarkEnd w:id="6"/>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1.招标文件包括本文件目录所列全部内容，供应商应仔细阅读，并在投标文件中充分响应招标文件的所有要求。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3.供应商一旦参加本项目投标，即表明承诺接受了本招标文件中的所有条件和规定。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4.招标文件仅作为本次招投标使用。</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5.招标文件中的“法定代表人”是指供应商的营业执照或相关部门的登记证明文件中的“法定代表人”或“负责人”。</w:t>
      </w:r>
      <w:r/>
    </w:p>
    <w:p>
      <w:pPr>
        <w:ind w:firstLine="482"/>
        <w:spacing w:line="360" w:lineRule="auto"/>
        <w:rPr>
          <w:rFonts w:hint="eastAsia" w:ascii="宋体" w:hAnsi="宋体" w:eastAsia="宋体" w:cs="宋体"/>
          <w:bCs/>
          <w:color w:val="000000"/>
          <w:sz w:val="24"/>
          <w:szCs w:val="24"/>
        </w:rPr>
      </w:pPr>
      <w:r/>
      <w:bookmarkStart w:id="7" w:name="_Toc112006913"/>
      <w:r>
        <w:rPr>
          <w:rFonts w:hint="eastAsia" w:ascii="宋体" w:hAnsi="宋体" w:eastAsia="宋体" w:cs="宋体"/>
          <w:b/>
          <w:color w:val="000000"/>
          <w:sz w:val="24"/>
          <w:szCs w:val="24"/>
        </w:rPr>
        <w:t xml:space="preserve">（三）招标文件的解释：</w:t>
      </w:r>
      <w:bookmarkEnd w:id="7"/>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本文件的最终解释权归采购人及无锡市公共资源交易中心锡山分中心。</w:t>
      </w:r>
      <w:r/>
    </w:p>
    <w:p>
      <w:pPr>
        <w:ind w:firstLine="482"/>
        <w:spacing w:line="360" w:lineRule="auto"/>
        <w:rPr>
          <w:rFonts w:hint="eastAsia" w:ascii="宋体" w:hAnsi="宋体" w:eastAsia="宋体" w:cs="宋体"/>
          <w:bCs/>
          <w:color w:val="000000"/>
          <w:sz w:val="24"/>
          <w:szCs w:val="24"/>
        </w:rPr>
      </w:pPr>
      <w:r/>
      <w:bookmarkStart w:id="8" w:name="_Toc112006914"/>
      <w:r>
        <w:rPr>
          <w:rFonts w:hint="eastAsia" w:ascii="宋体" w:hAnsi="宋体" w:eastAsia="宋体" w:cs="宋体"/>
          <w:b/>
          <w:color w:val="000000"/>
          <w:sz w:val="24"/>
          <w:szCs w:val="24"/>
        </w:rPr>
        <w:t xml:space="preserve">（四）招标文件的补充或修正：</w:t>
      </w:r>
      <w:bookmarkEnd w:id="8"/>
      <w:r>
        <w:rPr>
          <w:rFonts w:hint="eastAsia" w:ascii="宋体" w:hAnsi="宋体" w:eastAsia="宋体" w:cs="宋体"/>
          <w:b/>
          <w:color w:val="000000"/>
          <w:sz w:val="24"/>
          <w:szCs w:val="24"/>
        </w:rPr>
        <w:t xml:space="preserve"> </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2"/>
        <w:spacing w:line="360" w:lineRule="auto"/>
        <w:rPr>
          <w:rFonts w:hint="eastAsia" w:ascii="宋体" w:hAnsi="宋体" w:eastAsia="宋体" w:cs="宋体"/>
          <w:bCs/>
          <w:color w:val="000000"/>
          <w:sz w:val="24"/>
          <w:szCs w:val="24"/>
        </w:rPr>
      </w:pPr>
      <w:r/>
      <w:bookmarkStart w:id="9" w:name="_Toc112006915"/>
      <w:r>
        <w:rPr>
          <w:rFonts w:hint="eastAsia" w:ascii="宋体" w:hAnsi="宋体" w:eastAsia="宋体" w:cs="宋体"/>
          <w:b/>
          <w:color w:val="000000"/>
          <w:sz w:val="24"/>
          <w:szCs w:val="24"/>
        </w:rPr>
        <w:t xml:space="preserve">（五）投标文件的组成：</w:t>
      </w:r>
      <w:bookmarkEnd w:id="9"/>
      <w:r/>
      <w:r/>
    </w:p>
    <w:p>
      <w:pPr>
        <w:ind w:firstLine="480"/>
        <w:spacing w:line="360" w:lineRule="auto"/>
        <w:rPr>
          <w:rFonts w:hint="eastAsia" w:ascii="宋体" w:hAnsi="宋体" w:eastAsia="宋体" w:cs="宋体"/>
          <w:bCs/>
          <w:color w:val="000000"/>
          <w:sz w:val="24"/>
          <w:szCs w:val="24"/>
        </w:rPr>
      </w:pPr>
      <w:r/>
      <w:bookmarkStart w:id="10" w:name="_Hlk529436263"/>
      <w:r/>
      <w:bookmarkStart w:id="11" w:name="_Hlk23510977"/>
      <w:r>
        <w:rPr>
          <w:rFonts w:hint="eastAsia" w:ascii="宋体" w:hAnsi="宋体" w:eastAsia="宋体" w:cs="宋体"/>
          <w:bCs/>
          <w:color w:val="000000"/>
          <w:sz w:val="24"/>
          <w:szCs w:val="24"/>
        </w:rPr>
        <w:t xml:space="preserve">1．投标函（格式见附件）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（2）具有独立承担民事责任能力的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highlight w:val="none"/>
        </w:rPr>
        <w:t xml:space="preserve">授权委托书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法定代表人亲自参与投标的除外，投标人如是自然人情形的，可不提供</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highlight w:val="none"/>
        </w:rPr>
        <w:t xml:space="preserve">授权代表身份证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亲自参加投标的除外）；</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新成立的公司</w:t>
      </w:r>
      <w:bookmarkStart w:id="12" w:name="OLE_LINK3"/>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bookmarkEnd w:id="12"/>
      <w:r/>
      <w:r/>
    </w:p>
    <w:p>
      <w:pPr>
        <w:ind w:firstLine="480"/>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供应商近三个月中任意一个月份（不含投标当月）的依法缴纳税收的相关材料（提供相关主管部门证明或银行代扣证明）扫描件，若供应商无需依法缴纳税收，请提供纳税申报表；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（9）承诺书（格式见附件）；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 xml:space="preserve">3．开标一览表</w:t>
      </w:r>
      <w:bookmarkEnd w:id="10"/>
      <w:r/>
      <w:bookmarkEnd w:id="11"/>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本表无需上传，评审时以苏采云系统自带的开标一览表为准</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4．报价明细表（格式见附件）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 服务保障承诺书（格式见附件）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6．投标偏离表（格式见附件）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7．投标供应商情况表（格式见附件）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.提供第三章项目需求和有关要求需提供的相关证明材料</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lang w:val="en-US" w:eastAsia="zh-CN"/>
        </w:rPr>
        <w:t xml:space="preserve">9</w:t>
      </w:r>
      <w:r>
        <w:rPr>
          <w:rFonts w:hint="eastAsia" w:ascii="宋体" w:hAnsi="宋体" w:eastAsia="宋体"/>
          <w:bCs/>
          <w:color w:val="000000"/>
          <w:sz w:val="24"/>
          <w:szCs w:val="24"/>
        </w:rPr>
        <w:t xml:space="preserve">.</w:t>
      </w:r>
      <w:r>
        <w:rPr>
          <w:rFonts w:hint="eastAsia" w:ascii="宋体" w:hAnsi="宋体" w:eastAsia="宋体" w:cs="宋体"/>
          <w:bCs/>
          <w:color w:val="000000"/>
          <w:sz w:val="24"/>
          <w:szCs w:val="24"/>
        </w:rPr>
        <w:t xml:space="preserve">服务方案（如有格式自拟并自行添加）</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11</w:t>
      </w:r>
      <w:r>
        <w:rPr>
          <w:rFonts w:hint="eastAsia" w:ascii="宋体" w:hAnsi="宋体" w:eastAsia="宋体" w:cs="宋体"/>
          <w:bCs/>
          <w:color w:val="000000"/>
          <w:sz w:val="24"/>
          <w:szCs w:val="24"/>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其他</w:t>
      </w:r>
      <w:r>
        <w:rPr>
          <w:rFonts w:hint="eastAsia" w:ascii="宋体" w:hAnsi="宋体" w:eastAsia="宋体" w:cs="宋体"/>
          <w:bCs/>
          <w:color w:val="000000"/>
          <w:sz w:val="24"/>
          <w:szCs w:val="24"/>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上述</w:t>
      </w:r>
      <w:r>
        <w:rPr>
          <w:rFonts w:hint="eastAsia" w:ascii="宋体" w:hAnsi="宋体" w:eastAsia="宋体" w:cs="宋体"/>
          <w:b/>
          <w:bCs w:val="0"/>
          <w:color w:val="000000" w:themeColor="text1"/>
          <w:sz w:val="28"/>
          <w:szCs w:val="28"/>
          <w14:textFill>
            <w14:solidFill>
              <w14:schemeClr w14:val="tx1"/>
            </w14:solidFill>
          </w14:textFill>
        </w:rPr>
        <w:t xml:space="preserve">1-</w:t>
      </w:r>
      <w:r>
        <w:rPr>
          <w:rFonts w:hint="eastAsia" w:ascii="宋体" w:hAnsi="宋体" w:eastAsia="宋体" w:cs="宋体"/>
          <w:b/>
          <w:bCs w:val="0"/>
          <w:color w:val="000000" w:themeColor="text1"/>
          <w:sz w:val="28"/>
          <w:szCs w:val="28"/>
          <w:lang w:val="en-US" w:eastAsia="zh-CN"/>
          <w14:textFill>
            <w14:solidFill>
              <w14:schemeClr w14:val="tx1"/>
            </w14:solidFill>
          </w14:textFill>
        </w:rPr>
        <w:t xml:space="preserve">8</w:t>
      </w:r>
      <w:r>
        <w:rPr>
          <w:rFonts w:hint="eastAsia" w:ascii="宋体" w:hAnsi="宋体" w:eastAsia="宋体" w:cs="宋体"/>
          <w:bCs/>
          <w:color w:val="000000"/>
          <w:sz w:val="24"/>
          <w:szCs w:val="24"/>
        </w:rPr>
        <w:t xml:space="preserve">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eastAsia="宋体" w:cs="宋体"/>
          <w:bCs/>
          <w:color w:val="000000"/>
          <w:sz w:val="24"/>
          <w:szCs w:val="24"/>
        </w:rPr>
      </w:pPr>
      <w:r/>
      <w:bookmarkStart w:id="13" w:name="_Toc112006916"/>
      <w:r>
        <w:rPr>
          <w:rFonts w:hint="eastAsia" w:ascii="宋体" w:hAnsi="宋体" w:eastAsia="宋体" w:cs="宋体"/>
          <w:b/>
          <w:color w:val="000000"/>
          <w:sz w:val="24"/>
          <w:szCs w:val="24"/>
        </w:rPr>
        <w:t xml:space="preserve">（六）投标文件的要求：</w:t>
      </w:r>
      <w:bookmarkEnd w:id="13"/>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1.所有文件、往来函件均应使用简体中文（规格、型号辅助符号例外）。</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2.投标文件由供应商按给定格式如实填写（编写），须有法人（盖章）、法定代表人或法定代表人授权代表签字或盖章，方为有效，未尽事宜可自行补充。</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zh-CN"/>
        </w:rPr>
        <w:t xml:space="preserve">3.如无特别说明，</w:t>
      </w:r>
      <w:r>
        <w:rPr>
          <w:rFonts w:hint="eastAsia" w:ascii="宋体" w:hAnsi="宋体" w:eastAsia="宋体" w:cs="宋体"/>
          <w:bCs/>
          <w:color w:val="000000"/>
          <w:sz w:val="24"/>
          <w:szCs w:val="24"/>
        </w:rPr>
        <w:t xml:space="preserve">供应商报价一律以人民币为投标结算货币，结算单位为“元”。</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4.投标文件格式部分，应由供应商按给定格式提供，不得更改。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5.供应商在制作电子投标文件时，请正确关联到对应页，在评审过程中，评审专家如因在相对应页面找不到该相关联的文件，由此产生的后果由供应商自行承担。</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6.投标费用自理。</w:t>
      </w:r>
      <w:r/>
    </w:p>
    <w:p>
      <w:pPr>
        <w:ind w:firstLine="482"/>
        <w:spacing w:line="36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7.在评分标准中除了投标报价外，还须包含明标（供应商综合评价、产品演示）和暗标（技术方案）两大部分，其暗标编制要求如下：</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（1）暗标编制应按采购文件规定的格式制作，要求版面整洁、字迹清楚、不得涂改、不得标注。</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字体、段落、页码、页面布局的设置：</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字体：一级标题为宋体黑色二号字，其余正文均采用宋体黑色小四号字体，不得出现手写。</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段落：使用1.5倍行间距、字间距标准、每段段前空两格。</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页码：页码应当连续居中，不得有空白页。不得设置页眉，页脚只准出现页码，采用黑色小5号阿拉伯数字格式，设在页脚对中位置。</w:t>
      </w:r>
      <w:r/>
    </w:p>
    <w:p>
      <w:pPr>
        <w:ind w:firstLine="482"/>
        <w:spacing w:line="360" w:lineRule="auto"/>
        <w:rPr>
          <w:rFonts w:hint="eastAsia" w:ascii="宋体" w:hAnsi="宋体" w:eastAsia="宋体" w:cs="宋体"/>
          <w:bCs/>
          <w:sz w:val="24"/>
          <w:szCs w:val="24"/>
        </w:rPr>
      </w:pPr>
      <w:r>
        <w:rPr>
          <w:rFonts w:hint="eastAsia" w:ascii="宋体" w:hAnsi="宋体" w:eastAsia="宋体" w:cs="宋体"/>
          <w:b/>
          <w:bCs/>
          <w:sz w:val="24"/>
          <w:szCs w:val="24"/>
        </w:rPr>
        <w:t xml:space="preserve">页面布局：纸张方向纵向、页面底色白色，分栏为一栏。</w:t>
      </w:r>
      <w:r/>
    </w:p>
    <w:p>
      <w:pPr>
        <w:ind w:firstLine="482"/>
        <w:spacing w:line="360" w:lineRule="auto"/>
        <w:rPr>
          <w:rFonts w:hint="eastAsia" w:ascii="宋体" w:hAnsi="宋体" w:eastAsia="宋体" w:cs="宋体"/>
          <w:b/>
          <w:color w:val="000000"/>
          <w:sz w:val="24"/>
          <w:szCs w:val="24"/>
        </w:rPr>
      </w:pPr>
      <w:r/>
      <w:bookmarkStart w:id="14" w:name="_Toc112006917"/>
      <w:r/>
      <w:bookmarkStart w:id="15" w:name="_Toc112006918"/>
      <w:r>
        <w:rPr>
          <w:rFonts w:hint="eastAsia" w:ascii="宋体" w:hAnsi="宋体" w:eastAsia="宋体" w:cs="宋体"/>
          <w:b/>
          <w:color w:val="000000"/>
          <w:sz w:val="24"/>
          <w:szCs w:val="24"/>
        </w:rPr>
        <w:t xml:space="preserve">（七） 网上投标</w:t>
      </w:r>
      <w:bookmarkEnd w:id="14"/>
      <w:r/>
      <w:r/>
    </w:p>
    <w:p>
      <w:pPr>
        <w:ind w:firstLine="480"/>
        <w:spacing w:line="360" w:lineRule="auto"/>
        <w:rPr>
          <w:rFonts w:hint="eastAsia" w:ascii="宋体" w:hAnsi="宋体" w:eastAsia="宋体" w:cs="宋体"/>
        </w:rPr>
      </w:pPr>
      <w:r>
        <w:rPr>
          <w:rFonts w:hint="eastAsia" w:ascii="宋体" w:hAnsi="宋体" w:eastAsia="宋体" w:cs="宋体"/>
          <w:bCs/>
          <w:color w:val="000000"/>
          <w:sz w:val="24"/>
          <w:szCs w:val="24"/>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2.供应商应对CA数字证书妥善保管，如被他人盗用投标，后果自负。</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3.供应商按招标文件规定的网上解密时间进行解密，如未按时解密后果自负。</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4.供应商应当对招标文件提出的要求和条件作出实质性响应，并在电子投标系统逐条应答。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5.供应商应对要求提供的资格证明文件（如资质证书、资格证书）、技术资料（如白皮书、彩页、手册、检测报告等）扫描上传至投标系统。</w:t>
      </w:r>
      <w:r/>
    </w:p>
    <w:p>
      <w:pPr>
        <w:ind w:left="479"/>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6.供应商进行网上投标请参照《政府采购项目电子交易管理操作指南－供应商》。</w:t>
      </w:r>
      <w:r/>
    </w:p>
    <w:p>
      <w:pPr>
        <w:pStyle w:val="978"/>
        <w:ind w:firstLine="482"/>
        <w:spacing w:line="360" w:lineRule="auto"/>
        <w:rPr>
          <w:rFonts w:hint="eastAsia" w:ascii="宋体" w:hAnsi="宋体" w:cs="宋体"/>
        </w:rPr>
      </w:pPr>
      <w:r>
        <w:rPr>
          <w:rFonts w:hint="eastAsia" w:ascii="宋体" w:hAnsi="宋体" w:cs="宋体"/>
          <w:b/>
          <w:bCs/>
          <w:color w:val="000000"/>
          <w:sz w:val="24"/>
          <w:szCs w:val="24"/>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5"/>
      <w:r/>
      <w:r/>
    </w:p>
    <w:p>
      <w:pPr>
        <w:ind w:firstLine="482"/>
        <w:spacing w:line="360" w:lineRule="auto"/>
        <w:rPr>
          <w:rFonts w:hint="eastAsia" w:ascii="宋体" w:hAnsi="宋体" w:eastAsia="宋体" w:cs="宋体"/>
          <w:b/>
          <w:color w:val="000000"/>
          <w:sz w:val="24"/>
          <w:szCs w:val="24"/>
        </w:rPr>
      </w:pPr>
      <w:r/>
      <w:bookmarkStart w:id="16" w:name="_Toc112006919"/>
      <w:r>
        <w:rPr>
          <w:rFonts w:hint="eastAsia" w:ascii="宋体" w:hAnsi="宋体" w:eastAsia="宋体" w:cs="宋体"/>
          <w:b/>
          <w:color w:val="000000"/>
          <w:sz w:val="24"/>
          <w:szCs w:val="24"/>
        </w:rPr>
        <w:t xml:space="preserve">（八）无效投标文件的确认：</w:t>
      </w:r>
      <w:bookmarkEnd w:id="16"/>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供应商有下列情况之一者，投标文件无效：</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1.电子投标文件未按规定期限投标的；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2.电子投标文件未按招标文件要求签章的；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3.供应商未按招标文件要求解密电子投标文件的；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4.供应商的法定代表人授权代表，无法定代表人授权委托书的；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5.供应商的法定代表人或被授权代表，未准时参加开标会议的；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7.被“信用中国”网站（</w:t>
      </w:r>
      <w:r>
        <w:fldChar w:fldCharType="begin"/>
      </w:r>
      <w:r>
        <w:instrText xml:space="preserve"> HYPERLINK "http://www.creditchina.gov.cn" </w:instrText>
      </w:r>
      <w:r>
        <w:fldChar w:fldCharType="separate"/>
      </w:r>
      <w:r>
        <w:rPr>
          <w:rFonts w:hint="eastAsia" w:ascii="宋体" w:hAnsi="宋体" w:eastAsia="宋体" w:cs="宋体"/>
          <w:bCs/>
          <w:color w:val="000000"/>
          <w:sz w:val="24"/>
          <w:szCs w:val="24"/>
        </w:rPr>
        <w:t xml:space="preserve">www.creditchina.gov.cn</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）、中国政府采购网（www.ccgp.gov.cn）列入失信被执行人、重大税收违法案件当事人名单、政府采购严重违法失信行为记录名单的；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8.投标文件未按招标文件规定的内容和要求填写的；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9.投标文件书写潦草、字迹模糊不清、无法辨认的；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10.投标文件中有招标文件未允许提供的选择性内容；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11.不同供应商委托同一单位或者个人办理投标事宜的；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12.不同供应商的单位负责人为同一人或者存在直接控股、管理关系的；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13.不同供应商的投标文件存在明显的相似性或一致性，特征显示由同一单位或者同一个人编制的；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16.供应商提交两个（含）以上不同的投标报价或项目（标段）投标总价超过本项目（标段）预算或最高限价的；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17.提供虚假材料的（包括工商营业执照、财务报表、资格证明文件等）；</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18.投标文件含有采购人不能接受的附加条件的；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19</w:t>
      </w:r>
      <w:r>
        <w:rPr>
          <w:rFonts w:hint="eastAsia" w:ascii="宋体" w:hAnsi="宋体" w:eastAsia="宋体" w:cs="宋体"/>
          <w:bCs/>
          <w:color w:val="000000"/>
          <w:sz w:val="24"/>
          <w:szCs w:val="24"/>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20</w:t>
      </w:r>
      <w:r>
        <w:rPr>
          <w:rFonts w:hint="eastAsia" w:ascii="宋体" w:hAnsi="宋体" w:eastAsia="宋体" w:cs="宋体"/>
          <w:bCs/>
          <w:color w:val="000000"/>
          <w:sz w:val="24"/>
          <w:szCs w:val="24"/>
        </w:rPr>
        <w:t xml:space="preserve">.供应商的报价明显低于其他投标报价或者市场平均价，使得其投标报价可能低于其个别成本的，评委将要求供应商做出书面说明并提供相关证明材料。供应商不能合理说明或者不能提供相关材料的，由评标委员会认定该供应商以低于成本报价竞标，其投标应作无效投标处理。</w:t>
      </w:r>
      <w:r/>
    </w:p>
    <w:p>
      <w:pPr>
        <w:ind w:firstLine="480"/>
        <w:spacing w:line="360" w:lineRule="auto"/>
        <w:rPr>
          <w:rFonts w:hint="eastAsia" w:ascii="宋体" w:hAnsi="宋体" w:eastAsia="宋体" w:cs="宋体"/>
          <w:bCs/>
          <w:color w:val="ff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w:t>
      </w:r>
      <w:r>
        <w:rPr>
          <w:rFonts w:hint="eastAsia" w:ascii="宋体" w:hAnsi="宋体" w:eastAsia="宋体" w:cs="宋体"/>
          <w:bCs/>
          <w:color w:val="000000" w:themeColor="text1"/>
          <w:sz w:val="24"/>
          <w:szCs w:val="24"/>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22.</w:t>
      </w:r>
      <w:r>
        <w:rPr>
          <w:rFonts w:hint="eastAsia" w:ascii="宋体" w:hAnsi="宋体" w:eastAsia="宋体" w:cs="宋体"/>
          <w:bCs/>
          <w:color w:val="000000"/>
          <w:sz w:val="24"/>
          <w:szCs w:val="24"/>
        </w:rPr>
        <w:t xml:space="preserve">投标文件内容不全或不符合招标文件中规定的其他实质性要求的；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w:t>
      </w: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.暗标未按招标文件要求编制的；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w:t>
      </w: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.法律法规和招标文件规定的其他无效情形。</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26.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评标委员会启动异常低价投标（响应）审查的情形和具体要求，包括：</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（1）评审过程中出现下列情形之一的，评标委员会应当启动异常低价投标（响应）审查程序：</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①投标（响应）报价低于采购项目预算50%的，即投标（响应）报价&lt;采购项目预算×50%；</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②投标（响应）报价低于采购项目最高限价45%的，即投标（响应）报价&lt;采购项目最高限价×45%；</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③评标委员会认定的供应商报价过低、有可能影响产品质量或者不能诚信履约的其他情形。</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（九）开标、评标：</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1．所有投标单位在招标文件规定的时间内解密各自投标文件。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3．投标文件的审查</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 投标文件报价出现前后不一致的，按照下列规定修正： </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大写金额和小写金额不一致的，以大写金额为准；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④</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（2）对不同文字文本投标文件的解释发生异议的，以中文文本为准。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（3）供应商未参加开标的，视同认可开标结果。</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4．评标程序</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（1）投标文件初审。初审分为资格性检查和符合性检查。</w:t>
      </w:r>
      <w:r/>
    </w:p>
    <w:p>
      <w:pPr>
        <w:ind w:firstLine="480"/>
        <w:spacing w:line="360" w:lineRule="auto"/>
        <w:rPr>
          <w:rFonts w:hint="eastAsia" w:ascii="宋体" w:hAnsi="宋体" w:eastAsia="宋体" w:cs="宋体"/>
        </w:rPr>
      </w:pPr>
      <w:r>
        <w:rPr>
          <w:rFonts w:hint="eastAsia" w:ascii="宋体" w:hAnsi="宋体" w:eastAsia="宋体" w:cs="宋体"/>
          <w:bCs/>
          <w:color w:val="000000"/>
          <w:sz w:val="24"/>
          <w:szCs w:val="24"/>
        </w:rPr>
        <w:t xml:space="preserve">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tbl>
      <w:tblPr>
        <w:tblStyle w:val="914"/>
        <w:tblpPr w:horzAnchor="page" w:tblpX="1557" w:vertAnchor="text" w:tblpY="1111"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gridSpan w:val="2"/>
            <w:tcW w:w="831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资格审查内容</w:t>
            </w:r>
            <w:r/>
          </w:p>
        </w:tc>
      </w:tr>
      <w:tr>
        <w:trPr>
          <w:trHeight w:val="519"/>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关于资格的声明函</w:t>
            </w:r>
            <w:r/>
          </w:p>
        </w:tc>
        <w:tc>
          <w:tcPr>
            <w:tcW w:w="5234"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格式见附件</w:t>
            </w:r>
            <w:r/>
          </w:p>
        </w:tc>
      </w:tr>
      <w:tr>
        <w:trPr>
          <w:trHeight w:val="870"/>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具有独立承担民事责任的能力</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076" w:type="dxa"/>
            <w:vAlign w:val="center"/>
            <w:textDirection w:val="lrTb"/>
            <w:noWrap w:val="false"/>
          </w:tcPr>
          <w:p>
            <w:pPr>
              <w:jc w:val="both"/>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供应商法定代表人（其他组织或者自然人）授权委托书</w:t>
            </w:r>
            <w:r/>
          </w:p>
        </w:tc>
        <w:tc>
          <w:tcPr>
            <w:tcW w:w="5234" w:type="dxa"/>
            <w:vAlign w:val="center"/>
            <w:textDirection w:val="lrTb"/>
            <w:noWrap w:val="false"/>
          </w:tcPr>
          <w:p>
            <w:pPr>
              <w:jc w:val="both"/>
              <w:rPr>
                <w:rFonts w:hint="eastAsia" w:ascii="宋体" w:hAnsi="宋体" w:eastAsia="宋体" w:cs="宋体"/>
                <w:bCs/>
                <w:color w:val="000000"/>
                <w:sz w:val="24"/>
                <w:szCs w:val="24"/>
              </w:rPr>
            </w:pPr>
            <w:r>
              <w:rPr>
                <w:rFonts w:hint="eastAsia" w:ascii="宋体" w:hAnsi="宋体" w:eastAsia="宋体" w:cs="宋体"/>
                <w:color w:val="000000"/>
                <w:sz w:val="24"/>
                <w:szCs w:val="24"/>
                <w:highlight w:val="none"/>
              </w:rPr>
              <w:t xml:space="preserve">法定代表人亲自参与投标的除外，投标人如是自然人情形的，可不提供，格式见附件</w:t>
            </w:r>
            <w:r/>
          </w:p>
        </w:tc>
      </w:tr>
      <w:tr>
        <w:trPr>
          <w:trHeight w:val="644"/>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3076" w:type="dxa"/>
            <w:vAlign w:val="center"/>
            <w:textDirection w:val="lrTb"/>
            <w:noWrap w:val="false"/>
          </w:tcPr>
          <w:p>
            <w:pPr>
              <w:jc w:val="both"/>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供应商法定代表人（自然人）身份证扫描件</w:t>
            </w:r>
            <w:r/>
          </w:p>
        </w:tc>
        <w:tc>
          <w:tcPr>
            <w:tcW w:w="5234" w:type="dxa"/>
            <w:vAlign w:val="center"/>
            <w:textDirection w:val="lrTb"/>
            <w:noWrap w:val="false"/>
          </w:tcPr>
          <w:p>
            <w:pPr>
              <w:jc w:val="both"/>
              <w:rPr>
                <w:rFonts w:hint="eastAsia" w:ascii="宋体" w:hAnsi="宋体" w:eastAsia="宋体" w:cs="宋体"/>
                <w:bCs/>
                <w:color w:val="000000"/>
                <w:sz w:val="24"/>
                <w:szCs w:val="24"/>
              </w:rPr>
            </w:pPr>
            <w:r>
              <w:rPr>
                <w:rFonts w:hint="eastAsia" w:ascii="宋体" w:hAnsi="宋体" w:eastAsia="宋体" w:cs="宋体"/>
                <w:color w:val="000000"/>
                <w:sz w:val="24"/>
                <w:szCs w:val="24"/>
                <w:highlight w:val="none"/>
              </w:rPr>
              <w:t xml:space="preserve">身份证应为正、反面</w:t>
            </w:r>
            <w:r/>
          </w:p>
        </w:tc>
      </w:tr>
      <w:tr>
        <w:trPr>
          <w:trHeight w:val="644"/>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3076" w:type="dxa"/>
            <w:vAlign w:val="center"/>
            <w:textDirection w:val="lrTb"/>
            <w:noWrap w:val="false"/>
          </w:tcPr>
          <w:p>
            <w:pPr>
              <w:jc w:val="both"/>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供应商法定代表人（其他组织或者自然人）授权代表身份证扫描件</w:t>
            </w:r>
            <w:r/>
          </w:p>
        </w:tc>
        <w:tc>
          <w:tcPr>
            <w:tcW w:w="5234" w:type="dxa"/>
            <w:vAlign w:val="center"/>
            <w:textDirection w:val="lrTb"/>
            <w:noWrap w:val="false"/>
          </w:tcPr>
          <w:p>
            <w:pPr>
              <w:jc w:val="both"/>
              <w:rPr>
                <w:rFonts w:hint="eastAsia" w:ascii="宋体" w:hAnsi="宋体" w:eastAsia="宋体" w:cs="宋体"/>
                <w:bCs/>
                <w:color w:val="000000"/>
                <w:sz w:val="24"/>
                <w:szCs w:val="24"/>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1280"/>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tc>
      </w:tr>
      <w:tr>
        <w:trPr>
          <w:trHeight w:val="951"/>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具有依法缴纳税收的良好记录</w:t>
            </w:r>
            <w:r/>
          </w:p>
        </w:tc>
        <w:tc>
          <w:tcPr>
            <w:tcW w:w="523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具有依法缴纳社会保障资金的良好记录</w:t>
            </w:r>
            <w:r/>
          </w:p>
        </w:tc>
        <w:tc>
          <w:tcPr>
            <w:tcW w:w="523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tc>
      </w:tr>
      <w:tr>
        <w:trPr>
          <w:trHeight w:val="602"/>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承诺书</w:t>
            </w:r>
            <w:r/>
          </w:p>
        </w:tc>
        <w:tc>
          <w:tcPr>
            <w:tcW w:w="5234"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格式见附件</w:t>
            </w:r>
            <w:r/>
          </w:p>
        </w:tc>
      </w:tr>
      <w:tr>
        <w:trPr>
          <w:trHeight w:val="747"/>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落实政府采购政策需满足的资格要求</w:t>
            </w:r>
            <w:r/>
          </w:p>
        </w:tc>
        <w:tc>
          <w:tcPr>
            <w:tcW w:w="5234"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小微企业/监狱企业/残疾人福利企业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中小微企业须符合中小微企业划分标准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《工信部联企业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〔2011〕300号</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规定，提供《中小企业声明函》，残疾人福利企业提供《残疾人福利性单位声明函》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格式详见格式）</w:t>
            </w:r>
            <w:r/>
          </w:p>
        </w:tc>
      </w:tr>
      <w:tr>
        <w:trPr>
          <w:trHeight w:val="602"/>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特定资格要求</w:t>
            </w:r>
            <w:r/>
          </w:p>
        </w:tc>
        <w:tc>
          <w:tcPr>
            <w:tcW w:w="5234" w:type="dxa"/>
            <w:vAlign w:val="center"/>
            <w:textDirection w:val="lrTb"/>
            <w:noWrap w:val="false"/>
          </w:tcPr>
          <w:p>
            <w:pP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599"/>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信用记录</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由网上直接查询，供应商无需提供证明材料。）</w:t>
            </w:r>
            <w:r/>
          </w:p>
        </w:tc>
        <w:tc>
          <w:tcPr>
            <w:tcW w:w="5234" w:type="dxa"/>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供应商未被列入“信用中国”网站（www.creditchina.gov.cn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“失信被执行人或重大税收违法失信主体或政府采购严重违法失信行为”记录名单；不处于中国政府采购网（www.ccgp.gov.cn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“政府采购严重违法失信行为信息记录”中的禁止参加政府采购活动期间。（有上述处罚记录但处罚期已届满的，视为无记录，以代理机构评标当日查询结果为准）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关于联合体投标</w:t>
            </w:r>
            <w:r/>
          </w:p>
        </w:tc>
        <w:tc>
          <w:tcPr>
            <w:tcW w:w="5234"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本项目不接受联合体投标；不允许分包、转包</w:t>
            </w:r>
            <w:r/>
          </w:p>
        </w:tc>
      </w:tr>
    </w:tbl>
    <w:p>
      <w:pPr>
        <w:jc w:val="center"/>
        <w:spacing w:line="440" w:lineRule="exact"/>
        <w:tabs>
          <w:tab w:val="left" w:pos="480" w:leader="none"/>
        </w:tabs>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资格性审查表</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特别提醒：资格审查不合格的投标供应商的投标文件不进入后续评审。</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sz w:val="24"/>
          <w:szCs w:val="24"/>
        </w:rPr>
        <w:outlineLvl w:val="0"/>
      </w:pPr>
      <w:r/>
      <w:bookmarkStart w:id="17" w:name="_Toc116946315"/>
      <w:r>
        <w:rPr>
          <w:rFonts w:hint="eastAsia" w:ascii="宋体" w:hAnsi="宋体" w:eastAsia="宋体" w:cs="宋体"/>
          <w:b/>
          <w:color w:val="000000"/>
          <w:sz w:val="24"/>
          <w:szCs w:val="24"/>
        </w:rPr>
        <w:t xml:space="preserve">符合性审查表</w:t>
      </w:r>
      <w:bookmarkEnd w:id="17"/>
      <w:r/>
      <w:r/>
    </w:p>
    <w:tbl>
      <w:tblPr>
        <w:tblStyle w:val="914"/>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293"/>
        <w:gridCol w:w="5980"/>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序号</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评审点要求概况</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投标函</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开标一览表</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sz w:val="24"/>
                <w:szCs w:val="24"/>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3</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报价明细表</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服务保障承诺书</w:t>
            </w:r>
            <w:r/>
          </w:p>
        </w:tc>
        <w:tc>
          <w:tcPr>
            <w:tcW w:w="5980"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5</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投标偏离表</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6</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投标供应商基本情况表</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lang w:val="en-US" w:eastAsia="zh-CN"/>
              </w:rPr>
              <w:outlineLvl w:val="0"/>
            </w:pPr>
            <w:r>
              <w:rPr>
                <w:rFonts w:hint="eastAsia" w:ascii="宋体" w:hAnsi="宋体" w:eastAsia="宋体" w:cs="宋体"/>
                <w:bCs/>
                <w:color w:val="000000"/>
                <w:sz w:val="24"/>
                <w:szCs w:val="24"/>
                <w:lang w:val="en-US" w:eastAsia="zh-CN"/>
              </w:rPr>
              <w:t xml:space="preserve">7</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满足采购需求</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满足采购文件第三章采购需求和技术有关要求，提供相关证明材料。</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lang w:eastAsia="zh-CN"/>
              </w:rPr>
              <w:outlineLvl w:val="0"/>
            </w:pPr>
            <w:r>
              <w:rPr>
                <w:rFonts w:hint="eastAsia" w:ascii="宋体" w:hAnsi="宋体" w:eastAsia="宋体" w:cs="宋体"/>
                <w:bCs/>
                <w:color w:val="000000"/>
                <w:sz w:val="24"/>
                <w:szCs w:val="24"/>
                <w:lang w:val="en-US" w:eastAsia="zh-CN"/>
              </w:rPr>
              <w:t xml:space="preserve">8</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投标文件内容</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不存在供应商须知第八条中的情形</w:t>
            </w:r>
            <w:r/>
          </w:p>
        </w:tc>
      </w:tr>
    </w:tbl>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rPr>
      </w:pPr>
      <w:r>
        <w:rPr>
          <w:rFonts w:hint="eastAsia" w:ascii="宋体" w:hAnsi="宋体" w:eastAsia="宋体" w:cs="宋体"/>
          <w:bCs/>
          <w:color w:val="000000"/>
          <w:sz w:val="24"/>
          <w:szCs w:val="24"/>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5．评标方法</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评标委员会遵循公平、公正、择优原则，独立按照评分标准分别评定供应商的分值；各供应商的评审后得分为各评委所评定分值的平均值，并按高低顺序排列。得分相同的，按投标报价由低到高顺序排列，</w:t>
      </w:r>
      <w:bookmarkStart w:id="18" w:name="OLE_LINK8"/>
      <w:r>
        <w:rPr>
          <w:rFonts w:hint="eastAsia" w:ascii="宋体" w:hAnsi="宋体" w:eastAsia="宋体" w:cs="宋体"/>
          <w:bCs/>
          <w:color w:val="000000"/>
          <w:sz w:val="24"/>
          <w:szCs w:val="24"/>
        </w:rPr>
        <w:t xml:space="preserve">且按照评审因素的量化指标评审得分最高的投标人为排名第一的中标候选人，得分次高的投标人为排名第二的中标候选人，得分排列第三的投标人为排名第三的中标候选人。</w:t>
      </w:r>
      <w:bookmarkEnd w:id="18"/>
      <w:r>
        <w:rPr>
          <w:rFonts w:hint="eastAsia" w:ascii="宋体" w:hAnsi="宋体" w:eastAsia="宋体" w:cs="宋体"/>
          <w:bCs/>
          <w:color w:val="000000"/>
          <w:sz w:val="24"/>
          <w:szCs w:val="24"/>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6．评标标准：详见附件。</w:t>
      </w:r>
      <w:r/>
    </w:p>
    <w:p>
      <w:pPr>
        <w:ind w:firstLine="482"/>
        <w:spacing w:line="360" w:lineRule="auto"/>
        <w:rPr>
          <w:rFonts w:hint="eastAsia" w:ascii="宋体" w:hAnsi="宋体" w:eastAsia="宋体" w:cs="宋体"/>
          <w:b/>
          <w:color w:val="000000"/>
          <w:sz w:val="24"/>
          <w:szCs w:val="24"/>
        </w:rPr>
      </w:pPr>
      <w:r/>
      <w:bookmarkStart w:id="19" w:name="_Toc112006921"/>
      <w:r/>
      <w:bookmarkStart w:id="20" w:name="_Toc112006920"/>
      <w:r>
        <w:rPr>
          <w:rFonts w:hint="eastAsia" w:ascii="宋体" w:hAnsi="宋体" w:eastAsia="宋体" w:cs="宋体"/>
          <w:b/>
          <w:color w:val="000000"/>
          <w:sz w:val="24"/>
          <w:szCs w:val="24"/>
        </w:rPr>
        <w:t xml:space="preserve">（十）定标：</w:t>
      </w:r>
      <w:bookmarkEnd w:id="19"/>
      <w:r/>
      <w:bookmarkEnd w:id="20"/>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bookmarkStart w:id="21" w:name="_Toc112006922"/>
      <w:r>
        <w:rPr>
          <w:rFonts w:hint="eastAsia" w:ascii="宋体" w:hAnsi="宋体" w:eastAsia="宋体" w:cs="宋体"/>
          <w:bCs/>
          <w:color w:val="000000" w:themeColor="text1"/>
          <w:sz w:val="24"/>
          <w:szCs w:val="24"/>
          <w14:textFill>
            <w14:solidFill>
              <w14:schemeClr w14:val="tx1"/>
            </w14:solidFill>
          </w14:textFill>
        </w:rPr>
        <w:t xml:space="preserve">1．评标委员会根据招标文件规定的评标方法和评标标准进行评审，按评审得分由高到低的原则推荐中标候选人，无锡市公共资源</w:t>
      </w:r>
      <w:r>
        <w:rPr>
          <w:rFonts w:hint="eastAsia" w:ascii="宋体" w:hAnsi="宋体" w:eastAsia="宋体" w:cs="宋体"/>
          <w:bCs/>
          <w:color w:val="000000" w:themeColor="text1"/>
          <w:sz w:val="24"/>
          <w:szCs w:val="24"/>
          <w14:textFill>
            <w14:solidFill>
              <w14:schemeClr w14:val="tx1"/>
            </w14:solidFill>
          </w14:textFill>
        </w:rPr>
        <w:t xml:space="preserve">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作解释。</w:t>
      </w:r>
      <w:r/>
    </w:p>
    <w:p>
      <w:pPr>
        <w:ind w:firstLine="480"/>
        <w:spacing w:line="500" w:lineRule="exact"/>
        <w:rPr>
          <w:rFonts w:hint="eastAsia" w:ascii="宋体" w:hAnsi="宋体" w:eastAsia="宋体" w:cs="宋体"/>
          <w:bCs/>
          <w:color w:val="ff0000"/>
          <w:sz w:val="24"/>
          <w:szCs w:val="24"/>
        </w:rPr>
      </w:pPr>
      <w:r>
        <w:rPr>
          <w:rFonts w:hint="eastAsia" w:ascii="宋体" w:hAnsi="宋体" w:eastAsia="宋体" w:cs="宋体"/>
          <w:bCs/>
          <w:color w:val="000000" w:themeColor="text1"/>
          <w:sz w:val="24"/>
          <w:szCs w:val="24"/>
          <w14:textFill>
            <w14:solidFill>
              <w14:schemeClr w14:val="tx1"/>
            </w14:solidFill>
          </w14:textFill>
        </w:rPr>
        <w:t xml:space="preserve">2．在发布中标公告的同时，无锡市公共资源交易中心锡山分</w:t>
      </w:r>
      <w:r>
        <w:rPr>
          <w:rFonts w:hint="eastAsia" w:ascii="宋体" w:hAnsi="宋体" w:eastAsia="宋体" w:cs="宋体"/>
          <w:bCs/>
          <w:color w:val="000000" w:themeColor="text1"/>
          <w:sz w:val="24"/>
          <w:szCs w:val="24"/>
          <w14:textFill>
            <w14:solidFill>
              <w14:schemeClr w14:val="tx1"/>
            </w14:solidFill>
          </w14:textFill>
        </w:rPr>
        <w:t xml:space="preserve">中心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3．投标供应商电子投标文件将作为电子档案保存。</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（十一）废标的确认：</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在招标采购中，出现下列情况之一的，应予废标：</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1．符合专业条件的供应商或者对招标文件作出实质性响应的供应商不足三家；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2．出现影响采购公正的违法、违规行为；</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3．供应商的报价均超过采购预算，采购人不能支付的；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4．因重大变故，采购任务取消。</w:t>
      </w:r>
      <w:bookmarkEnd w:id="21"/>
      <w:r/>
      <w:r/>
    </w:p>
    <w:p>
      <w:pPr>
        <w:ind w:firstLine="482"/>
        <w:spacing w:line="360" w:lineRule="auto"/>
        <w:rPr>
          <w:rFonts w:hint="eastAsia" w:ascii="宋体" w:hAnsi="宋体" w:eastAsia="宋体" w:cs="宋体"/>
          <w:b/>
          <w:color w:val="000000"/>
          <w:sz w:val="24"/>
          <w:szCs w:val="24"/>
        </w:rPr>
      </w:pPr>
      <w:r/>
      <w:bookmarkStart w:id="22" w:name="_Toc112006923"/>
      <w:r>
        <w:rPr>
          <w:rFonts w:hint="eastAsia" w:ascii="宋体" w:hAnsi="宋体" w:eastAsia="宋体" w:cs="宋体"/>
          <w:b/>
          <w:color w:val="000000"/>
          <w:sz w:val="24"/>
          <w:szCs w:val="24"/>
        </w:rPr>
        <w:t xml:space="preserve">（十二）中标无效的确认：</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1.1提供虚假材料谋取中标的；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1.2采取不正当手段诋毁、排挤其他供应商的；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1.3与招标采购单位、其他供应商恶意串通的；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1.4向招标采购单位行贿或者提供其他不正当利益的；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1.6拒绝有关部门监督检查或者提供虚假情况的。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2"/>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2.有下列情形之一的，视为投标人串通投标，投标无效：</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2.1不同投标人的投标文件由同一单位或者个人编制。</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2.2不同投标人委托同一单位或者个人办理投标事宜。</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2.4不同投标人的投标文件异常一致或者投标报价呈规律性差异。</w:t>
      </w:r>
      <w:r/>
    </w:p>
    <w:p>
      <w:pPr>
        <w:ind w:firstLine="482"/>
        <w:spacing w:line="360" w:lineRule="auto"/>
        <w:rPr>
          <w:rFonts w:hint="eastAsia" w:ascii="宋体" w:hAnsi="宋体" w:eastAsia="宋体" w:cs="宋体"/>
          <w:b/>
          <w:color w:val="000000"/>
          <w:sz w:val="24"/>
          <w:szCs w:val="24"/>
        </w:rPr>
      </w:pPr>
      <w:r/>
      <w:bookmarkStart w:id="23" w:name="_Toc112006924"/>
      <w:r>
        <w:rPr>
          <w:rFonts w:hint="eastAsia" w:ascii="宋体" w:hAnsi="宋体" w:eastAsia="宋体" w:cs="宋体"/>
          <w:b/>
          <w:color w:val="000000"/>
          <w:sz w:val="24"/>
          <w:szCs w:val="24"/>
        </w:rPr>
        <w:t xml:space="preserve">（十三）签订、履行合同：</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3．中标供应商非因不可抗力未履行招、投标文件和合同规定的义务，一经查实，无锡市公共资源交易中心锡山分中心将根据具体情况提请政府采购管理部门作出相应处理。</w:t>
      </w:r>
      <w:bookmarkEnd w:id="23"/>
      <w:r/>
      <w:r/>
    </w:p>
    <w:p>
      <w:pPr>
        <w:ind w:firstLine="482"/>
        <w:spacing w:line="360" w:lineRule="auto"/>
        <w:rPr>
          <w:rFonts w:hint="eastAsia" w:ascii="宋体" w:hAnsi="宋体" w:eastAsia="宋体" w:cs="宋体"/>
          <w:b/>
          <w:color w:val="000000"/>
          <w:sz w:val="24"/>
          <w:szCs w:val="24"/>
        </w:rPr>
      </w:pPr>
      <w:r/>
      <w:bookmarkStart w:id="24" w:name="_Toc112006925"/>
      <w:r>
        <w:rPr>
          <w:rFonts w:hint="eastAsia" w:ascii="宋体" w:hAnsi="宋体" w:eastAsia="宋体" w:cs="宋体"/>
          <w:b/>
          <w:color w:val="000000"/>
          <w:sz w:val="24"/>
          <w:szCs w:val="24"/>
        </w:rPr>
        <w:t xml:space="preserve">（十四）注意事项：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（1）中标后无正当理由不与采购人签订合同的；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（3）拒绝履行合同义务的。</w:t>
      </w:r>
      <w:r/>
    </w:p>
    <w:p>
      <w:pPr>
        <w:ind w:firstLine="480"/>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（十五）质疑处理</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eastAsia="宋体" w:cs="宋体"/>
          <w:bCs/>
          <w:color w:val="000000" w:themeColor="text1"/>
          <w:sz w:val="24"/>
          <w:szCs w:val="24"/>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（十六）中标服务费：</w:t>
      </w:r>
      <w:bookmarkEnd w:id="24"/>
      <w:r>
        <w:rPr>
          <w:rFonts w:hint="eastAsia" w:ascii="宋体" w:hAnsi="宋体" w:eastAsia="宋体" w:cs="宋体"/>
          <w:b/>
          <w:color w:val="000000"/>
          <w:sz w:val="24"/>
          <w:szCs w:val="24"/>
        </w:rPr>
        <w:t xml:space="preserve"> </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本次招标，无锡市公共资源交易中心锡山分中心为中标供应商提供免费服务，不收取中标服务费。</w:t>
      </w:r>
      <w:r/>
    </w:p>
    <w:p>
      <w:pPr>
        <w:pStyle w:val="1120"/>
        <w:ind w:firstLine="422"/>
        <w:jc w:val="both"/>
        <w:keepLines w:val="0"/>
        <w:keepNext w:val="0"/>
        <w:spacing w:before="0" w:after="0" w:line="500" w:lineRule="exac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br w:type="page" w:clear="all"/>
      </w:r>
      <w:r/>
    </w:p>
    <w:p>
      <w:pPr>
        <w:numPr>
          <w:ilvl w:val="0"/>
          <w:numId w:val="4"/>
        </w:numPr>
        <w:jc w:val="center"/>
        <w:spacing w:line="360" w:lineRule="auto"/>
        <w:rPr>
          <w:rFonts w:hint="eastAsia" w:ascii="宋体" w:hAnsi="宋体" w:eastAsia="宋体" w:cs="宋体"/>
          <w:b/>
          <w:sz w:val="36"/>
          <w:szCs w:val="36"/>
          <w:lang w:bidi="ar"/>
        </w:rPr>
      </w:pPr>
      <w:r/>
      <w:bookmarkStart w:id="25" w:name="OLE_LINK41"/>
      <w:r>
        <w:rPr>
          <w:rFonts w:hint="eastAsia" w:ascii="宋体" w:hAnsi="宋体" w:eastAsia="宋体" w:cs="宋体"/>
          <w:b/>
          <w:sz w:val="36"/>
          <w:szCs w:val="36"/>
          <w:lang w:bidi="ar"/>
        </w:rPr>
        <w:t xml:space="preserve">项目要求和有关说明</w:t>
      </w:r>
      <w:bookmarkEnd w:id="25"/>
      <w:r/>
      <w:r/>
    </w:p>
    <w:p>
      <w:pPr>
        <w:ind w:firstLine="480"/>
        <w:spacing w:after="5" w:line="360" w:lineRule="auto"/>
        <w:rPr>
          <w:rFonts w:hint="eastAsia" w:ascii="宋体" w:hAnsi="宋体" w:eastAsia="宋体" w:cs="宋体"/>
          <w:bCs/>
          <w:sz w:val="24"/>
          <w:highlight w:val="none"/>
        </w:rPr>
      </w:pP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lang w:val="en-US" w:eastAsia="zh-CN"/>
        </w:rPr>
        <w:t xml:space="preserve">为江苏省怀仁中学委托的</w:t>
      </w:r>
      <w:r>
        <w:rPr>
          <w:rFonts w:hint="eastAsia" w:ascii="宋体" w:hAnsi="宋体" w:eastAsia="宋体" w:cs="宋体"/>
          <w:sz w:val="24"/>
          <w:szCs w:val="24"/>
          <w:highlight w:val="none"/>
          <w:lang w:eastAsia="zh-CN"/>
        </w:rPr>
        <w:t xml:space="preserve">江苏省怀仁中学实验室设备购置项目</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本项目核心产品为：</w:t>
      </w:r>
      <w:r>
        <w:rPr>
          <w:rFonts w:hint="eastAsia" w:ascii="宋体" w:hAnsi="宋体" w:eastAsia="宋体" w:cs="宋体"/>
          <w:b/>
          <w:bCs/>
          <w:sz w:val="24"/>
          <w:szCs w:val="24"/>
          <w:highlight w:val="none"/>
        </w:rPr>
        <w:t xml:space="preserve">学生实验桌</w:t>
      </w:r>
      <w:r>
        <w:rPr>
          <w:rFonts w:hint="eastAsia" w:ascii="宋体" w:hAnsi="宋体" w:eastAsia="宋体" w:cs="宋体"/>
          <w:sz w:val="24"/>
          <w:szCs w:val="24"/>
          <w:highlight w:val="none"/>
        </w:rPr>
        <w:t xml:space="preserve">。投标人所投内容必须满足以下要求，不得有负偏离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若不满足视为无效投标文件</w:t>
      </w:r>
      <w:r>
        <w:rPr>
          <w:rFonts w:hint="eastAsia" w:ascii="宋体" w:hAnsi="宋体" w:eastAsia="宋体"/>
          <w:color w:val="000000"/>
          <w:sz w:val="24"/>
          <w:szCs w:val="24"/>
          <w:highlight w:val="none"/>
        </w:rPr>
        <w:t xml:space="preserve">。</w:t>
      </w:r>
      <w:r>
        <w:rPr>
          <w:rFonts w:hint="eastAsia" w:ascii="宋体" w:hAnsi="宋体" w:eastAsia="宋体" w:cs="宋体"/>
          <w:bCs/>
          <w:sz w:val="24"/>
          <w:highlight w:val="none"/>
        </w:rPr>
        <w:t xml:space="preserve">项目需求如下：</w:t>
      </w:r>
      <w:r/>
    </w:p>
    <w:p>
      <w:pPr>
        <w:pStyle w:val="1569"/>
        <w:numPr>
          <w:ilvl w:val="1"/>
          <w:numId w:val="0"/>
        </w:numPr>
        <w:rPr>
          <w:rFonts w:hint="eastAsia"/>
          <w:highlight w:val="none"/>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本项目属性：货物类</w:t>
      </w:r>
      <w:r/>
    </w:p>
    <w:p>
      <w:pPr>
        <w:spacing w:after="5"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）项目基本情况：</w:t>
      </w:r>
      <w:r/>
    </w:p>
    <w:p>
      <w:pPr>
        <w:pStyle w:val="1429"/>
        <w:ind w:firstLine="480"/>
        <w:jc w:val="left"/>
        <w:spacing w:line="360" w:lineRule="auto"/>
        <w:tabs>
          <w:tab w:val="left" w:pos="1080" w:leader="none"/>
        </w:tabs>
        <w:rPr>
          <w:rFonts w:ascii="宋体" w:hAnsi="宋体"/>
          <w:sz w:val="24"/>
          <w:szCs w:val="24"/>
          <w:highlight w:val="none"/>
        </w:rPr>
      </w:pPr>
      <w:r>
        <w:rPr>
          <w:rFonts w:hint="eastAsia" w:ascii="宋体" w:hAnsi="宋体"/>
          <w:sz w:val="24"/>
          <w:szCs w:val="24"/>
          <w:highlight w:val="none"/>
        </w:rPr>
        <w:t xml:space="preserve">1、项目地址：江苏省怀仁中学。</w:t>
      </w:r>
      <w:r/>
    </w:p>
    <w:p>
      <w:pPr>
        <w:pStyle w:val="1429"/>
        <w:ind w:firstLine="480"/>
        <w:jc w:val="left"/>
        <w:spacing w:line="360" w:lineRule="auto"/>
        <w:tabs>
          <w:tab w:val="left" w:pos="1080" w:leader="none"/>
        </w:tabs>
        <w:rPr>
          <w:rFonts w:ascii="宋体" w:hAnsi="宋体"/>
          <w:sz w:val="24"/>
          <w:szCs w:val="24"/>
          <w:highlight w:val="none"/>
        </w:rPr>
      </w:pPr>
      <w:r>
        <w:rPr>
          <w:rFonts w:hint="eastAsia" w:ascii="宋体" w:hAnsi="宋体"/>
          <w:sz w:val="24"/>
          <w:szCs w:val="24"/>
          <w:highlight w:val="none"/>
        </w:rPr>
        <w:t xml:space="preserve">2、采购范围：清单范围内的</w:t>
      </w:r>
      <w:r>
        <w:rPr>
          <w:rFonts w:hint="eastAsia" w:ascii="宋体" w:hAnsi="宋体" w:cs="宋体"/>
          <w:bCs/>
          <w:sz w:val="24"/>
          <w:szCs w:val="24"/>
          <w:highlight w:val="none"/>
          <w:lang w:eastAsia="zh-CN"/>
        </w:rPr>
        <w:t xml:space="preserve">江苏省怀仁中学实验室设备购置项目</w:t>
      </w:r>
      <w:r>
        <w:rPr>
          <w:rFonts w:hint="eastAsia" w:ascii="宋体" w:hAnsi="宋体"/>
          <w:sz w:val="24"/>
          <w:szCs w:val="24"/>
          <w:highlight w:val="none"/>
        </w:rPr>
        <w:t xml:space="preserve">。</w:t>
      </w:r>
      <w:r>
        <w:rPr>
          <w:rFonts w:hint="eastAsia" w:ascii="宋体" w:hAnsi="宋体"/>
          <w:sz w:val="24"/>
          <w:szCs w:val="24"/>
          <w:highlight w:val="none"/>
        </w:rPr>
      </w:r>
      <w:r/>
    </w:p>
    <w:p>
      <w:pPr>
        <w:pStyle w:val="1429"/>
        <w:ind w:firstLine="480"/>
        <w:jc w:val="left"/>
        <w:spacing w:line="360" w:lineRule="auto"/>
        <w:tabs>
          <w:tab w:val="left" w:pos="1080" w:leader="none"/>
        </w:tabs>
        <w:rPr>
          <w:rFonts w:ascii="宋体" w:hAnsi="宋体"/>
          <w:sz w:val="24"/>
          <w:szCs w:val="24"/>
          <w:highlight w:val="none"/>
          <w:lang w:val="zh-CN"/>
        </w:rPr>
      </w:pPr>
      <w:r>
        <w:rPr>
          <w:rFonts w:hint="eastAsia" w:ascii="宋体" w:hAnsi="宋体"/>
          <w:sz w:val="24"/>
          <w:szCs w:val="24"/>
          <w:highlight w:val="none"/>
        </w:rPr>
        <w:t xml:space="preserve">3</w:t>
      </w:r>
      <w:r>
        <w:rPr>
          <w:rFonts w:hint="eastAsia" w:ascii="宋体" w:hAnsi="宋体"/>
          <w:sz w:val="24"/>
          <w:szCs w:val="24"/>
          <w:highlight w:val="none"/>
          <w:lang w:val="zh-CN"/>
        </w:rPr>
        <w:t xml:space="preserve">、供货期：</w:t>
      </w:r>
      <w:r>
        <w:rPr>
          <w:rFonts w:hint="eastAsia" w:ascii="宋体" w:hAnsi="宋体" w:cs="宋体"/>
          <w:bCs/>
          <w:sz w:val="24"/>
          <w:szCs w:val="24"/>
          <w:highlight w:val="none"/>
        </w:rPr>
        <w:t xml:space="preserve">合同签订后30日历天</w:t>
      </w:r>
      <w:r>
        <w:rPr>
          <w:rFonts w:hint="eastAsia" w:ascii="宋体" w:hAnsi="宋体" w:eastAsia="宋体" w:cs="宋体"/>
          <w:color w:val="000000"/>
          <w:sz w:val="24"/>
          <w:szCs w:val="24"/>
          <w:highlight w:val="none"/>
          <w:lang w:eastAsia="zh-CN"/>
        </w:rPr>
        <w:t xml:space="preserve">内到货并安装完毕交付使用</w:t>
      </w:r>
      <w:r>
        <w:rPr>
          <w:rFonts w:hint="eastAsia" w:ascii="宋体" w:hAnsi="宋体"/>
          <w:sz w:val="24"/>
          <w:szCs w:val="24"/>
          <w:highlight w:val="none"/>
        </w:rPr>
        <w:t xml:space="preserve">。</w:t>
      </w:r>
      <w:r/>
    </w:p>
    <w:p>
      <w:pPr>
        <w:pStyle w:val="1429"/>
        <w:ind w:firstLine="480"/>
        <w:jc w:val="left"/>
        <w:spacing w:line="360" w:lineRule="auto"/>
        <w:tabs>
          <w:tab w:val="left" w:pos="1080" w:leader="none"/>
        </w:tabs>
        <w:rPr>
          <w:rFonts w:ascii="宋体" w:hAnsi="宋体"/>
          <w:sz w:val="24"/>
          <w:szCs w:val="24"/>
          <w:highlight w:val="none"/>
        </w:rPr>
      </w:pPr>
      <w:r>
        <w:rPr>
          <w:rFonts w:hint="eastAsia" w:ascii="宋体" w:hAnsi="宋体"/>
          <w:sz w:val="24"/>
          <w:szCs w:val="24"/>
          <w:highlight w:val="none"/>
        </w:rPr>
        <w:t xml:space="preserve">4、项目整体免费质保期：自验收合格之日起3年。</w:t>
      </w:r>
      <w:r/>
    </w:p>
    <w:p>
      <w:pPr>
        <w:pStyle w:val="1429"/>
        <w:ind w:firstLine="480"/>
        <w:jc w:val="left"/>
        <w:spacing w:line="360" w:lineRule="auto"/>
        <w:tabs>
          <w:tab w:val="left" w:pos="1080" w:leader="none"/>
        </w:tabs>
        <w:rPr>
          <w:rFonts w:hint="eastAsia" w:ascii="宋体" w:hAnsi="宋体" w:eastAsia="宋体"/>
          <w:color w:val="0000ff"/>
          <w:sz w:val="24"/>
          <w:szCs w:val="24"/>
          <w:highlight w:val="none"/>
          <w:lang w:eastAsia="zh-CN"/>
        </w:rPr>
      </w:pPr>
      <w:r>
        <w:rPr>
          <w:rFonts w:hint="eastAsia" w:ascii="宋体" w:hAnsi="宋体"/>
          <w:color w:val="auto"/>
          <w:sz w:val="24"/>
          <w:szCs w:val="24"/>
          <w:highlight w:val="none"/>
        </w:rPr>
        <w:t xml:space="preserve">5、付款方式：</w:t>
      </w:r>
      <w:r>
        <w:rPr>
          <w:rFonts w:hint="eastAsia" w:ascii="宋体" w:hAnsi="宋体" w:eastAsia="宋体"/>
          <w:color w:val="auto"/>
          <w:sz w:val="24"/>
          <w:szCs w:val="24"/>
          <w:highlight w:val="none"/>
        </w:rPr>
        <w:t xml:space="preserve">供货</w:t>
      </w:r>
      <w:r>
        <w:rPr>
          <w:rFonts w:hint="eastAsia" w:ascii="宋体" w:hAnsi="宋体"/>
          <w:color w:val="auto"/>
          <w:sz w:val="24"/>
          <w:szCs w:val="24"/>
          <w:highlight w:val="none"/>
          <w:lang w:eastAsia="zh-CN"/>
        </w:rPr>
        <w:t xml:space="preserve">完成</w:t>
      </w:r>
      <w:r>
        <w:rPr>
          <w:rFonts w:hint="eastAsia" w:ascii="宋体" w:hAnsi="宋体" w:eastAsia="宋体"/>
          <w:color w:val="auto"/>
          <w:sz w:val="24"/>
          <w:szCs w:val="24"/>
          <w:highlight w:val="none"/>
        </w:rPr>
        <w:t xml:space="preserve">，安装调试完成验收合格后，支付合同价的80%，验收合格满两年后支付合同价的10%，验收合格满三年后付清（不计息）</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采购人原则上应当自收到发票后10个工作日内将资金支付到合同约定的供应商账户。若中标人未能按期开具发票，采购人可顺延付款。</w:t>
      </w:r>
      <w:r/>
    </w:p>
    <w:p>
      <w:pPr>
        <w:pStyle w:val="1429"/>
        <w:ind w:left="0" w:firstLine="0"/>
        <w:jc w:val="left"/>
        <w:spacing w:line="360" w:lineRule="auto"/>
        <w:tabs>
          <w:tab w:val="left" w:pos="1080" w:leader="none"/>
        </w:tabs>
        <w:rPr>
          <w:rFonts w:hint="eastAsia" w:ascii="黑体" w:hAnsi="黑体" w:eastAsia="黑体" w:cs="黑体"/>
          <w:color w:val="000000"/>
          <w:sz w:val="24"/>
          <w:szCs w:val="24"/>
          <w:highlight w:val="none"/>
        </w:rPr>
      </w:pPr>
      <w:r>
        <w:rPr>
          <w:rFonts w:hint="eastAsia" w:ascii="宋体" w:hAnsi="宋体"/>
          <w:sz w:val="24"/>
          <w:szCs w:val="24"/>
          <w:highlight w:val="none"/>
        </w:rPr>
        <w:t xml:space="preserve">本项目为货物采购，其中货物采购标的及对应的中小企业划分标准所属行业如下</w:t>
      </w:r>
      <w:r>
        <w:rPr>
          <w:rFonts w:hint="eastAsia" w:ascii="宋体" w:hAnsi="宋体"/>
          <w:sz w:val="24"/>
          <w:szCs w:val="24"/>
        </w:rPr>
        <w:t xml:space="preserve">表</w:t>
      </w:r>
      <w:r>
        <w:rPr>
          <w:rFonts w:hint="eastAsia" w:ascii="宋体" w:hAnsi="宋体"/>
          <w:sz w:val="24"/>
          <w:szCs w:val="24"/>
          <w:lang w:eastAsia="zh-CN"/>
        </w:rPr>
        <w:t xml:space="preserve">：</w:t>
      </w:r>
      <w:r/>
    </w:p>
    <w:tbl>
      <w:tblPr>
        <w:tblStyle w:val="914"/>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5"/>
        <w:gridCol w:w="1811"/>
        <w:gridCol w:w="1811"/>
        <w:gridCol w:w="825"/>
        <w:gridCol w:w="2155"/>
        <w:gridCol w:w="1934"/>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所属行业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推拉黑板</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采集器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教师演示讲台1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传感器数据显示模块</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实验室专用水槽及下水装置</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实验室专用龙头</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三维磁感应强度传感器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力传感器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实验桌接线箱</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微力传感器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位移传感器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教师电源控制系统</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光电门传感器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学生低压电源</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声波/声级传感器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抽斗电源</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边台1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智能系统控制柜</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加速度传感器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多功能集中控制系统</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一体式位移传感器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顶部多模块电源供应装置</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模块储藏装置</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多量程电压传感器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低压电源模块</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数字静电实验器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高压电源模块</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日照辐射传感器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智能升降机构</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红外温度传感器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旋片式真空泵</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G-M 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打气筒</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频率传感器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吹风机</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交流电压传感器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交流电流传感器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水准器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电子罗盘传感器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充磁器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铝合金箱</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智能力盘实验器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移液器1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多用力学轨道</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物理支架</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智能机械能守恒实验器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斜面上力的分解实验器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多功能实验支架</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机械能守恒实验器I</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升降台</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环形线圈</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高中学生电源</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通电螺线管</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数字化摩擦力实验器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实验电源</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远红外实验用加热器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安培力实验器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感应圈</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电阻定律实验器2</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直流高压电源</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电磁定位系统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教学用铅酸蓄电池充电器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魔板-单摆实验器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木直尺</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魔板-机械能守恒实验器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魔板-离心轨道实验器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魔板-阻尼振动实验器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游标卡尺1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魔板—自由落体运动实验器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游标卡尺2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魔板—圆周运动实验器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游标卡尺3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方块电路-高中学生版</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外径千分尺（螺旋测微器）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法拉第电磁感应（定律）实验器 Ⅰ</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数显游标卡尺</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法拉第电磁感应（定律）实验器Ⅱ</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智能电源</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指针式体重计</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牛顿管实验器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玻璃导电实验器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金属槽码</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温差电流实验器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机械停表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电磁感应与楞次定律实验器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电火花计时器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光电计时测距实验器 （ π系统）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电磁打点计时器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等势线描绘仪</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数字计时器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魔板-凹凸桥实验器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频闪光源</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光学实验系统-高中版</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实验室用红液温度测量器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火箭飞行记录仪</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实验室用水银温度测量器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无线向心力实验器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实验室用演示温度测量器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磁感应强度传感器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实验室用数字测温测量器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条形盒测力计1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条形盒测力计2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条形盒测力计3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学生探究桌一</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圆筒测力计</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学生探究桌二</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平板测力计</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万向吸风罩</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圆盘测力计</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室内通风管</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演示测力计</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室外行程通风管</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拉压测力计</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通风风机</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学生数字测力计</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高温传感器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数字演示电表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pH 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直流电流表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多量程电导率传感器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直流电压表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分光光度计Ⅰ</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浊度传感器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二氧化硫传感器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演示电流电压表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氧气传感器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演示微电流电阻表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教学示波器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钾离子传感器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电阻箱1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氯离子传感器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电阻箱2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铵根传感器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圆柱体组</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氢气传感器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螺旋弹簧组</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传感器专用充电线</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摩擦力演示器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中和滴定实验器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微小形变演示器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多用途生化传感器支架</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滚摆</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移液器2</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离心轨道</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多向转接头</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毛钱管（牛顿管）</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电磁搅拌器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伽利略理想斜面演示器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中和热实验器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运动合成分解演示器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演示轨道小车</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一种溶液稀释池</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轨道小车</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多用途密封塞</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演示斜面小车</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气垫导轨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小型气源</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防爆湿温度计</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自由落体实验仪</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防爆摄像头</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牛顿第二定律演示仪</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防爆轴流风机</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反冲运动演示器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喷淋洗眼器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超重失重演示器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室内防爆灯</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平抛竖落仪</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室内静电接地排</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平抛运动实验器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防爆型PLC 控制联动主机</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碰撞实验器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PLC 信号接收系统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向心力演示器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自动灭火系统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动量传递演示器（碰撞球）</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防爆空调</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音叉1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泄爆窗</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音叉2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防爆膜贴敷</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纵波演示器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防盗窗</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共振音叉</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防火防爆门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绳波演示仪</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相对压强传感器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波动弹簧</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色度传感器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发波水槽</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溶解氧传感器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弹簧振子</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相对湿度传感器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弹簧振子振动图像描绘器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实验室用心率传感器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简谐振动投影演示仪器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实验室用心电图传感器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单摆组</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实验室用呼吸率传感器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单摆振动图像演示器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双量程光照度传感器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单摆运动规律演示器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流速温度仪</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受迫振动和共振演示器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充气筒</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共振演示器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内聚力演示器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溶液稀释池</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空气压缩引火仪</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双金属片</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超声波清洗机</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气体做功内能减少演示器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磁力搅拌器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油膜实验器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PH计</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浸润和不浸润现象演示器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电子分析天平</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液体表面张力演示器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微量可调移液器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道尔顿板</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移液器架</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玻意耳定律演示器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实验室纯水器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盖·吕萨克定律演示器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高压灭菌锅</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玻棒（附丝绸）</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电热鼓风干燥箱</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胶棒（附毛皮）</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超净工作台</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箔片验电器（教师用）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接种器械灭菌器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指针验电器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智能光照培养箱</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感应起电机</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智能光照培养架</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枕形导体</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炼苗架</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振荡培养箱</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单刀开关</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电热恒温培养箱</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滑动变阻器1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五层立体无土栽培箱</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滑动变阻器2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植物生长记录仪</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滑动变阻器3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接种器械</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电阻圈</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组培试剂盒</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电阻定律演示器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台式高速离心机</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电阻定律实验器1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实验用吸头套装</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教学电阻箱</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组培苗</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简式电阻箱</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照度计</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温湿度计</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实验服</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范氏起电机</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边台3</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球形导体</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中央实验台</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验电器连接杆</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衣帽柜</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验电球</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验电羽</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电磁炉</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验电幡</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净化板隔断</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尖形布电器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净化门</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正负电荷检验器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无尘照明灯</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静电实验箱</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平板照明灯</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金属网罩</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紫外灭菌系统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电荷间作用力演示器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净化通风系统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电场线演示器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风淋室</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电势演示仪</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传递窗</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平行板电容器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透视窗</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电场中带电粒子运动模拟演示器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无菌区域吊顶</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常用电容器示教板</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常规吊顶</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常用电阻器示教板</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演示可调内阻电池</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教师演示讲台2</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学生桌</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蹄形磁铁1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边台4</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蹄形磁铁2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吊柜</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立体磁感线演示器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工具墙</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电流磁场演示器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金属弓型臂微型安全锯床</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菱形小磁针</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金属微型安全磨床</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演示原副线圈</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手持机床</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原副线圈</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机床底座</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一分三集合电源</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左右手定则演示器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桌面微型激光雕刻机</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手摇交直流发电机</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通用技术课程套件</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阴极射线管</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编程无人机</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低频信号发生器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竞赛包</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高频信号发生器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竞赛场地套装</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教学信号发生器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无人机备件</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强磁针</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航拍无人机</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通电平行直导线相互作用演示器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平面地形地球仪1</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电流天平</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平面政区地球仪</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安培力演示器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平面地形地球仪2</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自感现象演示器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立体地形地球仪</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电磁感应演示器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平面两用地球仪</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楞次定律演示器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经纬度模型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电磁阻尼演示器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板块构造及地表形态模型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动能发电手电筒</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褶皱构造及地貌演变模型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单匝线圈电机原理演示器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断裂构造及地垒地堑发育模型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交流电路特性演示器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地球内部构造模型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可拆变压器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地壳变动模型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小型变压器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褶皱侵蚀与断层演示组合模型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变压器原理说明器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岛屿成因演示模型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调压变压器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海底地形模型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日光灯原理演示器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沉积地层模型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电子束演示器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指南针</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门电路和传感器应用实验箱</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世界钟</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电学元件黑箱</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学生野外实践组合包</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电子元器件实验盒</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地形地貌模型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电磁波的产生和接收演示仪</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天文历</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玻璃砖</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活动星空盘</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光具座</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土壤标本</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地理知识展板</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激光光学演示仪</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地理知识卷帘</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微型物理光学观察器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地理讲台</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双缝干涉实验仪</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单人学生桌</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牛顿环</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地理模型展柜</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光导纤维应用演示器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教师桌椅</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光的偏振观察器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仿古学生桌</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光谱管组</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仿古学生凳</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光电效应演示器1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历史模型展柜</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光电效应演示器2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编木拱桥演示模型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太阳能电池演示器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历史农耕文化实验套装</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盖革计数器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帘床纸模古法造纸术实验套装</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磁分子模型</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青铜器浇筑实验套装</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晶体空间点阵模型</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殷墟甲骨文模型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高压输变电模拟演示器</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汉竹木简模型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实验室用量筒1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地动仪模型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实验室用量筒2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人面鱼纹陶瓷盆模型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实验室用量筒3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四羊方尊模型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实验室用量杯</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司母戊鼎</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实验室用移液管</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货币模型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实验室用试管</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曲辕犁</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实验室用烧杯1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古钱币模型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实验室用烧杯2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筒车</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实验室用烧瓶1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辘轳模型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实验室用烧瓶2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连击水碓模型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实验室用酒精灯</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冶铁水排模型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实验室用漏斗</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司南模型</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实验室用分液漏斗</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唐三彩载乐俑</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实验室用平底管</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兵马俑</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实验室用T形管</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铜车马</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马踏飞燕</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十二字砖</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尖底陶瓶</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扩声音箱</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猪纹陶钵</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实验示教终端机</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黑陶高柄杯</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互动示教系统</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三星堆青铜立人像</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探究操作台</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北京人头像</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岛式插座</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历史知识卷帘</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边台2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历史知识展板</w:t>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1429"/>
        <w:ind w:left="0" w:firstLine="0"/>
        <w:jc w:val="left"/>
        <w:spacing w:line="360" w:lineRule="auto"/>
        <w:tabs>
          <w:tab w:val="left" w:pos="1080" w:leader="none"/>
        </w:tabs>
        <w:rPr>
          <w:rFonts w:hint="eastAsia" w:ascii="宋体" w:hAnsi="宋体"/>
          <w:sz w:val="24"/>
          <w:szCs w:val="24"/>
          <w:highlight w:val="none"/>
          <w:lang w:eastAsia="zh-CN"/>
        </w:rPr>
      </w:pPr>
      <w:r>
        <w:rPr>
          <w:rFonts w:hint="eastAsia" w:ascii="宋体" w:hAnsi="宋体"/>
          <w:sz w:val="24"/>
          <w:szCs w:val="24"/>
          <w:highlight w:val="none"/>
          <w:lang w:eastAsia="zh-CN"/>
        </w:rPr>
      </w:r>
      <w:r/>
    </w:p>
    <w:p>
      <w:pPr>
        <w:spacing w:after="5" w:line="360" w:lineRule="auto"/>
        <w:rPr>
          <w:rFonts w:hint="eastAsia" w:ascii="宋体" w:hAnsi="宋体" w:eastAsia="黑体"/>
          <w:color w:val="000000"/>
          <w:sz w:val="24"/>
          <w:szCs w:val="24"/>
          <w:highlight w:val="none"/>
          <w:lang w:val="en-US" w:eastAsia="zh-CN"/>
        </w:rPr>
      </w:pPr>
      <w:r>
        <w:rPr>
          <w:rFonts w:hint="eastAsia" w:ascii="黑体" w:hAnsi="黑体" w:eastAsia="黑体" w:cs="黑体"/>
          <w:color w:val="000000"/>
          <w:sz w:val="24"/>
          <w:szCs w:val="24"/>
          <w:highlight w:val="none"/>
        </w:rPr>
        <w:t xml:space="preserve">采购清单</w:t>
      </w:r>
      <w:r>
        <w:rPr>
          <w:rFonts w:hint="eastAsia" w:ascii="黑体" w:hAnsi="黑体" w:eastAsia="黑体" w:cs="黑体"/>
          <w:color w:val="000000"/>
          <w:sz w:val="24"/>
          <w:szCs w:val="24"/>
          <w:highlight w:val="none"/>
          <w:lang w:val="en-US" w:eastAsia="zh-CN"/>
        </w:rPr>
        <w:t xml:space="preserve">及技术参数</w:t>
      </w:r>
      <w:r/>
    </w:p>
    <w:tbl>
      <w:tblPr>
        <w:tblStyle w:val="914"/>
        <w:tblW w:w="5410" w:type="pct"/>
        <w:tblInd w:w="-56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3"/>
        <w:gridCol w:w="1119"/>
        <w:gridCol w:w="6848"/>
        <w:gridCol w:w="685"/>
        <w:gridCol w:w="665"/>
      </w:tblGrid>
      <w:tr>
        <w:trPr>
          <w:trHeight w:val="212"/>
        </w:trPr>
        <w:tc>
          <w:tcPr>
            <w:gridSpan w:val="5"/>
            <w:tcBorders>
              <w:bottom w:val="non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00"/>
        </w:trPr>
        <w:tc>
          <w:tcPr>
            <w:gridSpan w:val="3"/>
            <w:tcBorders>
              <w:top w:val="none" w:color="000000" w:sz="4" w:space="0"/>
              <w:bottom w:val="none" w:color="000000" w:sz="4" w:space="0"/>
              <w:right w:val="none" w:color="000000" w:sz="4" w:space="0"/>
            </w:tcBorders>
            <w:tcW w:w="432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分项采购明细清单</w:t>
            </w:r>
            <w:r/>
          </w:p>
        </w:tc>
        <w:tc>
          <w:tcPr>
            <w:tcBorders>
              <w:top w:val="none" w:color="000000" w:sz="4" w:space="0"/>
              <w:left w:val="none" w:color="000000" w:sz="4" w:space="0"/>
              <w:bottom w:val="none" w:color="000000" w:sz="4" w:space="0"/>
              <w:right w:val="none" w:color="000000" w:sz="4" w:space="0"/>
            </w:tcBorders>
            <w:tcW w:w="34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none" w:color="000000" w:sz="4" w:space="0"/>
              <w:left w:val="none" w:color="000000" w:sz="4" w:space="0"/>
              <w:bottom w:val="non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tbRlV"/>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号序</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型号及规格</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tbRlV"/>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r>
      <w:tr>
        <w:trPr>
          <w:trHeight w:val="600"/>
        </w:trPr>
        <w:tc>
          <w:tcPr>
            <w:gridSpan w:val="5"/>
            <w:tcBorders>
              <w:top w:val="single" w:color="000000" w:sz="4" w:space="0"/>
              <w:bottom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1.物理电学实验室</w:t>
            </w:r>
            <w:r/>
          </w:p>
        </w:tc>
      </w:tr>
      <w:tr>
        <w:trPr>
          <w:trHeight w:val="256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推拉黑板</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1.结构：内外双层结构，内层为两块固定书写板，外层为两块滑动书写板，居中预留一体机安装位置。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2.基本尺寸：4200mm×1350mm×175mm，可根据所配一体机适当调整，确保与86寸一体机有效配套。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3.书写板面：采用优质烤漆钢板，厚度≥0.4mm。板面为亚光墨绿色，方便教师书写整齐有序，视觉舒适，用眼不疲劳。</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4.内芯材料：选用高强度、吸音、防潮、阻燃聚苯乙烯板，厚度≥14mm。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5.背板：选用优质亚光彩涂钢板，每隔80mm设有20mm加强凹槽。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6.覆板：采用环保型双组份聚氨酯胶水，自动化流水线覆板作业，确保粘接牢固，板面平整。</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边框：上横框采用开放式双轨道。平行对称双U型自动纠偏设计，避免滑动时出现滑轮卡死现象，上下框的立面尺寸≥90mm，双壁成腔结构，不接受单层铝合金设计，壁厚≥1.0mm；边框经氧化、喷砂涂层处理，无明显眩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滑轮：每块活动板采用静音组合滑轮组两组（每组由4个轮子组成，采用工字型实心合金轮架，精密进口轴承，静音特种橡胶胎圈，下平轮双侧滑动结构滑轮组（每组两个轮子），保证滑动板滑动平稳顺畅无噪音，写字无晃动现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9.锁具：一把锁配两把钥匙，一个学校钥匙互开通用。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固定板连接：固定板须用子母绞扣式连接方式，无须另行拉铆固定，通过固定板与大框相互绞扣吃力，从而增加牢固性，不得用铝合金块或钢板支架拉铆固定，避免多年使用后出现铆钉脱落造成的框架松动散架等隐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包角材料及立框侧封板：采用圆形钝角抗老化高强度ABS工程塑料注塑成型。双壁成腔流线型设计，如配装一体机需采用≥170mm一体化加长包角，须采用≥170mm一体化立框或子母绞扣式连接，不得用拉铆钉直接拉铆拼接。</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12.限位档：黑板边框内部两侧安装橡胶材质滑动板限位档，符合书写板安全距离标准的设定，防止活动黑板开启时撞击立框的同时，预留的空间易于一体机维护。</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13.安全及环保性：书写板框架、外观、边缘接角、ABS配套材料、钢制托架、胶粘剂等黑板组件配件，不得出现斜薄边及尖角毛刺或其他安全隐患。</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教师演示讲台1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尺寸：3000*700*800mm±10mm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3.柜体：采用≥1.0mm优质高强度镀锌钢板，采用二氧化碳气体保护焊接，打磨处理，表面经耐酸碱粉末烤漆处理；整体结构设计合理；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4.拉手：采用不锈钢拉手，造型独特美观；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6.门板及抽面：采用双层钢板，必须两层组装式设计，保证两层双面都喷涂处理；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7.耐腐蚀连接件：采用ABS专用连接组装件；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8.不锈钢防腐合页：采用优质不锈钢模具一体成型；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9.防腐三节静音导轨：三节重型滚珠滑轨，承重性强，滑动性能良好，无噪音；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9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实验室专用水槽及下水装置</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1.尺寸：440*330*190mm±10mm；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2.材质：高密度PP一体成型的水槽，水封式水塞，有效防止下水管废气溢出，排水口有过滤装置，有耐酸碱耐热耐有机溶液的特性。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3138"/>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实验室专用龙头</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1.高度720mm±10mm；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2.臂弯：采用ø18*1mm的304不锈钢制造；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3.主体：采用ø21*1.8mm的黄铜制造；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4.进水管：采用ø20*1.75 mm管径的黄铜制造；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5.出水管：采用ø13*1 mm 管径的304不锈钢制造；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6.涂层：经环氧树脂耐酸碱粉末涂料热固处理，耐腐蚀、耐热，防紫外线辐射；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7.陶瓷阀芯：90°旋转，使用寿命开关要求达到50万次，静态最大耐压10 bar；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8.开关旋钮：高密度PP，人体工学设计，手感舒适。</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9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尺寸：1200*600*780mm±10mm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2.台面：采用≥12.7mm实芯理化板，耐酸碱，表面哑光，不反光防滑；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3.前横梁：采用61x38mm壁厚≥1.2mm的优质铝型材拉伸成型，材料表面经过防腐氧化处理和纯环氧树脂塑粉高温固化处理，具有较强的耐蚀性及承重性。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4.支撑横梁：采用12mm×100mm铝合金，带有两条加强抗变形的凹槽，材料表面经过防腐氧化处理和纯环氧树脂塑粉高温固化处理，具有较强的耐蚀性及承重性。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后挡板：采用120*30mm壁厚≥1.2mm的优质铝型材拉伸成型，材料表面经过防腐氧化处理和纯环氧树脂塑粉高温固化处理，具有较强的耐蚀性及承重性。造型截面为后端连续相切弧形，顶端高出台面45mm，可防止台面物体向后滑落并保护易碎物体不易被碰碎。带一凹槽，面板与后挡板镶嵌弹性橡胶条，防止试剂流入腐蚀铝型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采用100×50mm铝合金，内有6根至少1.0mm厚的加强筋。立柱壁厚≥1.5mm，横截面前R6圆角，后端45*8斜切再R6圆角，中心拥有两个m8螺丝固定孔，攻丝处理后用于连接顶底支撑脚，材料表面经过防腐氧化处理和纯环氧树脂塑粉高温固化处理，具有较强的耐蚀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7.支撑脚：采用≥3.3mm厚的铝材压铸一次性成型，两侧弧形圆角，弧度和立柱的弧度吻合，材料表面经过防腐氧化处理和纯环氧树脂塑粉高温固化处理，具有较强的耐蚀性及承重性。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8.多功能可调地脚：桌脚高度具有可调节功能，采用高强度的尼龙材料，塑料注塑成型，内置脚轮固定孔。 </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实验桌接线箱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1.尺寸：400*240*720mm±10mm；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分为桶体和底座两部分，底座为与桌面同色的壁厚3mmABS材质注塑成型；桶体分为两块，壁厚≥3mm，采用ABS材料，塑料注塑成型，表面沙面和光面相结合处理，以齿合槽配以螺丝连接，拆分组合方便，方便检修桶体内的风管或电线。</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尺寸：Φ315*450～500mm±10mm；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2.凳脚材质：4个凳脚采用17×34×1.7mm，无缝钢管模具一次成型。全圆满焊接完成，结构牢固，经高温粉体烤漆处理，长时间使用也不会产生表面烤漆剥落现象。Ф凳面直径315×高450～500mm；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3.凳面材质：采用聚丙烯共聚级注塑，厚5mm。表面细纹咬花，防滑不发光，凳面底部镶嵌4枚铜质螺纹，采用不锈钢螺丝与圆形托盘固定；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4.脚垫材质：采用PP加耐磨纤维质塑料，实心倒钩式一体射出成型凳面与凳脚留有一定的空间便于凳子挂在挂凳扣上。</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 </w:t>
            </w:r>
            <w:r/>
          </w:p>
        </w:tc>
      </w:tr>
      <w:tr>
        <w:trPr>
          <w:trHeight w:val="174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教师电源控制系统</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1.尺寸：405*405*90mm±10mm，装置在主控台组合柜内，采用耐磨、耐腐蚀的PVC薄膜面板，优质元器件，微电脑控制，轻触按钮开关。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2.输入电压：220v±10%；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教师电源：交流输出2～24V,2V/档，额定电流6A，过载保护：超过105%额定电流自动保护。轻触开关直选输出电压，高精度数字电压电流表显示。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3.直流输出1～24V（极限0-24V），键盘直选电压控制方式，额定电流6A，过载保护：超过105%额定电流自动保护。高精度数字电压电流表显示。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4.2路5孔插座220V输出。额定输出电流10A/路。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5.带老师、学生220V过载漏电保护。</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学生低压电源</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1.尺寸：160*80*50mm±10mm，单独安装在桌面上方，盒体为工程PC塑料模具注塑一次成型，面板与台面呈150°夹角，既便于读取参数又便于操作；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2.面板采用耐磨、耐腐蚀的PVC薄膜面板，轻触按钮开关。微电脑控制，数码显示电压电流值；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3.输入电压：220v±10%；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4.交流输出：2～24V，2V一档共12档，额定电流2～12V，3A，14～24V，2A，数字电压电流表实时显示，具有智能过载保护功能，当电流高于1.05倍额定电流时，自动断开，按开关键复位。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5.直流输出：1.5～24V（极限0-24V），0.1V一档，额定电流1.5～12V，2A，12.1～24V，1.5A，数字电压电流表实时显示。具有智能过载保护功能，当电流高于1.05倍额定电流时，自动断开，按开关键复位。</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抽斗电源</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1.尺寸：120*120*400mm±10mm，单独安装在桌面下方两抽斗中间，箱体由三组工程PC塑料模具一次成型，工作操作台为翻转式，完全打开时工作面板与水平面呈140°夹角。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2.面板采用耐磨、耐腐蚀的PVC薄膜面板。微电脑，数码实时显示电压电流值；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有电源开关，零火线可同时关断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3.设置2路多功能220V五孔交流插座，操作简单，安全可靠。</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边台1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1.尺寸：5000*600*780mm±10mm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2.全钢结构：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3.台面：采用≥12.7mm厚双面膜耐腐蚀实芯理化板制作，四角倒R15圆角。耐酸、耐碱、耐高温，坚固耐用，防潮、无细孔、不膨胀、不龟裂、不变形、不导电、便于维护及具有良好的承重性能；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4.柜体：采用≥1.0mm优质镀锌钢板，采用二氧化碳气体保护焊接，打磨处理，表面经耐酸碱粉末烤漆处理；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5.拉手：铝合金条形暗拉手；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7.门板及抽面：采用双层钢板，必须两层组装式设计，保证两层双面都喷涂处理，保证关门减少噪音；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8.连接件：采用ABS专用连接组装件；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gridSpan w:val="5"/>
            <w:tcBorders>
              <w:top w:val="single" w:color="000000" w:sz="4" w:space="0"/>
              <w:bottom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2.物理力学实验室</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b/>
                <w:bCs/>
                <w:i w:val="0"/>
                <w:iCs w:val="0"/>
                <w:color w:val="auto"/>
                <w:sz w:val="21"/>
                <w:szCs w:val="21"/>
                <w:highlight w:val="none"/>
                <w:u w:val="none"/>
                <w:lang w:val="en-US" w:eastAsia="zh-CN" w:bidi="ar"/>
              </w:rPr>
              <w:t xml:space="preserve">1</w:t>
            </w:r>
            <w:r/>
          </w:p>
        </w:tc>
      </w:tr>
      <w:tr>
        <w:trPr>
          <w:trHeight w:val="481"/>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推拉黑板</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1.结构：内外双层结构，内层为两块固定书写板，外层为两块滑动书写板，居中预留一体机安装位置。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2.基本尺寸：4200mm×1350mm×175mm，可根据所配一体机适当调整，确保与86寸一体机有效配套。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3.书写板面：采用优质烤漆钢板，厚度≥0.4mm。板面为亚光墨绿色，方便教师书写整齐有序，视觉舒适，用眼不疲劳。</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4.内芯材料：选用高强度、吸音、防潮、阻燃聚苯乙烯板，厚度≥14mm。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5.背板：选用优质亚光彩涂钢板，每隔80mm设有20mm加强凹槽。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6.覆板：采用环保型双组份聚氨酯胶水，自动化流水线覆板作业，确保粘接牢固，板面平整。</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边框：上横框采用开放式双轨道。平行对称双U型自动纠偏设计，避免滑动时出现滑轮卡死现象，上下框的立面尺寸≥90mm，双壁成腔结构，不接受单层铝合金设计，壁厚≥1.0mm；边框经氧化、喷砂涂层处理，无明显眩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滑轮：每块活动板采用静音组合滑轮组两组（每组由4个轮子组成，采用工字型实心合金轮架，精密进口轴承，静音特种橡胶胎圈，下平轮双侧滑动结构滑轮组（每组两个轮子），保证滑动板滑动平稳顺畅无噪音，写字无晃动现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9.锁具：一把锁配两把钥匙，一个学校钥匙互开通用。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固定板连接：固定板须用子母绞扣式连接方式，无须另行拉铆固定，通过固定板与大框相互绞扣吃力，从而增加牢固性，不得用铝合金块或钢板支架拉铆固定，避免多年使用后出现铆钉脱落造成的框架松动散架等隐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包角材料及立框侧封板：采用圆形钝角抗老化高强度ABS工程塑料注塑成型。双壁成腔流线型设计，如配装一体机需采用≥170mm一体化加长包角，须采用≥170mm一体化立框或子母绞扣式连接，不得用拉铆钉直接拉铆拼接。</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12.限位档：黑板边框内部两侧安装橡胶材质滑动板限位档，符合书写板安全距离标准的设定，防止活动黑板开启时撞击立框的同时，预留的空间易于一体机维护。</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13.安全及环保性：书写板框架、外观、边缘接角、ABS配套材料、钢制托架、胶粘剂等黑板组件配件，不得出现斜薄边及尖角毛刺或其他安全隐患。</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教师演示讲台1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尺寸：3000*700*800mm±10mm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3.柜体：采用≥1.0mm优质高强度镀锌钢板，采用二氧化碳气体保护焊接，打磨处理，表面经耐酸碱粉末烤漆处理；整体结构设计合理；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4.拉手：采用不锈钢拉手，造型独特美观；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6.门板及抽面：采用双层钢板，必须两层组装式设计，保证两层双面都喷涂处理；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7.耐腐蚀连接件：采用ABS专用连接组装件；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8.不锈钢防腐合页：采用优质不锈钢模具一体成型；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9.防腐三节静音导轨：三节重型滚珠滑轨，承重性强，滑动性能良好，无噪音；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实验室专用水槽及下水装置</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1.尺寸：440*330*190mm±10mm；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2.材质：高密度PP一体成型的水槽，水封式水塞，有效防止下水管废气溢出，排水口有过滤装置，有耐酸碱耐热耐有机溶液的特性。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实验室专用龙头</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1.高度720mm±10mm；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2.臂弯：采用ø18*1mm的304不锈钢制造；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3.主体：采用ø21*1.8mm的黄铜制造；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4.进水管：采用ø20*1.75 mm管径的黄铜制造；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5.出水管：采用ø13*1 mm 管径的304不锈钢制造；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6.涂层：经环氧树脂耐酸碱粉末涂料热固处理，耐腐蚀、耐热，防紫外线辐射；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7.陶瓷阀芯：90°旋转，使用寿命开关要求达到50万次，静态最大耐压10 bar；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8.开关旋钮：高密度PP，人体工学设计，手感舒适。</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尺寸：1200*600*780mm±10mm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2.台面：采用≥12.7mm实芯理化板，耐酸碱，表面哑光，不反光防滑；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3.前横梁：采用61x38mm壁厚≥1.2mm的优质铝型材拉伸成型，材料表面经过防腐氧化处理和纯环氧树脂塑粉高温固化处理，具有较强的耐蚀性及承重性。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4.支撑横梁：采用12mm×100mm铝合金，带有两条加强抗变形的凹槽，材料表面经过防腐氧化处理和纯环氧树脂塑粉高温固化处理，具有较强的耐蚀性及承重性。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后挡板：采用120*30mm壁厚≥1.2mm的优质铝型材拉伸成型，材料表面经过防腐氧化处理和纯环氧树脂塑粉高温固化处理，具有较强的耐蚀性及承重性。造型截面为后端连续相切弧形，顶端高出台面45mm，可防止台面物体向后滑落并保护易碎物体不易被碰碎。带一凹槽，面板与后挡板镶嵌弹性橡胶条，防止试剂流入腐蚀铝型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采用100×50mm铝合金，内有6根至少1.0mm厚的加强筋。立柱壁厚≥1.5mm，横截面前R6圆角，后端45*8斜切再R6圆角，中心拥有两个m8螺丝固定孔，攻丝处理后用于连接顶底支撑脚，材料表面经过防腐氧化处理和纯环氧树脂塑粉高温固化处理，具有较强的耐蚀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7.支撑脚：采用≥3.3mm厚的铝材压铸一次性成型，两侧弧形圆角，弧度和立柱的弧度吻合，材料表面经过防腐氧化处理和纯环氧树脂塑粉高温固化处理，具有较强的耐蚀性及承重性。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8.多功能可调地脚：桌脚高度具有可调节功能，采用高强度的尼龙材料，塑料注塑成型，内置脚轮固定孔。 </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实验桌接线箱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1.尺寸：400*240*720mm±10mm；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分为桶体和底座两部分，底座为与桌面同色的壁厚3mmABS材质注塑成型；桶体分为两块，壁厚≥3mm，采用ABS材料，塑料注塑成型，表面沙面和光面相结合处理，以齿合槽配以螺丝连接，拆分组合方便，方便检修桶体内的风管或电线。</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35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8"/>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尺寸：Φ315*450～500mm±10mm；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2.凳脚材质：4个凳脚采用17×34×1.7mm，无缝钢管模具一次成型。全圆满焊接完成，结构牢固，经高温粉体烤漆处理，长时间使用也不会产生表面烤漆剥落现象。Ф凳面直径315×高450～500mm；</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3.凳面材质：采用聚丙烯共聚级注塑，厚5mm。表面细纹咬花，防滑不发光，凳面底部镶嵌4枚铜质螺纹，采用不锈钢螺丝与圆形托盘固定；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4.脚垫材质：采用PP加耐磨纤维质塑料，实心倒钩式一体射出成型凳面与凳脚留有一定的空间便于凳子挂在挂凳扣上。</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教师电源控制系统</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1.尺寸：405*405*90mm±10mm，装置在主控台组合柜内，采用耐磨、耐腐蚀的PVC薄膜面板，优质元器件，微电脑控制，轻触按钮开关。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2.输入电压：220v±10%；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教师电源：交流输出2～24V,2V/档，额定电流6A，过载保护：超过105%额定电流自动保护。轻触开关直选输出电压，高精度数字电压电流表显示。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3.直流输出1～24V（极限0-24V），键盘直选电压控制方式，额定电流6A，过载保护：超过105%额定电流自动保护。高精度数字电压电流表显示。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4.2路5孔插座220V输出。额定输出电流10A/路。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5.带老师、学生220V过载漏电保护。</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抽斗电源</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1.尺寸：120*120*400mm±10mm，单独安装在桌面下方两抽斗中间，箱体由三组工程PC塑料模具一次成型，工作操作台为翻转式，完全打开时工作面板与水平面呈140°夹角。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2.面板采用耐磨、耐腐蚀的PVC薄膜面板。微电脑，数码实时显示电压电流值；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有电源开关，零火线可同时关断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3.设置2路多功能220V五孔交流插座，操作简单，安全可靠。</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边台1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1.尺寸：5000*600*780mm±10mm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2.全钢结构：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3.台面：采用≥12.7mm厚双面膜耐腐蚀实芯理化板制作，四角倒R15圆角。耐酸、耐碱、耐高温，坚固耐用，防潮、无细孔、不膨胀、不龟裂、不变形、不导电、便于维护及具有良好的承重性能；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4.柜体：采用≥1.0mm优质镀锌钢板，采用二氧化碳气体保护焊接，打磨处理，表面经耐酸碱粉末烤漆处理；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5.拉手：铝合金条形暗拉手；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7.门板及抽面：采用双层钢板，必须两层组装式设计，保证两层双面都喷涂处理，保证关门减少噪音；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8.连接件：采用ABS专用连接组装件；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gridSpan w:val="5"/>
            <w:tcBorders>
              <w:top w:val="single" w:color="000000" w:sz="4" w:space="0"/>
              <w:bottom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3.物理力学实验室</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b/>
                <w:bCs/>
                <w:i w:val="0"/>
                <w:iCs w:val="0"/>
                <w:color w:val="auto"/>
                <w:sz w:val="21"/>
                <w:szCs w:val="21"/>
                <w:highlight w:val="none"/>
                <w:u w:val="none"/>
                <w:lang w:val="en-US" w:eastAsia="zh-CN" w:bidi="ar"/>
              </w:rPr>
              <w:t xml:space="preserve">2</w:t>
            </w:r>
            <w:r/>
          </w:p>
        </w:tc>
      </w:tr>
      <w:tr>
        <w:trPr>
          <w:trHeight w:val="68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推拉黑板</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1.结构：内外双层结构，内层为两块固定书写板，外层为两块滑动书写板，居中预留一体机安装位置。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2.基本尺寸：4200mm×1350mm×175mm，可根据所配一体机适当调整，确保与86寸一体机有效配套。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3.书写板面：采用优质烤漆钢板，厚度≥0.4mm。板面为亚光墨绿色，方便教师书写整齐有序，视觉舒适，用眼不疲劳。</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4.内芯材料：选用高强度、吸音、防潮、阻燃聚苯乙烯板，厚度≥14mm。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5.背板：选用优质亚光彩涂钢板，每隔80mm设有20mm加强凹槽。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6.覆板：采用环保型双组份聚氨酯胶水，自动化流水线覆板作业，确保粘接牢固，板面平整。</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边框：上横框采用开放式双轨道。平行对称双U型自动纠偏设计，避免滑动时出现滑轮卡死现象，上下框的立面尺寸≥90mm，双壁成腔结构，不接受单层铝合金设计，壁厚≥1.0mm；边框经氧化、喷砂涂层处理，无明显眩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滑轮：每块活动板采用静音组合滑轮组两组（每组由4个轮子组成，采用工字型实心合金轮架，精密进口轴承，静音特种橡胶胎圈，下平轮双侧滑动结构滑轮组（每组两个轮子），保证滑动板滑动平稳顺畅无噪音，写字无晃动现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9.锁具：一把锁配两把钥匙，一个学校钥匙互开通用。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固定板连接：固定板须用子母绞扣式连接方式，无须另行拉铆固定，通过固定板与大框相互绞扣吃力，从而增加牢固性，不得用铝合金块或钢板支架拉铆固定，避免多年使用后出现铆钉脱落造成的框架松动散架等隐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包角材料及立框侧封板：采用圆形钝角抗老化高强度ABS工程塑料注塑成型。双壁成腔流线型设计，如配装一体机需采用≥170mm一体化加长包角，须采用≥170mm一体化立框或子母绞扣式连接，不得用拉铆钉直接拉铆拼接。</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12.限位档：黑板边框内部两侧安装橡胶材质滑动板限位档，符合书写板安全距离标准的设定，防止活动黑板开启时撞击立框的同时，预留的空间易于一体机维护。</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13.安全及环保性：书写板框架、外观、边缘接角、ABS配套材料、钢制托架、胶粘剂等黑板组件配件，不得出现斜薄边及尖角毛刺或其他安全隐患。</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教师演示讲台1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尺寸：3000*700*800mm±10mm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3.柜体：采用≥1.0mm优质高强度镀锌钢板，采用二氧化碳气体保护焊接，打磨处理，表面经耐酸碱粉末烤漆处理；整体结构设计合理；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4.拉手：采用不锈钢拉手，造型独特美观；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6.门板及抽面：采用双层钢板，必须两层组装式设计，保证两层双面都喷涂处理；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7.耐腐蚀连接件：采用ABS专用连接组装件；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8.不锈钢防腐合页：采用优质不锈钢模具一体成型；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9.防腐三节静音导轨：三节重型滚珠滑轨，承重性强，滑动性能良好，无噪音；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119"/>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实验室专用水槽及下水装置</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1.尺寸：440*330*190mm±10mm；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2.材质：高密度PP一体成型的水槽，水封式水塞，有效防止下水管废气溢出，排水口有过滤装置，有耐酸碱耐热耐有机溶液的特性。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302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实验室专用龙头</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1.高度720mm±10mm；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2.臂弯：采用ø18*1mm的304不锈钢制造；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3.主体：采用ø21*1.8mm的黄铜制造；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4.进水管：采用ø20*1.75 mm管径的黄铜制造；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5.出水管：采用ø13*1 mm 管径的304不锈钢制造；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6.涂层：经环氧树脂耐酸碱粉末涂料热固处理，耐腐蚀、耐热，防紫外线辐射；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7.陶瓷阀芯：90°旋转，使用寿命开关要求达到50万次，静态最大耐压10 bar；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8.开关旋钮：高密度PP，人体工学设计，手感舒适。</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1.尺寸：1200*600*780mm±10mm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2.台面：采用≥12.7mm实芯理化板，耐酸碱，表面哑光，不反光防滑；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3.前横梁：采用61x38mm壁厚≥1.2mm的优质铝型材拉伸成型，材料表面经过防腐氧化处理和纯环氧树脂塑粉高温固化处理，具有较强的耐蚀性及承重性。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4.支撑横梁：采用12mm×100mm铝合金，带有两条加强抗变形的凹槽，材料表面经过防腐氧化处理和纯环氧树脂塑粉高温固化处理，具有较强的耐蚀性及承重性。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后挡板：采用120*30mm壁厚≥1.2mm的优质铝型材拉伸成型，材料表面经过防腐氧化处理和纯环氧树脂塑粉高温固化处理，具有较强的耐蚀性及承重性。造型截面为后端连续相切弧形，顶端高出台面45mm，可防止台面物体向后滑落并保护易碎物体不易被碰碎。带一凹槽，面板与后挡板镶嵌弹性橡胶条，防止试剂流入腐蚀铝型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采用100×50mm铝合金，内有6根至少1.0mm厚的加强筋。立柱壁厚≥1.5mm，横截面前R6圆角，后端45*8斜切再R6圆角，中心拥有两个m8螺丝固定孔，攻丝处理后用于连接顶底支撑脚，材料表面经过防腐氧化处理和纯环氧树脂塑粉高温固化处理，具有较强的耐蚀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7.支撑脚：采用≥3.3mm厚的铝材压铸一次性成型，两侧弧形圆角，弧度和立柱的弧度吻合，材料表面经过防腐氧化处理和纯环氧树脂塑粉高温固化处理，具有较强的耐蚀性及承重性。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8.多功能可调地脚：桌脚高度具有可调节功能，采用高强度的尼龙材料，塑料注塑成型，内置脚轮固定孔。</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实验桌接线箱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1.尺寸：400*240*720mm±10mm；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分为桶体和底座两部分，底座为与桌面同色的壁厚3mmABS材质注塑成型；桶体分为两块，壁厚≥3mm，采用ABS材料，塑料注塑成型，表面沙面和光面相结合处理，以齿合槽配以螺丝连接，拆分组合方便，方便检修桶体内的风管或电线。</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9"/>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尺寸：Φ315*450～500mm±10mm；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2.凳脚材质：4个凳脚采用17×34×1.7mm，无缝钢管模具一次成型。全圆满焊接完成，结构牢固，经高温粉体烤漆处理，长时间使用也不会产生表面烤漆剥落现象。Ф凳面直径315×高450～500mm；</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3.凳面材质：采用聚丙烯共聚级注塑，厚5mm。表面细纹咬花，防滑不发光，凳面底部镶嵌4枚铜质螺纹，采用不锈钢螺丝与圆形托盘固定；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4.脚垫材质：采用PP加耐磨纤维质塑料，实心倒钩式一体射出成型凳面与凳脚留有一定的空间便于凳子挂在挂凳扣上。</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 </w:t>
            </w:r>
            <w:r/>
          </w:p>
        </w:tc>
      </w:tr>
      <w:tr>
        <w:trPr>
          <w:trHeight w:val="104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教师电源控制系统</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1.尺寸：405*405*90mm±10mm，装置在主控台组合柜内，采用耐磨、耐腐蚀的PVC薄膜面板，优质元器件，微电脑控制，轻触按钮开关。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2.输入电压：220v±10%；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教师电源：交流输出2～24V,2V/档，额定电流6A，过载保护：超过105%额定电流自动保护。轻触开关直选输出电压，高精度数字电压电流表显示。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3.直流输出1～24V（极限0-24V），键盘直选电压控制方式，额定电流6A，过载保护：超过105%额定电流自动保护。高精度数字电压电流表显示。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4.2路5孔插座220V输出。额定输出电流10A/路。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5.带老师、学生220V过载漏电保护。</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抽斗电源</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1.尺寸：120*120*400mm±10mm，单独安装在桌面下方两抽斗中间，箱体由三组工程PC塑料模具一次成型，工作操作台为翻转式，完全打开时工作面板与水平面呈140°夹角。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2.面板采用耐磨、耐腐蚀的PVC薄膜面板。微电脑，数码实时显示电压电流值；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有电源开关，零火线可同时关断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3.设置2路多功能220V五孔交流插座，操作简单，安全可靠。</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9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边台1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1.尺寸：5000*600*780mm±10mm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2.全钢结构：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3.台面：采用≥12.7mm厚双面膜耐腐蚀实芯理化板制作，四角倒R15圆角。耐酸、耐碱、耐高温，坚固耐用，防潮、无细孔、不膨胀、不龟裂、不变形、不导电、便于维护及具有良好的承重性能；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4.柜体：采用≥1.0mm优质镀锌钢板，采用二氧化碳气体保护焊接，打磨处理，表面经耐酸碱粉末烤漆处理；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5.拉手：铝合金条形暗拉手；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7.门板及抽面：采用双层钢板，必须两层组装式设计，保证两层双面都喷涂处理，保证关门减少噪音；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8.连接件：采用ABS专用连接组装件；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gridSpan w:val="5"/>
            <w:tcBorders>
              <w:top w:val="single" w:color="000000" w:sz="4" w:space="0"/>
              <w:bottom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4.物理热学实验室</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推拉黑板</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1.结构：内外双层结构，内层为两块固定书写板，外层为两块滑动书写板，居中预留一体机安装位置。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2.基本尺寸：4200mm×1350mm×175mm，可根据所配一体机适当调整，确保与86寸一体机有效配套。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3.书写板面：采用优质烤漆钢板，厚度≥0.4mm。板面为亚光墨绿色，方便教师书写整齐有序，视觉舒适，用眼不疲劳。</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4.内芯材料：选用高强度、吸音、防潮、阻燃聚苯乙烯板，厚度≥14mm。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5.背板：选用优质亚光彩涂钢板，每隔80mm设有20mm加强凹槽。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6.覆板：采用环保型双组份聚氨酯胶水，自动化流水线覆板作业，确保粘接牢固，板面平整。</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边框：上横框采用开放式双轨道。平行对称双U型自动纠偏设计，避免滑动时出现滑轮卡死现象，上下框的立面尺寸≥90mm，双壁成腔结构，不接受单层铝合金设计，壁厚≥1.0mm；边框经氧化、喷砂涂层处理，无明显眩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滑轮：每块活动板采用静音组合滑轮组两组（每组由4个轮子组成，采用工字型实心合金轮架，精密进口轴承，静音特种橡胶胎圈，下平轮双侧滑动结构滑轮组（每组两个轮子），保证滑动板滑动平稳顺畅无噪音，写字无晃动现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9.锁具：一把锁配两把钥匙，一个学校钥匙互开通用。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固定板连接：固定板须用子母绞扣式连接方式，无须另行拉铆固定，通过固定板与大框相互绞扣吃力，从而增加牢固性，不得用铝合金块或钢板支架拉铆固定，避免多年使用后出现铆钉脱落造成的框架松动散架等隐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包角材料及立框侧封板：采用圆形钝角抗老化高强度ABS工程塑料注塑成型。双壁成腔流线型设计，如配装一体机需采用≥170mm一体化加长包角，须采用≥170mm一体化立框或子母绞扣式连接，不得用拉铆钉直接拉铆拼接。</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12.限位档：黑板边框内部两侧安装橡胶材质滑动板限位档，符合书写板安全距离标准的设定，防止活动黑板开启时撞击立框的同时，预留的空间易于一体机维护。</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13.安全及环保性：书写板框架、外观、边缘接角、ABS配套材料、钢制托架、胶粘剂等黑板组件配件，不得出现斜薄边及尖角毛刺或其他安全隐患。</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教师演示讲台1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尺寸：3000*700*800mm±10mm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3.柜体：采用≥1.0mm优质高强度镀锌钢板，采用二氧化碳气体保护焊接，打磨处理，表面经耐酸碱粉末烤漆处理；整体结构设计合理；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4.拉手：采用不锈钢拉手，造型独特美观；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6.门板及抽面：采用双层钢板，必须两层组装式设计，保证两层双面都喷涂处理；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7.耐腐蚀连接件：采用ABS专用连接组装件；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8.不锈钢防腐合页：采用优质不锈钢模具一体成型；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9.防腐三节静音导轨：三节重型滚珠滑轨，承重性强，滑动性能良好，无噪音；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实验室专用水槽及下水装置</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1.尺寸：440*330*190mm±10mm；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2.材质：高密度PP一体成型的水槽，水封式水塞，有效防止下水管废气溢出，排水口有过滤装置，有耐酸碱耐热耐有机溶液的特性。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实验室专用龙头</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1.高度720mm±10mm；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2.臂弯：采用ø18*1mm的304不锈钢制造；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3.主体：采用ø21*1.8mm的黄铜制造；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4.进水管：采用ø20*1.75 mm管径的黄铜制造；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5.出水管：采用ø13*1 mm 管径的304不锈钢制造；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6.涂层：经环氧树脂耐酸碱粉末涂料热固处理，耐腐蚀、耐热，防紫外线辐射；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7.陶瓷阀芯：90°旋转，使用寿命开关要求达到50万次，静态最大耐压10 bar；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8.开关旋钮：高密度PP，人体工学设计，手感舒适。</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1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尺寸：1200*600*780mm±10mm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2.台面：采用≥12.7mm实芯理化板，耐酸碱，表面哑光，不反光防滑；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3.前横梁：采用61x38mm壁厚≥1.2mm的优质铝型材拉伸成型，材料表面经过防腐氧化处理和纯环氧树脂塑粉高温固化处理，具有较强的耐蚀性及承重性。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4.支撑横梁：采用12mm×100mm铝合金，带有两条加强抗变形的凹槽，材料表面经过防腐氧化处理和纯环氧树脂塑粉高温固化处理，具有较强的耐蚀性及承重性。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后挡板：采用120*30mm壁厚≥1.2mm的优质铝型材拉伸成型，材料表面经过防腐氧化处理和纯环氧树脂塑粉高温固化处理，具有较强的耐蚀性及承重性。造型截面为后端连续相切弧形，顶端高出台面45mm，可防止台面物体向后滑落并保护易碎物体不易被碰碎。带一凹槽，面板与后挡板镶嵌弹性橡胶条，防止试剂流入腐蚀铝型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采用100×50mm铝合金，内有6根至少1.0mm厚的加强筋。立柱壁厚≥1.5mm，横截面前R6圆角，后端45*8斜切再R6圆角，中心拥有两个m8螺丝固定孔，攻丝处理后用于连接顶底支撑脚，材料表面经过防腐氧化处理和纯环氧树脂塑粉高温固化处理，具有较强的耐蚀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7.支撑脚：采用≥3.3mm厚的铝材压铸一次性成型，两侧弧形圆角，弧度和立柱的弧度吻合，材料表面经过防腐氧化处理和纯环氧树脂塑粉高温固化处理，具有较强的耐蚀性及承重性。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8.多功能可调地脚：桌脚高度具有可调节功能，采用高强度的尼龙材料，塑料注塑成型，内置脚轮固定孔。 </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实验桌接线箱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1.尺寸：400*240*720mm±10mm；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分为桶体和底座两部分，底座为与桌面同色的壁厚3mmABS材质注塑成型；桶体分为两块，壁厚≥3mm，采用ABS材料，塑料注塑成型，表面沙面和光面相结合处理，以齿合槽配以螺丝连接，拆分组合方便，方便检修桶体内的风管或电线。</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11"/>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尺寸：Φ315*450～500mm±10mm；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2.凳脚材质：4个凳脚采用17×34×1.7mm，无缝钢管模具一次成型。全圆满焊接完成，结构牢固，经高温粉体烤漆处理，长时间使用也不会产生表面烤漆剥落现象。Ф凳面直径315×高450～500mm；</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3.凳面材质：采用聚丙烯共聚级注塑，厚5mm。表面细纹咬花，防滑不发光，凳面底部镶嵌4枚铜质螺纹，采用不锈钢螺丝与圆形托盘固定；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4.脚垫材质：采用PP加耐磨纤维质塑料，实心倒钩式一体射出成型凳面与凳脚留有一定的空间便于凳子挂在挂凳扣上。</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教师电源控制系统</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1.尺寸：405*405*90mm±10mm，装置在主控台组合柜内，采用耐磨、耐腐蚀的PVC薄膜面板，优质元器件，微电脑控制，轻触按钮开关。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2.输入电压：220v±10%；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教师电源：交流输出2～24V,2V/档，额定电流6A，过载保护：超过105%额定电流自动保护。轻触开关直选输出电压，高精度数字电压电流表显示。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3.直流输出1～24V（极限0-24V），键盘直选电压控制方式，额定电流6A，过载保护：超过105%额定电流自动保护。高精度数字电压电流表显示。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4.2路5孔插座220V输出。额定输出电流10A/路。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5.带老师、学生220V过载漏电保护。</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抽斗电源</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1.尺寸：120*120*400mm±10mm，单独安装在桌面下方两抽斗中间，箱体由三组工程PC塑料模具一次成型，工作操作台为翻转式，完全打开时工作面板与水平面呈140°夹角。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2.面板采用耐磨、耐腐蚀的PVC薄膜面板。微电脑，数码实时显示电压电流值；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有电源开关，零火线可同时关断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3.设置2路多功能220V五孔交流插座，操作简单，安全可靠。</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边台1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1.尺寸：5000*600*780mm±10mm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2.全钢结构：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3.台面：采用≥12.7mm厚双面膜耐腐蚀实芯理化板制作，四角倒R15圆角。耐酸、耐碱、耐高温，坚固耐用，防潮、无细孔、不膨胀、不龟裂、不变形、不导电、便于维护及具有良好的承重性能；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4.柜体：采用≥1.0mm优质镀锌钢板，采用二氧化碳气体保护焊接，打磨处理，表面经耐酸碱粉末烤漆处理；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5.拉手：铝合金条形暗拉手；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7.门板及抽面：采用双层钢板，必须两层组装式设计，保证两层双面都喷涂处理，保证关门减少噪音；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8.连接件：采用ABS专用连接组装件；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gridSpan w:val="5"/>
            <w:tcBorders>
              <w:top w:val="single" w:color="000000" w:sz="4" w:space="0"/>
              <w:bottom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5.物理光学实验室</w:t>
            </w:r>
            <w:r/>
          </w:p>
        </w:tc>
      </w:tr>
      <w:tr>
        <w:trPr>
          <w:trHeight w:val="652"/>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推拉黑板</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1.结构：内外双层结构，内层为两块固定书写板，外层为两块滑动书写板，居中预留一体机安装位置。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2.基本尺寸：4200mm×1350mm×175mm，可根据所配一体机适当调整，确保与86寸一体机有效配套。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3.书写板面：采用优质烤漆钢板，厚度≥0.4mm。板面为亚光墨绿色，方便教师书写整齐有序，视觉舒适，用眼不疲劳。</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4.内芯材料：选用高强度、吸音、防潮、阻燃聚苯乙烯板，厚度≥14mm。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5.背板：选用优质亚光彩涂钢板，每隔80mm设有20mm加强凹槽。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6.覆板：采用环保型双组份聚氨酯胶水，自动化流水线覆板作业，确保粘接牢固，板面平整。</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边框：上横框采用开放式双轨道。平行对称双U型自动纠偏设计，避免滑动时出现滑轮卡死现象，上下框的立面尺寸≥90mm，双壁成腔结构，不接受单层铝合金设计，壁厚≥1.0mm；边框经氧化、喷砂涂层处理，无明显眩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滑轮：每块活动板采用静音组合滑轮组两组（每组由4个轮子组成，采用工字型实心合金轮架，精密进口轴承，静音特种橡胶胎圈，下平轮双侧滑动结构滑轮组（每组两个轮子），保证滑动板滑动平稳顺畅无噪音，写字无晃动现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9.锁具：一把锁配两把钥匙，一个学校钥匙互开通用。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固定板连接：固定板须用子母绞扣式连接方式，无须另行拉铆固定，通过固定板与大框相互绞扣吃力，从而增加牢固性，不得用铝合金块或钢板支架拉铆固定，避免多年使用后出现铆钉脱落造成的框架松动散架等隐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包角材料及立框侧封板：采用圆形钝角抗老化高强度ABS工程塑料注塑成型。双壁成腔流线型设计，如配装一体机需采用≥170mm一体化加长包角，须采用≥170mm一体化立框或子母绞扣式连接，不得用拉铆钉直接拉铆拼接。</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12.限位档：黑板边框内部两侧安装橡胶材质滑动板限位档，符合书写板安全距离标准的设定，防止活动黑板开启时撞击立框的同时，预留的空间易于一体机维护。</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13.安全及环保性：书写板框架、外观、边缘接角、ABS配套材料、钢制托架、胶粘剂等黑板组件配件，不得出现斜薄边及尖角毛刺或其他安全隐患。</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教师演示讲台1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尺寸：3000*700*800mm±10mm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3.柜体：采用≥1.0mm优质高强度镀锌钢板，采用二氧化碳气体保护焊接，打磨处理，表面经耐酸碱粉末烤漆处理；整体结构设计合理；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4.拉手：采用不锈钢拉手，造型独特美观；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6.门板及抽面：采用双层钢板，必须两层组装式设计，保证两层双面都喷涂处理；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7.耐腐蚀连接件：采用ABS专用连接组装件；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8.不锈钢防腐合页：采用优质不锈钢模具一体成型；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9.防腐三节静音导轨：三节重型滚珠滑轨，承重性强，滑动性能良好，无噪音；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实验室专用水槽及下水装置</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1.尺寸：440*330*190mm±10mm；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2.材质：高密度PP一体成型的水槽，水封式水塞，有效防止下水管废气溢出，排水口有过滤装置，有耐酸碱耐热耐有机溶液的特性。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实验室专用龙头</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1.高度720mm±10mm；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2.臂弯：采用ø18*1mm的304不锈钢制造；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3.主体：采用ø21*1.8mm的黄铜制造；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4.进水管：采用ø20*1.75 mm管径的黄铜制造；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5.出水管：采用ø13*1 mm 管径的304不锈钢制造；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6.涂层：经环氧树脂耐酸碱粉末涂料热固处理，耐腐蚀、耐热，防紫外线辐射；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7.陶瓷阀芯：90°旋转，使用寿命开关要求达到50万次，静态最大耐压10 bar；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8.开关旋钮：高密度PP，人体工学设计，手感舒适。</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12"/>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尺寸：1200*600*780mm±10mm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2.台面：采用≥12.7mm实芯理化板，耐酸碱，表面哑光，不反光防滑；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3.前横梁：采用61x38mm壁厚≥1.2mm的优质铝型材拉伸成型，材料表面经过防腐氧化处理和纯环氧树脂塑粉高温固化处理，具有较强的耐蚀性及承重性。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4.支撑横梁：采用12mm×100mm铝合金，带有两条加强抗变形的凹槽，材料表面经过防腐氧化处理和纯环氧树脂塑粉高温固化处理，具有较强的耐蚀性及承重性。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后挡板：采用120*30mm壁厚≥1.2mm的优质铝型材拉伸成型，材料表面经过防腐氧化处理和纯环氧树脂塑粉高温固化处理，具有较强的耐蚀性及承重性。造型截面为后端连续相切弧形，顶端高出台面45mm，可防止台面物体向后滑落并保护易碎物体不易被碰碎。带一凹槽，面板与后挡板镶嵌弹性橡胶条，防止试剂流入腐蚀铝型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采用100×50mm铝合金，内有6根至少1.0mm厚的加强筋。立柱壁厚≥1.5mm，横截面前R6圆角，后端45*8斜切再R6圆角，中心拥有两个m8螺丝固定孔，攻丝处理后用于连接顶底支撑脚，材料表面经过防腐氧化处理和纯环氧树脂塑粉高温固化处理，具有较强的耐蚀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7.支撑脚：采用≥3.3mm厚的铝材压铸一次性成型，两侧弧形圆角，弧度和立柱的弧度吻合，材料表面经过防腐氧化处理和纯环氧树脂塑粉高温固化处理，具有较强的耐蚀性及承重性。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8.多功能可调地脚：桌脚高度具有可调节功能，采用高强度的尼龙材料，塑料注塑成型，内置脚轮固定孔。</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13"/>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 Φ315*450～500mm±10mm；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2.凳脚材质：4 个凳脚采用 17×34×1.7mm，无缝钢管模具一次成型。全圆满焊接完成，结构牢固，经高温粉体烤漆处理，长时间使用也不会产生表面烤漆剥落现象。 Ф凳面直径 315×高450～500mm；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3.凳面材质：采用聚丙烯共聚级注塑，厚 5mm。表面细纹咬花，防滑不发光，凳面底部镶嵌 4 枚铜质螺纹，采用不锈钢螺丝与圆形托盘固定；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4.脚垫材质：采用PP 加耐磨纤维质塑料，实心倒钩式一体射出成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型凳面与凳脚留有一定的空间便于凳子挂在挂凳扣上。</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智能系统控制柜</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规格：430*200*650mm±10mm；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外形设计思路利用学生常用书籍的理念设计，让设备更好融入学生的学习氛围中。采用优质镀锌钢板制作，设计具有现代线条感，时尚大方。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功能：采用物联网+现代生活模式、能 APP 控制。设置总漏电保护器 1 个、每分路一个漏电保护器、总控制器一个、开关电源若干个，10 寸屏一个、紧急开关一个，启动开关一个。多种元器件组合成强大保护集成电路。保障 220V 电源具有漏电、短路、过载保护。低压输出驱动电压、学生电源交直流电压，具有智能保护系统，短路过载具有自动复位功能。液晶屏幕能控制每个学生照明、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电源升降、交直流电压及能锁定学生交直流电压。</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多功能集中控制系统</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集中控制系统。可执行各分项分页控制；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（1）升降控制：可以实现单个控制，可以集中控制，可以任意组合控制；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（2）补光控制：分组控制整室照明；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（3）220V 电源控制：控制学生 AC220V 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（4）低压控制：教室主控，分组控制。</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顶部多模块电源供应装置</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采用ABS 材质，模具一体成型。模块内预留高压、低压位置。</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模块储藏装置</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采用ABS 材质，模具一体成型。 四周带氛围灯设计。</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低压电源模块</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2.学生电源采用耐磨、耐腐蚀、耐高温的 PC 亮光薄膜面板，学生电源的控制采用按钮式按键，可以随意设置电压，贴片元件生产技术，微电脑控制，采用≥1.54 寸液晶显示电源学生交直流电压。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3.学生交流电源通过上下键 0～24V 电压，最小调节单元可达 1V，额定电流 2A。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4.学生直流电源也是通过上下键选取，调节范围为 1.5～24V，分辨率可达 0.1V，额定电流 2.5A。</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高压电源模块</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 220V，多功能安全插座；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智能升降机构</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采用自动升降系统，自带保护功能；安装支架：环氧树脂喷涂金属吊杆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安装辅件：优质五金件及相关设备配套布线</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gridSpan w:val="5"/>
            <w:tcBorders>
              <w:top w:val="single" w:color="000000" w:sz="4" w:space="0"/>
              <w:bottom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6.高中物理常规教学实验仪器</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一般</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旋片式真空泵</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1、一种旋片式油封单级真空泵。2、抽气速率：3.6M3/H（1L/S) ，极限压力：5Pa ， 电机功率： 150 W ，进气口径：Φ9mm ，用油量：220ml，外形尺寸：245mm×105mm×215mm，质量：约 6.8kg</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打气筒</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质量等级为合格品，气筒外径Φ30mm，长 500mm，充气软管为塑胶或橡胶制品，与充气筒底座、气筒气嘴接合密闭，装卸方便。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气筒外管用工程塑料或其他同等强度的材质制成。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充气活塞或充气筒推拉轻便、灵活，无气体泄漏现象。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最大充气压力不小于 0.8MPa（1kg/平方米 ）。</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9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吹风机</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1.使用电源：220V  50Hz。2.塑料外壳，分二档调节风速。</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 mm×400 mm×800 mm，车轮 </w:t>
            </w:r>
            <w:r>
              <w:rPr>
                <w:rFonts w:hint="eastAsia" w:ascii="宋体" w:hAnsi="宋体" w:eastAsia="宋体" w:cs="宋体"/>
                <w:i/>
                <w:iCs/>
                <w:color w:val="auto"/>
                <w:sz w:val="21"/>
                <w:szCs w:val="21"/>
                <w:highlight w:val="none"/>
                <w:u w:val="none"/>
                <w:lang w:val="en-US" w:eastAsia="zh-CN" w:bidi="ar"/>
              </w:rPr>
              <w:t xml:space="preserve">Φ</w:t>
            </w:r>
            <w:r>
              <w:rPr>
                <w:rFonts w:hint="eastAsia" w:ascii="宋体" w:hAnsi="宋体" w:eastAsia="宋体" w:cs="宋体"/>
                <w:i w:val="0"/>
                <w:iCs w:val="0"/>
                <w:color w:val="auto"/>
                <w:sz w:val="21"/>
                <w:szCs w:val="21"/>
                <w:highlight w:val="none"/>
                <w:u w:val="none"/>
                <w:lang w:val="en-US" w:eastAsia="zh-CN" w:bidi="ar"/>
              </w:rPr>
              <w:t xml:space="preserve">75 mm，厚25 mm；一轮带刹车，车轮固定，车架扭动量 （上部） ≤20 mm；钢材制作，载重≥60 kg</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水准器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气泡水准器</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充磁器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有充磁时间自动控制功能，外壳为非铁磁性材料，线圈轴向长度不小于 80mm，能充两极间距大于 28mm、磁极截面积小于 42mm×24 mm 的 U 形磁铁以及截面积小于 42 mm×24 mm 的条形磁铁， 电源与线圈骨架以及外壳金属件之间抗电强度 3000 V</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酒精喷灯</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坐式，铜制，壶体容积≥300 mL，火焰高度为 150 mm～180 mm，火焰温度为 960 ℃±60 ℃</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移液器1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mL，分度值 10 mL，刻度清晰。加帽或塞，密闭性好，防止液体泄漏，清晰度高</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支架</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物理支架</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1、物理实验室通用仪器，可组装成垂直、平行、吊挂、夹持、放置等多种实验支架。2、有大小 A 型座各 1 个，立杆两支（500mm，Φ 12mm ；700mm， Φ12mm 各一支）平行夹 1 只，垂直夹 2 只，烧瓶夹 1 只，万向夹 1 只，台边夹 1 只，大铁环 1 个，圆托盘 1 个，吊钩 2 只， 吊钩杆 1 个，绝缘杆 1 支。</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方座支架</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方形座，含铁夹、复夹、铁圈，重心稳定不晃动，夹持器内侧应有垫衬</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多功能实验支架</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组合座架 1 个，最小组合支承面积应不小于560 mm×10 mm；滑块式垂直夹 5 个、烧瓶夹1 个、万向夹 1 个、大铁环 1 个、方托盘 1个、绝缘环 2 个、吊钩 4 个</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升降台</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上下台面为不锈钢材质，100mm×100mm，台面 升降范围 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150 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电源</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1、外观结构：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a、电源采用全金属结构，铝合金型材框架，面板为不锈钢镜面面板，严禁用塑料材质做机箱或面板以免因电源发热变形发生危险。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b、市电输入采用标准三芯“品”型电源插口并自带保险装置。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2、电源输出：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a、直流稳压输出：2～16V，每2V一档，额定电流2A。过载自动保护。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b、交流输出电压：2～16V，每2V一档，额定电流3A。过载自动保护。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3、直流特性：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a、电压偏调：±（2%U标+0.1V）。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b、电压稳定性：输入电压在198V～242V间变化，在满载时输出电压变化量不大于2%U标+0.1V。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c、负载稳定性：输入电压220V，负载电流在0至满载范围内变化，输出电压变化量不大于2%U标+0.1V。d、纹波电压：满载时纹波电压不大于0.1%U标（有效值）。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4、交流特性：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a、空载输出电压不大于1.05xU标+0.3V。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b、满载输出电压不小于0.95xU标-0.3V。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5、过载保护：电源在额定电流值内，应能正常、连续工作。负载大于额定电流1.1－1.5倍时，应过载保护。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6、工作条件：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a、环境温度：-20～＋40℃。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b、相对湿度：≤90%(40℃）。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c、工作电压：198V~242V  50Hz～60Hz。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d、工作时间：连续工作时间不小于8h。</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教学电源</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1、外观结构：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a、电源采用全金属结构，铝合金型材框架，面板为不锈钢镜面面板，严禁用塑料材质做机箱或面板以免因电源发热变形发生危险。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b、市电输入采用标准三芯“品”型电源插口并自带保险装置。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2、电源输出：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a、直流稳压输出：1～25V全电压覆盖，输出电压显示，每2V一档，有微调功能，微调值2V；1V～7V，额定电流6A，8V～13V，额定电流4A，14V～25V，额定电流2A，过载自动保护；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b、交流输出电压：0-24V，每2V一档；2V～6V，额定电流12A，8V～12V，额定电流6A，14V～24V，额定电流3A。过载自动保护；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d、直流大电流输出：40A±10A。输出电流大于10A时，8±2S自动关断。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3、直流特性：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a、电压偏调：±（2%U标+0.1V）。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b、 电压稳定性：输入电压在198V～242V间变化，在满载时输出电压变化量不大于2%U标+0.1V。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c、负载稳定性：输入电压220V，负载电流在0至满载范围内变化，输出电压变化量不大于2%U标+0.1V。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d、纹波电压：满载时纹波电压不大于0.1%U标+5mV（有效值）。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4、交流特性：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a、空载输出电压不大于1.05xU标+0.3V。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b、满载输出电压不小于0.95xU标-0.3V。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5、过载保护：除40A大电流外的交、直流输出在额定电流值内，应能正常、连续工作。负载大于额定电流1.1－1.5倍时，应过载保护。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6、工作条件：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a、环境温度：-20～＋40℃。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b、相对湿度：≤90%(40℃）。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c、工作电压：198V~242V  50Hz～60Hz。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d、工作时间：连续工作时间不小于8h。</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实验电源</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1、额定电压：6V。2、额定容量：4Ah 。  3、密封式，免维护</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电池盒</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R20（ 1＃） 电池用，有接线柱，负极可用弹簧或弹性磷铜片，有串联接插口， 电池装反时不能接通</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感应圈</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电子开关式</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直流高压电源</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输出电压：250V、300V、600V、1000V、1200V、1500V 纹波电压：≤0.5V 输出电流：≥0.1A(250V、300V 时），≥0.05A(600V、1000V、1200V、1500V 时）；有过载保护</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教学用铅酸蓄电池充电器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单充阀控式铅蓄电池或单充可调内阻电池或组合式</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长度</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木直尺</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1000mm,1mm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钢直尺</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 mm,1mm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布卷尺</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摇卷盒式，量程 0 m～30 m，分度值 10mm，尺带宽度 20 mm，刻度清晰，边缘平直、材料环保、耐磨损</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游标卡尺1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125mm，0.02mm 尺框、微动装置沿尺身移动平稳、无卡滞和松动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现象，用制动螺钉能准确、可靠的固定在尺身上；带深度尺</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游标卡尺2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 mm，0.1 mm 尺框、微动装置沿尺身移动平稳、无卡滞和松动现象，用制动螺钉能准确、可靠的固定在尺身上；带深度尺</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游标卡尺3</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 mm，0.05 mm 尺框、微动装置沿尺身移动平稳、无卡滞和松动现象，用制动螺钉能准确、可靠的固定在尺身上；带深度尺</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外径千分尺（螺旋测微器）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 0mm～25mm，分度值 0.01mm；螺杆和螺母全量程范围内充分啮合，配合良好，无明显卡滞和轴向窜动，螺杆与轴套配合良好无明显径向摆动，锁紧装置能有效锁紧测微装置</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数显游标卡尺</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150mm，0.01mm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质量</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 g，0.5 g，单杠杆等臂式双盘天平，配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 级（M2 级）砝码：200 g、50 g、10 g 各 1 个， 100 g、20 g 各 2 个，钢制镊子</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指针式体重计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 0kg〜150kg，分度值 1kg</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金属钩码</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50g ×4，200g ×2</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金属槽码</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2g ×3,5g ×2,10g ×2,20g ×2,50g ×2,100g ×2,200g ×2,5g × 1 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属槽码盘和 10g × 1 槽码</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时间</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机械停表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分度值 0.1 s，一等</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电火花计时器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单频率：0.02s，火花距离不小于 10mm，平均电流不大于 0.5mA</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电磁打点计时器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本产品成套仪器应包括打点器、重锤、纸带、复写纸和弓形夹组成。 1.工作电压：50Hz 8V 交流电；2.连续工作时间不超过 10 分钟；3.打点周期稳定，周期相对误差不大于 1%；4.重锤质量为300g；5.当纸带移动速度约 3m/s 时，点子长度不大于 1.2mm，不小于 0.3mm。6.纸带宽度为 17.5mm。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数字计时器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四位及以上，数据存储，显示： 10 个挡光间隔时间、 10 周振动、n 次振动时间总和、加速度计时 3 个时间、自由落体时间不少于 2个、二路光电门分别计 2 个挡光时间（对碰、追碰），有光电门接口和电磁铁接口，统一通用接口。显示对应间隔时间的平均速度、加速度、碰撞计时 4 个平均速度； 电磁铁可调释放延时补偿</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频闪光源</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25Hz，50Hz， 100Hz</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温度</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实验室用红液温度测量器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0℃~100℃ , 分度值 1 ℃ , 示值误差＜1.5 ℃</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实验室用水银温度测量器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0℃~200℃ , 分度值 1℃ , 示值误差＜0.5℃ , 有保护套</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实验室用演示温度测量器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 ℃~100 ℃ , 分度值 1℃ , 误差±1℃；全长不小于 565mm，感温泡长度不小于 30 mm，标尺不小于 350 mm，标度板上有摄氏温标和热力学温标；在板面中段承受垂直于板面方向 4.9 N 的力时，板中部挠度应不大于 5 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实验室用数字测温测量器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量程-30 ℃~200 ℃ , 分辨力 0.1 ℃ 。不接电脑，可独立运行，自带显示屏，至少 3 路。</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力</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2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条形盒测力计1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 0N〜5 N，分度值 0.1N；示值误差≤1/4 分度，升降示差≤1/2 分度，重复性偏差≤1/4 分度</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条形盒测力计2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 0N〜10N，分度值 0.2N；示值误差≤1/4 分度，升降示差≤1/2 分度，重复性偏差≤1/4 分度</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条形盒测力计3</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2.5N</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圆筒测力计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5N</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平板测力计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5N</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圆盘测力计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5N</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演示测力计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5N</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拉压测力计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5N</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学生数字测力计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 0N～20N，误差≤±1.0%FS±1 字，采样频率应不低于 100次/秒，可测拉力和压力，不接电脑能独立运行，显示屏尺寸不小于 30 mm×40 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电</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数字演示电表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4-1/2 位，双面显示， 同一物理量</w:t>
            </w:r>
            <w:r>
              <w:rPr>
                <w:rFonts w:hint="eastAsia" w:ascii="宋体" w:hAnsi="宋体" w:eastAsia="宋体" w:cs="宋体"/>
                <w:i w:val="0"/>
                <w:iCs w:val="0"/>
                <w:color w:val="auto"/>
                <w:sz w:val="21"/>
                <w:szCs w:val="21"/>
                <w:highlight w:val="none"/>
                <w:u w:val="none"/>
                <w:lang w:val="en-US" w:eastAsia="zh-CN" w:bidi="ar"/>
              </w:rPr>
              <w:t xml:space="preserve">能自动转换量程。直流电流：200 μA、2mA、20mA、200mA、2A、20A，不确定度 0.2％ ；直流电压：2V、20V、200V，不确定度 0.1％ ； 电阻：200 Ω 、2 k Ω、20 k Ω 、200 k Ω 、2 M Ω 、20 M Ω , 不确定度 0.2％ ；交流电压：2 V、20 V、200 V、700 V，不确定度 0.5％ ；交流电流：2 mA、20 mA、200 mA、2 A，确定度 1.0％ 。2 A、20 A 自动过载保护，故障排除自动恢复。交流供电，采用 II 类变压器</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直流电流表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0.6A、3A 双量程，2.5 级，基本误差、升降变差、平衡误差不超过量程上限的 2.5%</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直流电压表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V、 15 V 双量程，2.5 级，基本误差、升降变差、平衡误差不超过量程上限的 2.5%</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灵敏电流计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 μA，G0 档表头内阻 80 Ω~125 Ω , G1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档表头内阻 2400 Ω~3000 Ω</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多用电表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指针式，不低于 2.5 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演示电流电压表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级，检流</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演示微电流电阻表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微量直流检流，直流电压、 电阻测量</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教学示波器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特性及优点：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超薄设计、体积小巧、携带方便实时采样高达 500MSa/s，等效采样 50GSa/s 带宽为 50MHz 彩色 7 寸 TFT LCD 8*18 格彩色显示3 种光标模式、32 种自动测量参数 5 种触发功能：边沿、脉冲、视频、斜率、交替 6 位硬件频率计实时计数示弹出式菜单、人性化设计 2 组参考波形，20 组设置，20 组波形内部存储独立通道控制、按键背光设计标准配置接口：USB Host：支持 U 盘存</w:t>
            </w:r>
            <w:r>
              <w:rPr>
                <w:rFonts w:hint="eastAsia" w:ascii="宋体" w:hAnsi="宋体" w:eastAsia="宋体" w:cs="宋体"/>
                <w:i w:val="0"/>
                <w:iCs w:val="0"/>
                <w:color w:val="auto"/>
                <w:sz w:val="21"/>
                <w:szCs w:val="21"/>
                <w:highlight w:val="none"/>
                <w:u w:val="none"/>
                <w:lang w:val="en-US" w:eastAsia="zh-CN" w:bidi="ar"/>
              </w:rPr>
              <w:t xml:space="preserve">储及固件升级；USB Device：支持 PC 远程控制及 PictBridge 打印；RS-232；Pass/Fail 接口带宽 50MHz 通道数 双通道+1 个外触发通道最高实时采样率 500MSa/S 等效采样率 50GSa/s 存储深度32Kpts 上升时间 &lt;5.8ns 输入阻抗 1MΩ||17pF 时基范围5ns/div-50s/divScan： 100ms-50s/div 垂直灵敏度2mv-10v/div（1-2-5 顺序）垂直分辨率 8bit 显示 7 寸彩色TFT(480*234)LCD</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电阻箱1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四位 9999 Ω , 0.5 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电阻箱2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六位 99999.9 Ω , 0.1 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力学</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圆柱体组</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包括纯铜、铝（或铝合金）和铁（钢）等 3 种材质圆柱体； 圆柱体直径 20mm，高 32mm；每个圆柱体配网兜（质量小于 0.01 g）</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惯性演示器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产品由底座、支杆、钢球、弹片及钢球定位卡组成。1、底座为木制附四只脚，外形尺寸：160mm×100mm×15mm。2、支杆为金属材料制成，表面电镀处理。 Φ 16mm，高 100mm，上端为凹槽。3、钢球Φ19mm，表面电镀处理。4、弹片采用厚 0.6mm 钢板冲压成型，宽 15mm，高 105mm。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螺旋弹簧组</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由拉力极限分别为 4.9N、2.94N、1.96 N0.98N 和 0.49 N 的 5种弹簧构成；各弹簧带长 50mm 挂钩（有指针） ，两端应为圆拉环， 附标度板</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摩擦力演示器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供中学物理教学演示滑动摩擦力、静摩擦力存在、大小决定因素等实验用。产品由主机、演示测力计 2N、支撑架摩擦块等组成。1.工作电压：220V 50Hz；2.电机功率：50W；3.调速：无级调速；4.主机外壳采用冷轧板冲压成型，表面烤漆处理，外形尺寸：310mm×90mm×100mm。4.摩擦块为木质， 中心有一沉孔，直径 27mm，深 10mm，外形尺寸：80mm×45mm×22mm。两边有限位。</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微小形变演示器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利用光杠杆原理</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滚摆</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包括摆体（摆轮和摆轴） 、悬线和支架等。摆轮采用金属材质，直径 125 mm；摆轴采用钢材制作，直径 8 mm，长 160 mm；支架高 460 mm，横梁长 300 mm；摆体质量为 0.6 kg～0.8 kg。摆体前 10 次的回升累计递减量应≤65 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离心轨道</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由底板、环形轨道、钢球、塑料球和接球装置等组成。环形轨道有供球出、入的 2 个斜坡，长坡顶部有球座，短坡顶部有接球装置环形轨道环内径≥140 mm，短坡高≥120 mm 长坡高/圆环半径倍数不大于 4。钢球和塑料球直径Φ25 mm。球自长坡顶部滚下，应能连续（在轨道顶部不脱离与轨道的接触）沿轨道滚动一周，并在短坡顶部进入接球装置</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毛钱管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（牛顿管）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带释放装置</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伽利略理想斜面演示器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由轨道、面板、支脚、手柄、长度标尺、角度标尺、记忆游标、圆球、挡球板、金属衬条、支点和捕球网组成；面板长度≥1100mm高度≥200 mm；轨道采用可弯曲的软性材料，长≥1200 mm， 内侧宽度为 9 mm，平行度公差≤0.2 mm。轨道下行段固定，上行段倾斜角应能在 0 °~15 °之间连续可调</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运动合成分解演示器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可做匀速-匀速、匀速-匀加速运动合成</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演示轨道小车</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利用电火花计时，车拖纸带式，打点有效距离不小于 900 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轨道小车</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车拖纸带打点式，打点有效距离不小于 600mm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演示斜面小车</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气垫导轨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1200mm, 可调</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小型气源</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气压不小于 500mm 水柱，低噪声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自由落体实验仪</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供基础力学教学演示和分组实验，进行定性观测和定量研究物体在自由降落状态下的运动规律，主体高度： 1.2m，钢球D=18mm，便携式支架，两个光电门； 电磁铁电源DC6V。</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牛顿第二定律演示仪</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产品为二层结构轨道形式。1.由轨道、小车两辆、刹车装置、滑轮、塑料小桶 2 个等组成。2.轨道为铝型材，表面化学抛光处理，长 900mm 和 850mm，轨道两侧尺寸：49mm，并装有调平装置。3.小车车体为塑料，总质量为 200g ±6g。4.砝码桶为塑料，质量为5g ±1g。4.滑轮为塑料，外径 28mm。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反冲动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有两种以上表现形式</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超重失重演示器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移动距离不小于 1.5m，超重、失重加速度可调，灵敏测力计示数可见</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平抛竖落仪</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仪器中的金属（含弹簧）材质要好，保证其应有硬度和韧性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平抛运动实验器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产品由铝制导轨、钢球、重锤、接球槽、演示板组成。1.底座和面板均采用冷轧板制成，面板烤白漆、底座烤黑漆，面板尺寸不小于 325mm×240mm×1mm，底座尺寸不小于250mm×100mm×10mm，并有调平螺丝；2.钢球和直径为 16mm；3.接球槽可上下移动，能停留在任一位置。</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碰撞实验器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供高中物理教学验证动量守恒定律等学生分组实验用。产品由轨道、小平轴、水平固定螺丝、C 形夹、挡球板、支球柱、玻璃靶球、钢球、重锤等组成。 1.轨道应采用铝型材加工制成，表面烤漆处理；2.C 形夹夹持范围不小于40mm；3.钢球和玻璃球直径为16mm。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向心力演示器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指针式，能平稳转动，转速可调，指针示数直观明显</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动量传递演示器（碰撞球）</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球，连线可方便调整</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gridSpan w:val="2"/>
            <w:tcBorders>
              <w:top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振动和波、分子物理和热学</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音叉1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256 Hz±0.3 Hz； 由音叉、共鸣箱、音叉槌等组成；松木共鸣箱，尺寸 300 mm×80 mm ×40 mm；在环境噪声不大于 30 dB 的室内，用音叉槌敲击音叉，距音叉 1000 mm 处声强应不小于 90 dB</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音叉2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512 Hz±0.4 Hz； 由音叉、共鸣箱、音叉槌等组成；松木共鸣箱，尺寸 140 mm×80 mm ×40 mm；在环境噪声不大于 30 dB 的室内，用音叉槌敲击音叉，距音叉 1000 mm 处声强应不小于 90 dB</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纵波演示器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中学物理演示纵波的传播、反射等；仪器采用塑料支架悬挂弹簧形式，全长不小于 1000mm、 Φ60mm 螺旋弹簧自由悬挂在支架上，振源金属可上下调节，整套仪器包括机架 1 个（螺旋弹簧 1 支、振源 2 只） ；连接杆 15 个；反光白布 1 块；可拆卸后装入400×350× 150mm 的纸箱内。</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共振音叉</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440HZ</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绳波演示仪</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横波、行波、驻波、模拟偏振</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波动弹簧</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应不少于 130 圈，拉伸弹簧，扁形钢丝密绕，弹簧刚度 2.0×10～3N/mm～5.0×10-3 N/mm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发波水槽</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电动波源带同步频闪光源</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水平式和竖式</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弹簧振子振动图像描绘器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自动稳定走纸</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简谐振动投影演示仪器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要求光源、投影设备等配备完整。通常教室光景下能看清其投影</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单摆组</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个摆球。钢球 3 个，直径分别为 19mm 一个， Φ12mm2 个；塑料球 2 个，直径分别为 26mm 一个， Φ20mm 一个。全部带线，线长不小于 1.2m。塑料盒包装，尺寸：85mm×55mm×33mm。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单摆振动图像演示器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投影式</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单摆运动规律演示器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光电门计时</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受迫振动和共振演示器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改变策动摆摆长，可分别使 5 个摆长不同的单摆共振。框架要足够大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共振演示器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 电动机驱动</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内聚力演示器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 2 个铅圆柱体、旋转式刮削器、挤压器和2 根扳杆组成； 圆柱体尺寸约Φ20 mm×50 mm，铅柱镶铁部分长度约为铅圆柱长度的 1/2，挤压架应采用铁质结构，2 个铅圆柱体应能装入挤压器中，通过螺旋实现挤压；挤压器螺旋挤压的最大和最小距离差应≥35 mm，挤压器装入铅圆柱挤压至人力不能继续挤压时，在挤压方向的形变应≤0.25 mm；刮削器由转柄、刀片和刀轴组成，削平的两铅圆柱体端面压在一起后，承受轴向拉力应≥60 N</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空气压缩引火仪</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由气缸、底座、端盖、活塞等部分组成。气缸用透明有机玻璃制作， 内径Φ10 mm，外径Φ25 mm，长 130 mm，底座Φ65 mm，手柄Φ 40 mm，活塞杆Φ8 mm。活塞体应使用弹性材料制成，活塞与气缸气密性应良好，连续压缩引火 100 次后密封圈性能不变。应能引燃脱脂棉，不应使用硝化棉</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双金属片</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由铜、铁组成。该产品由长度≧200mm、宽 ≧20mm、厚≧0.3mm 铜、铁板材各 1 片铆合而成，铆合应牢固</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气体做功内能减少演示器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kΩ的 NTC 热敏电阻封在 100 mL 移液器内同时可演示内能减少和内能增大，热响应时间≤1s</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油膜实验器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产品由油酸、无水酒精、盛水盘、刻度板、石松粉、容量筒等组成。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1.盛水盘采用塑料注塑成型，盛液尺寸不小于45mm×245mm×30mm，并有刻度板限位机构；2.刻度板采用透明有机玻璃制成，刻度板表面印有刻线方格，最小方格为 5mm，其中两个边上有毫米刻线，刻线清晰、无断线。</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浸润和不浸润现象演示器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用于高中物理教学中有关物体浸润和不浸润现象的演示实验。 由透明塑料槽、洁净的玻璃片、涂蜡的玻璃片、胶头滴管组成。1.透明水槽外形尺寸：80mm×40mm×20mm。2.玻璃片尺寸：76mm×25mm×1mm。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液体表面张力演示器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供中学物理课讲述液体的表面张力进行演示实验或分组实验用。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1.产品由半球环、双环、棉线环、棉线圈环、塑料框架、钢丝圈六件组成，手柄长度均不小于 70mm。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道尔顿板</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道尔顿板是通过宏观的方法，通过钢珠下落过程中与铜钉列阵碰撞后，因钢珠的位置随机性来观察统计规律。二、仪器结构包括：漏斗、一组斜面、控制器、铜钉列阵、弧形导轨、木框（或塑料框）、狭槽、钢珠（或塑料球）、闸门、钢珠（或塑料球）出口、盒子、底脚。</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玻意耳定律演示器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供高中物理教学课堂演示用，用于验证玻意耳-马路特定律和理想气体状态方程。结构： 由尺度板、U 型玻璃管、压力表和加压气囊、底座等组成。 1.尺度板采用厚度 1mm 金属材质一次成型，规格：432mm×152mm×10mm；板为白底红字，刻线中线为“0 </w:t>
            </w:r>
            <w:r>
              <w:rPr>
                <w:rFonts w:hint="eastAsia" w:ascii="宋体" w:hAnsi="宋体" w:eastAsia="宋体" w:cs="宋体"/>
                <w:i w:val="0"/>
                <w:iCs w:val="0"/>
                <w:color w:val="auto"/>
                <w:sz w:val="21"/>
                <w:szCs w:val="21"/>
                <w:highlight w:val="none"/>
                <w:u w:val="none"/>
                <w:lang w:val="en-US" w:eastAsia="zh-CN" w:bidi="ar"/>
              </w:rPr>
              <w:t xml:space="preserve">”刻线、两边刻线为200mm、每10mm 一个刻线、100mm为一大刻线，数字分别为“0 ”、“5 ”、“ 10 ”、“ 15 ”、  “20 ”，在尺度板上固定一U 型管，U 型管外径 20mm，两中心距为 60±3mm，长度不小于尺度板的长度尺寸 ，U 型管口一端密封连接乳胶管橡胶塞及玻璃弯管，玻璃弯管外径 8mm，长不小于 35mm；另一端密封 2.5 级 0.1 圆形负压表，表与管之间应有放气阀门。2.底座采用厚度 1.2mm 金属材质一次成型，规格 ;265mm×143mm×20mm，表面烤黑漆。</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盖·吕萨克定律演示器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用于验证一定质量的某种气体在压强不变的情况下，其体积 V 与热力学温度 T 成正比， 即 V-T 图像。产品由尺度板、玻璃管（V型、U型） 、橡皮塞、橡皮管、烧瓶、温度计、支脚、胶头滴管等组成。玻璃器材由泡沫定位，515mm×85mm×60mm；尺度板由红字 0～500mm单位刻度，规格：525mm×90mm；烧杯为 100ml：110mm×60mm，开口直径 38mm；橡皮塞规格：28mm×26mm；温度计由塑料盒装，红液 0～100℃；橡皮管 290mm×5mm。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gridSpan w:val="2"/>
            <w:tcBorders>
              <w:top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静电、</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b/>
                <w:bCs/>
                <w:i w:val="0"/>
                <w:iCs w:val="0"/>
                <w:color w:val="auto"/>
                <w:sz w:val="21"/>
                <w:szCs w:val="21"/>
                <w:highlight w:val="none"/>
                <w:u w:val="none"/>
                <w:lang w:val="en-US" w:eastAsia="zh-CN" w:bidi="ar"/>
              </w:rPr>
              <w:t xml:space="preserve">电流</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玻棒（附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丝绸）</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或有机玻棒（附丝绸），丝绸面积≥350 mm×350 mm。在规定工作条件下，用丝绸裹住玻棒（或有机玻棒） ，做一次快速拉出，棒上所带的电荷用 D－YDQ－Z－100 型指针验电器检验张角≥30 °( ≥50 ° )</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胶棒（附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毛皮）</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或聚碳酸酯棒（附毛皮），毛皮面积≥150 mm×150 mm。在规定工作条件下，用毛皮裹胶棒（或聚碳酸酯棒） ，做一次快速拉出，棒上所带的电荷用 D－YDQ－Z－100 型指针验电器检验张角≥30 ° (≥45 ° )</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箔片验电器（教师用）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由外壳、 圆盘、导电杆、绝缘子、箔片、 中位卡、接线柱和底座等组成。外壳应由不能带静电的材料制成，观察面应采用透明材料，透明材料透光率≥90%；箔片长度≥25 mm。性能要求：相对湿度≤65%环境， 圆盘上面加 8 kV 直流高压，箔片张开与中位片角度应≥45 ° ；移去高压后，箔片张开角度保持 30 ° 以上的时间≥10 min</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指针验电器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一对装。产品由底座、金属圆筒、绝缘套、金属杆、指针架、指针和接地接线柱组成。1、金属筒Φ170mm，表面烤黑漆；底座采用塑料注塑料成型， Φ 100mm。2、仪器整体结构：在圆底座上装着一个金属圆筒， 圆筒的前面装有透明玻璃，后面装有附刻度线的毛玻璃，上壁装有绝缘套筒，一根金属杆穿过套筒，插入圆筒内，金属杆下部装有竖直的指针架，一根指针装在指针架的水平轴上，并可绕轴灵活转动， 圆筒下壁一侧装有一个接线柱，用来外壳接地。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感应起电机</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由起电盘、底座、莱顿瓶、集电杆、放电杆电刷、 电刷杆、皮带轮、连接片等组成。起电盘上导电膜应采用铝箔和纸箔交替分布；莱顿瓶应采用塑料制成， 电容量应≥30 pF 击穿电压应≥42 kV；集电杆采用直径不</w:t>
            </w:r>
            <w:r>
              <w:rPr>
                <w:rFonts w:hint="eastAsia" w:ascii="宋体" w:hAnsi="宋体" w:eastAsia="宋体" w:cs="宋体"/>
                <w:i w:val="0"/>
                <w:iCs w:val="0"/>
                <w:color w:val="auto"/>
                <w:sz w:val="21"/>
                <w:szCs w:val="21"/>
                <w:highlight w:val="none"/>
                <w:u w:val="none"/>
                <w:lang w:val="en-US" w:eastAsia="zh-CN" w:bidi="ar"/>
              </w:rPr>
              <w:t xml:space="preserve">低于 4 mm 的冷拉圆钢制成， 电梳应由针状金属杆或束状裸铜线制成，与起电盘距离不应小于 6 mm；放电杆采用直径为 3 mm 的冷拉圆钢制成，表面镀铬，绝缘手柄长度应≥80mm，体积电阻率≥1016 Ω ·m； 电刷应采用束状磷铜线；导电膜与起电盘的 90 °剥离强度应≥ 8 N。性能要求：在温度为20 ℃ 、相对湿度为 65%±5%的环境中，摇柄转速 120 r/min 火花放电距离应≥55mm；在温度为 5 ℃~30 ℃范围，相对湿度为85%±5%的条件下，仪器应正常工作，火花放电距离应≥30 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枕形导体</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由一对相同的半枕形导体、绝缘支杆和底座等组成。每半枕导体下方应有一个导电挂钩不应有尖端；半枕形导体应采用304 号以上不锈钢制成，封闭端应为半球面。性能要求：使各静电导体与 D－YDQ－Z－100 型指针验电器连接，用 9 kV 高压使导体带电 10 min 内指针验电器的指针张角应≥ 30º</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小灯座</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螺旋灯座。底座塑料，尺寸：74mm×34mm×10mm，工作电压不大于36V，工作电流不大于 2.5A</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单刀开关</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最高工作电压 36V，额定工作电流 6A。开关闸刀、接线柱、垫片均为铜质。闸刀宽度≥7mm，闸刀厚度≥0.7mm。接线柱直径为 4mm，有效行程≥4mm。通过额定电流，导电部分允许温升≤35 ℃ , 操作手柄允许温升≤25 ℃ 。开关的绝缘强度应能承受 1200 V 在额定直流电流工作条件下，接线两端直流电压降≤100 mV</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滑动变阻器1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 Ω , 2A 误差应&lt;±10%；滑杆应采用正六边形、正四边形或正三角形截面，不应采用圆形截面； 电阻丝采用康铜丝，接线柱应有防松动装置；额定电流工作 30 min 温升≤300 ℃</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滑动变阻器2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 Ω , 1.5A 误差应&lt;±10%；滑杆应采用正六边形、正四边形或正三角形截面，不应采用圆形截面； 电阻丝采用康铜丝，接线柱应有防松动装置；额定电流工作 30 min 温升≤300 ℃</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滑动变阻器3</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Ω , 3A 误差应&lt;±10%；滑杆应采用正六边形、正四边形或正三角形截面，不应采用圆形截面； 电阻丝采用康铜丝，接线柱应有防松动装置；额定电流工作 30 min 温升≤300 ℃</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电阻圈</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包括 5 Ω 、1.5 A， 10 Ω 、1.0 A， 15 Ω、0.6 A 共 3 种规格，阻值误差≤±1%； 电阻丝应采用锰铜线或康铜线绕制；按额定电流连续工作 15 min 后，5 Ω 、1.5 A，10 Ω、1.0 A， 15 Ω 、0.6 A 电阻圈外壳两侧温升分别不应高于 60 K、60 K 和 45 K；按额定电流连续工作 2 h 后外壳不应出现焦灼、熔化变形、 冒烟现象；加热后电阻值变化应在1%以内</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由底板、2 种金属导线（康铜、镍铬） 、接线柱、连接片、支撑架等组成；康铜导线 2 根（长均为 1000mm，直径分别为 0.5 mm、0.3 mm） ；镍铬线 2 根（长分别为 1000 mm、500 mm，直径均为0.3 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电阻定律实验器1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直径不同（如：0.34mm、0.5mm）的锰铜、康铜、铁、镍铬合金导线各一根，长度不小于 500 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教学电阻箱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十进多盘式，调节范围 0 Ω~9999.9 Ω ,  残余电阻及其允差值25 m Ω ± 10 mΩ , 功率 1 W</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简式电阻箱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9999 Ω</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单刀双掷开关</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单刀双掷，最高工作电压 36V，额定工作电流 6A。</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双刀双掷开关</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双刀双掷，最高工作电压 36V，额定工作电流 6A。</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范氏起电机</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由蓄电球、集电梳、皮带轮、有机玻璃圆筒、橡胶带、 电动机、白炽灯、放电球、放电球绝缘杆和底座组成。蓄电球Φ200mm，放电球的Φ60mm，火花距离≥50mm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球形导体</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球形导体由球体、绝缘支杆、底座三部分组成。球体采用金属空心球体，表面镀镍，球体直径约90mm，绝缘支杆与底座总高度约100mm，支杆Φ10mm，底座底径 100mm。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验电器连接杆</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含导电杆、绝缘手柄等。导电杆直径≥2 mm 长度≥250 mm；绝缘柄直径≥10 mm，长度≥150 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验电球</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产品由绝缘手柄及金属球构成。绝缘手柄采用Φ 12mm 的有机玻璃棒制作，长度不小于 90mm；金属球采用约Φ16mm 钢球，表面镀铬。金属球与绝缘手柄端面接触良好，螺接牢靠。</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验电羽</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产品由底座、支架、丝线固定卡、丝线等组成，每套配两只。底座采用工程塑料制作，尺寸为Φ69mm×12mm；支架采用Φ3.5mm的金属杆制作，支杆高度 100mm；丝线固定卡采用厚度为 0.5mm金属板成型， 固定卡Φ27mm；丝线颜色为红色，线径约 1mm，丝线均匀分布在固定卡周边，根数不少于 45 根，丝线下垂长度不小于 50mm。产品外形尺寸约Φ69×120mm。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验电幡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产品由铜丝网、红丝线、支柱、底座等组成。铜丝网为平纹黄铜丝网，  目数：200 目/英寸，铜丝网尺寸为 360×105mm；红丝线Φ1× 150mm，共 8 根，悬挂在铜丝网两侧。支柱共 3 根，采用Φ5mm铜管制作，长度 160mm，3 根支杆分别固定在铜丝网的两端及中心位置；支座采用工程塑料制作，底座 3 个，底座底径Φ40mm，高度 28mm。将带支杆的铜丝网插入底座组成验电幡，产品组装后总高度约 190mm。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尖形布电器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主体采用金属材质，由一个圆柱形和锥形焊接而成，规格： Φ70× 160mm，塑料底座， 中间用塑料支杆连接，整体高约 200mm.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正负电荷检验器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本仪器适用于中学物理实验，它可以检验摩擦起电的电荷、 电容等带电体的正负， 以及演示静电感应。 1.检验器的探头为金属制品，表面镀铬处理；2.检验器上的红灯指示为正电荷，绿灯指示为负电荷。</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静电实验箱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应包括静电植绒、静电除尘、静电乒乓等</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金属网罩</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带底拖</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电荷间作用力演示器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本演示器由底座、立板、导体球、轻质导电球、导电球连线、绝缘支架、滑块、连接导线组成。导体球Φ83mm，轻质导电球Φ30mm。外形尺寸约 400mm×105mm×405mm。绝缘横杆悬挂可移动轻球，带竖立坐标面。</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电场线演示器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产品由五块电场线演示板组成，分别为单点电极演示板、双点电极演示板、平行板电极演示板、环形电极演示板、尖形导体演示板。演示板采用透明性好的“372 ”材料制作，由盒座和盒盖组成，盒座内注满机油和适量发屑后与盒盖密封良好，五块演示板外形尺寸均为 95×80×6.5mm。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电势演示仪</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电势、 电势差、等势面</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平行板电容器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产品由两块圆形铝板、绝缘板一块、支杆、底脚构成。1.铝板和绝缘板直径应相同，直径 220mm，厚 1mm。2.绝缘板手柄采用透明有机玻璃制，直径 15mm，长 115mm。3.铝板支杆采用透明有机玻璃制，直径 12mm、长70mm。4.底脚为大半圆形，直径 90mm， 内有配重。</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电场中带电粒子运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动模拟演示器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模拟电场中带电粒子加速、偏转</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常用电容器示教板</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电解电容器、云母电容器、陶瓷电容器、薄膜电容器、贴片电容器、微调电容器、可变电容器（形态要大的）、半可变电容器等。木板底，面积：450mm×600mm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常用电阻器示教板</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定值电阻（碳膜电阻、金属膜电阻、绕线电阻、水泥电阻等）、可变电阻（电位器等）、特殊电阻（热敏电阻、光敏电阻等）</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演示可调内阻电池</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气压调节式及其改进型</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gridSpan w:val="2"/>
            <w:tcBorders>
              <w:top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电磁、</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b/>
                <w:bCs/>
                <w:i w:val="0"/>
                <w:iCs w:val="0"/>
                <w:color w:val="auto"/>
                <w:sz w:val="21"/>
                <w:szCs w:val="21"/>
                <w:highlight w:val="none"/>
                <w:u w:val="none"/>
                <w:lang w:val="en-US" w:eastAsia="zh-CN" w:bidi="ar"/>
              </w:rPr>
              <w:t xml:space="preserve">电子</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条形磁铁</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D-CG-LT-180，表面磁感应强度≥0.07 T</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蹄形磁铁1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D-CG-LU-100，表面磁感应强度≥0.055 T</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蹄形磁铁2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D-CG-LU-63</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立体磁感线演示器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永磁、 电磁场</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电流磁场演示器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直流导线、 圆线圈、螺线管的磁场分布</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菱形小磁针</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支，磁针 28 mm×8 mm，座Φ25 mm×25 mm，磁针体中间铆接铜轴承套， 内嵌玻璃轴承，平均磁感应强度≥5 mT</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演示原副线圈</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原线圈：0.56mmQZ 型漆包线 350～370 匝，  线圈架内径 13mm，绕线宽度 65mm；副线圈 0.25mmQZ 型漆包线 2100～2200 匝，线圈架内径 35mm，绕线宽度 69mm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原副线圈</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原线圈：0.56 mmQZ 型漆包线 310～330 匝，  线圈架内径 11 mm，绕线宽度 57 mm；副线圈：  0.25 mmQZ 型漆包线 670～680 匝，线圈架内 径 24 mm，绕线宽度 52 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电磁继电器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电磁铁额定工作电压 6 V，工作电流 80 mA± 10 mA，吸合电流≤50 mA，释放电流 15 mA~20 mA。触点最高电压 16 V，额定电流 1 A，常闭电阻≤0.2 Ω ，常开电阻≤0.2 Ω , 开距≥0.3 mm。动合触点闭合后应无抖动现象</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左右手定则演示器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左右手定则演示器由塑料底座、两根金属电镀撑杆、塑料接线板、方形线圈组成。 </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1.底座采用优质塑料，规格（179mm×120mm×14mm） 。</w:t>
            </w:r>
            <w:r/>
          </w:p>
          <w:p>
            <w:pPr>
              <w:numPr>
                <w:ilvl w:val="0"/>
                <w:numId w:val="14"/>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接线板尺寸：150mm×10mm×4mm，上有红黑接线柱。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3.撑杆直径 6mm，总长 400mm，表面电镀。</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4.方形线圈内径 62mm，宽 10mm，带导线。</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手摇交直流发电机</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包括定子、转子、整流器、集流环、 电刷、灯座（带灯泡） 、手摇驱动机构和底板等部分。定子应由永磁体和极靴组成，转子应由转轴、两极电枢铁芯、 电枢线圈以及整流器和集流环组成。整流器在任何位置不应将两电刷短路， 电刷与整流器和集流环应使用弹性接触，转动灵活。转子转速为 1600 r/min 空载时，输出端交流和直流电压均应≥8 V 接 16 Ω 电阻负载时，输出端交流和直流电压均应≥5V；不带皮带轮用作电动机使用时启动电压应≤4 V， 电流应≤0.4 A</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阴极射线管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磁效应、示直进、机械效应、静电偏转等各一个而组成一套</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低频信号发生器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20Hz～20kHz，有功率输出</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高频信号发生器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 MHz～130 MHz 分段连续可调，误差±5%</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教学信号发生器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445kHz～1700kHz，误差±5%； 中频 465kHz， ±2%；低频正弦波、方波、锯齿波信号</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强磁针</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高磁能积磁体，长度不低于 120 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通电平行直导线相互作用演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银接触点，其间距 30mm。φ4 铜管直导线。 电源 220V50Hz，功率≯25W，可瞬间提供 60A 以上的电流。通电动作可连续操作 20 次以上</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电流天平</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用于演示磁场对电流的作用F 与电流 I、磁感应强度 B及通电导体长度 L 成正比（即F=BIL）这一规律， 同时可用来测定磁感应强度 B（B=F/IL） 。结构：底座、线圈、立柱、刻度盘、天平臂。</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安培力演示器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供高中物理教师演示安培力磁感应强度的教学演示实验。仪器由底座、高强磁铁整体（采用金属结构） 、可动导轨（2 个） 、直导线（150mm 铜管、50mm 铜管） 、连接线（2 条） 、细砂皮组成。底座上有一透明PVC145mm×185m 面板并带有可变换电流方向指示片，规格：270mm×185mm×20mm；勾强磁铁呈 H 型，可在投影机进行投影，并有磁极性显示；导轨规格：55mm×205mm，调节之间距离，可演示通过电流方向与磁场方向垂直或平行两种情况下产生安培力的作用。</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自感现象演示器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产品由演示板、 电路图、指示灯、变压器等组成。 1.演示板外形尺寸不小于 460mm×320mm；2.演示自感现象中通电与断电时的两种现象应明显；通电现象采用 2 个 6V 0.5A 的小电珠，断电现象采用白发红发光二极管。3.原理图线清晰，正确，无断线等现象；4.输入电压：DC6V。</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器是由磁极主体、磁力线演示板、直交流转动线圈模型、软线圈、方形线圈、直导线等组成。1.磁极主体是用漆包线绕制成多匝方形线圈，并在绕圈中间紧密放了钢片，分上下两块，上块外形尺寸：200mm×130mm×25mm。2.磁力线演示板的底板为绝缘材料，钢针 9 枚。3.三种转动线圈模型为一体， 由底座、线圈、支架、碳刷、铜环等构成，底座尺寸：160mm×65mm×10mm，线圈骨架外尺寸：80mm×55mm×15mm。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楞次定律演示器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开口环、 闭口环</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电磁阻尼演示器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产品由摆锺、磁铁、支架、底座等构成，支架为铝制、磁铁为强磁、摆锺分为强阻尼摆和弱阻尼摆，应采用铝材加工制成，表面光学抛光处理。</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动能发电手电筒</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由按柄、齿轮、线圈、磁性飞轮、LED 灯泡等组成。</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单匝线圈电机原理演示器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使用高磁能积磁体</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交流电路特性演示器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大电感、小电感，大电容、小电容， 电阻</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可拆变压器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可拆变压器： 1、单相芯式结构，铁芯以优质钢矽片冲制并经绝缘处理，U 型铁芯及条形铁轭为可拆式。2、线圈骨架用塑料压制。3、可演示远距离输电、变压器效率，还可进行变压器初、次级线圈间电压和电流与匝数关系的定量演示。</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小型变压器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电学实验中用于学习变压器构造（铁芯初级线圈、次级线圈）及初、次级间电压， 电流与线圈绕线匝数的关系时使用。结构： 由铁芯：高硅钢片，线圈：高强度漆包线等组成。</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变压器原理说明器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含：U 形铁芯、压板、压紧螺丝、线圈（红色组： 1600 匝、800匝、200 匝，绿色组：400 匝、 100 匝） 、极掌、强弱阻尼摆、摆架、铝环、感应灯</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调压变压器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1、输入电压：交流 220V 50Hz。2、输出电压：交流 0—250V、连续可调。3、最大输出电流：8A。4、额定功率：2kVA。5、绝缘电阻： 电源进线端和电压输出端与机壳绝缘电阻≥20MΩ 。6、空载电源：应小于 0.2A。7、 电压试验：仪器电源进线端和电压输出与机壳间馈给试验电压，带保护接地端子为 1.5kV，不带保护接地端子为 3kV，漏电电流输出不小于 5mA，试验电压保持 1 分钟，不出现飞狐击穿现象。</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日光灯原理演示器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可拆式电感式镇流器，结构及线路可观看</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电子束演示器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产品采用全金属机箱，使用优质冷轧钢板，铝合金型材机框，全机箱采用喷涂工艺防锈处理，机箱结构部分无塑料配件。加速电压：0～700 伏  连续可调。偏转电压： 幅度为 0～50 伏  连续可调。偏转方向：上、下、左、右四个方向。  （电场作用）显示方式：荧光屏幕显示电子束径迹。电源：220V±10％  50Hz。功耗：&lt;30W。工作环境：a）温度：0～40℃ 。b）相对湿度：＜85%。连续工作时间：一小时。</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门电路和传感器应用实验箱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与门、或门、非门电路、干簧管、温度传感器、热敏电阻、光敏电阻、感温铁氧体、霍尔元件等应用实验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电学元件黑箱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三个接点，两个元件（电池、 电阻、二极管均可更换）</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电子元器件实验盒</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线绕电阻（5Ω4W1只、10Ω4W1只、20Ω4W1只）、电阻(100Ω、200Ω、1KΩ、2KΩ、10KΩ、20KΩ、47KΩ、100KΩ、220KΩ)、电容（0.01pf、510pf、100pf、0.02pf、0.1Mf各一）、电感2.5Mf、光敏电阻、干簧管、</w:t>
            </w:r>
            <w:r>
              <w:rPr>
                <w:rFonts w:hint="eastAsia" w:ascii="宋体" w:hAnsi="宋体" w:eastAsia="宋体" w:cs="宋体"/>
                <w:i w:val="0"/>
                <w:iCs w:val="0"/>
                <w:color w:val="auto"/>
                <w:sz w:val="21"/>
                <w:szCs w:val="21"/>
                <w:highlight w:val="none"/>
                <w:u w:val="none"/>
                <w:lang w:val="en-US" w:eastAsia="zh-CN" w:bidi="ar"/>
              </w:rPr>
              <w:t xml:space="preserve">二极管（2AP9、4001各二）、发光二极管（Φ5、Φ8各二）、三极管（3AX、3AG、9013、9014、9018）、电解电容（10uf、100uf二只、470uf）、可控硅、小话筒、可变电阻47KΩ、电位器470KΩ、旋钮Φ6Φ4.5各一、可变电容203pf、功率放大集成电路一套、音乐集成电路、喇叭8Ω、磁棒天线、导线（60、100、150、200mm长各10根）、小灯座2个、灯泡、电池盒5号二只、开关（拨动式、按键式）、接线夹10个、松香、焊锡丝、电铬铁、连接板、螺批（十字、一字）。吸塑定位纸盒包装。</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电磁波的产生和接收演示仪</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发射器频率 225MHz～250MHz，等幅、调幅；接收器有声、光、 电显示。产品由发射机部分、接收机部分、 电表演示接收器、放大接收器四大部分构成。</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gridSpan w:val="2"/>
            <w:tcBorders>
              <w:top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光学﹑</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b/>
                <w:bCs/>
                <w:i w:val="0"/>
                <w:iCs w:val="0"/>
                <w:color w:val="auto"/>
                <w:sz w:val="21"/>
                <w:szCs w:val="21"/>
                <w:highlight w:val="none"/>
                <w:u w:val="none"/>
                <w:lang w:val="en-US" w:eastAsia="zh-CN" w:bidi="ar"/>
              </w:rPr>
              <w:t xml:space="preserve">原子物理</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玻璃砖</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无色光学玻璃，上底边长 35 mm，高度 35 mm 厚度 15 mm；一梯形面为粗加工面，其余为精加工面；上下底面平行度为 0.10 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光具座</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导轨长 1000 mm，导轨和滑块均为金属件，滑块在导轨上应滑行自如，无阻滞现象。金属标尺刻度 900 mm，分度值 l mm。光源出口处照度应≥500 1x，500 mm 处照度≥300 1x。附件包括双凸透镜 2 件，平凸透镜 1 件，双凹透镜 1 件，  “ 1 ”字屏 1 件，白屏 1 件，插杆 5 根，带支架毛玻璃屏 1 件，烛台 1 件。各器件易于装配、 固定及拆卸</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三棱镜</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重火石玻璃制</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激光光学演示仪</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几何光学和物理光学实验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微型物理光学观察器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半导体激光器，光的干涉、多种衍射（单缝、多缝、圆孔、异形孔、单丝、 圆屏、刀口等）</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双缝干涉实验仪</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金属遮光筒，缝宽度 0.1 mm，0.25 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牛顿环</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物理学中用于检查光学零件表面时所出现的同心或平行的等厚干涉条纹，又称“牛顿圈 ”。产品由塑料外壳、平面镜及凸透镜组成。塑料外壳外径 50mm， 内孔 25mm，高 26mm。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光导纤维应用演示器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包括传光束、传像束、有机玻璃棒、通讯演示器（发射机和接收机） 、字母板、放大屏等。视听距离≥6 m，传光束长度≥400 mm横截面≥2.55 mm2，  白光透过率≥50%，传像束长度≥350 mm，传像工作面积≥100mm2。光线丝排列对应整齐，无错位，像元数不低于 900 个</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光的偏振观察器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起偏片、检偏片</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光谱管组</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光谱管组是一种低气压放电管，用来观察气体的发射光谱。每组6 支，每支玻璃管两端均装有电极，管内抽真空至≤10－3</w:t>
            </w:r>
            <w:r>
              <w:rPr>
                <w:rFonts w:hint="eastAsia" w:ascii="宋体" w:hAnsi="宋体" w:eastAsia="宋体" w:cs="宋体"/>
                <w:i w:val="0"/>
                <w:iCs w:val="0"/>
                <w:color w:val="auto"/>
                <w:sz w:val="21"/>
                <w:szCs w:val="21"/>
                <w:highlight w:val="none"/>
                <w:u w:val="none"/>
                <w:lang w:val="en-US" w:eastAsia="zh-CN" w:bidi="ar"/>
              </w:rPr>
              <w:t xml:space="preserve">Pa 后，分别充进氢、氮、氧、二氧化碳、氖和氩等气体（气压为1009—2000Pa），为了增强气体的发光亮度，管的中部制成窄的管道。6支光谱管共装在一个带金属夹片的框架上，底座上的接线柱与各管下面的电极都相通。将感应圈或高压电源的一端接在与底座相连的电极上，另一端通过导线接在带绝缘柄的金属导杆上。实验时，用导杆任意与一支光谱管的顶部电极相接，使此管内气体产生辉光放电。 由于处于气态的各种元素或化合物都有它本身所固有的明线光谱或带状光谱，用分光镜来观察时，可以看到：氢和氩的线状光谱，氮和二氧化碳的带状光谱等。</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光电效应演示器1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带光源和锌板</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光电效应演示器2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光电管</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太阳能电池演示器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本产品由太阳能电池板带支架、音乐声响器插件和电机插件组成。用于演示太阳能转化成电能，并作各种应用。技术参数： 1.最大开路电压：3.5V；2.最大短路电流：500MA；3.音乐声响器插件工作电压：3V，工作电流：20MA；4.电机插件工作电压：3V，工作电流：30mA。</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盖革计数器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加计数功能</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物理</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磁分子模型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外形长方体，全透明塑料盒，下底安插二十四枚小钢针，排列成四行，每行六枚，钢针安放二十四枚小磁针。外形尺寸： 150mm× 100mm×19mm。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晶体空间点阵模型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全塑料制。产品由氯化钠晶体结构模型、金刚石晶体结构模型、石墨晶体结构模型三种晶体结构模型组成。</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高压输变电模拟演示器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发电厂、升压变压器、高压输电线、降压变压器、用户</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计量</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实验室用量筒1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10mL。透明钠钙玻璃制，分度线、数字和标志应完整、清晰和耐久，容积为 20 ℃时充满量筒刻度线所容纳体积</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实验室用量筒2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50mL。透明钠钙玻璃制，分度线、数字和标志应完整、清晰和耐久，容积为 20 ℃时充满量筒刻度线所容纳体积</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实验室用量筒3</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mL， 1 mL，透明钠钙玻璃制，分度线、数字和标志应完整、清晰和耐久，容积为 20 ℃时充满量筒刻度线所容纳体积</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实验室用量杯</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 mL，无色透明玻璃制，口部应熔光，壁厚≥1.2 mm，耐水性 HGB3级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实验室用移液管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1ml</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加热</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实验室用试管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Φ32 mm×200mm。透明硼硅酸盐玻璃制</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实验室用烧杯1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250mL。透明，硼硅酸盐玻璃制，刻度应清晰耐久，应在容量标志下有记号面积</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实验室用烧杯2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500mL。透明，硼硅酸盐玻璃制，刻度应清晰耐久，应在容量标志下有记号面积</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实验室用烧瓶1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圆、长，500 mL 透明，硼硅酸盐玻璃制</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实验室用烧瓶2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平、长，250 mL 透明，硼硅酸盐玻璃制</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实验室用酒精灯</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 mL，采用透明钠钙玻璃制造，无明显黄绿色，灯口应平整，瓷灯头与灯口平面间隙不应超过 1.5 mm，玻璃灯罩应磨口，瓷灯头应为白色，表面无气泡，无疵点，无裂纹，无破损缺口，酒精灯应配置与灯口孔径相适应的整齐完整的棉线灯芯</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实验室用漏斗</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漏斗口径 90 mm，斗颈长 90 mm，下口磨成45º角，斜口边口倒角或熔光，耐水性 HGB3 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实验室用分液漏斗</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筒形，250mL</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实验室用平底管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 12mm×150mm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实验室用T形管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玻璃制，横长 100±6mm，直径 7～8mm,，壁厚 1.5mm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r>
      <w:tr>
        <w:trPr>
          <w:trHeight w:val="600"/>
        </w:trPr>
        <w:tc>
          <w:tcPr>
            <w:gridSpan w:val="2"/>
            <w:tcBorders>
              <w:top w:val="single" w:color="000000" w:sz="4" w:space="0"/>
              <w:bottom w:val="single" w:color="000000" w:sz="4" w:space="0"/>
              <w:right w:val="single" w:color="000000" w:sz="4" w:space="0"/>
            </w:tcBorders>
            <w:tcW w:w="92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安全防护用具</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材质：涤卡。身长 1200mm，颜色为白色。工作服具有防静电，及防酸、碱及其他化学腐蚀的能力。产品需利于人体活动，牢固性和舒适感，产品外观无破损、斑点、污物等缺陷。产品应做工精细，穿着方便舒适。产品所用材料应能满足日常穿用和中学实验室日常使用要求</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手套</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棉纱线</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r>
      <w:tr>
        <w:trPr>
          <w:trHeight w:val="600"/>
        </w:trPr>
        <w:tc>
          <w:tcPr>
            <w:gridSpan w:val="5"/>
            <w:tcBorders>
              <w:top w:val="single" w:color="000000" w:sz="4" w:space="0"/>
              <w:bottom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7.物理数字化实验室</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推拉黑板</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1.结构：内外双层结构，内层为两块固定书写板，外层为两块滑动书写板，居中预留一体机安装位置。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2.基本尺寸：4200mm×1350mm×175mm，可根据所配一体机适当调整，确保与86寸一体机有效配套。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3.书写板面：采用优质烤漆钢板，厚度≥0.4mm。板面为亚光墨绿色，方便教师书写整齐有序，视觉舒适，用眼不疲劳。</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4.内芯材料：选用高强度、吸音、防潮、阻燃聚苯乙烯板，厚度≥14mm。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5.背板：选用优质亚光彩涂钢板，每隔80mm设有20mm加强凹槽。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6.覆板：采用环保型双组份聚氨酯胶水，自动化流水线覆板作业，确保粘接牢固，板面平整。</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边框：上横框采用开放式双轨道。平行对称双U型自动纠偏设计，避免滑动时出现滑轮卡死现象，上下框的立面尺寸≥90mm，双壁成腔结构，不接受单层铝合金设计，壁厚≥1.0mm；边框经氧化、喷砂涂层处理，无明显眩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滑轮：每块活动板采用静音组合滑轮组两组（每组由4个轮子组成，采用工字型实心合金轮架，精密进口轴承，静音特种橡胶胎圈，下平轮双侧滑动结构滑轮组（每组两个轮子），保证滑动板滑动平稳顺畅无噪音，写字无晃动现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9.锁具：一把锁配两把钥匙，一个学校钥匙互开通用。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固定板连接：固定板须用子母绞扣式连接方式，无须另行拉铆固定，通过固定板与大框相互绞扣吃力，从而增加牢固性，不得用铝合金块或钢板支架拉铆固定，避免多年使用后出现铆钉脱落造成的框架松动散架等隐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包角材料及立框侧封板：采用圆形钝角抗老化高强度ABS工程塑料注塑成型。双壁成腔流线型设计，如配装一体机需采用≥170mm一体化加长包角，须采用≥170mm一体化立框或子母绞扣式连接，不得用拉铆钉直接拉铆拼接。</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12.限位档：黑板边框内部两侧安装橡胶材质滑动板限位档，符合书写板安全距离标准的设定，防止活动黑板开启时撞击立框的同时，预留的空间易于一体机维护。</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13.安全及环保性：书写板框架、外观、边缘接角、ABS配套材料、钢制托架、胶粘剂等黑板组件配件，不得出现斜薄边及尖角毛刺或其他安全隐患。</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教师演示讲台1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尺寸：3000*700*800mm±10mm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2.台面：采用≥12.7mm 厚双面膜耐腐蚀实芯理化板制作， 四角倒R15 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3.柜体：采用≥1.0mm 优质高强度镀锌钢板，采用二氧化碳气体保护焊接，打磨处理，表面经耐酸碱  粉末烤漆处理；整体结构设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计合理；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4.拉手：采用隐藏型拉手，造型独特美观；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6.门板及抽面：采用双层钢板，必须两层组装式设计，保证两层双面都喷涂处理；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7.耐腐蚀连接件：采用ABS 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8.不锈钢防腐合页：采用优质不锈钢模具一体成型；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9.防腐三节静音导轨：三节重型滚珠滑轨，承重性强，滑动性能良好，无噪音；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10.固定桌脚：采用柜体内置可调 ABS 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实验室专用水槽及下水装置</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1.尺寸：440*330*190mm±10mm；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2.材质：高密度 PP 一体成型的水槽，水封式水塞，有效防止下水管废气溢出，排水口有过滤装置，有耐酸碱耐热耐有机溶液的特性。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实验室专用龙头</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1.高度 720mm±10mm；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2.臂弯：采用ø18*1mm 的 304 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3.主体：采用ø21*1.8mm 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4.进水管：采用ø20*1.75 mm 管径的黄铜制造；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5.出水管：采用ø13*1 mm 管径的 304 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6.涂层：经环氧树脂耐酸碱粉末涂料热固处理，耐腐蚀、耐热，防紫外线辐射；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7.陶瓷阀芯：90 °旋转，使用寿命开关要求达到 50 万次，静态最大耐压 10 bar；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1.尺寸：405*405*90mm，装置在主控台组合柜内，采用耐磨、耐腐蚀的PVC薄膜面板，优质元器件，轻触按钮开关。</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2.输入电压：220v±10%；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3.内装有教师演示电源及主控电源装置，教师能对实验室进行总体及分组控制：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220V电源输出，电源总开关、漏电保护开关、工作指示灯、220V交流输出多用豪华插座，数码实时显示电压电流值；</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带老师、学生220V过载漏电保护。</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扩声音箱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pStyle w:val="1575"/>
              <w:numPr>
                <w:ilvl w:val="0"/>
                <w:numId w:val="0"/>
              </w:numPr>
              <w:ind w:right="0"/>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auto"/>
                <w:sz w:val="21"/>
                <w:szCs w:val="21"/>
                <w:highlight w:val="none"/>
                <w:u w:val="none"/>
                <w:lang w:val="en-US" w:eastAsia="zh-CN" w:bidi="ar"/>
              </w:rPr>
              <w:t xml:space="preserve">一、等声压音箱</w:t>
            </w:r>
            <w:r/>
          </w:p>
          <w:p>
            <w:pPr>
              <w:pStyle w:val="1575"/>
              <w:numPr>
                <w:ilvl w:val="0"/>
                <w:numId w:val="0"/>
              </w:numPr>
              <w:ind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教学音箱须采用音箱簇箱体结构，一体化设计，吸顶安装于教室内学生座位中间，声场由上至下，单只音箱实现一个教室，一个声场；</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箱体上的四只发声单元在独立的腔体中以下俯35°角度向四周辐射声能，离轴距离750mm，每只单元以90°锥体声波扩散，实现360度全指向覆盖；</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为保证产品轻量化，箱体须采用ABS环保材料一体压塑成型 ；</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产品须具备高度集成化设计，含无线信号接收模块、蓝牙接收模块、话筒放大器、DSP数字音频处理模块、功率放大模块、喇叭单元，所涉及无线接收模块、蓝牙模块、运放模块、DSP处理芯片、D类放大芯片重要芯片及配套全硬件为100%国产；</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5、无线通讯技术：根据不同使用习惯能同时支持无线头戴话筒、无线手持三合一话筒、无线领夹话筒，话筒无线直连音箱，无需外加其他设备，操作简单，支持三只话筒同时发声。</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考虑到教学音箱吸顶安装，产品高度不宜过高，箱体总高度须≤168mm；</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扬声器单元：3" 19芯磁体，单只≥15W共4只；</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整机额定功率：60W，节目功率：120W，峰值功率：240W；</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阻抗：单路8Ω，共4路；</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灵敏度：91dB±3dB；</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信噪比S/N：≥76dB；</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频率响应：87Hz-17KHz；</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为保证教师语音的还原度，语言解析度≥90%；</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软件控制调试能力：可通过手机APP操控音响各种功能，实时同步免保存，支持断线储存功能，可通过产品型号选择进入设备控制界面，通过APP可对4只喇叭分别调节音量大小，可对无线话筒通道的音量调节、回声电平调节、混响电平调节、噪音门限调节、自动对频按钮，可实时监测当前无线话筒占用的UHF频点、具有≥7段图示均衡器并具有一键重置为0dB；</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DSP处理能力：二进四出数字DSP处理通道，Audio-ADC时 sNR≥94dB，具有自动噪声抑制，自适应反馈补偿技术，自动对信号振幅进行补偿，以保证输出声音声压级不低于72dB；</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16输入接口≥2个3.5mm音频接口，≥2个平衡式凤凰端子接口，输出接口≥1个3.5mm音频接口，≥1个USB数据接口用于软件升级及远程通讯；</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具有≥6个信号通道显示灯，显示通道连接状态；</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广播系统对接：支持对接IP广播系统和模拟定压广播系统；</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为控制教室内坐在前排与后排学生之间听觉差异，声场不均匀度要求室内各学生座位测量点（至少选取8个测试点）的稳态声压级最大值与最小值差值范围为4dB之内；</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为保证教师授课过程中扩声语音的清晰度，扩声系统语言传输指数STIPA：调制传递函数MTF测量值大于0.6；</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为控制相邻教室的声波干涉：相邻教室声串扰的声压级应不大于40 dB（A</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为保证师生的听觉的安全健康声压，学生座位的听音面</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1.2 米等高线位置</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最大声压级应小于 82 dB(A</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系统噪声功率级：系统噪声功率级应不大于 30 dB(A</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p>
          <w:p>
            <w:pPr>
              <w:pStyle w:val="1575"/>
              <w:ind w:right="0" w:firstLine="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eastAsia="zh-CN"/>
              </w:rPr>
              <w:t xml:space="preserve">24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蓝牙功能：优于或等于蓝牙5.0版本，支持蓝牙无线接收，方便老师分享移动设备（手机/电脑）上的音频，蓝牙支持密码模式，防止学生连接，支持手机通过蓝牙无线连接音箱，实现控制有源音箱的音量，方便教师对音箱的管控，支持音箱蓝牙名称根据教室名称自定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二、无线头戴麦克风</w:t>
            </w:r>
            <w:r/>
          </w:p>
          <w:p>
            <w:pPr>
              <w:pStyle w:val="1575"/>
              <w:ind w:right="0" w:firstLine="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1.低功耗设计，单次充电后可使用至少6小时。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2.节能模式支持无发言60分钟自动关机。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3.带有显示屏，屏显内容包括：静音显示、连接状态、电量显示、音量级显示、无线信道显示。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4.双频连接：话筒开机后自动搜索干扰少的信道并自动红外配对，配对后传输音频，确保配对设备的唯一性，杜绝串频。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5.考虑到教师长期佩戴的舒适性，产品整体重量需≤22g。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三、无线领夹麦克风</w:t>
            </w:r>
            <w:r/>
          </w:p>
          <w:p>
            <w:pPr>
              <w:pStyle w:val="1575"/>
              <w:ind w:right="0" w:firstLine="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1.指向型：全向；</w:t>
            </w:r>
            <w:r/>
          </w:p>
          <w:p>
            <w:pPr>
              <w:pStyle w:val="1575"/>
              <w:ind w:right="0" w:firstLine="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2.双频连接：话筒开机后与接收底座进行NFC配对，配对后通过2.4G传输音频，确保配对设备的唯一性，杜绝串频；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3.控制方式采用：霍尔传感器，2.4G无线。固定ID锁频，配对使用过程中其他麦克风无法再进行配对。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4、同一话筒可在任意教室使用，且互不干扰。一师一麦设计，干净卫生环保，≥2只话筒同时发言。</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四、无线三合一话筒</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1.同时支持拾音、PPT翻页、激光笔教鞭三种功能。</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2.同一话筒可在任意教室使用，且互不干扰。支持一师一麦、一室一麦设计，干净卫生环保。</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3.带有显示屏，屏显内容包括：静音显示、连接状态、电量显示、音量级显示、无线信道显示。</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4.双频连接：话筒开机后自动搜索干扰少的信道并自动红外配对，配对后传输音频，确保配对设备的唯一性，杜绝串频。</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5.四向拾音设计，每个拾音面均具有防喷网罩。</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6.内置可充式高性能3.7V聚合物锂电池。电池容量：340mAh，带保护电路，Type C接口充电，2小时充足电可持续续航时间≥8h。</w:t>
            </w:r>
            <w:r/>
          </w:p>
          <w:p>
            <w:pPr>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7.调试界面功能须具有≥4档背光调节、限幅开关，3档限幅值设定、≥5段参量均衡设置、对频方式，UHF、U-L、IR、USB翻页≥4种模式选择、自动增益功能开关、UHF≥7档对频距离可调、USB≥7档对频距离可调、无线通讯版本查看。</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实验示教终端机</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15"/>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高度集成：整机由≥1块集成触摸屏、≥2个高清摄像机和≥1个底座组成，而非摄像机和平板电脑拼装而成；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2.占用空间：整体设计精简小巧，不影响教师正常的实验操作；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3.支持折叠收纳，不使用时可以放置在配套铝箱中；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4.单关节折叠杆：采用单关节设计的折叠杆，无需旋钮即可在活动范围内任意角度悬停，方便调节俯视角的高度；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俯视角：整机一体设计，无任何外露线材，俯视角镜头≥800万像素，支持≥12倍光学变焦，支持激光TOF辅助微距自动聚焦（最短支持100mm）；具有物理按键，可以实现手动调节光学变焦和手动聚焦；具有画面锁定按键，按键冻结当前视频画面，再按一次解锁冻结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6.俯视角支持从上往下拍摄，并可通过两轴摆动调整拍摄角度。每个转轴均配有阻尼设计，确保角度调整完成后能够保持固定的拍摄角度和高度；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7.从正面拍摄特写操作，可以垂直滑动升降调整拍摄高度，调节范围≥90mm，且滑动升降具有阻尼设计，无需旋钮或卡扣即可在行程内保持任意固定高度；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8.CPU：采用 ≥6 核 CPU；≥4GB RAM+256GB ROM；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9.具有 ≥11.5英寸触摸屏，分辨率≥1920*1080，支持活动范围内任意角度翻折悬停，可活动角度≥ 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10.同时支持DC供电、内置电池供电和POE供电三种模式，供电模式切换时，设备不会断电重启；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11.具有但不限于 HDMI、USB2.0、USB3.0、POE 网口、DC12~13V 宽电压充电口、Type-C 调试口、Reset 键、3.5mm音频监听口、TF卡插槽；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12.内置无线模块接口，支持扩展终端机通过WIFI连接网络进行示教；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13.设备自带流媒体服务，支持外部系统仅需和操作系统一个IP通信即可分别获得俯视角和正视角的视频流；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具备航空接口摄像机控制：演示终端机具有6P航空接口,螺纹锁紧设计，可以外接网络云台摄像机，云台摄像机无需另接电源，接口灯可被正常点亮；且支持演示软件上对云台摄像机进行变焦控制和“上下左右”云台控制，屏幕上能看到画面有相应变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15.配套铝箱：铝边木板设计，可用于放置终端套件、电源适配器、网线等设备。</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167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互动示教系统</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16"/>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摄像机管理：支持接入摄像机的拍摄画面，支持标准 RTSP 协议，支持同时接入摄像机的主流以及辅流视频；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2.无线配置：支持双网卡管理，支持无线wifi 和有线 RJ45 双模同时连接。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3.相机画面无线投屏：支持与教室 PC 端连接，通过wifi 局域网或有线局域网均可实时将本地摄像机画面传输至教室 PC 端，并结合 PC 端软件实现大屏画面投送。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4.低延迟投屏：支持通过较低的延迟实现向PC 端进行画面投送，使 PC 端和本地端不产生明显的不同步，且各画面之间也不产生明显的不同步现象。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5.双流视频预览：支持在示教终端上进行本地摄像机预览，支持小窗口辅流同步预览；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6.全屏预览：用户可根据需要，随时将任一画面放大至全屏进行预览，在全屏预览时系统自动切换至主流高清视频流，并实现同步的低延迟预览，播放延迟不大于 0.5 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7.镜头控制：支持对摄像机镜头画面进行放大、缩小和对焦微调。</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8.高清多通道录制：支持接入≥2 个摄像机同时进行视频录制，并可在本地点播录制视频，支持本地化录制，不受wifi 网络信号影响。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9.视频上传：可将本地录制的视频上传至PC端或平台端，上传时可命名文件名，以避免PC端用户混淆多个视频。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10.视频资源管理：可将本地录制的视频下载至U盘。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11.支持PC端下发作业任务后，上传本地视频或图片到PC端。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12.支持设置第三方推流直播，可生成观看二维码，在示范教学时可显示直播二维码，手机扫码即可进入直播画面，且声画同步。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13.屏幕抓屏截图：支持对当前屏幕进行批注且截图，系统提供画笔、文字编辑、方/圆框标注等工具。且批注信息同步到PC端；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14.多端同屏批注：当PC端选择某学生端的画面进行广播时，学生端和PC端可以双向批注，且两端将同步显示批注内容。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【PC端】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1.采用C/S客户端设计，可在常用系统上运行，支持但不限于1/2/3/4/6/12/24路视频画面同屏显示；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2.视频支持但不限于H.264 编码方式，高清视频文件支持但不限于MP4格式；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3.可以软件最小化为悬浮球，点击可弹出各功能模块，并可随意拖动操作；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4.具有视频录制、永久存储、处理功能，示范操作画面可实时录制或广播画面教学，结束录制后，可以直接点击视频进行回放观看；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5.在广播教学时可以切换工位学生画面信息，以便于教学讲解，且可在顶部显示工位名称。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6.可以双向书写，PC端进行画面批注时，教师端屏幕画面将同步显示批注信息到学生端。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7.支持对当前屏幕进行批注且截图，系统提供画笔、文字编辑、方/圆框标注等工具。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8.可以获取教师端采集的音频信息，示教时声画同步。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9.可对视频和图片文件列表进行切换，支持对视频和图片的下载、修改、批量删除功能；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10.工位监看时可以显示工位画面，可以同屏显示单画面，双画面，三画面，四画面，六画面，十二画面，二十四画面布局；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11.可以创建随堂练习和课后练习，便于教学；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12.可以设置练习课题名称，练习时间，可以设置练习时间。当设置课后练习时，可以设置提交时限；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13.支持查看设备工位号、工位名称、状态、剩余空间、IP地址、视频设置、版本号等信息，且可对设备进行增删的操作；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14.摄像机多端同步控制：支持管理端远程控制摄像机设备，并可根据摄像机的特性，进行放大缩小、对焦、云台等功能控制；且支持与示教端软件实现双向同步控制。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15.支持工位观看时录制所有工位的视频，结束录制时可进行视频回看，并通过工位号进行切换画面。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16.工位观看时可点击工位号进行切换画面，或拖动工位图标进行画面切换。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17.可任意选择工位，将画面进行广播给其他学生工位端进行查看；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18.广播教学中可以将录制的视频和截图保存至教学资源。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19.教学资源可查看教学时所录制视频和截图，点击视频查看还可关联查看录制时所截的图片，便于查找相关图片。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20.工位观看时可形成工位资源，点击查看相关视频；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21.音视频采集可视化：对采集的教学音视频进行可视化的分类管理，可查看教学时所采集录制的教学音视频文件和批注截图，点击相关视频查看可进行再次批注保存并关联图片。</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455"/>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探究操作台</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1.规格：2400*1200*780mm±10mm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2.台面：采用12.7mm厚双面膜耐腐蚀实芯理化板制作，四角倒R15圆角。耐酸、耐碱、耐高温，坚固耐用，防潮、无细孔、不膨胀、不龟裂、不变形、不导电、便于维护及具有良好的承重性能；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3.柜体：采用1.0mm优质镀锌钢板，采用二氧化碳气体保护焊接，打磨处理，表面经耐酸碱粉末烤漆处理（烤漆膜厚度平均值≥70μm）；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4.拉手：铝合金条形暗拉手；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6.门板：采用双层钢板，必须两层组装式设计，保证两层双面都喷涂处理，保证关门减少噪音；</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17"/>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 Φ315*450～500mm±10mm；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2.凳脚材质：4 个凳脚采用 17×34×1.7mm，无缝钢管模具一次成型。全圆满焊接完成，结构牢固，经高温粉体烤漆处理，长时间使用也不会产生表面烤漆剥落现象。 Ф凳面直径 315×高450～500mm；</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3.凳面材质：采用聚丙烯共聚级注塑，厚 5mm。表面细纹咬花，防滑不发光，凳面底部镶嵌 4 枚铜质螺纹，采用不锈钢螺丝与圆形托盘固定；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4.脚垫材质：采用PP 加耐磨纤维质塑料，实心倒钩式一体射出成型凳面与凳脚留有一定的空间便于凳子挂在挂凳扣上。</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岛式插座</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1、钢制线盒，主框架采用裸板实际厚度大于 1.0mm 厚优质钢材产一级镀锌钢板经 CNC 机压成形、焊接制作，表面经磷化处理、环氧树脂静电粉末涂装处理。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220V 交流输出为新国标五孔插座，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边台2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1.尺寸：6000*600*780mm±10mm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3.台面：采用≥12.7mm 厚双面膜耐腐蚀实芯理化板制作， 四角倒R15 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4.柜体：采用≥1.0mm 优质镀锌钢板，采用二氧化碳气体保护焊接，打磨处理，表面经耐酸碱  粉末烤漆处理；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5.拉手：铝合金条形暗拉手；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7.门板及抽面：采用双层钢板，必须两层组装式设计，保证两层双面都喷涂处理，保证关门减少噪音；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8.连接件：采用ABS 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10.固定桌脚：采用柜体内置可调 ABS 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 1000*500*2000mm±10mm；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2.侧板、层板采用环保型 pp 改性材料一次注塑成型，表面做磨砂处理。榫卯连接结构并合理布局加强筋，配合专用塑料紧固件连；</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接，顶板、中板和底板的底部镶嵌 15*30mm 钢管加强，承重力强，产品不变形、不扭曲，可重复拆装使用；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3.上柜门：采用增强型 PP 材质一体注塑成型，外嵌 4mm 钢化烤漆玻璃，中间玻璃做镂空处理，透明可视；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4.下柜门：采用增强型 PP 材质一体注塑成型；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5.门把手：采用增强型 PP 材质一次注塑成型，安装于两门的门缝处， 凹凸配套，增加柜子内部的气密性；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6.层板：上柜配两块活动层板，下柜配一块活动层板；层板采用工程塑料经模具挤出成型， 中空双层结构， 内部均匀分布加强筋并内置两条 30*15mm钢管，单块层板静置 100 公斤重物不变形；两边配置密封堵头，整板无裸露金属，避免腐蚀生锈，美观耐用。层板可以抽取，自由组合各层空间；</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7.门铰链：用改性 pp 材料模具一次成型，伸缩式 pp 旋转门轴，内嵌隐藏方便安装，耐腐蚀；</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8.柜子固定所需螺丝均采用不锈钢，并加盖塑料盖帽隐藏安装，柜子内部无裸露金属材料，确保柜子的耐腐蚀性。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r>
      <w:tr>
        <w:trPr>
          <w:trHeight w:val="600"/>
        </w:trPr>
        <w:tc>
          <w:tcPr>
            <w:gridSpan w:val="5"/>
            <w:tcBorders>
              <w:top w:val="single" w:color="000000" w:sz="4" w:space="0"/>
              <w:bottom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教师用加强型传感器部分（可无线及有线采集数据）</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采集器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数据采集器作为连接传感器与计算机的桥梁，采用USB 协议与电脑通讯；通过 USB 接口供电，无需外接电源；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内置电源指示灯和工作状态指示灯；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内置双处理器主板，采用主频 72Mhz 高频 32 位处理器；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模块化结构，可接驳有线接口和无线接口，数据采集器与接口通过 SATA 接口传输数据，采用插接式结构，可根据实验教学需要，方便有线、无线工作模式切换；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 BT 自锁接口与传感器连接，输出数字信号，接口具有方向性和自锁功能，可以防止传感器在使用过程中脱落，保证数据传输稳定；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四路全数字通道，数据采集器最大采样率80KByte，与传感器采用 SPI数据总线进行传感器信息、数据的并行采集，数据采集器任意通道都可以读取传感器上传的数据。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 106*42*25（mm）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传感器数据显示模块</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独立模块化结构，与各种传感器组合使用，具备独立数据显示、数据存储、数据上传功能。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接入后自动识别传感器，实时显示传感器测量数据，支持多值传感器数据显示及存储，数据显示屏刷新频率 10Hz；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1.77 寸 （ ±0.1 寸）彩屏，采用 BT 自锁接口与传感器连接，接口具有方向性和自锁功能，可以防止传感器在使用过程中脱落，保证数据传输稳定；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屏幕可显示二维码，通过移动终端设备扫描二维码进行无线连接，采用蓝牙 4.0 传输协议，可将传感器测量数据实时传输到 APP。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设有按键开关，工作状态下，可通过调动按键开关切换数据显示和二维码界面；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通过移动终端设备可设置数据显示精度以及数据调零，可对数据进行描点绘图处理。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可将模块存储的测量数据导出至计算机进行数据分析（兼充电）；支持常规操作系统。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采用充电锂电供电， 电池电压 3.7V，容量 1100mAh，待机时间 10小时，采用 microUSB 充电接口；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数据存储频率 5Hz，存储容量最大 262,144 个数据点。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注：续航时间和连接的传感器有关，差别较大。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传感器尺寸：77*41*25（mm）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微电流传感器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用于测量电路中的微小的电流数据；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性能：测量范围：-5 μA~+5 μA；分度：0.01 μA；准确度：0.03μA；最大采样率：5KHz；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技术指标：容抗：202pF，阻抗：2K Ω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结构：与传感器连接处，使用线长500mm 的 2 芯屏蔽线，避免干扰，另外使用长度100mm的红黑鳄鱼夹线与屏蔽线连接，方便各种实验；</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三维磁感应强度传感器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用于测量磁场中的磁感应强度，可同时监测 X、Y、Z 三个方向上磁感应强度的分量；也可以测量合量值。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性能：测量范围：-50mT~+50mT；分度：0.01 mT；准确度：0.3mT；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最大采样率： 1KHz；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 由方形磁场管，探头探出116mm，方形边尺寸 6mm，刻度尺寸为 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传感器尺寸：197*40*25(mm），由高强度塑料外壳封装，采用注塑工艺，材质为蓝色透明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可用于测拉力（显示正值）和压力（显示负值）；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性能：测量范围：-20N~+20N；分度：0.01N；准确度：0.1N；最大采样率：5KHz；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结构：手柄式结构，由传感器数据处理电路和金属测钩构成，通过螺纹连接；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传感器尺寸：97*85*25（mm），由高强度塑料外壳封装，采用注塑工艺，材质为蓝色透明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微力传感器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可用于测拉力（显示正值）和压力（显示负值）；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性能：测量范围：-2N~+2N；分度：0.001N；准确度：0.04N；最大采样率：5KHz；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结构：手柄式结构， 由传感器数据处理电路和金属测钩构成，通过螺纹连接；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传感器尺寸：97*85*25（mm），由高强度塑料外壳封装，采用注塑工艺，材质为蓝色透明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位移传感器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用于测量待测物体的位移和距离，无测量盲区；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性能：测量范围：0mm~2000mm，分度： 1mm；准确度：8mm (≤1000mm） 、20mm（＞1000mm） ；最大采样率：50Hz；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 由发射器与接收器构成，发射器由一节 7 号电池供电，易与现有实验装置（运动小车、弹簧振子等）组合。接收器与采集器连接，接收发射器发出的信号，并显示与发射器前沿之间的距离，外壳边缘放置弹簧圈厚 0.5mm，内径 3.5mm，方便实验时连接挂钩进行牵引，完成各种移动类别的实验。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位移传感器（发射） ：76*48*25（mm） ，位移传感器（接收）：84*48*25（mm） ， 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光电门传感器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用于测量待测物体（U 型、I 型）经过传感器测量位置的挡光时间及待测物体经过传感器的次数；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性能：分度：2 μS；准确度：20uS；最大采样率：20KHz；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结构：采用U 型结构，在 U 型门两侧分别内置红外发光管和红外光电接收管，U 型门间距为 50mm；在侧边和顶端分别内置固定螺母，方便光电门多方位固定方式使用；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传感器尺寸：80*80*22（mm） ， 由高强度塑料外壳封装，采用注塑工艺，材质为黑色 ABS。外壳设计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声波/声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级传感器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用于测量声音的波形和强度，研究声音的频率、周期、振幅等特征。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性能：声波频率测量范围：20Hz~20kHz。声级测量范围：20 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~130dB，分度：0.1dB；准确度：声级：4dB；声波： 10Hz；声波最大采样率：20KHz；声级最大采样率：5KHz；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结构：传感器尺寸：85*40*25（mm） ， 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用于测量待测物体或溶液的温度；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性能：测量范围：-50℃~+200℃；分度：0.1℃；准确度：0.5℃;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 由传感器数据处理电路和不锈钢探针构成，通过 3.5mm 同轴音频插头连接，不锈钢部分：长度为105毫米，直径为 3.0 毫米；探头把手：长度为95毫米，直径为12.3毫米。与传感器连接部分采用黑色两芯线，线长750毫米；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 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压强传感器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用于直接测量气体的绝对压强；配件：20mL 移液器。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  ~700 kPa；分度：0.1 kPa；准确度： 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范围：0 到 210 千帕（0 到 2.1 大气压或 0 到 1600 毫米-汞柱）；最大不会导致永久性破坏压力：405 千帕（4 大气压）；使用工厂校准的准确度： ±4kPa；在空气中使用单点自定义校准的准确度： ±3kPa；反应时间： 10 毫秒； 内部体积：0.8ML。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结构：塑料软管内径φ4、外径φ6，长 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 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加速度传感器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 X、Y、Z 三个正交方向的加速度值；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性能：测量范围-50m/s2~+50m/s2；准确度：0.1m/s2（X 轴、Z 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0.3m/s2（Y 轴） ；最大采样率： 1KHz；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结构：传感器尺寸：80*40*25（mm） ， 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可完成测量轨道小车运动的加速度、超重与失重等实验。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一体式位移传感器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用于测量待测物体的位移和距离；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性能：测量范围：0.15m~6m，分度：1mm；准确度：0.02m（0.15m~2m）；0.06m（2.01m~6m） ；最大采样率： 15Hz；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结构：一体式位移为六边形钻石风格，两个螺母分别位于外壳底面和侧面，多种固定方式，增加使用的灵活性。发射角度 15 ° ，可最小检测的物体面，根据距离确定；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传感器尺寸：92*92*29（mm） ， 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用于测量电路中的电流数据；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性能：测量范围：-3A~+3A；分度：0.01A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测量范围：-300mA~+300mA；分度：0.1mA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测量范围：-30mA ~+30mA；分度：0.01 mA；准确度： ±3A 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0.03A； ±300mA 档：2mA； ±30mA 档： 1mA；最大采样率：5KHz；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技术指标：容抗：202pF，阻抗：0.05 Ω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结构：带 AVR0.75 平的红黑鳄鱼夹线，长度 0.6m。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设有量程切换按键，支持硬件切换传感器量程；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多量程电压传感器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用于测量电路中的电压数据；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性能：测量范围：-20V~+20V；分度：0.01V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测量范围：-2V~+2V；分度：0.001V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测量范围：-0.2V~+0.2V；分度：0.1mV；准确度：±2.0V 档：0.01V；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±20V 档：0.04V； ±0.2V 档：1.5mV；最大采样率：5KHz；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技术指标：容抗：202pF，阻抗：1MΩ;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结构：带 AVR0.75 平的红黑鳄鱼夹线，长度 0.6m。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设有量程切换按键，支持硬件切换传感器量程；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2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数字静电实验器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用于测量静电电荷电量；可独立使用，通过液晶显示屏显示静电测量结果，可支持蓝牙无线数据传输，也可通过蓝牙适配器与计算机连接，在计算机软件上显示静电测量结果。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性能：测量范围：-100nC~+100nC；分度：1nC；最大采样率：5KHz；</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 由静电计主体、导电小球、底座、蓝牙适配器、充电器及锂电池构成。其中，静电计主体含液晶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显示屏、调零按键、 电源开关及接地端。导电小球，直径 12mm；内置锂电池，配有锂电池万能充。 自带 5 寸液晶显示屏，可显示测量结果。设有调零按键，支持硬件数据调零和软件数据调零；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日照辐射传感器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性能：测量范围：0W/m2~1500W/m2；分度：1W/m2；准确度：一致性 150W/m2；最大采样率：5KHz；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原理：  日照辐射传感器的敏感元件是硅光电池。当硅光电池感受到光强变化时，其光电流随光强变化而变化，通过传感器电路处理后即可转换为光强的变化。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优点：敏感元件采用硅光电池，利用硅光电池的光谱特性和光照特性，具有稳定性好、光谱范围宽、频率特性好的特点，可用于测量 320nm 至 1100nm 光谱范围内太阳辐射强度情况。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 圆形的传感器探头顶部设计方式，可满足在各种太阳角度下使用。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传感器由高强度塑料外壳封装，外壳设有 M5 螺丝孔位，可将传感器固定在多种操作平台和实验装置上；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模块化、可热插拔设计，支持有线通讯、无线通讯和屏幕数据显示，可支持蓝牙无线数据传输；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红外温度传感器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无接触式测量待测物体或溶液的温度；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性能：测量范围：-70℃~+380℃；分度：0.1℃；准确度：2℃（0.1℃~+60℃）；6℃（-40℃~0℃及+60.1℃~+180℃）；8℃（-70℃~-40.1℃及+180.1℃~+380℃) ；最大采样率：5KHz；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结构：传感器尺寸： 120*41*25（mm），由高强度塑料外壳封装，采用注塑工艺，材质为蓝色透明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G-M传感器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用于测量β 、 γ粒子脉冲数。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性能：测量范围：0~40000 次/分；最大采样率：5KHz；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原理：G-M 传感器敏感元件为 G-M（盖革-穆勒）计数管。当 γ、β射线进入计数管后，管内气体被电离，从而在电路中形成一个脉冲电压，通过传感器电路处理后即可转换为脉冲数（放射性强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结构：传感器由高强度塑料外壳封装，外壳设有 M5 螺丝孔位，可将传感器固定在多种操作平台和实验装置上；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模块化、可热插拔设计，支持有线通讯、无线通讯和屏幕数据显示，可支持蓝牙无线数据传输；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频率传感器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用于测量交流电压信号；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 1Hz~1MHz；分度： 1 Hz；峰值：200mV~10V；准确度：  1Hz(1Hz~20kHz 范围，三种波形模式）、20Hz(20kHz~100kHz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范围，三种波形模式）、100Hz(100kHz~500kHz 范围，三种波形模式）、200Hz(500kHz~1000kHz 范围，三种波形模式）；最大采样率：5KHz；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结构：与传感器连接处，使用线长 600mm 的 2 芯屏蔽线，避免干扰，另外使用红黑鳄鱼夹线与屏蔽线连接，方便各种实验；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可完成实验：测量交流电压信号等实验。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交流电压传感器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用于测量交流电压的有效值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性能：测量范围：0～36V；分度：0.01V；准确度：50Hz 时： ±0.04V；40~400Hz 时：0.08V；最大采样率：5KHz；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技术指标：容抗：202pF，阻抗： 1MΩ;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结构：带 AVR0.75 平的红黑鳄鱼夹线，长度 0.6m。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注意：本传感器所测电压需在安全电压（36V）范围内，严禁测量220V 交流电压。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可完成实验：用于测量交流电压的有效值、升压变压器降压变压器的测量等实验。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交流电流传感器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用于测量交流电流的有效值；所测电压需在安全电压（36V）范围内。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性能：测量范围：0～2A；分度：0.001A；准确度：50Hz：0.004A；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40~400Hz：0.008A；最大采样率：5KHz；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 阻抗：0.1 Ω , 容抗：202pF；</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结构：带 AVR0.75 平的红黑鳄鱼夹线，长度 0.6m。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注意：本传感器所测电压需在安全电压（36V）范围内，严禁测量220V 交流电流。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可完成实验：用于测量交流电流的有效值等实验。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电子罗盘传感器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用于测量待测位置的方向和水平方向夹角；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性能：测量范围：0~359 ° ；分度：1 ° ；准确度：5 ° ；最大采样率：5KHz；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可完成研究地磁偏角、跟踪循迹等实验。</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附件：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1.含 USB 通讯线 1 条、长传感器线 2 条、短传感器线 2 条、A 型转接器 2 只、B 型转接器 2 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规格尺寸（mm） ：USB 通讯线 1500；长传感器线 1200；短传感器线 650。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2.两端插口具有方向性和自锁功能，插接方便、配合严密、方便教学；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3.技术资料需包含产品实验案例；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软件：专用软件采用了图形化的设计理念，软件平台里面包含了大量专用实验模板，预设了操作流程，方便学生操作使用，通用软件具备视频区域。可进行数据处理，满足学科教材与课外探究的要求；传感器插入后能自动识别和运行；软件无须设置参数自动检测传感器，并提供仪表、数值、 曲线多种显示风格；软件具有双组合曲线功能及完整的可对数据图线进行拟合的功能（一次函数、二次函数、三次函数、反比函数、反比平方、对数、正弦函数、指数、复合指数等） ，并自动显示拟合的函</w:t>
            </w:r>
            <w:r>
              <w:rPr>
                <w:rFonts w:hint="eastAsia" w:ascii="宋体" w:hAnsi="宋体" w:eastAsia="宋体" w:cs="宋体"/>
                <w:i w:val="0"/>
                <w:iCs w:val="0"/>
                <w:color w:val="auto"/>
                <w:sz w:val="21"/>
                <w:szCs w:val="21"/>
                <w:highlight w:val="none"/>
                <w:u w:val="none"/>
                <w:lang w:val="en-US" w:eastAsia="zh-CN" w:bidi="ar"/>
              </w:rPr>
              <w:t xml:space="preserve">数表达式；具有中学常用的预设公式，并可根据实验需求自由定义公式；软件内设可调整采样频率范围是 0.1~20K； 具有完善的数据处理功能（可对图线中数据进行求导、积分、平均值、绘制包络线、最大值、最小值的计算） ，可对无效数据图线的数据进行删除或恢复；可以对实验设置进行保存，生成实验模板；具有实验数据采集过程录播、 回放功能；软件可生成实验报告，提供实验报告模板，可导入实验表格数据及插入实验图线并进行分析；学生可在软件中发送实验报告；提供实验帮助，可在软件中随时查询理化生实验图片及实验说明，方便教学参考使用。</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尺寸：410*282*180（mm），由铝合金主架、铝塑板面构成， 内设隔断海绵内衬，用于收纳传感器和小的实验配件。</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gridSpan w:val="4"/>
            <w:tcBorders>
              <w:top w:val="single" w:color="000000" w:sz="4" w:space="0"/>
              <w:bottom w:val="single" w:color="000000" w:sz="4" w:space="0"/>
              <w:right w:val="single" w:color="000000" w:sz="4" w:space="0"/>
            </w:tcBorders>
            <w:tcW w:w="46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教师用加强型配套器材</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智能力盘实验器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1.由力/倾角传感器、精密力盘、挂臂、固定装置组成，产品表面平整清洁、无划痕无缺损、无锈蚀；与铁架台、数据采集器配合使用；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2.力/倾角传感器为双测量传感器，须一体化设计，测量范围： ≥-20N～+20N/-180 °~+180 °；分度：≤0.01N/0.1 °；直柄式结构， 由传感器数据处理电路和金属测钩构成，通过螺纹连接，设有背夹，可将传感器夹在固定器材位置；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3.精密力盘：尺寸≥Ø320*10mm，ABS 注塑，编码印制角度；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4.同时可测得力与倾角数据，测力时拉力显示正值、压力显示负值；测倾角时，竖直向下方向定为 0 ° , 顺时针方向的角度为正值，逆时针方向的角度为负值，支持与采集器的有线通讯、无线通讯工作方式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5.可同时测量两个方向的分力大小与角度值，完成动态条件下力的分解合成实验及两个分力与两个分力的夹角之间的关系曲线。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6.与力/倾角传感器配合，可同时测量三个方向的分力大小与角度值，完成动态条件下力的分解合成实验及关系曲线。</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多用力学轨道</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1.基本配置：含 1.2m 铝合金轨道一条、轨道小车（滚轴）两台；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2.弹簧两根、50 克配重片四块、挡光片四片（宽度分别为 20、40、60、80mm）；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3.轨道座架一套、L 型挂架两个及 I 型支架四个、滑轮一套、小车收集器一套；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4.小沙筒及 4 个 5 克配重块一组、小车缓冲装置一套、碰撞弹簧圈两个；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5.紧固件一套，受迫振动配套策动源一套。</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智能机械能守恒实验器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由底座（含铝合金底座、回收装置及 3 只 M5×12mm 塑帽螺栓）、合金刻度板总成（含刻度板、释放装置及 6 个位置可调的挡光片）、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铝合金立柱、摆锤总成（含固定装置、摆杆、摆锤） 、USB 数据线、紧固件构成；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2.实验器固定装置上的 USB 口与计算机可通过 USB 数据线建立通讯。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3.释放装置可固定及释放摆锤，摆锤落下后可以被收纳装置接收住。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4.软件可记录摆锤通过不同高度挡光片时的速度，计算出摆锤位于不同挡光片位置时的动能、势能与机械能并绘制相应的曲线变化。</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斜面上力的分解实验器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1.由主架和环形重物块构成。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2.环形物块质量：78g ±5g。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3.外形尺寸：389mm*71mm*261mm(±5mm）。弧形角度标尺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尺寸：260*239.5*28mm；环形物块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尺寸：外径Ø110*内径 96*厚 42mm；底座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尺寸：330*71*26mm，材质：镁铝合金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4.标尺角度：0、30、45、60、90。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5.内置力传感器连接滚轴转动自然。能通过两个内置力传感器测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量重物在两个垂直方向上分离的大小。</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机械能守恒实验器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I</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1.由主板、副板、光电门传感器固定臂、磁铁夹固定臂（含磁铁夹） 、摆锤（含摆锤线） 、定位档、 中央螺母、 中央螺栓、摆锤线固定栓、测平器、蝶形螺栓、通用螺栓构成。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2.主板标尺刻度：0mm、50mm、100mm、150mm，误差为±1mm；副板标尺刻度：0mm、50mm、 100mm、150mm，误差为±1mm。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3.光电门固定在主板的后方，当调节中心螺栓和螺母的紧度时，固定臂既能任意调节，又能根据实验要求固定在主板的任意位置。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4.光电门传感器固定臂长 454mm ±2mm。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5.磁铁夹固定臂长 404 mm ±2mm。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6.摆锤的材质为金属铁质，摆锤直径：8mm±0.5mm，质量：8.2g±0.5g。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7.定位档片，能够准确定位，精确改变摆长。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8.测平器外侧边缘应齐平，光滑， 以便将光电门传感器精确定位。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9.与光电门传感器配合使用，可完成对机械能守恒定律定性和定量的探究。</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环形线圈</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1.高灵敏度、无源、塑壳封装、带屏蔽；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2.与微电流传感器配合，可测得切割地磁场产生的感生电流，也可测得不同电器的电磁辐射强度。</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通电螺线管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1.外形尺寸： 112mm*40mm*45mm(±1mm）；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2.可接学生电源，通过磁传感器测量，螺线管中间位置可产生匀强磁场。</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数字化摩擦力实验器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 600mm铝合金轨道、摩擦台底座、多种摩擦块、匀速电机组成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（无需外接电源）。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2.与力传感器配合使用，可实现探究摩擦面、物体重量、运动速度、接触面积等因素对摩擦力大小的影响，配合力传感器可实现有线方式、无线方式、数据独立显示模式。</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远红外实验用加热器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1.外形尺寸：161mm*125mm*136.5mm(±1mm），由炉体、底座和电源线构成；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2.220V 交流供电，功率80W，加热半小时后炉腔内温度不低于120℃;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3.圆筒型远红外辐射加热炉芯，便于对加热体均匀加热。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4.可完成查理定律、 晶体熔解和凝固、 比热容等高精度热学定量实验。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安培力实验器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1.由底座、磁铁组、标有角度的转盘、矩形线框、挂钩、支架组成。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2.产品尺寸≥300*200*300mm；产品表面平整清洁、无划痕无缺损、无锈蚀；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3.底座：尺寸≥260*90*24mm，镁铝合金材质，表面亚光黑色氧化；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4.矩形线框上线圈为至少 6 种匝数，50、100、 150、200、250、300 匝，可研究不同匝数下的安培力大小。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5.转盘：尺寸≥Ø200*5mm，ABS 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6.磁铁组：尺寸≥90*72*26mm；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7.配合电流传感器或多量程电流传感器和微力传感器使用，研究安培力与导线长度、供电电流以及电流方向与磁场夹角的关系。</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电阻定律实验器2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座、刻度板面膜、接线排端子、锁扣、脚垫、直径不同的康铜、铁铬、镍铬五种金属丝构成，配合多量程电流传感器和多量程电压传感器使用，可研究导体的电阻与长度、横截面积、材料的关系。底座尺寸：600*60*12mm，材质：抗倍特板；康铜：线径Ø0.4mm、线径Ø0.8mm、线径Ø1.2mm；铁铬：线径Ø0.8mm；镍铬：线径Ø0.8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电磁定位系统</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由支架、 电磁定位板、纵横向保护槽、信号源、弹射器、附件组成。定位范围：578mm×330mm；最高采样频率：200Hz；定位精度：≤1mm。通过实时定位，检测跟踪信号源在定位板上的位置，研究物体在二维平面内运动规律。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配实验配件为三速弹射器，用于抛射信号源，可完成平抛运动/斜抛运动的相关实验研究。软件可将信号源在电磁定位板上的移动数据记录，并进行运动轨迹曲线绘制。可选择一段运动轨迹区域进行分析，通过“数据计算 ”计算该过程的实验数据，通过“清屏 ”功能，能够清除表格中的数据及坐标系中的实验数据曲线。魔板（电磁定位系统）软件包括平抛运动、斜抛运动、离心轨道、自由落体运动、 圆周运动、阻尼振动、运动的合成、单摆、机械能守恒实验。电磁定位板既可通过数据线与计算机进行数据传输，也可支持蓝牙无线数据传输。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（1）面板尺寸不低于 600*350mm；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（2）发射器定位偏差：   ±1mm；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（3）采样频率：0-200Hz；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（4）采用航空铝型材，高强度铝材框架式架构便于安装、结实耐用，面板采用高透明度亚克力材料方便观察， 内置高集成度电磁感应基板可精确捕捉发射器轨迹，配以高弹性硅胶板作为缓冲装置用以回收信号源。</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魔板-单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摆实验器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1.由单摆固定杆、刚性摆锤、刻度盘、紧固件构成，产品表面平整清洁、无划痕无缺损、无锈蚀。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2.产品尺寸≥60*60*1000mm，铝合金+ABS 材质，铝合金表面亚光黑色氧化；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3.刚性摆锤含转轴、长度可调碳纤维摆杆、信号源夹、配重块，碳纤维摆杆长≥1000mm；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4.与魔板电磁定位系统、信号源配合使用，可用于探究单摆周期与摆长的关系、测量当地重力加速度等实验。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魔板-机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械能守恒实验器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1.由支架总成、摆杆（含转轴、T 型连接杆、碳纤维杆、信号源夹）及紧固件构成，配备安装工具。产品表面平整清洁、无划痕无缺损、无锈蚀。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2.产品尺寸≥60*60*600mm，铝合金+ABS 材质，铝合金表面亚光黑色氧化；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3.支架总成含≥60mm 立杆、支架、角槽连接件；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4.摆杆含转轴、T 型连接杆、碳纤维杆、信号源夹，碳纤维杆长≥600mm；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5.与魔板电磁定位系统、信号源配合使用，可进行“机械能守恒定律 ”实验，系统自动记录信号源的运动轨迹，并给出这段运动区域内信号源动能、重力势能和机械能的变化图线。</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魔板-离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心轨道实验器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1.由轨道总成、固定支架、回收筐及紧固件构成，有气泡水平仪，可根据气泡位置调整水平状态，产品表面平整清洁、无划痕无缺损、无锈蚀。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2.轨道总成含多功能支架、释放器、底部支架、轨道，轨道尺寸≥560*190*20mm，铝合金材质，表面亚光黑色氧化；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3.与魔板电磁定位系统、信号源配合使用，可进行“离心轨道 ”实验，系统自动记录信号源的运动轨迹。</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魔板-阻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尼振动实验器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1.由振动装置、支架限位器及紧固件构成，产品表面平整清洁、无划痕无缺损、无锈蚀。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2.产品尺寸≥350*60*30mm，65Mn+ABS 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3.振动装置含振动条、信号源仓、信号源仓盖；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4.与魔板电磁定位系统、信号源配合使用，可进行“阻尼振动 ”实验，系统自动记录信号源的运动轨迹。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5.使用环境试验：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魔板—自由落体运动实验器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实验器由释放装置总成（含翻盖牌、释放装置、释放按钮、信号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源夹）、接收筐、接收筐固定装置及紧固件构成。与电磁定位板、信号源配合使用，可进行“自由落体运动 ”实验，系统自动记录信号源的运动轨迹，软件自动绘制“s-t 图线 ”、  “v-t 图线 ”，并根据实验数据计算出加速度。</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魔板—圆周运动实验器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1.由轨道架、塑胶手拧螺栓、T 型螺母、手拧螺栓、手拧螺母、绑线扣、拉环、牵引线构成，产品表面平整清洁、无划痕无缺损、无锈蚀。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2.产品尺寸≥550*450*40mm，45 钢材质；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3.轨道架包含左连接块、线桩、水平轨道、刻度盘、右连接块、牵引线固定器、信号源固定座、竖直轨道、滑轮；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4.配合电磁定位板、信号源、多功能学生电源使用，可进行实验一“ 圆周运动速度的方向 ”，系统自动记录整个过程中信号源进行圆周运动及被抛出后的运动轨迹；实验二“ 圆周运动的投影 ”，实验软件自动绘制出信号源进行圆周运动时的投影曲线，并自动计算出信号源旋转半径， 以及圆周运动的“角速度 ”、  “转速 ”和“周期 ”。</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方块电路-高中学生版</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 13类 46 块电路模块及附件组成，模块尺寸为 60×60×15mm。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1、电源类模块：（1）电源模块×2：锂电池供电，输出：5V；USB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Type-C 接口充电，设有四级电量指示灯。  （2）干电池模块×1：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配一节 7 号电池使用。2、仪表类模块：两种模块彩屏显示测量数据。支持蓝牙无线数据传输，上传到计算机或移动设备（手机、PAD 等） ，或通过 USB Type-C 数据线连接计算机软件显示。按键切换量程。  （1） 电压表模块×1：测量范围分度分别为：-20V~ +20V、0.01V；-2V~+2V、0.001V；-</w:t>
            </w:r>
            <w:r>
              <w:rPr>
                <w:rFonts w:hint="eastAsia" w:ascii="宋体" w:hAnsi="宋体" w:eastAsia="宋体" w:cs="宋体"/>
                <w:i w:val="0"/>
                <w:iCs w:val="0"/>
                <w:color w:val="auto"/>
                <w:sz w:val="21"/>
                <w:szCs w:val="21"/>
                <w:highlight w:val="none"/>
                <w:u w:val="none"/>
                <w:lang w:val="en-US" w:eastAsia="zh-CN" w:bidi="ar"/>
              </w:rPr>
              <w:t xml:space="preserve">0.2V~+0.2V、0.0001V。  （2） 电流表模块×1：测量范围分度分别为：-3A~+3A、0.01A；-300mA~+300mA、0.1mA；-30mA~ +30mA、0.01mA。3、开关类模块：（1）开关模块×1：单刀单掷开关。（2）双向开关模块×2：三档拨动开关。  （3）继电器模块×1：直流5V 驱动，允许最大负载：DC 30V，2A 或 AC 125V， 1A。4、导线类模块：按图示连接，导通电路。（1）直线模块×3；（2）折线模块×8；（3）T 型线模块×4。5、滑动变阻器类模块：模</w:t>
            </w:r>
            <w:r>
              <w:rPr>
                <w:rFonts w:hint="eastAsia" w:ascii="宋体" w:hAnsi="宋体" w:eastAsia="宋体" w:cs="宋体"/>
                <w:i w:val="0"/>
                <w:iCs w:val="0"/>
                <w:color w:val="auto"/>
                <w:sz w:val="21"/>
                <w:szCs w:val="21"/>
                <w:highlight w:val="none"/>
                <w:u w:val="none"/>
                <w:lang w:val="en-US" w:eastAsia="zh-CN" w:bidi="ar"/>
              </w:rPr>
              <w:t xml:space="preserve">块上三个连接端口对应变阻器上的三个引脚，通过滑动变阻器上的手柄，改变阻值。（1）外接滑动变阻器连接模块×1：配三芯线使用，外接滑动变阻器。（2）滑动变阻器 1kΩ模块×1；（3）滑动变阻器 10kΩ模块×1。6、可变电阻类模块：滑动手柄，调节两个连接端口之间的阻值； 向右滑动阻值变大，反之变小。有三种规格模块（0~1k Ω 、0~10k Ω 、0~100k Ω ） 各×1。7、敏感电阻类模块：（1）光敏电阻模块×1：光照强度越大，阻值越小。（2）热敏电阻模块×1：温度越大，阻值越小。8、二极管类模块：（1）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二极管模块×1：导通</w:t>
            </w:r>
            <w:r>
              <w:rPr>
                <w:rFonts w:hint="eastAsia" w:ascii="宋体" w:hAnsi="宋体" w:eastAsia="宋体" w:cs="宋体"/>
                <w:i w:val="0"/>
                <w:iCs w:val="0"/>
                <w:color w:val="auto"/>
                <w:sz w:val="21"/>
                <w:szCs w:val="21"/>
                <w:highlight w:val="none"/>
                <w:u w:val="none"/>
                <w:lang w:val="en-US" w:eastAsia="zh-CN" w:bidi="ar"/>
              </w:rPr>
              <w:t xml:space="preserve">电压为 0.55V。（2）双向发光二极管模块× 1：启动电压为 1.5V，红绿双色代表电流方向。9、三极管类模块：模块上三个连接端口分别对应三极管的 B、C、E 引脚。（1）NPN 三极管模块×1；（2）PNP 三极管模块×1。10、电感类模块：有两种规格模块（0.6H、1H）各×1。11、用电器类模块：（1）小灯泡模块×2：与附件中的灯泡组合使用；（2） 电机模块×1：额定电压 DC 5V，驱动扇叶转动；（3）蜂鸣器模块×1：额定电压 DC 5V。12、扩展类模块：本模块与附件中的各种插片组合使用。（1）</w:t>
            </w:r>
            <w:r>
              <w:rPr>
                <w:rFonts w:hint="eastAsia" w:ascii="宋体" w:hAnsi="宋体" w:eastAsia="宋体" w:cs="宋体"/>
                <w:i w:val="0"/>
                <w:iCs w:val="0"/>
                <w:color w:val="auto"/>
                <w:sz w:val="21"/>
                <w:szCs w:val="21"/>
                <w:highlight w:val="none"/>
                <w:u w:val="none"/>
                <w:lang w:val="en-US" w:eastAsia="zh-CN" w:bidi="ar"/>
              </w:rPr>
              <w:t xml:space="preserve">综合扩展模块×1：设有一个插座；（2）并联综合扩展模块×1：设有两个插座，并联设置。13、接口类模块：接口模块：设有香蕉插座，与附件中鳄鱼夹线配合使用，外接负载。 14、附件：（1） 电阻插片：2.5 Ω × 1、500 Ω × 1、600 Ω × 1、1k Ω ×2、1.5k Ω × 1、2k Ω ×2；（2）电容插片：10uF×1、100uF×1、470uF× 1、1000uF×1；（3）线圈插片：线圈 2 匝 × 1、线圈 50 匝 × 1；（4）柱形磁铁×2：直径Φ5mm 和Φ8mm 两种规格各一根</w:t>
            </w:r>
            <w:r>
              <w:rPr>
                <w:rFonts w:hint="eastAsia" w:ascii="宋体" w:hAnsi="宋体" w:eastAsia="宋体" w:cs="宋体"/>
                <w:i w:val="0"/>
                <w:iCs w:val="0"/>
                <w:color w:val="auto"/>
                <w:sz w:val="21"/>
                <w:szCs w:val="21"/>
                <w:highlight w:val="none"/>
                <w:u w:val="none"/>
                <w:lang w:val="en-US" w:eastAsia="zh-CN" w:bidi="ar"/>
              </w:rPr>
              <w:t xml:space="preserve">；（5）灯泡：绿色 LED 灯×1、蓝色 LED 灯× 1、钨丝灯泡×2；（6）USB集线器×1、双头充电器×1、USB Type-C 数据线×2、鳄鱼夹线×2、三芯线× 1、7 号干电池×1。可自由搭建高中课程标准中电学及控制电路实验电路，实时测量电流、 电压数据，满足学生课程及课外自主研究电路的需求，案例有： 串联电路、并联电路、调光电路、调速电路、楼道灯、光控电路、温控电路、欧姆定律、电容充放电、测量水果电池的电动势和内阻、测干电池的电动势和内阻、描绘小灯泡的U-I特性曲线（分压法）、描绘电阻的U-I</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特性曲线（分压法） 、描绘二极管的U-I特性曲线（分压法）、测量小灯泡的额定功率、LC 振荡电路、楞次定律等电路。</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法拉第电磁感应（定律）实验器 Ⅰ</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1.由底座、活动线圈、磁铁、光电门传感器测量系统组成，线框能卡在两条金属支架中间竖槽内；产品表面平整清洁、无划痕无缺损、无锈蚀；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2.产品尺寸≥300*130*300mm；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3.底座：尺寸≥300*90*24mm，轨道单层厚度≥2mm，镁铝合金材质，表面亚光黑色氧化；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4.通过内置传感器测量系统测量数据，直接与计算机 USB 口通讯5.可完成在磁感强度不变的条件下，动生电动势与运动速度的关系实验。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法拉第电磁感应（定律）实验器Ⅱ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1.由底座、主线圈、次线圈、 电动势测量传输系统组成；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2.产品尺寸≥300*90*70mm；产品表面平整清洁、无划痕无缺损、无锈蚀；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3.底座：尺寸≥300*90*24mm，轨道单层厚度≥2mm，镁铝合金材质，表面亚光黑色氧化；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4.主线圈尺寸≥主线圈：长度≥90mm，直径≥15mm，长径比≥5：1；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5.直接与计算机 USB 口连接通讯，与智能电源、磁感应强度传感器测量系统配合使用，探究感生电动势与磁感强度的变化率关系底座内置电压传感器。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6.使用环境试验：低温存储试验（温度≤-8℃ , 保持时间≥4h）、高温存储试验（温度≥50℃ , 保持时间≥4h）、恒定湿热试验（温度≥38℃ , 湿度≥90%RH，保持时间≥12h） ，试验后能正常启动并工作。</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智能电源</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1.产品尺寸≥140*110*42mm，产品表面平整清洁、无划痕无缺损、无锈蚀；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2.包含电压输出端口、 电压调节旋钮、显示屏幕、上升沿或下降沿斜率调节滑杆、输出模式转换按钮、运行按钮、 电源开关、 电源线接口、 电源线、红色黑色导线等组成。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3.显示屏幕≥2.0 寸（屏幕尺寸≥39*32mm）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4.红黑导线：长≥1035mm（含插头） ，线径≥3mm，插头材质是铜镀镍，导线材质是铜丝；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5.直流输出：直流输出： 1.5V～10V 连续可调。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6.智能模式输出：可分别调节单周期的梯形波、单周期三角波及多周期三角波三种模式输出，波形上升与下降斜率分别可调。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7.是法拉第电磁感应定律实验器Ⅱ的必备模块，二者组合使用，可完成研究磁通量的变化率与感生电动势的关系实验。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牛顿管实验器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牛顿管实验器由牛顿管（含透明管、微型无线压强传感器、抽气门） 、抽气装置、观测物体（金属、泡沫）等构成，微型无线压强传感器可支持蓝牙无线数据传输，通过计算机或移动端软件，实时显示牛顿管内的压强及压强变化。可以观察物体在空气中、近似真空状态下以及其他压强状态情况的下落过程。用于完成探究自由落体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玻璃导电实验器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由底座、专用实验板组成，外形尺寸：104mm*114mm*172mm(±5mm），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底座上设有两个接线柱，与微电流传感器配合使用能够完成玻璃导电实验。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温差电流实验器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由底座、不同材料金属框组成，与微电流传感器配合使用</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电磁感应与楞次定律实验器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1.该实验器由档位开关、线圈、接线柱和电路板组成。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2.与电流传感器配合使用，用于研究电磁感应现象。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3.档位开关分别与不同匝数相的线圈连接，探究线圈匝数与感应电流的关系。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4.可根据曲线的变化趋势分析感应电流的方向，并由此验证楞次定律。</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光电计时测距实验器 （π系统）</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含智能小车1辆（红色）、USB充电线1根。智能小车内置多种测量电路，能够同时测量位移、速度、加速度、力、角速度物理量；并通过小车内置的蓝牙无线模块，与计算机、平板电脑或手机无线连接，在软件上显示出测量数据或图线。可完成力学、运动学的多个实验。包含在计算机运行的专用软件、通用软件及在移动设备上运行的APP，配合智能小车及配套装置完成力学、运动学的多个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1.能够同时测量位移、速度、加速度、力、角速度物理量。可以测出单个或多个变量变化的规律，描绘相应的曲线。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2.内置蓝牙无线模块，可以与计算机、平板电脑、手机无线连接，在软件上显示出测量数据或实验图线，可以在多平台多终端使用。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3.设有2个智能附件连接接口，可同时连接智能风扇模块、智能弹射模块、智能驱动模块、矢量显示模块的其中两个模块。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4.内置弹射装置，为小车提供两种初始速度，可通过触摸按键启动或通过软件启动。可在软件上对智能模块进行参数设置和控制。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5.力：测量范围：±18N；分辨率：0.001N； 数据无线最高采样率：1800Hz。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6.位移：-9000 mm ~9000mm；分度：0.1mm；精准度：±5mm；数据无线最高采样率：1800Hz。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7.速度：最大速度：±3m/S；分度：0.001m/s；精准度：±0.1m/s；数据无线最高采样率：1800Hz；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8.加速度：测量范围：±150m/S2 （±16g）；分度0.01m/S2；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9.陀螺仪：测量范围：±1800°/S，分度1°/S；精准度：±5°/s；数据无线最高采样率：1800Hz。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10.配套软件包含在计算机上运行的专用软件、通用软件及在移动设备上运行的软件。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等势线描绘仪</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等势线描绘仪由智能定位板、导电纸（耗材）、测量笔、负极连线、正电极柱、负电极柱、电极定位助手、强磁铁、条形电极、环形</w:t>
            </w:r>
            <w:r>
              <w:rPr>
                <w:rFonts w:hint="eastAsia" w:ascii="宋体" w:hAnsi="宋体" w:eastAsia="宋体" w:cs="宋体"/>
                <w:i w:val="0"/>
                <w:iCs w:val="0"/>
                <w:color w:val="auto"/>
                <w:sz w:val="21"/>
                <w:szCs w:val="21"/>
                <w:highlight w:val="none"/>
                <w:u w:val="none"/>
                <w:lang w:val="en-US" w:eastAsia="zh-CN" w:bidi="ar"/>
              </w:rPr>
              <w:t xml:space="preserve">电极、USB Type-C数据线构成。电压测量范围：-20V~+20V；分度：0.01V。智能定位板由硅胶套、板体组成。顶部设有Type-C接口、测量笔接口、负极连线接口构成。 导电纸可形成稳恒电流场来模拟静电场。利用硅胶套的弹性，将导电纸插入四周缝隙，使其平展并全面覆盖板体可见部分。可重复多次实验。正、负电极柱，正极为红色，负极为黑色。一端为强磁，便于吸附在智能定位板板体上，另一端为可叠插香蕉插头用于连接学生电源的“+”极、“-”极插口。配合其他电源接线柱，需要更换时可将可叠插香蕉插头插入鳄鱼夹的叠插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电极定位助手由透明有机玻璃加工而成。开展不同实验时，借助该板准确安放电极的位置。其中，A、B 两处半圆孔位，用于“描绘等量异种点电荷电场中的等势线”实验；C、D 两处半圆孔位，用于“描绘点电荷电场中的等势线”实验。条形电极区分左、右侧，共两片，用于“描绘匀强电场中的等势线”</w:t>
            </w:r>
            <w:r>
              <w:rPr>
                <w:rFonts w:hint="eastAsia" w:ascii="宋体" w:hAnsi="宋体" w:eastAsia="宋体" w:cs="宋体"/>
                <w:i w:val="0"/>
                <w:iCs w:val="0"/>
                <w:color w:val="auto"/>
                <w:sz w:val="21"/>
                <w:szCs w:val="21"/>
                <w:highlight w:val="none"/>
                <w:u w:val="none"/>
                <w:lang w:val="en-US" w:eastAsia="zh-CN" w:bidi="ar"/>
              </w:rPr>
              <w:t xml:space="preserve">实验。正面设有一处电极固定区、两处强磁铁压紧区，背面设有导电镀层，使用时在强磁铁的压覆下紧贴导电纸。 环形电极用于“描绘点电荷电场中的等势线”实验。正面设有一处电极固定区、四处强磁铁压紧区，背面设有环形导电镀层，使用时借助强磁铁确保该电极板背面的导电镀层紧贴导电纸。使用时，印刷LOGO 的一面朝上，放置在条形电极或环形电极正面的强磁铁压紧区，保证条形电极或环形电极背面的导电镀层与导电纸紧密贴合。 USB Type-C 数据线一端为USB 接口，用于连接计算机，另一端为Type C 接口，用于连接定位板顶部的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Type-C接口，也可支持蓝牙无线数据传输。与多功能学生电源、等势线描绘专用软件配套使用，可完成等量异种点电荷电场、匀强电场、点电荷电场中的等势线描绘等实验。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魔板-凹凸桥实验器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魔板-凹凸桥（产品尺寸：≥547*167*75mm；材质：铝合金；工艺：表面亚光黑色氧化）；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实验器由桥形支架、滚轮、条形锁紧装置、USBType-C 数据线构成，桥形支架，包括凹凸桥轨道、凹凸桥底座、测力传感器。轨道由两片对称金属板构成，滚轮采用铝合金材质加工成对称的柱形结构， 中间凸起结构起导向限位作用，确保滚轮能够在轨道上平稳滚动。无需数据采集器通过 USBType-C 数据线直接连接计算机。与电磁定位板、信号源配合使用，可用于探究物体运动过程中受力与所处位置之间的关系，能够定量展示物体在凹桥、 凸桥上的超重、失重状态。</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光学实验系统-高中版</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由长度 1.2 米轨道、可调光源座、光缝座、光屏座、相对光照度分布传感器、单缝、双缝、USB 数据线构成。可完成高中物理中光的干涉、衍射实验。包含 2 个规格的激光光源及底座（1个红色激光光源及底座、1 个绿色激光光源及底座） 、2 个规格单缝、2 个规格双缝、1 条光学轨道、1 个光照度分布传感器、1 个光屏、1 个 USB 信号线、2 节 5 号电池、 固定螺丝、1 个原点及底座（泊松亮斑实验）、1 套偏振片及底座等。</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火箭飞行记录仪</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由火箭模型及测量系统组成，测量系统可放置到火箭模型的载荷舱中。通过测量系统，记录飞行过程中的9个数据：最大高度、最大速度、助推时间、最大加速度、平均加速度、熄火到最高点时间、最高点到释放降落伞时间、释放降落伞高度、降落时间。</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无线向心力实验器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1.由三角稳固底座、旋臂、旋臂座、连接装置、紧固件、砝码*2个（重量： 10g ±0.3g、19g ±0.3g）组成。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2.旋臂内置光电门传感器及无线发射电路，光电门挡光孔距离轴心的距离：（150mm±0.05mm）、挡光臂（挡光片宽度：10mm±0.05mm）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3.无线力传感器内置在旋臂中，无线接收器与计算机 USB 接口通讯。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4.可探究向心力与质量、半径之间的关系。</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gridSpan w:val="4"/>
            <w:tcBorders>
              <w:top w:val="single" w:color="000000" w:sz="4" w:space="0"/>
              <w:bottom w:val="single" w:color="000000" w:sz="4" w:space="0"/>
              <w:right w:val="single" w:color="000000" w:sz="4" w:space="0"/>
            </w:tcBorders>
            <w:tcW w:w="46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学生用基本配置传感器部分</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采集器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数据采集器作为连接传感器与计算机的桥梁，采用USB 协议与电脑通讯；通过 USB 接口供电，无需外接电源；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内置电源指示灯和工作状态指示灯；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内置双处理器主板，采用主频 72Mhz 高频 32 位处理器；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模块化结构，可接驳有线接口和无线接口，数据采集器与接口通过 SATA 接口传输数据，采用插接式结构，可根据实验教学需要，方便有线、无线工作模式切换；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 BT 自锁接口与传感器连接，输出数字信号，接口具有方向性和自锁功能，可以防止传感器在使用过程中脱落，保证数据传输稳定；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四路全数字通道，数据采集器最大采样率80KByte，与传感器采用 SPI数据总线进行传感器信息、数据的并行采集，数据采集器任意通道都可以读取传感器上传的数据。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 106*42*25（mm）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微电流传感器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用于测量电路中的微小的电流数据；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性能：测量范围：-5 μA~+5 μA；分度：0.01 μA；准确度：0.03μA；最大采样率：5KHz；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技术指标：容抗：202pF，阻抗：2K Ω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结构：与传感器连接处，使用线长50mm 的 2 芯屏蔽线，避免干扰，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另外使用长度100mm的红黑鳄鱼夹线与屏蔽线连接，方便各种实验；传感器尺寸：80*40*25(mm），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磁感应强度传感器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用于测量磁场中的磁感应强度；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性能：测量范围：-15mT~+15 mT；分度：0.01 mT；准确度：0.3mT；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结构：方形磁场管，探头探出 116mm，方形边尺寸 6mm，刻度尺寸为 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传感器尺寸：197*40*25(mm），由高强度塑料外壳封装，采用注塑工艺，材质为蓝色透明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可完成感生电动势与磁通量的变化率关系、研究地球磁场、用磁感应强度传感器测量转速、影响电磁铁磁性强弱的因素等实验。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可用于测拉力（显示正值）和压力（显示负值）；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性能：测量范围：-20N~+20N；分度：0.01N；准确度：0.1N；最大采样率：5KHz；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结构：手柄式结构， 由传感器数据处理电路和金属测钩构成，通过螺纹连接；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传感器尺寸：97*85*25（mm），由高强度塑料外壳封装，采用注塑工艺，材质为蓝色透明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位移传感器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用于测量待测物体的位移和距离，无测量盲区；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性能：测量范围：0mm ~2000mm，分度： 1mm；准确度：8mm (≤1000mm） 、20mm（＞1000mm） ；最大采样率：50Hz；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 由发射器与接收器构成，发射器由一节 7 号电池供电，易与现有实验装置（运动小车、弹簧振子等）组合。接收器与采集器连接，接收发射器发出的信号，并显示与发射器前沿之间的距离，外壳边缘放置弹簧圈厚 0.5mm，内径 3.5mm，方便实验时连接挂钩进行牵引，完成各种移动类别的实验。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位移传感器（发射） ：76*48*25（mm） ，位移传感器（接收）：84*48*25（mm） ， 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光电门传感器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用于测量待测物体（U 型、I 型）经过传感器测量位置的挡光时间及待测物体经过传感器的次数；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性能：分度：2 μS；准确度：20uS；最大采样率：20KHz；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结构：采用U 型结构，在 U 型门两侧分别内置红外发光管和红外光电接收管，U 型门间距为 50mm；在侧边和顶端分别内置固定螺母，方便光电门多方位固定方式使用；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传感器尺寸：80*80*22（mm） ， 由高强度塑料外壳封装，采用注塑工艺，材质为黑色 ABS。外壳设计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用于测量待测物体或溶液的温度；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性能：测量范围：-50℃~+200℃；分度：0.1℃；准确度：0.5℃;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结构：由传感器数据处理电路和不锈钢探针构成，通过 3.5mm 同轴音频插头连接，不锈钢部分：长度为105毫米，直径为 3.0 毫米；探头把手：长度为95毫米，直径为12.3毫米。与传感器连接部分采用黑色两芯线，线长750毫米；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 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压强传感器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用于直接测量气体的绝对压强；配件：20mL移液器。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  ~700 kPa；分度：0.1 kPa；准确度： 1kPa；最大采样率：5KHz；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范围：0 到 210 千帕（0 到 2.1 大气压或 0 到 1600 毫米-汞柱）；最大不会导致永久性破坏压力：405 千帕（4 大气压）；使用工厂校准的准确度： ±4kPa；在空气中使用单点自定义校准的准确度： ±3kPa；反应时间： 10 毫秒； 内部体积：0.8ML。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结构：塑料软管内径φ4、外径φ6，长 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 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用于测量电路中的电流数据。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性能：测量范围：-3A~+3A；分度：0.01A；准确度： ≤±0.03A；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 阻抗：0.025 Ω , 容抗：202pF；</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结构：带 AVR0.75 平的红黑鳄鱼夹线，长度 0.6m。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传感器由高强度塑料外壳封装，外壳设有 M5 螺丝孔位，可将传感器固定在多种操作平台和实验装置上；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模块化、可热插拔设计，支持有线通讯、无线通讯和屏幕数据显示，可支持蓝牙无线数据传输；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电压传感器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用于测量电路中的电压数据。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性能：测量范围：-20V~+20V；分度：0.01V；准确度：≤±0.04V；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技术指标：容抗：202pF，阻抗： 1MΩ;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结构：带 AVR0.75 平的红黑鳄鱼夹线，长度 0.6m。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传感器由高强度塑料外壳封装，外壳设有 M5 螺丝孔位，可将传感器固定在多种操作平台和实验装置上；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模块化、可热插拔设计，支持有线通讯、无线通讯和屏幕数据显示，可支持蓝牙无线数据传输；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附件：1.含 USB 通讯线 1 条、长传感器线 2 条、短传感器线 2 条、A 型转接器 2 只、B 型转接器 2 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规格尺寸（mm） ：USB 通讯线 1500；长传感器线 1200；短传感器线 650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2.两端插口具有方向性和自锁功能—插接方便、配合严密、方便教学；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3.技术资料需包含产品实验案例；</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尺寸：410*282*180（mm）， 由铝合金主架、铝塑板面构成， 内设隔断海绵内衬</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gridSpan w:val="4"/>
            <w:tcBorders>
              <w:top w:val="single" w:color="000000" w:sz="4" w:space="0"/>
              <w:bottom w:val="single" w:color="000000" w:sz="4" w:space="0"/>
              <w:right w:val="single" w:color="000000" w:sz="4" w:space="0"/>
            </w:tcBorders>
            <w:tcW w:w="46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学生用标准配套实验器材部分</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多用力学轨道</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18"/>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基本配置：含 1.2m 铝合金轨道一条、轨道小车（滚轴）两台；</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2.弹簧两根、50 克配重片四块、挡光片四片（宽度分别为 20、40、60、80mm）；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3.轨道座架一套、L 型挂架两个及 I 型支架四个、滑轮一套、小车收集器一套；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4.小沙筒及 4 个 5 克配重块一组、小车缓冲装置一套、碰撞弹簧圈两个；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5.紧固件一套，受迫振动配套策动源一套。</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环形线圈</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1.高灵敏度、无源、塑壳封装、带屏蔽；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2.与微电流传感器配合，可测得切割地磁场产生的感生电流，也可测得不同电器的电磁辐射强度。</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通电螺线管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1.外形尺寸：112mm*40mm*45mm(±1mm）；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2.可接学生电源，通过磁传感器测量，螺线管中间位置可产生匀强磁场。</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gridSpan w:val="5"/>
            <w:tcBorders>
              <w:top w:val="single" w:color="000000" w:sz="4" w:space="0"/>
              <w:bottom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8.化学数字化实验室</w:t>
            </w:r>
            <w:r/>
          </w:p>
        </w:tc>
      </w:tr>
      <w:tr>
        <w:trPr>
          <w:trHeight w:val="174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推拉黑板</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1.结构：内外双层结构，内层为两块固定书写板，外层为两块滑动书写板，居中预留一体机安装位置。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2.基本尺寸：4200mm×1350mm×175mm，可根据所配一体机适当调整，确保与86寸一体机有效配套。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3.书写板面：采用优质烤漆钢板，厚度≥0.4mm。板面为亚光墨绿色，方便教师书写整齐有序，视觉舒适，用眼不疲劳。</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4.内芯材料：选用高强度、吸音、防潮、阻燃聚苯乙烯板，厚度≥14mm。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5.背板：选用优质亚光彩涂钢板，每隔80mm设有20mm加强凹槽。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6.覆板：采用环保型双组份聚氨酯胶水，自动化流水线覆板作业，确保粘接牢固，板面平整。</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边框：上横框采用开放式双轨道。平行对称双U型自动纠偏设计，避免滑动时出现滑轮卡死现象，上下框的立面尺寸≥90mm，双壁成腔结构，不接受单层铝合金设计，壁厚≥1.0mm；边框经氧化、喷砂涂层处理，无明显眩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滑轮：每块活动板采用静音组合滑轮组两组（每组由4个轮子组成，采用工字型实心合金轮架，精密进口轴承，静音特种橡胶胎圈，下平轮双侧滑动结构滑轮组（每组两个轮子），保证滑动板滑动平稳顺畅无噪音，写字无晃动现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9.锁具：一把锁配两把钥匙，一个学校钥匙互开通用。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固定板连接：固定板须用子母绞扣式连接方式，无须另行拉铆固定，通过固定板与大框相互绞扣吃力，从而增加牢固性，不得用铝合金块或钢板支架拉铆固定，避免多年使用后出现铆钉脱落造成的框架松动散架等隐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包角材料及立框侧封板：采用圆形钝角抗老化高强度ABS工程塑料注塑成型。双壁成腔流线型设计，如配装一体机需采用≥170mm一体化加长包角，须采用≥170mm一体化立框或子母绞扣式连接，不得用拉铆钉直接拉铆拼接。</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12.限位档：黑板边框内部两侧安装橡胶材质滑动板限位档，符合书写板安全距离标准的设定，防止活动黑板开启时撞击立框的同时，预留的空间易于一体机维护。</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13.安全及环保性：书写板框架、外观、边缘接角、ABS配套材料、钢制托架、胶粘剂等黑板组件配件，不得出现斜薄边及尖角毛刺或其他安全隐患。</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192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教师演示讲台1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尺寸：3000*700*800mm±10mm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2.台面：采用≥12.7mm 厚双面膜耐腐蚀实芯理化板制作， 四角倒R15 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3.柜体：采用≥1.0mm 优质高强度镀锌钢板，采用二氧化碳气体保护焊接，打磨处理，表面经耐酸碱  粉末烤漆处理；整体结构设计合理；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4.拉手：采用隐藏型拉手，造型独特美观；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6.门板及抽面：采用双层钢板，必须两层组装式设计，保证两层双面都喷涂处理；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7.耐腐蚀连接件：采用ABS 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8.不锈钢防腐合页：采用优质不锈钢模具一体成型；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9.防腐三节静音导轨：三节重型滚珠滑轨，承重性强，滑动性能良好，无噪音；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10.固定桌脚：采用柜体内置可调 ABS 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1.尺寸：440*330*190mm±10mm；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2.材质：高密度 PP 一体成型的水槽，水封式水塞，有效防止下水管废气溢出，排水口有过滤装置，有耐酸碱耐热耐有机溶液的特性。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3.水槽耐老化性试验：冲击强度的保持率≥77%，外观颜色变色评级≥4 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4.下水装置耐老化性试验：冲击强度的保持率≥79%，外观颜色变色评级≥4 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59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实验室专用龙头</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1.高度 720mm±10mm；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2.臂弯：采用ø18*1mm 的 304 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3.主体：采用ø21*1.8mm 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4.进水管：采用ø20*1.75 mm 管径的黄铜制造；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5.出水管：采用ø13*1 mm 管径的 304 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6.涂层：经环氧树脂耐酸碱粉末涂料热固处理，耐腐蚀、耐热，防紫外线辐射；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7.陶瓷阀芯：90 °旋转，使用寿命开关要求达到 50 万次，静态最大耐压 10 bar；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455"/>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洗眼喷头：采用不助燃 PC 材质模铸一体成形制作，具有过滤泡棉及防尘功能，上面防尘盖平常可防尘，使用时可随时被水冲开，并降低突然打开时短暂的高水压，避免冲伤眼睛。</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学生探究桌一</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1.规格：3000*1200*780mm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 12.7mm 厚双面膜耐腐蚀实芯理化板制作， 四角倒R15 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 1.0mm 优质镀锌钢板，采用二氧化碳气体保护焊接，打磨处理，表面经耐酸碱  粉末烤漆处理（烤漆膜厚度平均值≥70 μm）；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4.拉手：铝合金条形暗拉手；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6.门板：采用双层钢板，必须两层组装式设计，保证两层双面都喷涂处理，保证关门减少噪音；</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学生探究桌二</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 1800*1200*780mm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 12.7mm 厚双面膜耐腐蚀实芯理化板制作， 四角倒R15 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 1.0mm 优质镀锌钢板，采用二氧化碳气体保护焊接，打磨处理，表面经耐酸碱  粉末烤漆处理（烤漆膜厚度平均值≥70 μm）；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4.拉手：铝合金条形暗拉手；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6.门板：采用双层钢板，必须两层组装式设计，保证两层双面都喷涂处理，保证关门减少噪音；</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实验室专用水槽及下水装置</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1.尺寸：440*330*190mm±10mm；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2.材质：高密度 PP 一体成型的水槽，水封式水塞，有效防止下水管废气溢出，排水口有过滤装置，有耐酸碱耐热耐有机溶液的特性。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w:t>
            </w:r>
            <w:r/>
          </w:p>
        </w:tc>
      </w:tr>
      <w:tr>
        <w:trPr>
          <w:trHeight w:val="704"/>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实验室专用龙头</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1.高度 720mm±10mm；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2.臂弯：采用ø18*1mm 的 304 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3.主体：采用ø21*1.8mm 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4.进水管：采用ø20*1.75 mm 管径的黄铜制造；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5.出水管：采用ø13*1 mm 管径的 304 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6.涂层：经环氧树脂耐酸碱粉末涂料热固处理，耐腐蚀、耐热，防紫外线辐射；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7.陶瓷阀芯：90 °旋转，使用寿命开关要求达到 50 万次，静态最大耐压 10 bar；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1.尺寸：405*405*90mm，装置在主控台组合柜内，采用耐磨、耐腐蚀的PVC薄膜面板，优质元器件，轻触按钮开关。</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2.输入电压：220v±10%；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3.内装有教师演示电源及主控电源装置，教师能对实验室进行总体及分组控制：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220V电源输出，电源总开关、漏电保护开关、工作指示灯、220V交流输出多用豪华插座，数码实时显示电压电流值；</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带老师、学生220V过载漏电保护。</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岛式插座</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1.钢制线盒，主框架采用裸板实际厚度大于 1.0mm 厚优质钢材产一级镀锌钢板经 CNC 机压成形、焊接制作，表面经磷化处理、环氧树脂静电粉末涂装处理。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220V 交流输出为新国标五孔插座，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19"/>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 Φ315*450～500mm±10mm；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2.凳脚材质：4 个凳脚采用 17×34×1.7mm，无缝钢管模具一次成型。全圆满焊接完成，结构牢固，经高温粉体烤漆处理，长时间使用也不会产生表面烤漆剥落现象。 Ф凳面直径 315×高450～500mm；</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3.凳面材质：采用聚丙烯共聚级注塑，厚 5mm。表面细纹咬花，防滑不发光，凳面底部镶嵌 4 枚铜质螺纹，采用不锈钢螺丝与圆形托盘固定；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4.脚垫材质：采用PP 加耐磨纤维质塑料，实心倒钩式一体射出成型凳面与凳脚留有一定的空间便于凳子挂在挂凳扣上。</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万向吸风罩</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1.关节：采用高密度 PP 聚丙烯材质，可 360 °旋转调节方向，易拆卸、重组及清洗，颜色有白色和红色可选。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2.关节密封圈：采用不易老化的高密度橡胶。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3.关节连接杆：304 不锈钢连接杆。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4.关节松紧旋钮：高密度 PP 材质，内嵌不锈钢轴承，与关节连接杆锁合。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5.气流调节阀：方便的手动调节外部阀门旋钮，控制进入之气流量。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6.集气罩：PP 白色/红色/透明，  罩口直径不小于 375mm。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7.标配固定底座：非粘接而成，模具注塑一体成型，牢度强，不脱底，预留接口不小于 110mm。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8.主体管道：PVC 通风管，底座直通管直径不小于 110mm，关节连接管不小于 90mm。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 </w:t>
            </w:r>
            <w:r/>
          </w:p>
        </w:tc>
      </w:tr>
      <w:tr>
        <w:trPr>
          <w:trHeight w:val="41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边台2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1.尺寸：6000*600*780mm±10mm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 12.7 ㎜厚实芯理化板， 四边加厚可视面为 25mm 并倒圆边，经机械打磨，表面光滑平整，无缝隙，整体美观大方。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3.柜体：采用≥1.0mm 优质镀锌钢板；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4.防撞胶垫：装于门板内侧，减缓碰撞，保护柜体；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5.门板：采用双层钢板，必须两层组装式设计，保证两层双面都喷涂处理，保证关门减少噪音；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6.连接件：采用ABS 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8.固定桌脚：采用柜体内置可调 ABS 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 1000*500*2000mm±10mm；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2.侧板、层板采用环保型 pp 改性材料一次注塑成型，表面做磨砂处理。榫卯连接结构并合理布局加强筋，配合专用塑料紧固件连接，顶板、中板和底板的底部镶嵌 15*30mm 钢管加强，承重力强，产品不变形、不扭曲，可重复拆装使用；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3.上柜门：采用增强型 PP 材质一体注塑成型，外嵌 4mm 钢化烤漆玻璃，中间玻璃做镂空处理，透明可视；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4.下柜门：采用增强型 PP 材质一体注塑成型；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5.门把手：采用增强型 PP 材质一次注塑成型，安装于两门的门缝处， 凹凸配套，增加柜子内部的气密性；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6.层板：上柜配两块活动层板，下柜配一块活动层板；层板采用工程塑料经模具挤出成型， 中空双层结构， 内部均匀分布加强筋并内置两条 30*15mm钢管，单块层板静置 100 公斤重物不变形；两边配置密封堵头，整板无裸露金属，避免腐蚀生锈，美观耐用。层板可以抽取，自由组合各层空间；</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7.门铰链：用改性 pp 材料模具一次成型，伸缩式 pp 旋转门轴，内嵌隐藏方便安装，耐腐蚀；</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8.柜子固定所需螺丝均采用 不锈钢，并加盖塑料盖帽隐藏安装，柜子内部无裸露金属材料，确保柜子的耐腐蚀性。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r>
      <w:tr>
        <w:trPr>
          <w:trHeight w:val="91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室内通风管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采用防腐蚀 PP 材质，整体焊接成型，具有整体结构性能好、严密性高等优点。 同时具有耐酸碱性能。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管卡采用碳钢制作，表面经镀铬处理，具有耐腐蚀、防火、防潮等功能。</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室外行程通风管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采用防腐蚀 PP 材质，整体焊接成型，具有整体结构性能好、严密性高等优点。 同时具有耐酸碱性管卡采用碳钢制作，表面经镀铬处理，具有耐腐蚀、防火、防潮等功能。</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通风风机</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结构：PP 离心风机。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（1）功率：5.5KW。电压：380V。风量：7100-13500m3/h。风压：926～735Pa。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噪音： ≤55dB(A）。室内换气次数： ≥20 次/h。终端流速： ≥11.3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米/秒整个通风系统均为中压系统（500Pa＜P≤1500Pa＝，低压系统（P≤500Pa），主管内风速约 8-14 米/秒（m/s），支管内风速约 6-8 米/秒（m/s）。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（2）每台通风设备都可以独立操作，相互之间不受影响。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（3）气流组织合理，排气顺畅，无气味溢出、气体排放符合国家规定排放标准。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（4）通风系统主管内壁光滑，以降低噪声向室内传播，同时管井外壁应同室内装修保持一致，美观耐用</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扩声音箱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pStyle w:val="1575"/>
              <w:numPr>
                <w:ilvl w:val="0"/>
                <w:numId w:val="0"/>
              </w:numPr>
              <w:ind w:right="0"/>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auto"/>
                <w:sz w:val="21"/>
                <w:szCs w:val="21"/>
                <w:highlight w:val="none"/>
                <w:u w:val="none"/>
                <w:lang w:val="en-US" w:eastAsia="zh-CN" w:bidi="ar"/>
              </w:rPr>
              <w:t xml:space="preserve">一、等声压音箱</w:t>
            </w:r>
            <w:r/>
          </w:p>
          <w:p>
            <w:pPr>
              <w:pStyle w:val="1575"/>
              <w:numPr>
                <w:ilvl w:val="0"/>
                <w:numId w:val="0"/>
              </w:numPr>
              <w:ind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教学音箱须采用音箱簇箱体结构，一体化设计，吸顶安装于教室内学生座位中间，声场由上至下，单只音箱实现一个教室，一个声场；</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箱体上的四只发声单元在独立的腔体中以下俯35°角度向四周辐射声能，离轴距离750mm，每只单元以90°锥体声波扩散，实现360度全指向覆盖；</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为保证产品轻量化，箱体须采用ABS环保材料一体压塑成型 ；</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产品须具备高度集成化设计，含无线信号接收模块、蓝牙接收模块、话筒放大器、DSP数字音频处理模块、功率放大模块、喇叭单元，所涉及无线接收模块、蓝牙模块、运放模块、DSP处理芯片、D类放大芯片重要芯片及配套全硬件为100%国产；</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5、无线通讯技术：根据不同使用习惯能同时支持无线头戴话筒、无线手持三合一话筒、无线领夹话筒，话筒无线直连音箱，无需外加其他设备，操作简单，支持三只话筒同时发声。</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考虑到教学音箱吸顶安装，产品高度不宜过高，箱体总高度须≤168mm；</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扬声器单元：3" 19芯磁体，单只≥15W共4只；</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整机额定功率：60W，节目功率：120W，峰值功率：240W；</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阻抗：单路8Ω，共4路；</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灵敏度：91dB±3dB；</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信噪比S/N：≥76dB；</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频率响应：87Hz-17KHz；</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为保证教师语音的还原度，语言解析度≥90%；</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软件控制调试能力：可通过手机APP操控音响各种功能，实时同步免保存，支持断线储存功能，可通过产品型号选择进入设备控制界面，通过APP可对4只喇叭分别调节音量大小，可对无线话筒通道的音量调节、回声电平调节、混响电平调节、噪音门限调节、自动对频按钮，可实时监测当前无线话筒占用的UHF频点、具有≥7段图示均衡器并具有一键重置为0dB；</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DSP处理能力：二进四出数字DSP处理通道，Audio-ADC时 sNR≥94dB，具有自动噪声抑制，自适应反馈补偿技术，自动对信号振幅进行补偿，以保证输出声音声压级不低于72dB；</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16输入接口≥2个3.5mm音频接口，≥2个平衡式凤凰端子接口，输出接口≥1个3.5mm音频接口，≥1个USB数据接口用于软件升级及远程通讯；</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具有≥6个信号通道显示灯，显示通道连接状态；</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广播系统对接：支持对接IP广播系统和模拟定压广播系统；</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为控制教室内坐在前排与后排学生之间听觉差异，声场不均匀度要求室内各学生座位测量点（至少选取8个测试点）的稳态声压级最大值与最小值差值范围为4dB之内；</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为保证教师授课过程中扩声语音的清晰度，扩声系统语言传输指数STIPA：调制传递函数MTF测量值大于0.6；</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为控制相邻教室的声波干涉：相邻教室声串扰的声压级应不大于40 dB（A</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为保证师生的听觉的安全健康声压，学生座位的听音面</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1.2 米等高线位置</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最大声压级应小于 82 dB(A</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系统噪声功率级：系统噪声功率级应不大于 30 dB(A</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p>
          <w:p>
            <w:pPr>
              <w:pStyle w:val="1575"/>
              <w:ind w:right="0" w:firstLine="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eastAsia="zh-CN"/>
              </w:rPr>
              <w:t xml:space="preserve">24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蓝牙功能：优于或等于蓝牙5.0版本，支持蓝牙无线接收，方便老师分享移动设备（手机/电脑）上的音频，蓝牙支持密码模式，防止学生连接，支持手机通过蓝牙无线连接音箱，实现控制有源音箱的音量，方便教师对音箱的管控，支持音箱蓝牙名称根据教室名称自定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二、无线头戴麦克风</w:t>
            </w:r>
            <w:r/>
          </w:p>
          <w:p>
            <w:pPr>
              <w:pStyle w:val="1575"/>
              <w:ind w:right="0" w:firstLine="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1.低功耗设计，单次充电后可使用至少6小时。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2.节能模式支持无发言60分钟自动关机。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3.带有显示屏，屏显内容包括：静音显示、连接状态、电量显示、音量级显示、无线信道显示。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4.双频连接：话筒开机后自动搜索干扰少的信道并自动红外配对，配对后传输音频，确保配对设备的唯一性，杜绝串频。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5.考虑到教师长期佩戴的舒适性，产品整体重量需≤22g。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三、无线领夹麦克风</w:t>
            </w:r>
            <w:r/>
          </w:p>
          <w:p>
            <w:pPr>
              <w:pStyle w:val="1575"/>
              <w:ind w:right="0" w:firstLine="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1.指向型：全向；</w:t>
            </w:r>
            <w:r/>
          </w:p>
          <w:p>
            <w:pPr>
              <w:pStyle w:val="1575"/>
              <w:ind w:right="0" w:firstLine="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2.双频连接：话筒开机后与接收底座进行NFC配对，配对后通过2.4G传输音频，确保配对设备的唯一性，杜绝串频；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3.控制方式采用：霍尔传感器，2.4G无线。固定ID锁频，配对使用过程中其他麦克风无法再进行配对。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4、同一话筒可在任意教室使用，且互不干扰。一师一麦设计，干净卫生环保，≥2只话筒同时发言。</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四、无线三合一话筒</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1.同时支持拾音、PPT翻页、激光笔教鞭三种功能。</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2.同一话筒可在任意教室使用，且互不干扰。支持一师一麦、一室一麦设计，干净卫生环保。</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3.带有显示屏，屏显内容包括：静音显示、连接状态、电量显示、音量级显示、无线信道显示。</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4.双频连接：话筒开机后自动搜索干扰少的信道并自动红外配对，配对后传输音频，确保配对设备的唯一性，杜绝串频。</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5.四向拾音设计，每个拾音面均具有防喷网罩。</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6.内置可充式高性能3.7V聚合物锂电池。电池容量：340mAh，带保护电路，Type C接口充电，2小时充足电可持续续航时间≥8h。</w:t>
            </w:r>
            <w:r/>
          </w:p>
          <w:p>
            <w:pPr>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7.调试界面功能须具有≥4档背光调节、限幅开关，3档限幅值设定、≥5段参量均衡设置、对频方式，UHF、U-L、IR、USB翻页≥4种模式选择、自动增益功能开关、UHF≥7档对频距离可调、USB≥7档对频距离可调、无线通讯版本查看。</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实验示教终端机</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1.高度集成：整机由≥1块集成触摸屏、≥2个高清摄像机和≥1个底座组成，而非摄像机和平板电脑拼装而成；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2.占用空间：整体设计精简小巧，不影响教师正常的实验操作；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3.支持折叠收纳，不使用时可以放置在配套铝箱中；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4.单关节折叠杆：采用单关节设计的折叠杆，无需旋钮即可在活动范围内任意角度悬停，方便调节俯视角的高度；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俯视角：整机一体设计，无任何外露线材，俯视角镜头≥800万像素，支持≥12倍光学变焦，支持激光TOF辅助微距自动聚焦（最短支持100mm）；具有物理按键，可以实现手动调节光学变焦和手动聚焦；具有画面锁定按键，按键冻结当前视频画面，再按一次解锁冻结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6.俯视角支持从上往下拍摄，并可通过两轴摆动调整拍摄角度。每个转轴均配有阻尼设计，确保角度调整完成后能够保持固定的拍摄角度和高度；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7.从正面拍摄特写操作，可以垂直滑动升降调整拍摄高度，调节范围≥90mm，且滑动升降具有阻尼设计，无需旋钮或卡扣即可在行程内保持任意固定高度；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8.CPU：采用 ≥6 核 CPU；≥4GB RAM+256GB ROM；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9.具有 ≥11.5英寸触摸屏，分辨率≥1920*1080，支持活动范围内任意角度翻折悬停，可活动角度≥ 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10.同时支持DC供电、内置电池供电和POE供电三种模式，供电模式切换时，设备不会断电重启；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11.具有但不限于 HDMI、USB2.0、USB3.0、POE 网口、DC12~13V 宽电压充电口、Type-C 调试口、Reset 键、3.5mm音频监听口、TF卡插槽；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12.内置无线模块接口，支持扩展终端机通过WIFI连接网络进行示教；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13.设备自带流媒体服务，支持外部系统仅需和操作系统一个IP通信即可分别获得俯视角和正视角的视频流；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14.配套铝箱：铝边木板设计，可用于放置终端套件、电源适配器、网线等设备。</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134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互动示教系统</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2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摄像机管理：支持接入摄像机的拍摄画面，支持标准 RTSP 协议，支持同时接入摄像机的主流以及辅流视频；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2.无线配置：支持双网卡管理，支持无线wifi 和有线 RJ45 双模同时连接。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3.相机画面无线投屏：支持与教室 PC 端连接，通过wifi 局域网或有线局域网均可实时将本地摄像机画面传输至教室 PC 端，并结合 PC 端软件实现大屏画面投送。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4.低延迟投屏：支持通过较低的延迟实现向PC 端进行画面投送，使 PC 端和本地端不产生明显的不同步，且各画面之间也不产生明显的不同步现象。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5.双流视频预览：支持在示教终端上进行本地摄像机预览，支持小窗口辅流同步预览；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6.全屏预览：用户可根据需要，随时将任一画面放大至全屏进行预览，在全屏预览时系统自动切换至主流高清视频流，并实现同步的低延迟预览，播放延迟不大于 0.5 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7.镜头控制：支持对摄像机镜头画面进行放大、缩小和对焦微调。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8.高清多通道录制：支持接入≥2 个摄像机同时进行视频录制，并可在本地点播录制视频，支持本地化录制，不受wifi 网络信号影响。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9.视频上传：可将本地录制的视频上传至 PC 端或平台端，上传时可命名文件名， 以避免 PC 端用户混淆多个视频。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10.视频资源管理：可将本地录制的视频下载至 U 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 PC 端下发作业任务后，上传本地视频或图片到 PC 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12.支持设置第三方推流直播，可生成观看二维码，在示范教学时可显示直播二维码，手机扫码即可进入直播画面，且声画同步。</w:t>
            </w:r>
            <w:r/>
          </w:p>
          <w:p>
            <w:pPr>
              <w:numPr>
                <w:ilvl w:val="0"/>
                <w:numId w:val="21"/>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屏幕抓屏截图：支持对当前屏幕进行批注且截图，系统提供画笔、文字编辑、方/圆框标注等工具。且批注信息同步到 PC 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14.多端同屏批注： 当 PC 端选择某学生端的画面进行广播时，学生端和 PC 端可以双向批注，且两端将同步显示批注内容。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【PC 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1.采用C/S 客户端设计，可在常用系统上运行，支持但不限于1/2/3/4/6/12/24 路视频画面同屏显示；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2.视频支持但不限于 H.264 编码方式，高清视频文件支持但不限于 MP4 格式；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3.可以软件最小化为悬浮球，点击可弹出各功能模块，并可随意拖动操作；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4.具有视频录制、永久存储、处理功能，示范操作画面可实时录制或广播画面教学，结束录制后，可以直接点击视频进行回放观看；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5.在广播教学时可以切换工位学生画面信息， 以便于教学讲解，且可在顶部显示工位名称。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6.可以双向书写，PC 端进行画面批注时，教师端屏幕画面将同步显示批注信息到学生端。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7.支持对当前屏幕进行批注且截图，系统提供画笔、文字编辑、方/圆框标注等工具。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8.可以获取教师端采集的音频信息，示教时声画同步。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9.可对视频和图片文件列表进行切换，支持对视频和图片的下载、修改、批量删除功能；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10.工位监看时可以显示工位画面，可以同屏显示单画面，双画面，三画面， 四画面，六画面，十二画面，二十四画面布局；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11.可以创建随堂练习和课后练习，便于教学；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12.可以设置练习课题名称，练习时间，可以设置练习时间。当设置课后练习时，可以设置提交时限；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13.支持查看设备工位号、工位名称、状态、剩余空间、IP 地址、视频设置、版本号等信息，且可对设备进行增删的操作；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14.摄像多端同步控制：支持管理端远程控制摄像机设备，并可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根据摄像机的特性，进行放大缩小、对焦、云台等功能控制；且支持与示教端软件实现双向同步控制。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15.支持工位观看时录制所有工位的视频，结束录制时可进行视频回看，并通过工位号进行切换画面。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16.工位观看时可点击工位号进行切换画面，或拖动工位图标进行画面切换。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17.可任意选择工位，将画面进行广播给其他学生工位端进行查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看；</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18.广播教学中可以将录制的视频和截图保存至教学资源。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19.教学资源可查看教学时所录制视频和截图，点击视频查看还可关联查看录制时所截的图片，便于查找相关图片。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20.工位观看时可形成工位资源，点击查看相关视频；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21.音视频采集可视化：对采集的教学音视频进行可视化的分类管理，可查看教学时所采集录制的教学音视频文件和批注截图，点击相关视频查看可进行再次批注保存并关联图片。</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gridSpan w:val="4"/>
            <w:tcBorders>
              <w:top w:val="single" w:color="000000" w:sz="4" w:space="0"/>
              <w:bottom w:val="single" w:color="000000" w:sz="4" w:space="0"/>
              <w:right w:val="single" w:color="000000" w:sz="4" w:space="0"/>
            </w:tcBorders>
            <w:tcW w:w="46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教师用加强型传感器部分（可无线及有线采集数据）</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采集器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数据采集器作为连接传感器与计算机的桥梁，采用USB 协议与电脑通讯；通过 USB 接口供电，无需外接电源；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内置电源指示灯和工作状态指示灯；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内置双处理器主板，采用主频 72Mhz 高频 32 位处理器；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模块化结构，可接驳有线接口和无线接口，数据采集器与接口通过 SATA 接口传输数据，采用插接式结构，可根据实验教学需要，方便有线、无线工作模式切换；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 BT 自锁接口与传感器连接，输出数字信号，接口具有方向性和自锁功能，可以防止传感器在使用过程中脱落，保证数据传输稳定；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四路全数字通道，数据采集器最大采样率80KByte，与传感器采用 SPI数据总线进行传感器信息、数据的并行采集，数据采集器任意通道都可以读取传感器上传的数据。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 106*42*25（mm）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传感器数据显示模块</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独立模块化结构，与各种传感器组合使用，具备独立数据显示、数据存储、数据上传功能。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接入后自动识别传感器，实时显示传感器测量数据，支持多值传感器数据显示及存储，数据显示屏刷新频率 10Hz；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1.77 寸 （ ±0.1 寸）彩屏，采用 BT 自锁接口与传感器连接，接口具有方向性和自锁功能，可以防止传感器在使用过程中脱落，保证数据传输稳定；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屏幕可显示二维码，通过移动终端设备扫描二维码进行无线连接，采用蓝牙 4.0 传输协议，可将传感器测量数据实时传输到 APP。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设有按键开关，工作状态下，可通过调动按键开关切换数据显示和二维码界面；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通过移动终端设备可设置数据显示精度以及数据调零，可对数据进行描点绘图处理。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可将模块存储的测量数据导出至计算机进行数据分析（兼充电）；支持常规操作系统。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采用充电锂电供电， 电池电压 3.7V，容量 1100mAh，待机时间 10小时，采用 microUSB 充电接口；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数据存储频率 5Hz，存储容量最大 262,144 个数据点。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注：续航时间和连接的传感器有关，差别较大。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传感器尺寸：77*41*25（mm）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用于测量待测物体或溶液的温度；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性能：测量范围：-50℃~+200℃；分度：0.1℃；准确度：0.5℃;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结构：由传感器数据处理电路和不锈钢探针构成，通过 3.5mm 同轴音频插头连接，不锈钢部分：长度为105毫米，直径为 3.0 毫米；探头把手：长度为95毫米，直径为12.3毫米。与传感器连接部分采用黑色两芯线，线长750毫米；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 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压强传感器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用于直接测量气体的绝对压强；配件：20mL 移液器。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  ~700 kPa；分度：0.1 kPa；准确度： 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范围：0 到 210 千帕（0 到 2.1 大气压或 0 到 1600 毫米-汞柱）；最大不会导致永久性破坏压力：405 千帕（4 大气压）；使用工厂校准的准确度： ±4kPa；在空气中使用单点自定义校准的准确度： ±3kPa；反应时间： 10 毫秒； 内部体积：0.8ML。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结构：塑料软管内径φ4、外径φ6，长 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用于测量酒精灯火焰温度、锡的熔点等；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性能：测量范围：0~1200℃；分度： 1℃；准确度：环境空气中：5℃；远红外加热炉： 10℃；最大采样率：5KHz；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结构：使用不锈钢探针，不锈钢部分：长度为105毫米，直径为3.0 毫米；探头把手： 长度为155毫米，直径为12.3毫米。与传感器连接部分采用高精度、耐高温屏蔽线，线长580毫米，传感器尺寸：80*40*25（mm） ，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用于测量溶液中的 pH，可测量有色溶液的酸碱度；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性能：测量范围：0~14；分度：0.01；准确度：0.15；最大采样率：5KHz；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温度范围：0-80℃（塑壳），0-100℃（玻璃） ， 电缆长度： 1m，电极杆长度： 120mm， 电极杆直径： 12mm，斜率： ≥97%， 电阻：≤250M，零点：7.00±0.25pH；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结构：使用BNC 连接器方式与电极连接；具有快速响应的特点，测量数据能在 5 秒内达到真实值的 90%，  10 秒内稳定；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传感器尺寸：96.5*40*25(mm），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多量程电导率传感器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用于测量溶液的导电能力；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性能：测量范围：0~19000 μS/cm；分度： 10 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测量范围：0~1900 μS/cm；分度： 1 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测量范围：0~190μS/cm；分度：0.1 μS/cm；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准确度：0uS/cm~190uS/cm 档： 12uS/cm ;0uS/cm~1900uS/cm 档：100uS/cm ;0uS/cm~19000uS/cm 档：600uS/cm；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最大采样率：4KHz；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技术指标：温度范围：0-90℃（玻璃），电缆长度：1m，电极杆长度：140mm；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结构：使用BNC 连接器方式与电极连接；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分光光度计Ⅰ</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22"/>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主机设有电源开关、充电指示灯、蓝牙通讯指示灯，能够通过无线或者有线方式与计算机进行通讯。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2.蓝牙无线通讯时，蓝牙指示灯会亮起；有线通讯时，USB 数据通讯指示灯会亮起；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3.可应用于常规操作系统平台。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5.配套实验的专用软件中包含原理介绍，能够借助硬件和软件自动联动，同时呈现出仪器的工作过程和实验数据。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6.主机设有3个比色皿放置槽，可同时放入3个比色皿， 内置传动装置，可自动切换3个样品，通过软件选择任意一个需要测量的样品进行吸光数据测量；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7.可输出 7个波段（波长范围 405nm-640nm）的测量数据；8个波段分别为 405nm-425nm、435nm-455nm、470nm-490nm、505nm-525nm、545nm-565nm、580nm-600nm、620nm-640nm.</w:t>
            </w:r>
            <w:r/>
          </w:p>
          <w:p>
            <w:pPr>
              <w:numPr>
                <w:ilvl w:val="0"/>
                <w:numId w:val="0"/>
              </w:num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8.产品经过低温-20℃ 、高温 50℃贮存 60 小时后，能正常工作。</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浊度传感器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用于测量待测溶液的浑浊程度；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性能：测量范围：0~400NTU；分度：0.1 NTU；准确度： ≤±30NTU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（FS）；最大采样率：5KHz；结构： 内置比色瓶 40*18mm，5ml，光滑透明不易反光、留指纹等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痕迹；并配有瓶座、盖子。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传感器尺寸：88*41*51(mm），由高强度塑料外壳封装，采用注塑工艺，材质为黑色 ABS。外壳设计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二氧化硫传感器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用于测量待测气体中二氧化硫的含量；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 0 ～20ppm，分度 0.01 ppm；准确度： 3ppm；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技术指标：工作温度-20℃to40℃ , 工作湿度 15to90%RH（无冷凝），工作压力 91to111kPa，储存温度 0℃to20℃ , 响应时间（T90）＜45秒；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结构：探头线长 0.6m，探头上壳直径最粗端 32mm，底壳直径 20mm，总长 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多量程电压传感器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用于测量电路中的电压数据；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性能：测量范围：-20V~+20V；分度：0.01V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测量范围：-2V~+2V；分度：0.001V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测量范围：-0.2V~+0.2V；分度：0.1mV；准确度：±2.0V 档：0.01V；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±20V 档：0.04V； ±0.2V 档： 1.5mV；最大采样率：5KHz；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技术指标：容抗：202pF，阻抗： 1MΩ;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结构：带 AVR0.75 平的红黑鳄鱼夹线，长度 0.6m。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设有量程切换按键，支持硬件切换传感器量程；</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用于测量电路中的电流数据；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性能：测量范围：-3A~+3A；分度：0.01A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测量范围：-300mA~+300mA；分度：0.1mA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测量范围： -30mA ~+30mA； 分度： 0.01 mA； 准确度：  ±3A 档：0.03A； ±300mA 档：2mA； ±30mA 档： 1mA；最大采样率：5KHz；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技术指标：容抗：202pF，阻抗：0.05 Ω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结构：带 AVR0.75 平的红黑鳄鱼夹线，长度 0.6m。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设有调零按键，支持硬件数据调零和软件数据调零；设有量程切换按键，支持硬件切换传感器量程；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用于测量待测气体中氧气的含量；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性能：测量范围：0～100％，分度：0.1％；准确度：±1%（0-50%）、±2%(50.1%-100%）；最大采样率：5KHz；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技术指标：工作温度 5℃~40℃ , 工作湿度 0～95%RH（无冷凝），储存温度-15℃~50℃ , 响应时间（T90）＜15 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结构：氧气传感器探头外壳直径 36.8mm，探头部分直径 20mm，探头整体高度 50mm，线长 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设有硬件校准按键，可通过按键校准空气中氧气的含量：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用于测量待测气体中二氧化碳的含量；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性能：测量范围：0～100000mL/m3，分度： 1mL/m3；准确度：±150mL/m3 （  0mL/m3~1000mL/m3  ），读 数的±15（1000mL/m3~10000mL/m3） ；最大采样率：5KHz；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技术指标：工作温度-10℃~50℃ , 存储温度-20℃~60℃ , 工作湿度 0～95%RH（无冷凝） ，响应时间（T90）＜30 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结构：传感器尺寸：153*40*25(mm），由高强度塑料外壳封装，采用注塑工艺，材质为蓝色透明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钾离子传感器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用于测量溶液中钾离子的含量；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性能：测量范围：0～1mol/L；分度： 10～5mol/L；最大采样率：5KHz；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技术指标：pH 范围：2～12，温度范围：0～50℃ , 电极电阻：10~20MΩ , 再现性： ±2%；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结构：使用BNC 连接器方式与电极连接， 电极长度 155mm，壳体直径 12mm，帽盖直径 16mm，导线长度1000mm；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氯离子传感器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用于测量溶液中氯离子的含量；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性能：测量范围：0～1mol/L；分度：10～5mol/L；最大采样率：5KHz；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 氯离子复合电极，pH 范围： 2～12，温度范围： 连续使用 0～80℃ , 间断使用 80℃~100℃； 电极电阻：＜1MΩ , 再现性：±2%，典型的电极输出：标准液浓度输出（mV），1*10-4M+255，1*10-3M+200， 1*10-2M+144， 1*10-1M+87， 1M+30；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结构：尺寸： 电极长度 120mm，壳体直径 12mm，帽盖直径 16mm，导线长度 1000mm；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生产工艺，可保证传感器经久耐用，数据传输稳定、持续；采用BT 数据接口，输出数字信号，接口具有方向性和自锁功能，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可以防止传感器在使用过程中脱落，保证数据传输稳定；模块化、可热插拔设计，支持有线通讯、无线通讯和屏幕数据显示三种工作方式；可应用于常规操作系统平台。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铵根传感器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用于测量溶液中铵根离子的含量；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性能：测量范围：0～1mol/L；分度： 10～5mol/L；最大采样率：5KHz；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技术指标：pH 范围：4～10，温度范围：0～50℃ , 电极电阻：1~4M Ω ，再现性：±4%；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 使用BNC 连接器方式与电极连接；  电极长度 155mm； 壳体直径 12mm，帽盖直径 16mm，导线长度1000mm；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氢气传感器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用于测量待测气体中氢气的含量；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性能：测量范围：0~4%；分度：0.1%；最大采样率：5KHz；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 工作压力 90to120kPa，工作温度-10℃to70℃ , 存储温度-10℃to80℃ , 工作湿度 0to95%RH（无冷凝）；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结构：传感器尺寸：80*40*25(mm）， 由高强度塑料外壳封装，采用注塑工艺，材质为蓝色透明 PC。外壳设计M5 螺丝孔位，可将传感器固定在多种操作平台和装置上；传感器数据处理电路为双主板设计，采用技术成熟的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一氧化碳传感器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用于测量待测气体中一氧化碳的含量；性能：测量范围：0~2000ppm；分度：1ppm；最大采样率：5KHz；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技术指标：工作温度-30℃to50℃ ，工作湿度 15to90%RH（无冷凝），工作压力 80-120kPa，储存温度3℃-20℃ ，响应时间（T90）＜20秒；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结构：传感器尺寸：80*40*25(mm）， 由高强度塑料外壳封装，采用注塑工艺，材质为蓝色透明 PC。外壳设计M5 螺丝孔位，可将传感器固定在多种操作平台和装置上；传感器数据处理电路为双主板设计，采用技术成熟的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模块化、可热插拔设计，支持有线通讯、无线通讯和屏幕数据显示三种工作方式；可应用于常规系统平台；输出数字信号，接口具有方向性和自锁功能；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附件：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1.含 USB 通讯线 1 条、长传感器线 2 条、短传感器线 2 条、A 型转接器 2 只、B 型转接器 2 只；规格尺寸（mm） ：USB 通讯线 1500；长传感器线 1200；短传感器线 650。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2.两端插口具有方向性和自锁功能，插接方便、配合严密、方便教学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3.技术资料需包含产品实验案例；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软件：专用软件采用了图形化的设计理念，软件平台里面包含了大量专用实验模板，预设了操作流程，方便学生操作使用，通用软件具备视频区域。可进行数据处理，满足学科教材与课外探究的要求；传感器插入后能自动识别和运行；软件无须设置参数自动检测传感器，并提供仪表、数值、 曲线多种显示风格；软件具有双组合曲线功能及完整的可对数据图线进行拟合的功能（一次函数、二次函数、三次函数、反比函数、反比平方、对数、正弦函数、指数、复合指数等） ，并自动显示拟合的函</w:t>
            </w:r>
            <w:r>
              <w:rPr>
                <w:rFonts w:hint="eastAsia" w:ascii="宋体" w:hAnsi="宋体" w:eastAsia="宋体" w:cs="宋体"/>
                <w:i w:val="0"/>
                <w:iCs w:val="0"/>
                <w:color w:val="auto"/>
                <w:sz w:val="21"/>
                <w:szCs w:val="21"/>
                <w:highlight w:val="none"/>
                <w:u w:val="none"/>
                <w:lang w:val="en-US" w:eastAsia="zh-CN" w:bidi="ar"/>
              </w:rPr>
              <w:t xml:space="preserve">数表达式；具有中学常用的预设公式，并可根据实验需求自由定义公式；软件内设可调整采样频率范围是 0.1~20K； 具有完善的数据处理功能（可对图线中数据进行求导、积分、平均值、绘制包络线、最大值、最小值的计算） ，可对无效数据图线的数据进行删除或恢复；可以对实验设置进行保存，生成实验模板；具有实验数据采集过程录播、 回放功能；软件可生成实验报告，提供实验报告模板，可导入实验表格数据及插入实验图线并进行分析；学生可在软件中发送实验报告；提供实验帮助，可在软件中随时查询理化生实验图片及实验说明，方便教学参考使用。</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尺寸：410*282*180（mm）， 由铝合金主架、铝塑板面构成， 内设隔断海棉内衬，用于收纳传感器和小的实验配件。</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传感器专用充电线</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直接连接传感器无线发射模块或显示模块进行充电，一端为usb接口另一端为 micro usb 接口。</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gridSpan w:val="4"/>
            <w:tcBorders>
              <w:top w:val="single" w:color="000000" w:sz="4" w:space="0"/>
              <w:bottom w:val="single" w:color="000000" w:sz="4" w:space="0"/>
              <w:right w:val="single" w:color="000000" w:sz="4" w:space="0"/>
            </w:tcBorders>
            <w:tcW w:w="46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教师用加强型配套器材</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中和滴定实验器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由滴定计数器、专用滴定管、支架、转接器和螺栓组成，用于统计液滴数量、测量液滴体积，可完成酸碱中和滴定、冰醋酸稀释等实验。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多用途生化传感器支架</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1.由机械臂、传感器电极夹及固定夹组成；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2.机械臂固定在实验台边，能在三维空间内灵活移动并准确定位，稳定性好。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3.电极夹口径适合常用生化传感器的电极，方便生化实验操作，具有保护传感器不受损坏、提高空间利用率和实验效率功能。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4.机械臂长度：600mm。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移液器</w:t>
            </w: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抗酸、碱塑料制作，适合于气压或气体实验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配合各类传感器和辅材固定</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由磁力搅拌器、搅拌子（含 30mm 和 20mm 的搅拌子各一个）、电源适配器构成。磁力搅拌器最大搅拌量：2L；转速范围：200 转/分钟~2000 转/分钟，调节最小幅度为 10 转/分钟；额定功率 10W。磁力搅拌器的工作台面上设有转速显示屏，正面设有调速旋钮，顺时针旋转转速增大，逆时针旋转转速减小；按下旋钮可实现启动或停止搅拌，背面设有电源接口；磁力搅拌器运转过程中，也可随时进行调节转速，调节完成后，会发出 “滴 ”声提示音。用于各类生化实验，转速快，能快速将溶液搅拌均匀。</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中和热实验器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双层防散热设计，可研究酸碱中和反应热实验。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原电池实验器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配备方槽、铜锌电极，可以产生微弱电动势。</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一种溶液稀释池</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倒置三角烧杯结构，上端开口，底端封闭，配匀速滴管。用于稀释倍数较大，且对初始溶解有一定量要求的化学实验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密封实验套件由 5 只 5 号橡胶塞（配 5 种孔径：单孔φ3、φ4、φ12、φ18；双孔φ4）、4 只硅胶塞（配 4 种孔径：单孔φ4、φ12、φ18；双孔φ4）、1 只 150mL 反应瓶、2 只硅胶环、2 只等径气管快速接头、2 只变径气管快速接头、3 条外径φ4mm 软管组成。与生化传感器及常用实验室器皿配套使用，完成中学相关实验及探究活动。</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gridSpan w:val="4"/>
            <w:tcBorders>
              <w:top w:val="single" w:color="000000" w:sz="4" w:space="0"/>
              <w:bottom w:val="single" w:color="000000" w:sz="4" w:space="0"/>
              <w:right w:val="single" w:color="000000" w:sz="4" w:space="0"/>
            </w:tcBorders>
            <w:tcW w:w="46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学生用基本配置传感器部分</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采集器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数据采集器作为连接传感器与计算机的桥梁，采用USB 协议与电脑通讯；通过 USB 接口供电，无需外接电源；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内置电源指示灯和工作状态指示灯；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内置双处理器主板，采用主频 72Mhz 高频 32 位处理器；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模块化结构，可接驳有线接口和无线接口，数据采集器与接口通过 SATA 接口传输数据，采用插接式结构，可根据实验教学需要，方便有线、无线工作模式切换；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 BT 自锁接口与传感器连接，输出数字信号，接口具有方向性和自锁功能，可以防止传感器在使用过程中脱落，保证数据传输稳定；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四路全数字通道，数据采集器最大采样率80KByte，与传感器采用 SPI数据总线进行传感器信息、数据的并行采集，数据采集器任意通道都可以读取传感器上传的数据。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 106*42*25（mm）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用于测量待测物体或溶液的温度；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性能：测量范围：-50℃~+200℃；分度：0.1℃；准确度：0.5℃;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结构：由传感器数据处理电路和不锈钢探针构成，通过 3.5mm 同轴音频插头连接，不锈钢部分：长度为105毫米，直径为 3.0 毫米；探头把手：长度为95毫米，直径为12.3毫米。与传感器连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接部分采用黑色两芯线，线长750毫米；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 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用于测量酒精灯火焰温度、锡的熔点等；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性能：测量范围：0~1200℃；分度：1℃；准确度：环境空气中：5℃；远红外加热炉： 10℃；最大采样率：5KHz；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结构：使用不锈钢探针，不锈钢部分：长度为105毫米，直径为3.0 毫米；探头把手： 长度为155毫米，直径为12.3毫米。与传感器连接部分采用高精度、耐高温屏蔽线，线长 580毫米，传感器尺寸：80*40*25（mm），由高强度塑料外壳封装，采用注塑工艺，材质为蓝色透明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压强传感器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用于直接测量气体的绝对压强；配件：20mL 移液器。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 ~700 kPa；分度：0.1 kPa；准确度：1kPa；</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范围：0到210 千帕（0 到 2.1 大气压或 0 到 1600 毫米-汞柱）；最大不会导致永久性破坏压力：405 千帕（4 大气压）；使用工厂校准的准确度： ±4kPa；在空气中使用单点自定义校准的准确度： ±3kPa；反应时间： 10 毫秒； 内部体积：0.8ML。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结构：塑料软管内径φ4、外径φ6，长 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 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生产工艺，可保证传感器经久耐用，数据传输稳定、持续；采用BT 数据接口，输出数字信号，接口具有方向性和自锁功能，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用于测量溶液中的 pH，可测量有色溶液的酸碱度；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性能：测量范围：0~14；分度：0.01；准确度：0.15；最大采样率：5KHz；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温度范围：0-80℃（塑壳），0-100℃（玻璃） ， 电缆长度： 1m，电极杆长度： 120mm， 电极杆直径： 12mm，斜率： ≥97%， 电阻：≤250M，零点：7.00±0.25pH；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结构：使用BNC 连接器方式与电极连接；具有快速响应的特点，测量数据能在 5 秒内达到真实值的 90%，10 秒内稳定；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传感器尺寸：96.5*40*25(mm），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1.量程：0 mS/cm ~20mS/cm；分度：0.001 mS/cm。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2.传感器支持与采集器的有线通讯、无线通讯和独立数据显示三种工作方式。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3.传感器自带 M6 螺纹孔，轻松实现与多种实验装置的组装固定。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4.传感器连接线插口具有方向性和自锁功能，可以防止传感器脱落保证数据传输稳定。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5.传感器支持常规系统。</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用于测量待测气体中氧气的含量；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性能：测量范围：0～100％，分度：0.1％；准确度：±1%（0-50%）、±2%(50.1%-100%）；最大采样率：5KHz；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技术指标：工作温度 5℃~40℃ , 工作湿度 0～95%RH（无冷凝），储存温度-15℃~50℃ , 响应时间（T90）＜15 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结构：氧气传感器探头外壳直径 36.8mm，探头部分直径 20mm，探头整体高度 50mm，线长800mm；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生产工艺，可保证传感器经久耐用，数据传输稳定、持续；采用BT 数据接口，输出数字信号，接口具有方向性和自锁功能，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设有硬件校准按键，可通过按键校准空气中氧气的含量：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用于测量待测气体中二氧化碳的含量；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性能：测量范围：0～100000mL/m3，分度： 1mL/m3；准确度： ±150mL/m3（0mL/m3~1000mL/m3） ，读数的±15%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（1000mL/m3~10000mL/m3） ；最大采样率：5KHz；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技术指标：工作温度-10℃~50℃ , 存储温度-20℃~60℃ , 工作湿度 0～95%RH（无冷凝） ，响应时间（T90）＜30 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结构：传感器尺寸：153*40*25(mm），由高强度塑料外壳封装，采用注塑工艺，材质为蓝色透明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用于测量电路中的电流数据；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性能：测量范围：-3A~+3A；分度：0.01A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测量范围：-300mA~+300mA；分度：0.1mA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测量范围： -30mA ~+30mA；分度：0.01 mA； 准确度：±3A 档：0.03A； ±300mA 档：2mA； ±30mA 档：1mA；最大采样率：5KHz；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技术指标：容抗：202pF，阻抗：0.05 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结构：带 AVR0.75 平的红黑鳄鱼夹线，长度0.6m。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传感器尺寸：80*40*25(mm），由高强度塑料外壳封装，采用注塑工艺，材质为蓝色透明 PC。外壳设计M5螺丝孔位，可将传感器固定在多种操作平台和装置上；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设有量程切换按键，支持硬件切换传感器量程；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附件：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1.含 USB 通讯线 1 条、长传感器线 2 条、短传感器线 2 条、A 型转接器 2 只、B 型转接器 2 只；规格尺寸（mm） ：USB 通讯线 1500；长传感器线 1200；短传感器线 650。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2.两端插口具有方向性和自锁功能，插接方便、配合严密、方便教学；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3.技术资料需包含产品实验案例；</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尺寸：410*282*180（mm）， 由铝合金主架、铝塑板面构成， 内设隔断海棉内衬，用于收纳传感器和小的实验配件。</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gridSpan w:val="4"/>
            <w:tcBorders>
              <w:top w:val="single" w:color="000000" w:sz="4" w:space="0"/>
              <w:bottom w:val="single" w:color="000000" w:sz="4" w:space="0"/>
              <w:right w:val="single" w:color="000000" w:sz="4" w:space="0"/>
            </w:tcBorders>
            <w:tcW w:w="46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学生用标准配套实验器材部分</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移液器2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抗酸、碱塑料制作，适合于气压或气体实验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中和热实验器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双层防散热设计，可研究酸碱中和反应热实验。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配合各类传感器和辅材固定</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一种溶液稀释池</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倒置三角烧杯结构，上端开口，底端封闭，配匀速滴管。用于稀释倍数较大，且对初始溶解有一定量要求的化学实验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密封实验套件由 5 只 5 号橡胶塞（配5种孔径：单孔φ3、φ4φ12、φ18；双孔φ4）、4 只硅胶塞（配 4 种孔径：单孔 φ4、φ12、φ18；双孔φ4）、1 只 150mL 反应瓶、2 只硅胶环、2 只等径气管快速接头、2只变径气管快速接头、3条外径φ4mm 软管组成。与生化传感器及常用实验室器皿配套使用，完成中学相关实验及探究动。</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gridSpan w:val="4"/>
            <w:tcBorders>
              <w:top w:val="single" w:color="000000" w:sz="4" w:space="0"/>
              <w:bottom w:val="single" w:color="000000" w:sz="4" w:space="0"/>
              <w:right w:val="single" w:color="000000" w:sz="4" w:space="0"/>
            </w:tcBorders>
            <w:tcW w:w="46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危化品室设备</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声光报警器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1.防爆型；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2.工作温度：0～+50℃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3.相对湿度：≦92%（50℃)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4.适用于防护要求较 高、潮湿、爆炸性气体环境的1区、2区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5.304 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6.配置LED光源、高亮度、长寿命工作</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需含镀锌管、屏蔽电缆线 、支架等安装辅材</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防爆湿温度计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防爆防尘、工业传感器、温度采集、湿度采集、高清显示屏、大字体显示。</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防爆摄像头</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POE 高清防爆摄像机，防腐防爆、人脸检测、IP68 防水防尘、200万高清监控、POE 网线供电，H.265编码，需含镀锌管、屏蔽电缆线 、支架等安装辅材</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防爆轴流风机</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防爆轴流风机，碳钢外壳，风量强劲、高效节能、全铜机芯、防护网罩、低噪 音、强劲电机、长久耐用。需含镀锌管、屏蔽电缆线 、支架等安装辅材</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喷淋洗眼器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紧急喷淋复合式洗眼器，工业用，ABS+ 不锈钢双进水款，耐酸碱，耐腐蚀。</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室内防爆灯</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23"/>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防爆标志：Exed II BT5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2.1.2m 双管led光源 100w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3.含sw10防爆开关（220~380v）</w:t>
            </w:r>
            <w:r/>
          </w:p>
          <w:p>
            <w:pPr>
              <w:numPr>
                <w:ilvl w:val="-1"/>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需含镀锌管、屏蔽电缆线 、支架等安装辅材</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室内静电接地排</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从埋设的地线接地体引出的接地线，单独敷设到生产线的防静电作业岗位。以便做静电泄漏之用，单独敷设的接地导线通常使用大于1mm 厚，约25mm宽镀锌铁皮或用截面大于 4~6mm2 的铜芯软线单独引入；</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防爆型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PLC 控制联动主机</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24"/>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定制防爆电柜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500*600mm，材质厚度 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2.嵌入式一体化触摸屏；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3.塑壳断路器；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4.接触器；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5.漏电保护器；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6.断路；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7.中间继电器；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8.开关电源；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9.声光报警器 220V 报警音红色；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10.模拟量输入（可燃气）；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11.模拟量输入（有毒气体）；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12.模拟量输入（温湿度计）；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13.开关量输入（红外火焰探测器）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14.排风扇联动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15.空调电源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16.照明开关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17.烟感</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需含镀锌管、屏蔽电缆线 、支架等安装辅材</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PLC信号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接收系统</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无线远传至门卫室</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自动灭火系统</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七氟丙烷灭火器悬挂式 6KG，需含镀锌管、屏蔽电缆线 、支架等安装辅材</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防爆空调</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采用内置防爆盒，防爆等级：ⅡB T4，满焊浇封、专业电缆、防爆电机、10mm 钢板，优质压缩机，持久耐用，抗寒耐高温、 降噪、马力十足，专用防爆插销，需含镀锌管、屏蔽电缆线 、支架等安装辅材</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泄爆窗</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泄爆窗外框采用 2mm铝型材折弯成型，外框全封； 窗扇采用 1.5mm铝型材折弯制作； 窗扇玻璃可以采用 6mm 安全玻璃或 6+6 的夹胶安全玻璃。</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防爆膜贴敷</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1、抗磨层： 由耐磨聚氨酯组成；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2、带色 PET 安全基层：由高强度、高透明 PET 聚酯与颜料熔融挤出双向拉伸制得，由于颜料夹在 PET 膜里面，可防止氧化变色；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3、金属隔热层：在 PET 膜上通过真空蒸镀或真空磁控溅射金属铝、银、镍等对红外线有较高反射率的纳米级金属层；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4、复合胶粘剂： 由耐候性良好高透明的聚氨酯胶粘剂组成；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5、UV 吸收层：由特种 UV吸收剂构成，可阻隔 99%的紫外线；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6、透明PET安全基层： 由高强度、高透明 PET 聚酯膜组成，目的是把金属层夹在中间，防止金属氧化，延长金属膜的寿命；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7、安装胶粘剂：由耐候性良好高透明的丙烯酸酯胶粘剂组成；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8、高透明 PET 离型膜。</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防盗窗</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优质不锈钢</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防火防爆门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优质防火防爆门</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gridSpan w:val="5"/>
            <w:tcBorders>
              <w:top w:val="single" w:color="000000" w:sz="4" w:space="0"/>
              <w:bottom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9.生物数字化实验室</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推拉黑板</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1.结构：内外双层结构，内层为两块固定书写板，外层为两块滑动书写板，居中预留一体机安装位置。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2.基本尺寸：4200mm×1350mm×175mm，可根据所配一体机适当调整，确保与86寸一体机有效配套。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3.书写板面：采用优质烤漆钢板，厚度≥0.4mm。板面为亚光墨绿色，方便教师书写整齐有序，视觉舒适，用眼不疲劳。</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4.内芯材料：选用高强度、吸音、防潮、阻燃聚苯乙烯板，厚度≥14mm。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5.背板：选用优质亚光彩涂钢板，每隔80mm设有20mm加强凹槽。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6.覆板：采用环保型双组份聚氨酯胶水，自动化流水线覆板作业，确保粘接牢固，板面平整。</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边框：上横框采用开放式双轨道。平行对称双U型自动纠偏设计，避免滑动时出现滑轮卡死现象，上下框的立面尺寸≥90mm，双壁成腔结构，不接受单层铝合金设计，壁厚≥1.0mm；边框经氧化、喷砂涂层处理，无明显眩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滑轮：每块活动板采用静音组合滑轮组两组（每组由4个轮子组成，采用工字型实心合金轮架，精密进口轴承，静音特种橡胶胎圈，下平轮双侧滑动结构滑轮组（每组两个轮子），保证滑动板滑动平稳顺畅无噪音，写字无晃动现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9.锁具：一把锁配两把钥匙，一个学校钥匙互开通用。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固定板连接：固定板须用子母绞扣式连接方式，无须另行拉铆固定，通过固定板与大框相互绞扣吃力，从而增加牢固性，不得用铝合金块或钢板支架拉铆固定，避免多年使用后出现铆钉脱落造成的框架松动散架等隐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包角材料及立框侧封板：采用圆形钝角抗老化高强度ABS工程塑料注塑成型。双壁成腔流线型设计，如配装一体机需采用≥170mm一体化加长包角，须采用≥170mm一体化立框或子母绞扣式连接，不得用拉铆钉直接拉铆拼接。</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12.限位档：黑板边框内部两侧安装橡胶材质滑动板限位档，符合书写板安全距离标准的设定，防止活动黑板开启时撞击立框的同时，预留的空间易于一体机维护。</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13.安全及环保性：书写板框架、外观、边缘接角、ABS配套材料、钢制托架、胶粘剂等黑板组件配件，不得出现斜薄边及尖角毛刺或其他安全隐患。</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教师演示讲台1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尺寸：3000*700*800mm±10mm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2.台面：采用≥12.7mm 厚双面膜耐腐蚀实芯理化板制作， 四角倒R15 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3.柜体：采用≥1.0mm 优质高强度镀锌钢板，采用二氧化碳气体保护焊接，打磨处理，表面经耐酸碱  粉末烤漆处理；整体结构设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计合理；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4.拉手：采用隐藏型拉手，造型独特美观；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6.门板及抽面：采用双层钢板，必须两层组装式设计，保证两层双面都喷涂处理；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7.耐腐蚀连接件：采用ABS 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8.不锈钢防腐合页：采用优质不锈钢模具一体成型；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9.防腐三节静音导轨：三节重型滚珠滑轨，承重性强，滑动性能良好，无噪音；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10.固定桌脚：采用柜体内置可调 ABS 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1.尺寸：440*330*190mm±10mm；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2.材质：高密度 PP 一体成型的水槽，水封式水塞，有效防止下水管废气溢出，排水口有过滤装置，有耐酸碱耐热耐有机溶液的特性。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3.水槽耐老化性试验：冲击强度的保持率≥77%，外观颜色变色评级≥4 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4.下水装置耐老化性试验：冲击强度的保持率≥79%，外观颜色变色评级≥4 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实验室专用龙头</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1.高度 720mm±10mm；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2.臂弯：采用ø18*1mm 的 304 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3.主体：采用ø21*1.8mm 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4.进水管：采用ø20*1.75 mm 管径的黄铜制造；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5.出水管：采用ø13*1 mm 管径的 304 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6.涂层：经环氧树脂耐酸碱粉末涂料热固处理，耐腐蚀、耐热，防紫外线辐射；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7.陶瓷阀芯：90 °旋转，使用寿命开关要求达到 50 万次，静态最大耐压 10 bar；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学生探究桌一</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1.规格：3000*1200*780mm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 12.7mm 厚双面膜耐腐蚀实芯理化板制作， 四角倒R15 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 1.0mm 优质镀锌钢板，采用二氧化碳气体保护焊接，打磨处理，表面经耐酸碱  粉末烤漆处理（烤漆膜厚度平均值≥70 μm）；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4.拉手：铝合金条形暗拉手；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6.门板：采用双层钢板，必须两层组装式设计，保证两层双面都喷涂处理，保证关门减少噪音；</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学生探究桌二</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 1800*1200*780mm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 12.7mm 厚双面膜耐腐蚀实芯理化板制作， 四角倒R15 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 1.0mm 优质镀锌钢板，采用二氧化碳气体保护焊接，打磨处理，表面经耐酸碱  粉末烤漆处理（烤漆膜厚度平均值≥70 μm）；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4.拉手：铝合金条形暗拉手；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6.门板：采用双层钢板，必须两层组装式设计，保证两层双面都喷涂处理，保证关门减少噪音；</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实验室专用水槽及下水装置</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1.尺寸：440*330*190mm±10mm；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2.材质：高密度 PP 一体成型的水槽，水封式水塞，有效防止下水管废气溢出，排水口有过滤装置，有耐酸碱耐热耐有机溶液的特性。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实验室专用龙头</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1.高度 720mm±10mm；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2.臂弯：采用ø18*1mm 的 304 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3.主体：采用ø21*1.8mm 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4.进水管：采用ø20*1.75 mm 管径的黄铜制造；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5.出水管：采用ø13*1 mm 管径的 304 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6.涂层：经环氧树脂耐酸碱粉末涂料热固处理，耐腐蚀、耐热，防紫外线辐射；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7.陶瓷阀芯：90 °旋转，使用寿命开关要求达到 50 万次，静态最大耐压 10 bar；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1.尺寸：405*405*90mm，装置在主控台组合柜内，采用耐磨、耐腐蚀的PVC薄膜面板，优质元器件，轻触按钮开关。</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2.输入电压：220v±10%；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3.内装有教师演示电源及主控电源装置，教师能对实验室进行总体及分组控制：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220V电源输出，电源总开关、漏电保护开关、工作指示灯、220V交流输出多用豪华插座，数码实时显示电压电流值；</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带老师、学生220V过载漏电保护。</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岛式插座</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1.钢制线盒，主框架采用裸板实际厚度大于 1.0mm 厚优质钢材产一级镀锌钢板经 CNC 机压成形、焊接制作，表面经磷化处理、环氧树脂静电粉末涂装处理。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220V 交流输出为新国标五孔插座，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25"/>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尺寸：Φ315*450～500mm±10mm；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2.凳脚材质：4个凳脚采用 17×34×1.7mm，无缝钢管模具一次成型。全圆满焊接完成，结构牢固，经高温粉体烤漆处理，长时间使用也不会产生表面烤漆剥落现象。 Ф凳面直径 315×高450～500mm；</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3.凳面材质：采用聚丙烯共聚级注塑，厚5mm。表面细纹咬花，防滑不发光，凳面底部镶嵌 4 枚铜质螺纹，采用不锈钢螺丝与圆形托盘固定；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4.脚垫材质：采用PP 加耐磨纤维质塑料，实心倒钩式一体射出成型凳面与凳脚留有一定的空间便于凳子挂在挂凳扣上。</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边台2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1.尺寸：6000*600*780mm±10mm；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 12.7 ㎜厚实芯理化板， 四边加厚可视面为 25mm 并倒圆边，经机械打磨，表面光滑平整，无缝隙，整体美观大方。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3.柜体：采用≥1.0mm 优质镀锌钢板；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4.防撞胶垫：装于门板内侧，减缓碰撞，保护柜体；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5.门板：采用双层钢板，必须两层组装式设计，保证两层双面都喷涂处理，保证关门减少噪音；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6.连接件：采用ABS 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8.固定桌脚：采用柜体内置可调 ABS 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 1000*500*2000mm±10mm；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2.侧板、层板采用环保型 pp 改性材料一次注塑成型，表面做磨砂处理。榫卯连接结构并合理布局加强筋，配合专用塑料紧固件连接，顶板、中板和底板的底部镶嵌 15*30mm 钢管加强，承重力强，产品不变形、不扭曲，可重复拆装使用；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3.上柜门：采用增强型 PP 材质一体注塑成型，外嵌 4mm 钢化烤漆玻璃，中间玻璃做镂空处理，透明可视；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4.下柜门：采用增强型 PP 材质一体注塑成型；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5.门把手：采用增强型 PP 材质一次注塑成型，安装于两门的门缝处， 凹凸配套，增加柜子内部的气密性；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6.层板：上柜配两块活动层板，下柜配一块活动层板；层板采用工程塑料经模具挤出成型， 中空双层结构， 内部均匀分布加强筋并内置两条 30*15mm钢管，单块层板静置 100 公斤重物不变形；两边配置密封堵头，整板无裸露金属，避免腐蚀生锈，美观耐用。层板可以抽取，自由组合各层空间；</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7.门铰链：用改性 pp 材料模具一次成型，伸缩式 pp 旋转门轴，内嵌隐藏方便安装，耐腐蚀；</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8.柜子固定所需螺丝均采用 不锈钢，并加盖塑料盖帽隐藏安装，柜子内部无裸露金属材料，确保柜子的耐腐蚀性。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扩声音箱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pStyle w:val="1575"/>
              <w:numPr>
                <w:ilvl w:val="0"/>
                <w:numId w:val="0"/>
              </w:numPr>
              <w:ind w:right="0"/>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auto"/>
                <w:sz w:val="21"/>
                <w:szCs w:val="21"/>
                <w:highlight w:val="none"/>
                <w:u w:val="none"/>
                <w:lang w:val="en-US" w:eastAsia="zh-CN" w:bidi="ar"/>
              </w:rPr>
              <w:t xml:space="preserve">一、等声压音箱</w:t>
            </w:r>
            <w:r/>
          </w:p>
          <w:p>
            <w:pPr>
              <w:pStyle w:val="1575"/>
              <w:numPr>
                <w:ilvl w:val="0"/>
                <w:numId w:val="0"/>
              </w:numPr>
              <w:ind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教学音箱须采用音箱簇箱体结构，一体化设计，吸顶安装于教室内学生座位中间，声场由上至下，单只音箱实现一个教室，一个声场；</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箱体上的四只发声单元在独立的腔体中以下俯35°角度向四周辐射声能，离轴距离750mm，每只单元以90°锥体声波扩散，实现360度全指向覆盖；</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为保证产品轻量化，箱体须采用ABS环保材料一体压塑成型 ；</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产品须具备高度集成化设计，含无线信号接收模块、蓝牙接收模块、话筒放大器、DSP数字音频处理模块、功率放大模块、喇叭单元，所涉及无线接收模块、蓝牙模块、运放模块、DSP处理芯片、D类放大芯片重要芯片及配套全硬件为100%国产；</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5、无线通讯技术：根据不同使用习惯能同时支持无线头戴话筒、无线手持三合一话筒、无线领夹话筒，话筒无线直连音箱，无需外加其他设备，操作简单，支持三只话筒同时发声。</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考虑到教学音箱吸顶安装，产品高度不宜过高，箱体总高度须≤168mm；</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扬声器单元：3" 19芯磁体，单只≥15W共4只；</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整机额定功率：60W，节目功率：120W，峰值功率：240W；</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阻抗：单路8Ω，共4路；</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灵敏度：91dB±3dB；</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信噪比S/N：≥76dB；</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频率响应：87Hz-17KHz；</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为保证教师语音的还原度，语言解析度≥90%；</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软件控制调试能力：可通过手机APP操控音响各种功能，实时同步免保存，支持断线储存功能，可通过产品型号选择进入设备控制界面，通过APP可对4只喇叭分别调节音量大小，可对无线话筒通道的音量调节、回声电平调节、混响电平调节、噪音门限调节、自动对频按钮，可实时监测当前无线话筒占用的UHF频点、具有≥7段图示均衡器并具有一键重置为0dB；</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DSP处理能力：二进四出数字DSP处理通道，Audio-ADC时 sNR≥94dB，具有自动噪声抑制，自适应反馈补偿技术，自动对信号振幅进行补偿，以保证输出声音声压级不低于72dB；</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16输入接口≥2个3.5mm音频接口，≥2个平衡式凤凰端子接口，输出接口≥1个3.5mm音频接口，≥1个USB数据接口用于软件升级及远程通讯；</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具有≥6个信号通道显示灯，显示通道连接状态；</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广播系统对接：支持对接IP广播系统和模拟定压广播系统；</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为控制教室内坐在前排与后排学生之间听觉差异，声场不均匀度要求室内各学生座位测量点（至少选取8个测试点）的稳态声压级最大值与最小值差值范围为4dB之内；</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为保证教师授课过程中扩声语音的清晰度，扩声系统语言传输指数STIPA：调制传递函数MTF测量值大于0.6；</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为控制相邻教室的声波干涉：相邻教室声串扰的声压级应不大于40 dB（A</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为保证师生的听觉的安全健康声压，学生座位的听音面</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1.2 米等高线位置</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最大声压级应小于 82 dB(A</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p>
          <w:p>
            <w:pPr>
              <w:pStyle w:val="1575"/>
              <w:ind w:right="0"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系统噪声功率级：系统噪声功率级应不大于 30 dB(A</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p>
          <w:p>
            <w:pPr>
              <w:pStyle w:val="1575"/>
              <w:ind w:right="0" w:firstLine="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eastAsia="zh-CN"/>
              </w:rPr>
              <w:t xml:space="preserve">24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蓝牙功能：优于或等于蓝牙5.0版本，支持蓝牙无线接收，方便老师分享移动设备（手机/电脑）上的音频，蓝牙支持密码模式，防止学生连接，支持手机通过蓝牙无线连接音箱，实现控制有源音箱的音量，方便教师对音箱的管控，支持音箱蓝牙名称根据教室名称自定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二、无线头戴麦克风</w:t>
            </w:r>
            <w:r/>
          </w:p>
          <w:p>
            <w:pPr>
              <w:pStyle w:val="1575"/>
              <w:ind w:right="0" w:firstLine="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1.低功耗设计，单次充电后可使用至少6小时。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2.节能模式支持无发言60分钟自动关机。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3.带有显示屏，屏显内容包括：静音显示、连接状态、电量显示、音量级显示、无线信道显示。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4.双频连接：话筒开机后自动搜索干扰少的信道并自动红外配对，配对后传输音频，确保配对设备的唯一性，杜绝串频。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5.考虑到教师长期佩戴的舒适性，产品整体重量需≤22g。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三、无线领夹麦克风</w:t>
            </w:r>
            <w:r/>
          </w:p>
          <w:p>
            <w:pPr>
              <w:pStyle w:val="1575"/>
              <w:ind w:right="0" w:firstLine="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1.指向型：全向；</w:t>
            </w:r>
            <w:r/>
          </w:p>
          <w:p>
            <w:pPr>
              <w:pStyle w:val="1575"/>
              <w:ind w:right="0" w:firstLine="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2.双频连接：话筒开机后与接收底座进行NFC配对，配对后通过2.4G传输音频，确保配对设备的唯一性，杜绝串频；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3.控制方式采用：霍尔传感器，2.4G无线。固定ID锁频，配对使用过程中其他麦克风无法再进行配对。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4、同一话筒可在任意教室使用，且互不干扰。一师一麦设计，干净卫生环保，≥2只话筒同时发言。</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四、无线三合一话筒</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1.同时支持拾音、PPT翻页、激光笔教鞭三种功能。</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2.同一话筒可在任意教室使用，且互不干扰。支持一师一麦、一室一麦设计，干净卫生环保。</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3.带有显示屏，屏显内容包括：静音显示、连接状态、电量显示、音量级显示、无线信道显示。</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4.双频连接：话筒开机后自动搜索干扰少的信道并自动红外配对，配对后传输音频，确保配对设备的唯一性，杜绝串频。</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5.四向拾音设计，每个拾音面均具有防喷网罩。</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6.内置可充式高性能3.7V聚合物锂电池。电池容量：340mAh，带保护电路，Type C接口充电，2小时充足电可持续续航时间≥8h。</w:t>
            </w:r>
            <w:r/>
          </w:p>
          <w:p>
            <w:pP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7.调试界面功能须具有≥4档背光调节、限幅开关，3档限幅值设定、≥5段参量均衡设置、对频方式，UHF、U-L、IR、USB翻页≥4种模式选择、自动增益功能开关、UHF≥7档对频距离可调、USB≥7档对频距离可调、无线通讯版本查看。</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实验示教终端机</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1.高度集成：整机由≥1块集成触摸屏、≥2个高清摄像机和≥1个底座组成，而非摄像机和平板电脑拼装而成；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2.占用空间：整体设计精简小巧，不影响教师正常的实验操作；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3.支持折叠收纳，不使用时可以放置在配套铝箱中；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4.单关节折叠杆：采用单关节设计的折叠杆，无需旋钮即可在活动范围内任意角度悬停，方便调节俯视角的高度；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俯视角：整机一体设计，无任何外露线材，俯视角镜头≥800万像素，支持≥12倍光学变焦，支持激光TOF辅助微距自动聚焦（最短支持100mm）；具有物理按键，可以实现手动调节光学变焦和手动聚焦；具有画面锁定按键，按键冻结当前视频画面，再按一次解锁冻结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6.俯视角支持从上往下拍摄，并可通过两轴摆动调整拍摄角度。每个转轴均配有阻尼设计，确保角度调整完成后能够保持固定的拍摄角度和高度；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7.从正面拍摄特写操作，可以垂直滑动升降调整拍摄高度，调节范围≥90mm，且滑动升降具有阻尼设计，无需旋钮或卡扣即可在行程内保持任意固定高度；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8.CPU：采用 ≥6 核 CPU；≥4GB RAM+256GB ROM；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9.具有 ≥11.5英寸触摸屏，分辨率≥1920*1080，支持活动范围内任意角度翻折悬停，可活动角度≥ 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10.同时支持DC供电、内置电池供电和POE供电三种模式，供电模式切换时，设备不会断电重启；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11.具有但不限于 HDMI、USB2.0、USB3.0、POE 网口、DC12~13V 宽电压充电口、Type-C 调试口、Reset 键、3.5mm音频监听口、TF卡插槽；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12.内置无线模块接口，支持扩展终端机通过WIFI连接网络进行示教；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13.设备自带流媒体服务，支持外部系统仅需和操作系统一个IP通信即可分别获得俯视角和正视角的视频流；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14.配套铝箱：铝边木板设计，可用于放置终端套件、电源适配器、网线等设备。</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w:t>
            </w:r>
            <w:r/>
          </w:p>
        </w:tc>
        <w:tc>
          <w:tcPr>
            <w:tcBorders>
              <w:top w:val="single" w:color="000000" w:sz="4" w:space="0"/>
              <w:left w:val="single" w:color="000000" w:sz="4" w:space="0"/>
              <w:bottom w:val="none" w:color="000000" w:sz="4" w:space="0"/>
              <w:right w:val="non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互动示教系统</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1.摄像机管理：支持接入摄像机的拍摄画面，支持标准RTSP协议，支持同时接入摄像机的主流以及辅流视频；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2.无线配置：支持双网卡管理，支持无线wifi和有线RJ45双模同时连接。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3.相机画面无线投屏：支持与教室PC端连接，通过wifi局域网或有线局域网均可实时将本地摄像机画面传输至教室PC端，并结合PC端软件实现大屏画面投送。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4.低延迟投屏：支持通过较低的延迟实现向PC端进行画面投送，使PC端和本地端不产生明显的不同步，且各画面之间也不产生明显的不同步现象。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5.双流视频预览：支持在示教终端上进行本地摄像机预览，支持小窗口辅流同步预览；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6.全屏预览：用户可根据需要，随时将任一画面放大至全屏进行预览，在全屏预览时系统自动切换至主流高清视频流，并实现同步的低延迟预览，播放延迟不大于0.5秒。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7.镜头控制：支持对摄像机镜头画面进行放大、缩小和对焦微调。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8.高清多通道录制：支持接入≥2个摄像机同时进行视频录制，并可在本地点播录制视频，支持本地化录制，不受wifi网络信号影响。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9.视频上传：可将本地录制的视频上传至PC端或平台端，上传时可命名文件名，以避免PC端用户混淆多个视频。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10.视频资源管理：可将本地录制的视频下载至U盘。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11.支持PC端下发作业任务后，上传本地视频或图片到PC端。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12.支持设置第三方推流直播，可生成观看二维码，在示范教学时可显示直播二维码，手机扫码即可进入直播画面，且声画同步。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13.屏幕抓屏截图：支持对当前屏幕进行批注且截图，系统提供画笔、文字编辑、方/圆框标注等工具。且批注信息同步到PC端；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14.多端同屏批注：当PC端选择某学生端的画面进行广播时，学生端和PC端可以双向批注，且两端将同步显示批注内容。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【PC端】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1.采用C/S客户端设计，可在常用系统上运行，支持但不限于1/2/3/4/6/12/24路视频画面同屏显示；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2.视频支持但不限于H.264 编码方式，高清视频文件支持但不限于MP4格式；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3.可以软件最小化为悬浮球，点击可弹出各功能模块，并可随意拖动操作；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4.具有视频录制、永久存储、处理功能，示范操作画面可实时录制或广播画面教学，结束录制后，可以直接点击视频进行回放观看；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5.在广播教学时可以切换工位学生画面信息，以便于教学讲解，且可在顶部显示工位名称。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6.可以双向书写，PC端进行画面批注时，教师端屏幕画面将同步显示批注信息到学生端。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7.支持对当前屏幕进行批注且截图，系统提供画笔、文字编辑、方/圆框标注等工具。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8.可以获取教师端采集的音频信息，示教时声画同步。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9.可对视频和图片文件列表进行切换，支持对视频和图片的下载、修改、批量删除功能；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10.工位监看时可以显示工位画面，可以同屏显示单画面，双画面，三画面，四画面，六画面，十二画面，二十四画面布局；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11.可以创建随堂练习和课后练习，便于教学；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12.可以设置练习课题名称，练习时间，可以设置练习时间。当设置课后练习时，可以设置提交时限；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13.支持查看设备工位号、工位名称、状态、剩余空间、IP地址、视频设置、版本号等信息，且可对设备进行增删的操作；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14.摄像机多端同步控制：支持管理端远程控制摄像机设备，并可根据摄像机的特性，进行放大缩小、对焦、云台等功能控制；且支持与示教端软件实现双向同步控制。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15.支持工位观看时录制所有工位的视频，结束录制时可进行视频回看，并通过工位号进行切换画面。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16.工位观看时可点击工位号进行切换画面，或拖动工位图标进行画面切换。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17.可任意选择工位，将画面进行广播给其他学生工位端进行查看；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18.广播教学中可以将录制的视频和截图保存至教学资源。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19.教学资源可查看教学时所录制视频和截图，点击视频查看还可关联查看录制时所截的图片，便于查找相关图片。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20.工位观看时可形成工位资源，点击查看相关视频；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21.音视频采集可视化：对采集的教学音视频进行可视化的分类管理，可查看教学时所采集录制的教学音视频文件和批注截图，点击相关视频查看可进行再次批注保存并关联图片。</w:t>
            </w:r>
            <w:r/>
          </w:p>
        </w:tc>
        <w:tc>
          <w:tcPr>
            <w:tcBorders>
              <w:top w:val="single" w:color="000000" w:sz="4" w:space="0"/>
              <w:left w:val="single" w:color="000000" w:sz="4" w:space="0"/>
              <w:bottom w:val="non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non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gridSpan w:val="4"/>
            <w:tcBorders>
              <w:top w:val="single" w:color="000000" w:sz="4" w:space="0"/>
              <w:bottom w:val="single" w:color="000000" w:sz="4" w:space="0"/>
              <w:right w:val="single" w:color="000000" w:sz="4" w:space="0"/>
            </w:tcBorders>
            <w:tcW w:w="46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教师用加强型传感器部分（可无线及有线采集数据）</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采集器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数据采集器作为连接传感器与计算机的桥梁，采用USB 协议与电脑通讯；通过 USB 接口供电，无需外接电源；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内置电源指示灯和工作状态指示灯；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内置双处理器主板，采用主频 72Mhz 高频 32 位处理器；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模块化结构，可接驳有线接口和无线接口，数据采集器与接口通过 SATA 接口传输数据，采用插接式结构，可根据实验教学需要，方便有线、无线工作模式切换；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 BT 自锁接口与传感器连接，输出数字信号，接口具有方向性和自锁功能，可以防止传感器在使用过程中脱落，保证数据传输稳定；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四路全数字通道，数据采集器最大采样率80KByte，与传感器采用 SPI数据总线进行传感器信息、数据的并行采集，数据采集器任意通道都可以读取传感器上传的数据。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 106*42*25（mm）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传感器数据显示模块</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独立模块化结构，与各种传感器组合使用，具备独立数据显示、数据存储、数据上传功能。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接入后自动识别传感器，实时显示传感器测量数据，支持多值传感器数据显示及存储，数据显示屏刷新频率 10Hz；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1.77 寸 （ ±0.1 寸）彩屏，采用 BT 自锁接口与传感器连接，接口具有方向性和自锁功能，可以防止传感器在使用过程中脱落，保证数据传输稳定；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屏幕可显示二维码，通过移动终端设备扫描二维码进行无线连接，采用蓝牙 4.0 传输协议，可将传感器测量数据实时传输到 APP。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设有按键开关，工作状态下，可通过调动按键开关切换数据显示和二维码界面；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通过移动终端设备可设置数据显示精度以及数据调零，可对数据进行描点绘图处理。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可将模块存储的测量数据导出至计算机进行数据分析（兼充电）；支持常规操作系统。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采用充电锂电供电， 电池电压 3.7V，容量 1100mAh，待机时间 10小时，采用 microUSB 充电接口；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数据存储频率 5Hz，存储容量最大 262,144 个数据点。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注：续航时间和连接的传感器有关，差别较大。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传感器尺寸：77*41*25（mm）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用于测量待测物体或溶液的温度；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性能：测量范围：-50℃~+200℃；分度：0.1℃；准确度：0.5℃;</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 由传感器数据处理电路和不锈钢探针构成，通过 3.5mm 同轴音频插头连接，不锈钢部分：长度为105毫米，直径为 3.0 毫米；探头把手：长度为95毫米，直径为12.3毫米。与传感器连接部分采用黑色两芯线，线长750毫米；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 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相对压强传感器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用于测量气体的相对压强；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性能：测量范围：-20kPa~+20kPa；分度：0.01 kPa；准确度：0.2kPa；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结构：塑料软管外径Φ6， 内径Φ4，长 65mm，并增加配备一个塑料软管外径Φ4， 内径Φ2.5，长 15mm，方便可以连接多种设备进行实验；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 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用于测量溶液中的 pH，可测量有色溶液的酸碱度；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性能：测量范围：0~14；分度：0.01；准确度：0.15；最大采样率：5KHz；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温度范围：0-80℃（塑壳），0-100℃（玻璃） ， 电缆长度： 1m，电极杆长度： 120mm， 电极杆直径： 12mm，斜率： ≥97%， 电阻：≤250M，零点：7.00±0.25pH；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结构：使用BNC 连接器方式与电极连接；具有快速响应的特点，测量数据能在 5 秒内达到真实值的 90%，  10 秒内稳定；传感器尺寸：96.5*40*25(mm），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多量程电导率传感器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用于测量溶液的导电能力；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性能：测量范围：0~19000 μS/cm；分度： 10 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测量范围：0~1900 μS/cm；分度： 1 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测量范围：0~190μS/cm；分度：0.1 μS/cm；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准确度：0uS/cm~190uS/cm 档： 12uS/cm ;0uS/cm~1900uS/cm 档：100uS/cm ;0uS/cm~19000uS/cm 档：600uS/cm；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最大采样率：4KHz；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技术指标：温度范围：0-90℃（玻璃），电缆长度：1m，电极杆长度：140mm；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结构：使用BNC 连接器方式与电极连接；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色度传感器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三波长光源（R、G、B）测量有色溶液的透光率/吸光度数据；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性能：测量范围：透光率 0～100％ ，分度：0.1％； 准确度：R 偏差：≤±5%；G 偏差：≤±2%；B 偏差：≤±5%；最大采样率：1KHz；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 内置 721 比色皿 43*15*1410mm，光滑透明不易反光、留指纹等痕迹。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传感器由高强度塑料外壳封装，外壳设有 M5 螺丝孔位，可将传感器固定在多种操作平台和实验装置上；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传感器一体化设计，传感器数据处理电路为双主板设计，采用技术成熟的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模块化、可热插拔设计，支持有线通讯、无线通讯和屏幕数据显示三种工作方式；可支持蓝牙无线数据传输；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二氧化硫传感器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用于测量待测气体中二氧化硫的含量；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 测量范围： 0 ～20ppm，分度 0.01 ppm；准确度： 3ppm；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技术指标：工作温度-20℃to40℃ , 工作湿度 15to90%RH（无冷凝），工作压力 91-111kPa，储存温度 0℃-20℃ ，响应时间（T90）＜45秒；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结构：探头线长 0.6m，探头上壳直径最粗端 32mm，底壳直径 20mm，总长 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生产工艺，可保证传感器经久耐用，数据传输稳定、持续；采用BT 数据接口，输出数字信号，接口具有方向性和自锁功能，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溶解氧传感器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用于测量溶液中溶解氧的浓度；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性能：测量范围：0～20mg/L，分度：0.01mg/L；准确度：±1mg/L；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 响应时间（T90,20℃）＜30 秒，工作温度： 0～45℃ ，可以通过硬件或软件校准，校准间隔时间&gt;30 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结构：使用BNC 连接器方式与电极连接，电极壳材料UPVC或不锈钢，电缆线长1m（双屏蔽）电极直径20mm×长度180mm，透气膜厚25μm；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相对湿度传感器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用于测量容器内的湿度；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性能：测量范围：0～100%，分度 0.1％；准确度：≤±5%（20%-70%），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≤±6%（&lt;20%,&gt;70%） ；最大采样率：5KHz；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技术指标：探管φ9mm，长度57mm，工作温度-40℃~100℃，存储温度-40℃~125℃，压力范围 700～1100mbar，响应时间（T90）&lt;5 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结构：传感器尺寸：133*40*25(mm），由高强度塑料外壳封装，采用注塑工艺，材质为蓝色透明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用于测量待测气体中氧气的含量；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性能：测量范围：0～100％，分度：0.1％；准确度：±1%（0-50%）、±2%(50.1%-100%）；最大采样率：5KHz；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技术指标：工作温度 5℃~40℃ , 工作湿度 0～95%RH（无冷凝），储存温度-15℃~50℃ , 响应时间（T90）＜15 秒结构：氧气传感器探头外壳直径 36.8mm，探头部分直径 20mm，探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头整体高度 50mm，线长800mm；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设有硬件校准按键，可通过按键校准空气中氧气的含量：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用于测量待测气体中二氧化碳的含量；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性能：测量范围：0～100000mL/m3，分度：1mL/m3；准确度：±150mL/m3（0mL/m3~1000mL/m3 ） ，读数的±15%（1000mL/m3~10000mL/m3） ；最大采样率：5KHz；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技术指标：工作温度-10℃~50℃ , 存储温度-20℃~60℃ , 工作湿度 0～95%RH（无冷凝），响应时间（T90）＜30 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结构：传感器尺寸：153*40*25(mm），由高强度塑料外壳封装，采用注塑工艺，材质为蓝色透明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实验室用心率传感器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用于测量人体的实时心率大小以及心跳脉动波形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性能：测量范围：0～200 次；最大采样率：5KHz；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结构：血氧探头 OEM300-AL，长度 1 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使用方法：将血氧探头连线接入传感器，预热一分钟后将血氧探头夹在被测人员食指上（注意：血氧探头红色发光侧应在手指指甲一侧），被测人员保持坐立不动，被测手指位置与心脏距离不超过200mm。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实验室用心电图传感器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用于测量人体的心电图，生成 EKG 曲线，能清晰的显示出人体 P波、QRS 波、T 波与 U 波，可通过 RR 间期计算出心率；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性能：测量范围：-5mV～+5mV；最大采样率：5KHz；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结构：三导联线 800mm、心电电极测试夹1对；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使用方式：将导联线连接传感器与电极夹，连接的原则是使导联线与电极夹颜色一致，将黑、黄连线的电极夹夹于左手腕，将红线连接的电极夹夹于右手腕内侧（注：带电极触片的一侧与手腕内侧接触） ，被测者双手手心向上平放在桌面上，身体静止并等待一分钟，观察计算机屏幕，软件显示规律的心电图。</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实验室用呼吸率传感器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用于测量人体的呼吸率；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测量范围：满足人体生理特征；最大采样率：5KHz；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当敏感元件受到气体压力时，硅膜片产生形变，并使 4 片应变片产生形变，应变片将形变转换为电阻值的变化，通过传感器电路处理后即可转换为压强（或呼吸率） 的变化。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可完成实验：人体运动前后呼吸率大小比较、测量呼吸率等实验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双量程光照度传感器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用于测量光照度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 ～6000lx～60000lx，分度：1lx；准确度：≤100lx 或≤10%（读数的）取大值；最大采样率：5KHz；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螺丝孔位，可将传感器固定在多种操作平台和装置上；传感器数据处理电路为双主板设计，采用技术成熟的 SMT 生产工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设有量程切换按键，支持硬件切换传感器量程；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附件：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1.含 USB 通讯线 1 条、长传感器线 2 条、短传感器线 2 条、A 型转接器 2 只、B 型转接器 2 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规格尺寸（mm） ：USB 通讯线 1500；长传感器线 1200；短传感器线 650。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2.两端插口具有方向性和自锁功能—插接方便、配合严密、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方便教学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3.技术资料需包含产品实验案例；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软件：专用软件采用了图形化的设计理念，软件平台里面包含了大量专用实验模板，预设了操作流程，方便学生操作使用，通用软件具备视频区域。可进行数据处理，满足学科教材与课外探究的要求；传感器插入后能自动识别和运行；软件无须设置参数自动检测传感器，并提供仪表、数值、 曲线多种显示风格；软件具有双组合曲线功能及完整的可对数据图线进行拟合的功能（一次函数、二次函数、三次函数、反比函数、反比平方、对数、正弦函数、指数、复合指数等） ，并自动显示拟合的函</w:t>
            </w:r>
            <w:r>
              <w:rPr>
                <w:rFonts w:hint="eastAsia" w:ascii="宋体" w:hAnsi="宋体" w:eastAsia="宋体" w:cs="宋体"/>
                <w:i w:val="0"/>
                <w:iCs w:val="0"/>
                <w:color w:val="auto"/>
                <w:sz w:val="21"/>
                <w:szCs w:val="21"/>
                <w:highlight w:val="none"/>
                <w:u w:val="none"/>
                <w:lang w:val="en-US" w:eastAsia="zh-CN" w:bidi="ar"/>
              </w:rPr>
              <w:t xml:space="preserve">数表达式；具有中学常用的预设公式，并可根据实验需求自由定义公式；软件内设可调整采样频率范围是 0.1~20K； 具有完善的数据处理功能（可对图线中数据进行求导、积分、平均值、绘制包络线、最大值、最小值的计算） ，可对无效数据图线的数据进行删除或恢复；可以对实验设置进行保存，生成实验模板；具有实验数据采集过程录播、 回放功能；软件可生成实验报告，提供实验报告模板，可导入实验表格数据及插入实验图线并进行分析；学生可在软件中发送实验报告；提供实验帮助，可在软件中随时查询理化生实验图片及实验说明，方便教学参考使用。</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流速温度仪</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26"/>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由传感器系统、伸缩杆及数据显示控制器三大模块组成。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2.流速测量范围：0~3m/s，分度：0.01m/s。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3.温度测量范围：0~40℃ , 分度：0.1℃。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4.可用于水体流速和温度的测量。</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5.伸缩杆：杆长1000mm。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5.手持式数字显示控制器，显示水流速和水温的数据，具备一键开关机、实时流速和平均流速一键切换，一键清除及大容量数据存储、导出功能，可通过软件查看存储数据的变化曲线。</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尺寸：410*282*180（mm）， 由铝合金主架、铝塑板面构成， 内设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隔断海棉内衬，用于收纳传感器和小的实验配件。</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传感器专用充电线</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直接连接传感器无线发射模块或显示模块进行充电，一端为 usb接口另一端为 micro usb 接口。</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gridSpan w:val="4"/>
            <w:tcBorders>
              <w:top w:val="single" w:color="000000" w:sz="4" w:space="0"/>
              <w:bottom w:val="single" w:color="000000" w:sz="4" w:space="0"/>
              <w:right w:val="single" w:color="000000" w:sz="4" w:space="0"/>
            </w:tcBorders>
            <w:tcW w:w="46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教师用加强型配套器材</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多用途生化传感器支架</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1.由机械臂、传感器电极夹及固定夹组成，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2.机械臂固定在实验台边，能在三维空间内灵活移动并准确定位，稳定性好。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3.电极夹口径适合常用生化传感器的电极，方便生化实验操作，具有保护传感器不受损坏、提高空间利用率和实验效率功能。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4.机械臂长度：600mm。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充气筒</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抗酸、碱塑料制作，适合于气压或气体实验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配合各类传感器和辅材可进行多向固定</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由磁力搅拌器、搅拌子（含 30mm 和 20mm 的搅拌子各一个） 、 电源适配器构成。磁力搅拌器最大搅拌量：2L；转速范围：200 转/分钟~2000 转/分钟，调节最小幅度为 10 转/分钟；额定功率 10W。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磁力搅拌器的工作台面上设有转速显示屏，正面设有调速旋钮，顺时针旋转转速增大，逆时针旋转转速减小；按下旋钮可实现启动或停止搅拌，背面设有电源接口；磁力搅拌器运转过程中，也可随时进行调节转速，调节完成后，会发出“滴 ”声提示音。用于各类生化实验，转速快，能快速将溶液搅拌均匀。</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气液相密封实验器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与生物化学传感器密闭连接，可完成陆水生植物光合作用、种子萌发、呼吸作用、酶的特性等实验；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溶液稀释池</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倒置三角烧杯结构，上端开口，底端封闭，配合实验室匀速滴管使用。用于稀释倍数较大，且对初始溶解有一定量要求的化学实验。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密封实验套件由 5 只 5 号橡胶塞（配 5 种孔径：单孔φ3、 φ4、φ 12、 φ 18；双孔φ4） 、4 只硅胶塞（配 4 种孔径：单孔φ4、φ 12、 φ 18；双孔φ4） 、 1 只 150mL 反应瓶、2 只硅胶环、2 只等径气管快速接头、2 只变径气管快速接头、3 条外径φ4mm 软管组成。与生化传感器及常用实验室器皿配套使用，完成中学相关实验及探究活动。</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gridSpan w:val="4"/>
            <w:tcBorders>
              <w:top w:val="single" w:color="000000" w:sz="4" w:space="0"/>
              <w:bottom w:val="single" w:color="000000" w:sz="4" w:space="0"/>
              <w:right w:val="single" w:color="000000" w:sz="4" w:space="0"/>
            </w:tcBorders>
            <w:tcW w:w="46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学生用基本配置传感器部分</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采集器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数据采集器作为连接传感器与计算机的桥梁，采用USB 协议与电脑通讯；通过 USB 接口供电，无需外接电源；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内置电源指示灯和工作状态指示灯；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内置双处理器主板，采用主频 72Mhz 高频 32 位处理器；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模块化结构，可接驳有线接口和无线接口，数据采集器与接口通过 SATA 接口传输数据，采用插接式结构，可根据实验教学需要，方便有线、无线工作模式切换；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 BT 自锁接口与传感器连接，输出数字信号，接口具有方向性和自锁功能，可以防止传感器在使用过程中脱落，保证数据传输稳定；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四路全数字通道，数据采集器最大采样率80KByte，与传感器采用 SPI数据总线进行传感器信息、数据的并行采集，数据采集器任意通道都可以读取传感器上传的数据。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 106*42*25（mm）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用于测量待测物体或溶液的温度；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性能：测量范围：-50℃~+200℃；分度：0.1℃；准确度：0.5℃;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 由传感器数据处理电路和不锈钢探针构成，通过 3.5mm 同轴音频插头连接，不锈钢部分：长度为105毫米，直径为 3.0 毫米；探头把手：长度为95毫米，直径为12.3毫米。与传感器连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接部分采用黑色两芯线，线长750毫米；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 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相对压强传感器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用于测量气体的相对压强；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性能：测量范围：-20kPa~+20kPa；分度：0.01 kPa；准确度：0.2kPa；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结构：塑料软管外径Φ6， 内径Φ4，长 65mm，并增加配备一个塑料软管外径Φ4， 内径Φ2.5，长 15mm，方便可以连接多种设备进行实验；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 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设有调零按键，支持硬件数据调零和软件数据调零；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用于测量溶液中的 pH，可测量有色溶液的酸碱度；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性能：测量范围：0~14；分度：0.01；准确度：0.15；最大采样率：5KHz；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温度范围：0-80℃（塑壳），0-100℃（玻璃） ， 电缆长度： 1m，电极杆长度： 120mm， 电极杆直径： 12mm，斜率： ≥97%， 电阻：≤250M，零点：7.00±0.25pH；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结构：使用BNC 连接器方式与电极连接；具有快速响应的特点，测量数据能在 5 秒内达到真实值的 90%，  10 秒内稳定；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传感器尺寸：96.5*40*25(mm）， 由高强度塑料外壳封装，采用注塑工艺，材质为蓝色透明 PC。外壳设计 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相对湿度传感器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用于测量容器内的湿度；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性能：测量范围：0～100%，分度 0.1％；准确度：≤±5%（20%-70%），≤±6%（&lt;20%,&gt;70%） ；最大采样率：5KHz；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技术指标：探管 φ9mm，长度 57mm，工作温度-40℃~100℃ , 存储温度-40℃~125℃ , 压力范围 700～1100mbar，响应时间（T90）&lt;5 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结构：传感器尺寸：133*40*25(mm），由高强度塑料外壳封装，采用注塑工艺，材质为蓝色透明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双量程光照度传感器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用于测量光照度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 ～6000lx～60000lx，分度： 1 lx；准确度：≤100lx 或≤10%（读数的）取最大值；最大采样率：5KHz；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设有量程切换按键，支持硬件切换传感器量程；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附件：1.含 USB 通讯线 1 条、长传感器线 2 条、短传感器线 2 条、A 型转接器 2 只、B 型转接器 2 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规格尺寸（mm）：USB 通讯线 1500；长传感器线 1200；短传感器线 650；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2.两端插口具有方向性和自锁功能—插接方便、配合严密、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方便教学;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3.技术资料需包含产品实验案例；</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用于测量待测气体中氧气的含量；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性能：测量范围：0～100％，分度：0.1％；准确度：±1%（0-50%）、±2%(50.1%-100%）；最大采样率：5KHz；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技术指标：工作温度 5℃~40℃ , 工作湿度 0～95%RH（无冷凝），储存温度-15℃~50℃ , 响应时间（T90）＜15 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结构：氧气传感器探头外壳直径 36.8mm，探头部分直径 20mm，探头整体高度 50mm，线长800mm；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传感器尺寸：80*40*25(mm）， 由高强度塑料外壳封装，采用注塑工艺，材质为蓝色透明 PC。外壳设计M5 螺丝孔位，可将传感器固定在多种操作平台和装置上；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传感器数据处理电路为双主板设计，采用技术成熟的 SMT 生产工艺，可保证传感器经久耐用，数据传输稳定、持续；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采用BT 数据接口，输出数字信号，接口具有方向性和自锁功能，可以防止传感器在使用过程中脱落，保证数据传输稳定；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设有硬件校准按键，可通过按键校准空气中氧气的含量：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模块化、可热插拔设计，支持有线通讯、无线通讯和屏幕数据显示三种工作方式；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可应用于常规操作系统平台。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尺寸：410*282*180（mm），由铝合金主架、铝塑板面构成， 内设隔断海绵内衬，用于收纳传感器和小的实验配件。</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gridSpan w:val="4"/>
            <w:tcBorders>
              <w:top w:val="single" w:color="000000" w:sz="4" w:space="0"/>
              <w:bottom w:val="single" w:color="000000" w:sz="4" w:space="0"/>
              <w:right w:val="single" w:color="000000" w:sz="4" w:space="0"/>
            </w:tcBorders>
            <w:tcW w:w="46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学生用标准配套实验器材部分</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充气设备</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抗酸、碱塑料制作，适合于气压或气体实验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配合各类传感器和辅材可进行多向固定</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785"/>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气液相密封实验器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与生物化学传感器密闭连接，可完成陆水生植物光合作用、种子萌发、呼吸作用、酶的特性等实验；</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gridSpan w:val="5"/>
            <w:tcBorders>
              <w:top w:val="single" w:color="000000" w:sz="4" w:space="0"/>
              <w:bottom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10.生物组培室</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电子天平</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1.液晶显示，外接电源，  自动校准功能，全量程去皮功能；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2.称量范围：0～600g；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 0.01g；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4.适应湿度 50-85%。</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超声波清洗机</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1.超声功率：500W；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2.定时范围： 1-99 分任意可调；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3.温度范围：0-80℃任意设定，实时显示清洗槽内温度；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4.容量： 10L；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5.具有网篮.降音盖.排水；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6.内胆材料：不锈钢冲压槽 SUS304，外壳材料：SUS304；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7.外形尺寸（长*宽*高）:330mm×270mm×310mm (±20mm）；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8.内槽尺寸（长*宽*高）:300mm×240mm×150mm (±20mm）。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磁力搅拌器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1.容量：20～3000ml；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2.功率：不大于 200W；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3.加热盘温度：0-300℃可调；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4.外形尺寸（长*宽*高） ：240mm×158mm×105mm (±20mm）；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5.供电电源：220V±10%，50Hz；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6.转速可调节。</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1.ABS 工程塑料外壳；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2.数字显示液晶屏，仪器自动识别三种缓冲标准液，具有手动校准功能；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3.仪器级别：0.01 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4.测量范围：pH：0.00～14.00；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5.mV：-1880～1880；自动±极性显示，分辨率为 pH：0.01，mV：1；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6.测量精度：mV 为±2，pH 为±0.01；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7.外形尺寸：230mm×200mm×78mm (±20mm）；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8.电源：AC220V/50Hz±10%。</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电子分析天平</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1.大屏幕：大屏幕 TFT 液晶显示器，提供丰富的称量显示信息，方便读取；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2.秤盘完全拆卸式结构设计，方便运输，用户使用时清洁方便；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3.显示模块.CPU 数字处理模块.电磁机械传感器部分分离式结构设计，可避免相互干扰影响，提高仪器抗干扰精度；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4.用户操作：丰富的操作信息提示，帮助用户更高效的完成工作流程；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5.内置程序：卓越的红外感应操作系统，可设置操作自动校正和去皮功能；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6.电磁平衡式传感器，仪器稳定性和运算速度都得到了提升；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7.全铝制底座设计， 防止低频震动，增强称量稳定性；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8.实际分度值：0.1mg；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9.最大称量范围：200g；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10.可重复性标准偏差：0.0001g；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11.校准砝码值：200g；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12.类型：外部自动校准；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13.天平的外形尺寸：340mm×210mm×360mm (±20mm）；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14.秤盘尺寸：  Ф80mm；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15.风罩有效容积： 185mm×165mm×240mm (±20mm）。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微量可调移液器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1.人体学的手柄挂钩设计,；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2.管嘴弹出按钮设计轻巧，PP 退管装置；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3.清晰的显示读数窗口，量程连续可调；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4.管嘴化学材料具有极好的耐化学腐蚀性，整支灭菌；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5.五种规格为一套，量程分别为：0.5-10 μL.10-100 μL.20-200μL.100-1000 μL.1000-5000 μL。</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移液器架</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平板式，亚克力材料，5 个位置</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实验室纯水器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1.4.3 寸嵌入式彩色液晶控制界面，多级菜单式触屏操作；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2.全程实时缺水.冲洗.制水.水满等动画式工作模式显示及设备状态；系统设有密码保护功能，防止未经授权的更改；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3.完善的RO.纯水和超纯水制水.系统取水.系统循环和消毒等管理功能；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4.具备定时自动关机（0~24H）功能，关机时间到后自动停止所有输出，进入关机模式；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备高质量高硬度的水流开关.电磁阀.高压阀.静音泵等设备元器件及水质传感器电阻率在线检测；配备缺水蜂鸣报警提示，用户可自行设定缺水具体时间来实现设备缺水状态下自动停机保护设备；控制屏界面实时在线检测显示超纯水电阻率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6.全自动 RO膜防垢冲洗程序，延长RO膜使用寿命；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7.可设定RO膜.Uv灯和超纯化柱的寿命，显示耗材已用和剩余时间，耗材到期更换自动提醒，避免水质下降；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8.具备一键紫外开启功能，配套低压24V波长254nmUv冷阴极管紫外灯组件，彻底杀菌及降低 TOC，提高水质；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9.具有RO.超纯水的定时.定量取水功能；设置取水模式，界面同步更新显示设置的取水要求，定时设置范围（0.1~3000min）；定量设置范围（10~9999ml）；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10.过滤系统.采用一次注塑成型超纯化柱（PP材质），罗门哈斯树脂，全新快插式接头，滤柱更换维护更方便；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11.配备•USB•接口，支持历史报警记录的查询和历史定量取水记录的数据导出功能；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12.进水要求：TDS&lt;200ppm.井水.地下水.桶装水.蒸馏水.温度5-40城市自来水.温度5-40℃.压力0-0.6Mpa；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13.电阻表监测，0.01金属电极，监测范围：0-18.25MΩ，数据准确；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14.制水量：30±1L/h，瞬间取水量RO水2±0.2L/min；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15.出水口2个；RO纯水，UP超纯水；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16.RO纯水电导率常规：≤源水电导率×5%；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超纯水指标：颗粒截留率&gt;99%，微生物截留率&gt;99%，脱盐率&gt;96%，RO水TDS（总固体溶解度）5-10ppm；超纯水机电阻率15-18.25MΩ，超纯水电导率0.1-0.05us/cm，TOC（总有机碳）&lt;20ppb，颗粒物（&gt;0.22μm）&lt;1/ml，微生物&lt;1 CFU/ml （选配0.22μmPES终端微滤器）。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18.具备全自动制水缺水停机，满水停机，自动RO膜冲洗；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19.系统配套断电恢复功能，启用该功能后，设备通电执行原先未完成的控制，原已停止的仍保持停止状态；</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rPr>
                <w:rFonts w:hint="eastAsia" w:ascii="宋体" w:hAnsi="宋体" w:eastAsia="宋体" w:cs="宋体"/>
                <w:bCs w:val="0"/>
                <w:color w:val="auto"/>
                <w:sz w:val="21"/>
                <w:szCs w:val="21"/>
                <w:highlight w:val="none"/>
                <w:u w:val="none"/>
                <w:lang w:val="en-US" w:eastAsia="zh-CN" w:bidi="ar"/>
              </w:rPr>
              <w:t xml:space="preserve">屏幕</w:t>
            </w:r>
            <w:r>
              <w:rPr>
                <w:rFonts w:hint="eastAsia" w:ascii="宋体" w:hAnsi="宋体" w:eastAsia="宋体" w:cs="宋体"/>
                <w:i w:val="0"/>
                <w:iCs w:val="0"/>
                <w:color w:val="auto"/>
                <w:sz w:val="21"/>
                <w:szCs w:val="21"/>
                <w:highlight w:val="none"/>
                <w:u w:val="none"/>
                <w:lang w:val="en-US" w:eastAsia="zh-CN" w:bidi="ar"/>
              </w:rPr>
              <w:t xml:space="preserve">具备</w:t>
            </w:r>
            <w:r>
              <w:rPr>
                <w:rFonts w:hint="eastAsia" w:ascii="宋体" w:hAnsi="宋体" w:eastAsia="宋体" w:cs="宋体"/>
                <w:bCs w:val="0"/>
                <w:color w:val="auto"/>
                <w:sz w:val="21"/>
                <w:szCs w:val="21"/>
                <w:highlight w:val="none"/>
                <w:u w:val="none"/>
                <w:lang w:val="en-US" w:eastAsia="zh-CN" w:bidi="ar"/>
              </w:rPr>
              <w:t xml:space="preserve">可实时显示各项水质参数及耗材寿命，工作状态动画全程可见功能；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21.采用冷轧钢板静电喷涂工艺，耐酸碱，造型美观大方，斜切式操作面板便于实验操作，整机尺寸：长*宽*高：440*470*500mm(±20mm）；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22.功率：70W（±2%）。</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高压灭菌锅</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1.容积：50L；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2.最高工作温度： 134℃;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3.最高工作压力：0.22Mpa；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4.时间可选范围：0-9999min；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5.温度可选范围：50℃-134℃;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6.灭菌室尺寸： Φ318mm*530mm；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7.功率：AC220V/50Hz/2.5KW；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8.全部采用高质量 S30408 不锈钢材质；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9.升温，排空，灭菌，排汽等过程微电脑控制，全自动运行；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10.LED 数码显示灭菌温度和时间；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11.手轮式快开门结构；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12.双重连锁安全装置:门未关好机器无法工作，灭菌桶内有压力，机器无法开门；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13.超压自泄，过温.过流.缺水保护；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14.玻璃钢罩防止烫伤；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15.灭菌结束，声光报警；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16.可选配干燥功能。</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电热鼓风干燥箱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1.外壳采用优质冷轧钢板制作，静电喷粉技术造型美观。箱门设有观察窗，可随时观察工作室内物品的加热情况， 内胆采用不锈钢材质。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2.4.3 寸嵌入式液晶彩色触摸屏控制，可显示温度；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3.具有预约加热功能，可提前开启加热节约实验准备时间；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4.实时显示实际温度与设定的温度值，具备定时保温功能，到时自动停止加热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5.具备传感器故障报警.超温报警等功能，控温精度高.功能强；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6.三档加热（慢.中.快），风速 8 档可调。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7.容积： ≥140L；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8.控温范围：室温+5℃-300℃;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9.温度波动：±1℃;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10.温度定时触发采集记录，具有支持温度记录表格查询及温度数据曲线图展示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11.电源在 AC220V/50Hz±10%的条件下正常工作；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12.功率：2400w±2%；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13.参数记忆≥20 组，定时 0-9999 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14.外形尺寸（长*宽*高） ：750mm×620mm×675mm (±20mm）；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15.内胆尺寸（长*宽*高） ：490mm×518mm×572mm (±20mm）。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超净工作台</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1.主体采用冷轧钢板静电喷涂工艺，耐酸碱，美观大方，垂直层流送风，防止操作室内部样品相互交叉污染，20 度下倾式操作面板，便于实验操作时进行调节；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2.工作台面选用优质 304 不锈钢材质，美观.易清理.耐腐蚀；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3.4.3 寸嵌入式液晶彩色触摸屏控制，可显示温度.湿度.光照度，具有温度补偿功能，开启温度补偿键，进行温度补偿，便于湿冷环境的操作；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4.显示开机时间和持续运行时间；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5.可以预约杀菌时间，节约实验准备时间，具有杀菌定时功能；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6.高效过滤器采用便携式抽出方式构造，直接抽出即可更换，后续耗材更换方便；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7.洁净等级：100 级，0.5 μm；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8.菌落数：0.5 个/皿 · 时（Φ90mm 培养平皿）；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9.光照度：300LX；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10.内有紫外杀菌接种器接入电源，振动半峰值 ≤0.5μm(X.Y.Z方向）；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11.高效过滤器规格及数量：715mm×460mm×46mm (±20mm），一个；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12.荧光灯 15W 一个，紫外灯 15W 一个；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13.风速：0.25～0.45m/s（标配高.中.低档三速）；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14.噪声： ≤62dB；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15.外形尺寸（长*宽*高） ：850mm×600mm×1600mm (±20mm）；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16.工作区尺寸（长*宽*高）：700mm×550mm×520mm (±20mm）；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17.电源：AC220V±10%，50Hz±10%；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18.功率： ≤200W。</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r>
      <w:tr>
        <w:trPr>
          <w:trHeight w:val="185"/>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接种器械灭菌器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该消毒器采用干式传热原理进行高温消毒，比传统加热安全.寿命长.省电.升温快等特点，利用自动温控技术和高温材料，使消毒芯内的温度能在 0-320 度之间无级调节，温控器探头安置在消毒芯内，能够全程控制消毒芯内的温度，适合生物，育苗接种，无菌操作；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1.电加热：数显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2.温度：0-320℃无级可调；杀菌温度 285℃-320℃;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3.电源：在 220V±10%/50Hz±2%，功率不大于 300W；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4.立式；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5.外形尺寸： 190mm×100mm×210mm (±20mm）；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6.外壳采用不锈钢材质，结实耐用；耐高温陶瓷消毒槽；耐高温石英玻璃珠保证对器械消毒均匀彻底；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7.不锈钢器具搁置架；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8.防触电保护类型： I 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9.加热区总长： ≥150mm；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10.消毒槽内径：35mm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r>
      <w:tr>
        <w:trPr>
          <w:trHeight w:val="305"/>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智能光照培养箱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1.箱体外部采用冷轧钢板焊接成型，静电喷塑防锈处理， 内部采用不锈钢制作，易清洁耐腐蚀；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2.箱体保温采用整体高密度聚氨酯材料发泡工艺，保温性能良好，且美观.坚固耐用；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3.箱内隔板高度随意调节或拆卸，可满足不同苗期生长需求；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4.人机界面采用自主研发的3.5寸彩色触摸屏智能控制器，温度.光照强度.运行状态等多组数据一屏显示；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5.培养箱自带照明开关，方便黑暗条件下观察培养；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6.控制器安全管理含多级密码保护，分别为管理员.厂商技术人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7.控制器具有手机远程物联操作系统端口，可连接手机使用微信APP 小程序远程操作培养箱，运行数据云端存储；（选配）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8.控制器具有 PC 端无线连接，可查看.编辑.设置培养箱运行参数，运行数据实时记录可下载打印；（选配）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9.控制器具有 CO₂连接端口，可连接 CO₂传感器，实时控制培养箱内 CO₂浓度；（选配）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10.培养箱光源采用特制 350-800nm 全光谱 LED 冷光源植物生长灯，且峰值波长 660nm 的红光光强：峰值波长 525nm 的绿光光强：峰值波长 450nm 的蓝光光强合理配比；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11.光源灯组采用全铝合金支架，散热性能好，有效提高光源使用寿命，每组灯均采用全透明防护罩加以保护，并使用直流低电压供电方式，更加的安全可靠；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12.光源灯组采用卡扣式及防水对接电源线连接，安装在箱体内侧面水平照射，更换时无需任何工具方便快捷；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13.控光方式采用无极等量调光方式，可以根据不同作物的光照需求，直接输入所需要的光照强度（LUX）；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14.照明补光 30 时段循环控制，每段可独立设置光照强度（lux）.生长温度和运行时间，最大循环数9000；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15.培养箱制冷采用压缩机组和环保型制冷剂，冷热交换器均采用全铜制作；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16.培养箱加热采用高温 PID 加热技术，翅片式不锈钢加热器；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17.箱内空气循环系统采用低噪音轴流风扇配合特制循环风道设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计，风力柔和，箱内温度均匀；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18.培养箱标配机械门锁设计，保证样品安全；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19.容积:280L±10%；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20.光照度（lux）:0～13000LUX（无极调光）；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21.控温范围:无光照:0～50℃ , 有光照:5～50℃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22.控温精度 : ±0.1℃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23.控温波动度/温度均匀度 : ±1℃（实验条件为空载，环境温度20℃.湿度 50%RH）；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24.电源:AC220V±10%，50Hz±10%；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25.时间设定:定时运行/连续运行；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26.工作室尺寸：500mm*520mm*1080mm(±20mm）；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27.外形尺寸:600mm*640mm*1800mm (±20mm）。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智能光照培养架</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1.培养架尺寸（长*宽*高）:1300mm×500mm×1800mm，（±20mm）；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2.每层配三组高效自然光灯组；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3.每组灯独立开关；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4.光照 3 级可调；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5.独立开关，拆卸方便，暗式布线，无裸露连接线；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6.培养架采用任意可调模式，高度任意可调节；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7.带有独立控时装置，独立编程控时，每天最高可达 12 组编程控制，使用温度：-20℃-55℃ , 计时误差±1s/24h；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8.电源：在 AC220V/50Hz±10%的条件下正常工作；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9.总功率：不大于 336W。</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炼苗架</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1.炼苗架尺寸（长*宽*高）：1300mm×500mm×1800mm，（±20mm）；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2.符合植物栽培.种子发芽.苗木.烟草.动物.昆虫等研究的理想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3.表面采用静电喷塑处理， 防腐防锈.坚固耐用，结构简单.外形美观.C 型钢结构安装拆卸方便；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4.每层置物板下方配备 LED 植物专用生长光源模组；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5.表层面亮光喷塑处理，反光效果好，增加光强度；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6.立柱采用蝴蝶夹式结构，采用按布线式，无任何线路裸露，无需额外螺丝孔，表面干净，美观，无毛刺不拉手；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7.实用四层，每层配置不同的光照光源生长等，适合不同植物生长；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8.植物生长专用 4 白 2 红全光谱植物光源，光照度：2000Lux；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9.植物生长专用 3 红 1 蓝双排开花结果光源，光照度：2000Lux；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10.植物生长专用 5 红 1 蓝双排育苗长叶类光源，光照度：3000Lux；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11.植物生长专用8 红 1 蓝双排育苗长叶类光源，光照度：3000Lux。</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振荡培养箱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1.电器控制部分为电脑芯片和触摸式操作，温度与振荡由两块芯片分别控制；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2.显示方式：采用LED 数字显示液晶屏；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3.控温具有 PID 温度补偿功能；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4.驱动电机采用特种的交流感应无刷电机；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5.设有定时功能，0-9999 分范围内可任意设定培养时间；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6.振荡频率：40-300rpm；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7.振 幅：26mm；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8.控温范围：RT+5℃-60℃(±0.1 度任意选定， 自动恒温）；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9.容量 : 1000mL*5/500mL*8/250mL*12/100mL*24；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10.控温精度：±0.1℃;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11.定时范围：0-9999 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12.温度均匀度： ±0.5℃;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13.电源：AC220V±10%，50Hz±10%；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14.功率：380W±10%；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5.外形尺寸（长*宽*高） ：810mm×590mm×540mm (±20mm）。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电热恒温培养箱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27"/>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箱体由优质冷轧钢板冲制而成，表面喷涂处理， 内胆采用优质不锈钢板制成；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2.4.3 寸嵌入式液晶彩色触摸屏控制，可显示温度；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3.工作室内搁架可随用户要求任意调节高度及搁架的数量。专业设计的工作室气流循环系统使底部加热器产生的热量以自然对流的方式进入工作室，从而提高工作室内温度的均匀性；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4.箱门具有大视角玻璃观察窗，便于用户观察。选用高性能的 CPU处理芯片和高灵敏，高精度铂电阻传感器的温度控制系统使温度控制更精准，操作更方便；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5.具备传感器故障报警，参数记忆≥20 组和长达9999 分钟的定时功能，具有照明功能；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7.具有紫外消毒一键启动功能和预约杀菌功能，可对箱体定时杀菌；</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8.容积： ≥140L；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9.控温范围：室温+5-99.9℃ , 恒温方式：自然对流，温度波动度：±0.5℃ , 为双层可视观察窗前门；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10.外形尺寸（长*宽*高）：655mm×640mm×810mm (±20mm）；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11.内胆尺寸（长*宽*高）：547mm×458mm×577mm (±20mm）。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五层立体无土栽培箱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设施由种植盆.定植盖.水培定植杯.碳钢主骨架及供回液管路组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成。  内置式蓄水池，通过水泵把水和营养液打到种植层，内置式补光灯，智能定时， 四层种植层，一层为育苗层。智能光照模式可根据光照自动调节补光强度，智能水位报警功能。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1.光照：24V 安全 LED 植物灯组合光照；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2.培养箱水量：40L±10%；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3.4.3寸彩色触摸屏控制；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4.功能控制：营养液循环时段 8 段控制，可手动控制开闭，手动调节循环时间段，灯光分四组控制，每个组 5 段控制，  自动循环式，年月日时钟显示，显示环境温度湿度.光照度.实时监测营养液 TDS 值和温度，确保种植营养液符合种植需要，营养液报警提示： 当营养液缺乏时系统会报警；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5.电源：AC 220V±10%；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6.输入功率:250W±10%；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7.外形尺寸（长*宽*高） ：770mm*400mm*1770mm (±20mm）；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8.外观结构：实用五层，一层为育苗层，每层配置 LED 补光灯可设定。</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植物生长记录仪</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生长记录仪是一款实时记录植物生长过程的创新产品，为人类对植物的研究提供了有力的技术支持。设计新颖，性能可靠，功能强大，智能便捷，可以定时拍照记录植物生长过程，一目了然，使我们能够更好地分析外部环境对植物生长的影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1.工作环境-20-60℃;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2.LCD 显示屏，抓拍速度 1.0 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3.镜头角度 120 度， 1600 万像素照片；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4.三个拍摄感应器，可定时拍照；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5.超长待机时间可达 8 个月；</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接种器械</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医用不锈枪形镊，30 把，不锈钢医用托盘，30 只；不锈钢医用剪刀 30 把。</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组培试剂盒</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MS 培养基，细胞分裂激素\生长素，使用说明等。</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台式高速离心机</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1.整机设计符合人机工程学，流线型设计，全钢结构，不锈钢离心腔，安全美观实用；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2.TFT 真彩大屏幕触控液晶显示，智能化控制.简单方便地操作触摸面板，同时显示设定参数和运行参数；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3.无刷直流变频电机驱动，运行宁静；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4.设有离心力切换专用键；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5.采用静音机电，一体化电机门锁；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6.设有减震装置，减少振动，运行平稳，噪音≤54 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7.10 种升.降速率选择；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8.标配角转子： 12×1.5ml；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9.最高转速:16600r/min；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10.最大离心力:19840xg；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11.电机：无刷直流变频电机；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12.定时范围:0-99h59min。</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实验用吸头套装</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四种规格吸头（5000μL，300只/包；1000μL，500只/包；100μL，1000只/包；10μL，1000只/包），各 5 包；三种规格吸头盒（1000μL，100μL，10μL），各5个；实验用 PC 组培瓶150mL，600个；</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组培苗</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生长状况健康，良好</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照度计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1.准确度高及反应速度快；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2.3-1/2 位液晶显示；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3.测量范围：20,200,2000,20000lux；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4.光谱反应：符合 CIE photopic（视觉函数）标准；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5.光谱准确性：f'1≤6%；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6.余弦反应：f'2≤2%；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7.准确度： ±3%rdg ±0.5%f.s（大于 10000lux 档位准确度为±4%rdg ±10dgts）  （以色温 2856K 标准平面灯校正）；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8.重复测试： ±2%；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9.温度特性： ±0.1%/℃;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10.取样率：2.0 次/秒；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11.感光体：光二极体附滤光镜片；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12.操作温湿度：0-40℃（32℉-104℉) , 0-80%RH；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13.储存温湿度：-10-50℃（14℉-140； ℉) , 0-70%RH；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14.过载显示：最高位位数“ 1 ”显示；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15.电源：单个9V 电池。</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温湿度计</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1.超大屏幕液晶显示，直观，方便；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2.同屏显示温度，湿度，时钟；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3.室内外双路测温，单路测湿；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4.12/24 小时时钟显示；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5.最大，最小温湿度值记忆功能；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6.温度测量范围：室内温度：-30℃- +50℃;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7.室外温度：-50℃- +70℃;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8.湿度测量范围：20%RH-99%RH；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9.显示分辨率：温度：0.1℃ 湿度： 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10.测量精度：温度：+/-1℃ 湿度：+/- 5%RH；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11.供电电压： 1.5V（一节 7#碱性电池）。</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实验服</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可高温灭菌，反复使用</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边台3</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1.尺寸：4000*600*780mm±10mm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3.台面：采用≥12.7mm 厚双面膜耐腐蚀实芯理化板制作， 四角倒R15 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4.柜体：采用≥1.0mm 优质镀锌钢板，采用二氧化碳气体保护焊接，打磨处理，表面经耐酸碱  粉末烤漆处理；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5.拉手：铝合金条形暗拉手；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7.门板及抽面：采用双层钢板，必须两层组装式设计，保证两层双面都喷涂处理，保证关门减少噪音；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8.连接件：采用ABS 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10.固定桌脚：采用柜体内置可调 ABS 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规格：3600*1200*780mm±10mm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 12.7mm 厚双面膜耐腐蚀实芯理化板制作， 四角倒R15 圆角；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 1.0mm 优质镀锌钢板，采用二氧化碳气体保护焊接，打磨处理，表面经耐酸碱  粉末烤漆处理（烤漆膜厚度平均值≥70 μm）；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4.拉手：铝合金条形暗拉手，造型独特美观；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6.门板：采用双层钢板，必须两层组装式设计，保证两层双面都喷涂处理，保证关门减少噪音；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7.连接件：采用ABS 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9.固定桌脚：采用柜体内置可调 ABS 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28"/>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 Φ315*450～500mm±10mm；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2.凳脚材质：4 个凳脚采用 17×34×1.7mm，无缝钢管模具一次成型。全圆满焊接完成，结构牢固，经高温粉体烤漆处理，长时间使用也不会产生表面烤漆剥落现象。 Ф凳面直径 315×高450～500mm；</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3.凳面材质：采用聚丙烯共聚级注塑，厚 5mm。表面细纹咬花，防滑不发光，凳面底部镶嵌 4 枚铜质螺纹，采用不锈钢螺丝与圆形托盘固定；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4.脚垫材质：采用PP 加耐磨纤维质塑料，实心倒钩式一体射出成型凳面与凳脚留有一定的空间便于凳子挂在挂凳扣上。</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132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实验室专用水槽及下水装置</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1.尺寸：440*330*190mm±10mm；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2.材质：高密度 PP 一体成型的水槽，水封式水塞，有效防止下水管废气溢出，排水口有过滤装置，有耐酸碱耐热耐有机溶液的特性。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r>
      <w:tr>
        <w:trPr>
          <w:trHeight w:val="975"/>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实验室专用龙头</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1.高度 720mm±10mm；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2.臂弯：采用ø18*1mm 的 304 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3.主体：采用ø21*1.8mm 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4.进水管：采用ø20*1.75 mm 管径的黄铜制造；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5.出水管：采用ø13*1 mm 管径的 304 不锈钢制造；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6.涂层：经环氧树脂耐酸碱粉末涂料热固处理，耐腐蚀、耐热，防紫外线辐射；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7.陶瓷阀芯：90 °旋转，使用寿命开关要求达到 50 万次，静态最大耐压 10 bar；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衣帽柜</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1.尺寸：1000×500×2000mm±10mm；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2.结构：全木结构；基材采用E1 级≥16mm 三聚氰胺环保刨花板芯板，可见截面均采用全自动封边机，≥2mm 厚 PVC 封边处理。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3.柜门：上部为整体木框，4mm 厚钢化玻璃对开门。下部为≥16mm厚三聚氰胺刨花板对开门（双贴面），四周PVC 封边，圆弧拉手。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4.隔板：上层 2 块隔板，下层 1 块隔板，隔板间距可调， ≥16mm厚三聚氰胺刨花板（双贴面） ，铝合金加强条卡边加固，防止下弯变形。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5.脚垫：采用ABS 工程塑料模具成型制作而成，高度可调。</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185"/>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 1000*500*2000mm±10mm；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2.侧板、层板采用环保型 pp 改性材料一次注塑成型，表面做磨砂处理。榫卯连接结构并合理布局加强筋，配合专用塑料紧固件连接，顶板、中板和底板的底部镶嵌 15*30mm 钢管加强，承重力强，产品不变形、不扭曲，可重复拆装使用；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3.上柜门：采用增强型 PP 材质一体注塑成型，外嵌 4mm 钢化烤漆玻璃，中间玻璃做镂空处理，透明可视；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4.下柜门：采用增强型 PP 材质一体注塑成型；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5.门把手：采用增强型 PP 材质一次注塑成型，安装于两门的门缝处，凹凸配套，增加柜子内部的气密性；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6.层板：上柜配两块活动层板，下柜配一块活动层板；层板采用工程塑料经模具挤出成型， 中空双层结构， 内部均匀分布加强筋并内置两条 30*15mm钢管，单块层板静置 100 公斤重物不变形；两边配置密封堵头，整板无裸露金属，避免腐蚀生锈，美观耐用。层板可以抽取，自由组合各层空间；</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7.门铰链：用改性 pp 材料模具一次成型，伸缩式 pp 旋转门轴，内嵌隐藏方便安装，耐腐蚀；</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8.柜子固定所需螺丝均采用 不锈钢，并加盖塑料盖帽隐藏安装，柜子内部无裸露金属材料，确保柜子的耐腐蚀性。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冰箱</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容积≥250L</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电磁炉</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功率≥2000W，8档可调，配套锅</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净化板隔断</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50mm 厚岩棉彩钢板，双面贴膜，企口白灰色，表面喷塑密封，净化防尘防菌处理；洁净室专用常规铝合金型材，地槽.厚角.角包.阴圆角；洁净室专用密封件及五金材料（铝铆钉.密封胶.螺丝等）。</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净化门</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尺寸：2000mm*800mm，50mm厚硅岩净化板.双面贴膜.企口白灰色，表面喷塑密封，平开门成套配件，带玻璃视窗。</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无尘照明灯</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1.阳极氧化铝材压铸成型边框；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2.纳米扩散导光板导光系数高达90 以上，光色纯正.无眩光无暗区；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3.内外结合封闭性高，防止灰尘进入；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4.高亮 LED 芯片，亮度高且柔和不刺眼光线舒适；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5.吸顶式安装，规格：300*1200mm。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平板照明灯</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规格：600*600mm，材质：塑白边框+高透光面罩。</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紫外灭菌系统</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无菌室闪烁警示灯提醒装置，单独控制，独立线路，含安装。</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净化通风系统</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送风箱风量 1600/m3，整个净化级别达到 10 万级无尘净化级别，系统集成初.中.高效净化过滤器， 由风机.净化箱.风管.进出风口组成，达到 10 万级净化。 自净器高效净化，特别是多室净化合理分配气流很重要。</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风淋室</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1.外形尺寸（宽×深×高）：1300mm×780mm×2050mm (±20mm）；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2.净化区尺寸（宽×深×高）：700mm×780mm×1950mm (±20mm）；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3.过滤器净化效率： ≥0.5um 尘埃≥99.99%（钠焰法）；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4.电 源：220V～50Hz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5.最大功率：0.55KW；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6.隔板高效过滤器尺寸：600mm×600mm×120mm×1。</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传递窗</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 600mm，304 嵌入式中空玻璃传递窗（微电脑互锁）</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透视窗</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净化全铝型材，5mm 白玻 1000mm*800mm。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无菌区域吊顶</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钢板EPS氧指30，50mm厚夹心硅岩净化板，双面贴膜，企口白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灰色，表面喷塑密封，净化防尘防菌处理。</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常规吊顶</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矿棉板吊顶</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数码显微镜</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、光学系统：无限远平场色差校正光学系统。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 目镜：SWF10X/22mm 大视场、高眼点、视度可调广角目镜，目镜放大率准确度不超过±0.99%。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3、物镜：无限远平</w:t>
            </w:r>
            <w:r>
              <w:rPr>
                <w:rFonts w:hint="eastAsia" w:ascii="宋体" w:hAnsi="宋体" w:eastAsia="宋体" w:cs="宋体"/>
                <w:i w:val="0"/>
                <w:iCs w:val="0"/>
                <w:color w:val="auto"/>
                <w:sz w:val="21"/>
                <w:szCs w:val="21"/>
                <w:highlight w:val="none"/>
                <w:u w:val="none"/>
                <w:lang w:val="en-US" w:eastAsia="zh-CN" w:bidi="ar"/>
              </w:rPr>
              <w:t xml:space="preserve">场消色差物镜，物镜放大准确度不超过±1.66%；4X/0.10，W.D.16.77mm；10X/0.25,W.D.4.24mm；40X/0.65（弹簧），W.D.0.55mm；100X/1.25（弹簧/油镜），W.D.0. 15mm 。成像清晰圆直径：4 倍物镜成像清晰圆直径≥17.2mm； 10 倍物镜成像清晰圆直径≥17.0mm ， 10X 物镜景深范围内像面的偏摆≤0.04mm； 20倍物镜成像清晰圆直径≥17.1mm；40倍物镜成像清晰圆直径≥16.9mm；100倍物镜成像清晰圆直径≥16.9mm。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镜筒：铰链式双目，30°倾斜，瞳距调节范围55～75mm，摄影、摄像视场清晰范围不小于83.5%。左右两系统放大率差≤0.38%，双目系统左右两像面光谱色一致，明暗差≤7.5%；双目系统左右系统像面方位差≤15；双目系统左右视场中心偏差:上下≤0.05mm、左右内侧≤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5、智能编码转换器：内嵌五孔同心球轴转换器，定位准确。所有物镜均保证齐焦，转换器定位稳定性≤0.012mm。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6、物镜照明记忆功能：各物镜定义的光线强度会被自动记忆并在下次使用该物镜时自动调出，免除再次手动调整的繁琐。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7、粗微调:粗微调同轴调焦，有限位打滑装置，并有内置防滑动离合器，可延长因机械损耗的整机使用寿命；调焦范围：粗调范围52mm以上，微调范围2mm/转。0.002mm/格。微调机构空回≤0.005mm。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8、双色温光源照明：3W LED双色温光源，亮度可调；稳定性10 万小时，光衰为初始的 50%。灯的响应时间为纳秒级，光照明亮，色度均匀，色温接近自然光。亮度连续可调，在任何亮度下无屏闪，可满足不同色温的标本观察需要，带有光源的仪器操作部位温度与室温之差不超过8.5度；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9、一机多功能：显微镜具备一机多功能，既具备生物显微镜功能，又具备实体显微镜功能；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10、双光源照明：内置LED底光源 、LED侧光源；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11、科勒照明系统：LED底光源内置科勒照明，光圈大小可调，照明亮度更均匀；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12、双模式供电设计：12V4A 90V～240V自适应低压安全电源适配器；内置可充电电池，电池容量6000mAh以上；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液晶显示屏：仪器底座设置有液晶显示调光系统，可通过一键式按压旋钮实现光源切换，亮度调整以及开关机等。在内置智能处理器控制下，能够指示显微镜的各种工作状态，如：物镜倍数、ECO状态、色温、上下光源亮度、电池容量等信息，从而带给用户更好的操作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14、独立升降式聚光镜：NA1.25阿贝聚光镜，带可变光栏，带插板式的相衬、暗场附件接口；燕尾导槽燕尾配合间隙不大于0.04mm；齿轮齿条垂直升降。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载物台：钢丝传动、无齿条凸出复合式双层机械移动载物台，无凸出的棱角和齿轮，避免意外误触和伤害手指，面积尺寸192mmX145mm，移动范围76x50(mm），最小读数值0.1mm，载物台受5N水平方向作用力最大位移≤0.015mm；不重复性≤0.003mm；用机械使标本在5mm*5mm范围内移动时的离焦量≤0.008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目镜观察细胞组织、病理、寄生虫等切片时，无明显水样波纹；从4X到100X，镜下目标颜色还原正确无明显偏色（消色差能力）；镜下观察时，目标中心区域清晰度与边缘清晰度无明显差别（平场性）；镜下观察时，目标边缘清晰，无模糊感（对比度）； 粗调阻尼与微调阻尼有明显区别，定位精确，轻微晃动机体无明显失焦现象（精密度）。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18、一体化成像系统：10.5寸液晶显示屏与显微镜为内置一体设计，屏幕硬件分辨率：高清标准1920*1080，内置传感器像素：1600万像素以上，录像分辨率1080P/30FPS，四核以上处理器，Android 11以上系统，运行内存为4G，存储内存为64G；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19、平板电脑旋转功能：水平旋转270°有限位、自锁功能；上下翻转180°。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20、数据接口：HDMI高清投屏/U盘/Bluetooth蓝牙传输/Wi-Fi无线/RJ45 LAN有线网络；为确保仪器使用的稳定性及安全性，所有数据接口以及电源接口设置在仪器底座背面；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21、语音唤醒：显微镜具备语音唤醒功能，可语音控制光源亮度调节和光源开关；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22、双系统组网功能：显微镜采用WIFI无线网络组网模式和IEEE802.3标准RJ45有线网卡双模式，可以通过无线投屏到笔记本电脑、一体机等智慧终端设备上显示图像，也可以通过RJ45有线网卡组网。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23、安全提手，为确保仪器挪动过程中的安全性，机身上方设置便携提手，提起时仪器正置以避免目镜及载物台上的物体跌落；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24、一体化设计，液晶屏与机身已完好连接，非分体式设计。包装：仪器拆包装箱接上电源即可使用，无需再进行目镜、物镜及其他部件的组装。</w:t>
            </w:r>
            <w:r/>
          </w:p>
        </w:tc>
        <w:tc>
          <w:tcPr>
            <w:tcBorders>
              <w:top w:val="single" w:color="000000" w:sz="4" w:space="0"/>
              <w:left w:val="single" w:color="000000" w:sz="4" w:space="0"/>
              <w:bottom w:val="none" w:color="000000" w:sz="4" w:space="0"/>
              <w:right w:val="non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non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gridSpan w:val="5"/>
            <w:tcBorders>
              <w:top w:val="single" w:color="000000" w:sz="4" w:space="0"/>
              <w:bottom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11.通用技术实验室</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推拉黑板</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1.结构：内外双层结构，内层为两块固定书写板，外层为两块滑动书写板，居中预留一体机安装位置。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2.基本尺寸：4200mm×1350mm×175mm，可根据所配一体机适当调整，确保与86寸一体机有效配套。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3.书写板面：采用优质烤漆钢板，厚度≥0.4mm。板面为亚光墨绿色，方便教师书写整齐有序，视觉舒适，用眼不疲劳。</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4.内芯材料：选用高强度、吸音、防潮、阻燃聚苯乙烯板，厚度≥14mm。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5.背板：选用优质亚光彩涂钢板，每隔80mm设有20mm加强凹槽。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6.覆板：采用环保型双组份聚氨酯胶水，自动化流水线覆板作业，确保粘接牢固，板面平整。</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边框：上横框采用开放式双轨道。平行对称双U型自动纠偏设计，避免滑动时出现滑轮卡死现象，上下框的立面尺寸≥90mm，双壁成腔结构，不接受单层铝合金设计，壁厚≥1.0mm；边框经氧化、喷砂涂层处理，无明显眩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滑轮：每块活动板采用静音组合滑轮组两组（每组由4个轮子组成，采用工字型实心合金轮架，精密进口轴承，静音特种橡胶胎圈，下平轮双侧滑动结构滑轮组（每组两个轮子），保证滑动板滑动平稳顺畅无噪音，写字无晃动现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9.锁具：一把锁配两把钥匙，一个学校钥匙互开通用。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固定板连接：固定板须用子母绞扣式连接方式，无须另行拉铆固定，通过固定板与大框相互绞扣吃力，从而增加牢固性，不得用铝合金块或钢板支架拉铆固定，避免多年使用后出现铆钉脱落造成的框架松动散架等隐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包角材料及立框侧封板：采用圆形钝角抗老化高强度ABS工程塑料注塑成型。双壁成腔流线型设计，如配装一体机需采用≥170mm一体化加长包角，须采用≥170mm一体化立框或子母绞扣式连接，不得用拉铆钉直接拉铆拼接。</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12.限位档：黑板边框内部两侧安装橡胶材质滑动板限位档，符合书写板安全距离标准的设定，防止活动黑板开启时撞击立框的同时，预留的空间易于一体机维护。</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13.安全及环保性：书写板框架、外观、边缘接角、ABS配套材料、钢制托架、胶粘剂等黑板组件配件，不得出现斜薄边及尖角毛刺或其他安全隐患。</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教师演示讲台2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2400*700*900mm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2.面板：12.7mm 实芯理化板，木质颜色自然，台面表面清漆处理，清漆表面光滑，平整光亮，具有耐磨.耐压.耐撞击等特点。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 1.0mm 优质镀锌钢板，采用二氧化碳气体保护焊接，打磨处理，表面经耐酸碱  粉末烤漆处理（烤漆膜厚度平均值≥70 μm）；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4.拉手：采用隐藏型拉手，用“强磁 ”测试拉手的不锈钢材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质，造型独特美观；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6.门板及抽面：采用双层钢板，必须两层组装式设计，保证两层双面都喷涂处理，保证关门减少噪音；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7.连接件：采用ABS 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9.滑轨：三节重型滚珠滑轨，承重性强，滑动性能良好，无噪音；</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10.固定桌脚：采用柜体内置可调 ABS 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学生桌</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1.尺寸：1200*1200*750mm±10mm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2.材质：实芯理化板+优质钢架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3.工艺：材质采用实芯理化一体成型。耐 80 度以上高温。防水：浸水 24 小时后的膨胀指数不多于 0.1mm，面板四周采 CNC 修边，四周倒角， 圆润光滑无任何毛边。桌架采用优质钢架，满焊焊接而成，表面采用高温粉体烤漆，耐腐蚀，不易生锈；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4.功能：桌面设有抽屉储物功能，可收纳放置工具材料，钢制框架，结构牢固，具有超强承载能力。</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29"/>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 Φ315*450～500mm±10mm；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2.凳脚材质：4 个凳脚采用 17×34×1.7mm，无缝钢管模具一次成型。全圆满焊接完成，结构牢固，经高温粉体烤漆处理，长时间使用也不会产生表面烤漆剥落现象。 Ф凳面直径 315×450～500mm；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3.凳面材质：采用聚丙烯共聚级注塑，厚 5mm。表面细纹咬花，防滑不发光，凳面底部镶嵌 4 枚铜质螺纹，采用不锈钢螺丝与圆形托盘固定；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4.脚垫材质：采用PP 加耐磨纤维质塑料，实心倒钩式一体射出成型凳面与凳脚留有一定的空间便于凳子挂在挂凳扣上。</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边台2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1.尺寸：6000*600*780mm±10mm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3.台面：采用≥12.7mm 厚双面膜耐腐蚀实芯理化板制作， 四角倒R15 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4.柜体：采用≥1.0mm 优质镀锌钢板，采用二氧化碳气体保护焊接，打磨处理，表面经耐酸碱  粉末烤漆处理；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5.拉手：铝合金条形暗拉手；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7.门板及抽面：采用双层钢板，必须两层组装式设计，保证两层双面都喷涂处理，保证关门减少噪音；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8.连接件：采用ABS 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10.固定桌脚：采用柜体内置可调 ABS 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边台4</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1.尺寸：5500*600*780mm±10mm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3.台面：采用≥12.7mm 厚双面膜耐腐蚀实芯理化板制作， 四角倒R15 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4.柜体：采用≥1.0mm 优质镀锌钢板，采用二氧化碳气体保护焊接，打磨处理，表面经耐酸碱粉末烤漆处理；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5.拉手：铝合金条形暗拉手；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7.门板及抽面：采用双层钢板，必须两层组装式设计，保证两层双面都喷涂处理，保证关门减少噪音；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8.连接件：采用ABS 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10.固定桌脚：采用柜体内置可调 ABS 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吊柜</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6000*400*600mm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材质：柜体.门板.层板采用≥18mm.背板采用≥9mmE0级实木多层板工艺：采用国家标准 E0 级板，基材采用优质实木多层板，面贴优质三聚氰胺纸，断面采用厚度≥1.0mm 优质PVC 直封边制作。五金件采用优质液压铰链；</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工具墙</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洞洞板+挂钩</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岛式插座</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1.钢制线盒，主框架采用裸板实际厚度大于 1.0mm 厚优质钢材产一级镀锌钢板经 CNC 机压成形.焊接制作，表面经磷化处理.环氧树脂静电粉末涂装处理。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2.220V 交流输出为新国标五孔插座，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金属弓型臂微型安全锯床</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1.输入电压/电流/功率/： 12VDC/4A/48W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2.马达转速：20000 转/分钟动性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3.工作台面积：100mm x 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4.线锯加工最大的切锯深度硬木为 4mm.三夹板为 7mm 软木为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18mm.薄铝片为 0.5mm.有机玻璃为 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5.机身重量: 2.4kg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6.整机主要部件（弓型臂.机座.主轴箱.马达风叶.齿轮.中间块.线锯盒.底座等）采用金属材料结构，使用“工 ”字型金属连接块锁紧连接，工作台面上有中心线</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金属微型安全磨床</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1.输入电压/电流/功率 12VDC/4A/48W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2.马达转速：20000 转/分钟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3.工作桌面积：120 x 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4.加工材料：木质塑料，软金属（铝，铜等）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5.机身重量 :1.5kg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6.整机主要部件（机座.主轴箱.马达风叶.齿轮.工作台等）采用金属材料结构，使用“工 ”字型金属连接块锁紧连接  ；</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手持机床</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输入电压/电流/功率/： 12VDC/4A/48W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2.马达转速：20000 转/分钟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3.加工材料：木材.工程塑料.软金属等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4.夹头：1～6mm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5.机身重量：0.8 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6.整机主要部件（主轴箱.马达风叶.齿轮等）采用金属材料结构，使用“工 ”字型金属连接块锁紧连接；</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机床底座</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塑料材质 340*210mm，外形为香皂阶梯轮廓，轻便美观，4 个橡胶脚垫与塑料脚中间留有间隙，起到减震消音作用。底板上有 2 处安装孔，配有2 颗单孔槽螺母与螺丝，可固定机床。底板下方有菱形加强筋。</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一分三集合电源</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AC/DC ADAPTER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100～240V~4A 50～60Hz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OUTPUT :12V 18A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单机均含变压器，也可3台单机换配此电源</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桌面微型激光雕刻机</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1.产品尺寸:长*宽（mm）:695*644；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2.加工幅面:长*宽*高 (mm)&gt;500*400 ;最大可加工高度不小于40mm；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3.整机功率:220V，50Hz~60Hz 平均功率小于 200w；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4.运行速度及精度:不小于 1000m</w:t>
            </w:r>
            <w:r>
              <w:rPr>
                <w:rFonts w:hint="eastAsia" w:ascii="宋体" w:hAnsi="宋体" w:eastAsia="宋体" w:cs="宋体"/>
                <w:i w:val="0"/>
                <w:iCs w:val="0"/>
                <w:color w:val="auto"/>
                <w:sz w:val="21"/>
                <w:szCs w:val="21"/>
                <w:highlight w:val="none"/>
                <w:u w:val="none"/>
                <w:lang w:val="en-US" w:eastAsia="zh-CN" w:bidi="ar"/>
              </w:rPr>
              <w:t xml:space="preserve">m/</w:t>
            </w:r>
            <w:r>
              <w:rPr>
                <w:rFonts w:hint="eastAsia" w:ascii="宋体" w:hAnsi="宋体" w:eastAsia="宋体" w:cs="宋体"/>
                <w:i w:val="0"/>
                <w:iCs w:val="0"/>
                <w:color w:val="auto"/>
                <w:sz w:val="21"/>
                <w:szCs w:val="21"/>
                <w:highlight w:val="none"/>
                <w:u w:val="none"/>
                <w:lang w:val="en-US" w:eastAsia="zh-CN" w:bidi="ar"/>
              </w:rPr>
              <w:t xml:space="preserve">s ;加工精度小于 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5.运动系统及工作平台:基于嵌入式的高性能多轴运动控制系统；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6.加工头类型与功率:支持 10w 蓝光激光模组，支持高性能的其他加工头快拆更换；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7.激光头等级：波长 455nm 蓝光激光 ;光斑大小小于等于 0.08mm ;使用寿命不小于8000h ;功能参数；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8.交互方式:LCD 高清 IPS 液晶屏智能触摸按键支持多元交互与控制 ;杆手柄支持离线端高分辨率灵敏微动；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9.操作方式:支持 USB 连接电脑在线加工；支持电脑端保存加工文件到 SD 卡进行离线加工；支持移动端通过Wifi 连接设备远程加工；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10.自动吹气系统:自动吹气管路，可接吹气单元加工；支持高压气路外接；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11.对焦方式:支持激光自动对焦系统、支持手动对焦，能实现激光焦距自动校准；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12.多种安全传感器辅助 :内置安全状态门智能检测、火焰传感器智能检测燃烧状态、三轴加速度传感器智能检测倾斜角、十字红点激光定位加工范围，支持急停操作；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13.照明系统与显示状态灯:支持工作区全局照明，辅助拍照加工 ;屏幕指示加工状态与工作进程 ;相关配套；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14.可扩展配套:可扩展增高台、可扩展外接气源、可扩展旋转轴单元、可扩展配套烟雾净化系统；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15.配套软件:搭配轻里级激光软件，软件支持多系统平台 ;软件内包含布尔运算、形状偏移、阵列等便于设计的基础设计功能；支持激光刀具补偿 ;支持图片矢量化 ;支持图片可视化显示；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16.配套 APP:配套自研移动端激光软件，支持移动端加工和操作；</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通用技术课程套件</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一.主控板：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1.CPU 需采用单板计算机架构的国产芯片，主频不低于 1.2GHz、核数不低于 4 核，板载内存不低于 512MB 的 DDR3 内存，硬盘内存不低于 16GB 的 eMMC 存储， 出厂预装 Linux 系统，支持 python2和 python3；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2.需支持多种编程方式： 图形化编程、Jupyter 编程、Thonny 编程、VScode 编程等；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3.需支持预装常用Python库，如 NumPy、Pandas、Matplotlib等库；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4.需支持离线运行程序、还可存储多个程序；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5.需支持蓝牙 4.0 及 WiFi 2.4G；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6.需板载 2.8 寸 240*320TFT 触摸彩屏、2 个功能按键、麦克风传感器、光线传感器、三轴加速度传感器、蜂鸣器等模块；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7.需配备 USB Type-C、USB TypeA 接口（可拓展 USB 外设，如摄像头等） 、microSD 卡接口，板载至少 6 路传感器拓展接口（支持 2 路 IIC，支持 3 路 PWM 其中 2 路 ADC） ， 19 路金手指 IO 接口（支持 I2C、UART、SPI、ADC、PWM）；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8.需支持 Type-C 5V 供电，工作电压 3.3V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9.可通过触摸屏切换菜单栏开启/禁用无线热点；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10.支持离线运行和储存多个 Python 程序；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11.需支持远程桌面服务，可通过 windows 远程桌面，VNC 软件等以有线/无线方式进行连接，实时显示设备菜单界面。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12.可通过触摸屏切换菜单栏开启或关闭 siot 物联网服务器，可通过有线或无线访问 siot 后台管理页面和数据界面。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13.可不通过 USB 数据线与连接电脑，实现实时调试、上传程序；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14.具有语音识别功能，可实现自定义或预设唤醒词和命令词的识别。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二.电子模块：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1.语音识别模块：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①.需支持离线语音识别功能；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②.需支持内置常用固定命令词条，至少包含 135 条常用的固定命令词条；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③.需支持新增命令词学习功能，至少支持 17 条命令词条学习；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④.需配备麦克风、喇叭及喇叭接口，并且麦克风数量不少于 2 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⑤.需支持 I2C 和 UART 两种通讯方式，适配主流开源硬件主控器。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2.继电器模块：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①.需配备透明外壳，可清晰地观察继电器内部触点工作状态；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②.需支持开关量控制，通过数字信号即可控制继电器的吸合与释放；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③.需采用防反插接口，简单易用。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3.电子模块：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①.需配备不少于 13 种电子模块，包含但不限于红色 LED 模块、绿色 LED 模块、蓝色 LED 模块、按钮模块、土壤湿度传感器、RGB12灯珠灯环、温湿度传感器、空气质量传感器、舵机、风扇、角度传感器、USB 摄像头、水泵等；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②.电子模块需自带固定螺孔，支持螺丝、魔术贴等方式固定；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③.电子模块接口需采用PH2.0 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三.配件：需配备主板烧录数据线、模块连接线、 电池盒等配件。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四.编程方式：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需支持图形化编程。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五.配套内容：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提供不少于 25 课时教学课程，包含课程文档、课程 PPT、案例程序、教学视频等。</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r>
      <w:tr>
        <w:trPr>
          <w:trHeight w:val="600"/>
        </w:trPr>
        <w:tc>
          <w:tcPr>
            <w:gridSpan w:val="5"/>
            <w:tcBorders>
              <w:top w:val="single" w:color="000000" w:sz="4" w:space="0"/>
              <w:bottom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12.STEM中心</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推拉黑板</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1.结构：内外双层结构，内层为两块固定书写板，外层为两块滑动书写板，居中预留一体机安装位置。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2.基本尺寸：4200mm×1350mm×175mm，可根据所配一体机适当调整，确保与86寸一体机有效配套。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3.书写板面：采用优质烤漆钢板，厚度≥0.4mm。板面为亚光墨绿色，方便教师书写整齐有序，视觉舒适，用眼不疲劳。</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4.内芯材料：选用高强度、吸音、防潮、阻燃聚苯乙烯板，厚度≥14mm。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5.背板：选用优质亚光彩涂钢板，每隔80mm设有20mm加强凹槽。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6.覆板：采用环保型双组份聚氨酯胶水，自动化流水线覆板作业，确保粘接牢固，板面平整。</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边框：上横框采用开放式双轨道。平行对称双U型自动纠偏设计，避免滑动时出现滑轮卡死现象，上下框的立面尺寸≥90mm，双壁成腔结构，不接受单层铝合金设计，壁厚≥1.0mm；边框经氧化、喷砂涂层处理，无明显眩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滑轮：每块活动板采用静音组合滑轮组两组（每组由4个轮子组成，采用工字型实心合金轮架，精密进口轴承，静音特种橡胶胎圈，下平轮双侧滑动结构滑轮组（每组两个轮子），保证滑动板滑动平稳顺畅无噪音，写字无晃动现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9.锁具：一把锁配两把钥匙，一个学校钥匙互开通用。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固定板连接：固定板须用子母绞扣式连接方式，无须另行拉铆固定，通过固定板与大框相互绞扣吃力，从而增加牢固性，不得用铝合金块或钢板支架拉铆固定，避免多年使用后出现铆钉脱落造成的框架松动散架等隐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包角材料及立框侧封板：采用圆形钝角抗老化高强度ABS工程塑料注塑成型。双壁成腔流线型设计，如配装一体机需采用≥170mm一体化加长包角，须采用≥170mm一体化立框或子母绞扣式连接，不得用拉铆钉直接拉铆拼接。</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12.限位档：黑板边框内部两侧安装橡胶材质滑动板限位档，符合书写板安全距离标准的设定，防止活动黑板开启时撞击立框的同时，预留的空间易于一体机维护。</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13.安全及环保性：书写板框架、外观、边缘接角、ABS配套材料、钢制托架、胶粘剂等黑板组件配件，不得出现斜薄边及尖角毛刺或其他安全隐患。</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教师演示讲台2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2400*700*900mm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2.面板：12.7mm 实芯理化板，木质颜色自然，台面表面清漆处理，清漆表面光滑，平整光亮，具有耐磨.耐压.耐撞击等特点。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 1.0mm 优质镀锌钢板，采用二氧化碳气体保护焊接，打磨处理，表面经耐酸碱  粉末烤漆处理（烤漆膜厚度平均值≥70 μm）；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4.拉手：采用隐藏型拉手，用“强磁 ”测试拉手的不锈钢材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质，造型独特美观；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6.门板及抽面：采用双层钢板，必须两层组装式设计，保证两层双面都喷涂处理，保证关门减少噪音；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7.连接件：采用ABS 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9.滑轨：三节重型滚珠滑轨，承重性强，滑动性能良好，无噪音；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10.固定桌脚：采用柜体内置可调 ABS 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学生桌</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1.尺寸：1200*1200*750mm±10mm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2.材质：实芯理化板+优质钢架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3.工艺：材质采用实芯理化一体成型。耐 80 度以上高温。防水：浸水 24 小时后的膨胀指数不多于 0.1mm，面板四周采CNC修边，四周倒角， 圆润光滑无任何毛边。桌架采用优质钢架，满焊焊接而成，表面采用高温粉体烤漆，耐腐蚀，不易生锈；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4.功能：桌面设有抽屉储物功能，可收纳放置工具材料，钢制框架，结构牢固，具有超强承载能力。</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3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 Φ315*450～500mm±10mm；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2.凳脚材质：4 个凳脚采用 17×34×1.7mm，无缝钢管模具一次成型。全圆满焊接完成，结构牢固，经高温粉体烤漆处理，长时间使用也不会产生表面烤漆剥落现象。 Ф凳面直径 315×高450～500mm；</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3.凳面材质：采用聚丙烯共聚级注塑，厚 5mm。表面细纹咬花，防滑不发光，凳面底部镶嵌 4 枚铜质螺纹，采用不锈钢螺丝与圆形托盘固定；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4.脚垫材质：采用PP 加耐磨纤维质塑料，实心倒钩式一体射出成型凳面与凳脚留有一定的空间便于凳子挂在挂凳扣上。</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1.尺寸：6000*600*780mm±10mm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3.台面：采用≥12.7mm 厚双面膜耐腐蚀实芯理化板制作， 四角倒R15 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4.柜体：采用≥1.0mm 优质镀锌钢板，采用二氧化碳气体保护焊接，打磨处理，表面经耐酸碱  粉末烤漆处理；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5.拉手：铝合金条形暗拉手；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7.门板及抽面：采用双层钢板，必须两层组装式设计，保证两层双面都喷涂处理，保证关门减少噪音；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8.连接件：采用ABS 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10.固定桌脚：采用柜体内置可调 ABS 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1.尺寸：5500*600*780mm±10mm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3.台面：采用≥12.7mm 厚双面膜耐腐蚀实芯理化板制作， 四角倒R15 圆角。耐酸.耐碱.耐高温，坚固耐用，防潮.无细孔.不膨胀.不龟裂.不变形.不导电.便于维护及具有良好的承重性能；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4.柜体：采用≥1.0mm 优质镀锌钢板，采用二氧化碳气体保护焊接，打磨处理，表面经耐酸碱  粉末烤漆处理；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5.拉手：铝合金条形暗拉手；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6.防撞胶垫：装于抽屉及门板内侧，减缓碰撞，保护柜体；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7.门板及抽面：采用双层钢板，必须两层组装式设计，保证两层双面都喷涂处理，保证关门减少噪音；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8.连接件：采用ABS 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9.合页：采用优质不锈钢模具一体成型；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10.固定桌脚：采用柜体内置可调 ABS 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吊柜</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6000*400*600mm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材质：柜体.门板.层板采用≥18mm.背板采用≥9mmE0 级实木多层板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工艺：采用国家标准 E0 级板，基材采用优质实木多层板，面贴优质三聚氰胺纸，断面采厚度≥1.0mm 优质PVC 直封边制作。五金件采用优质液压铰链；</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工具墙</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洞洞板+挂钩</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岛式插座</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1.钢制线盒，主框架采用裸板实际厚度大于 1.0mm 厚优质钢材产一级镀锌钢板经 CNC 机压成形.焊接制作，表面经磷化处理.环氧树脂静电粉末涂装处理。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220V 交流输出为新国标五孔插座，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编程无人机</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含：标准化航空铝箱*1个，标准化无人机（含桨叶、保护罩）*1台，无人机遥控器*1个，专用电池*2块，标准Micro-USB数据线*1根，备用桨叶*2对，无人机参数如下：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一、无人机基本技术参数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1、通信频段:2.400MHZ-2.525MHZ；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2、空中速率：250k~2Mbps；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3、发射功率：20dBm；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4、机架：PP+尼龙；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5、重量：&lt;100g（含电池、桨叶、保护罩）；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6、轴距：152mm；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7、桨叶：65mm双叶桨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8、电机：空心杯电机；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9、电池：800mah以上/3.8v/1S/Lip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10、桨叶保护罩：快拆式保护罩；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11、活动半径：&lt;50米；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12、留空时间：7分钟以上；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13、飞行环境：室内；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14、支持红外拓展模块；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1、支持多语言编程（图形化编程、Python编程、C++编程）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2、定位方式：视觉、光流、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3、定高：气压、激光、惯导融合定高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4、支持无人机一键起降、一键回正、一键校准、一键急停、无头模式；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5、支持地面站修改通道及密码；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6、遥控器可实时显示飞机电池电压和各类传感器状态；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7、支持AI自主巡线、AI颜色识别、AI语音识别；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8、支持二维码识别功能：可通过图形化编程进行二维码识别功能的演示；并且遥控器上可实时显示识别到二维码的数据；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9、支持选择性色块定位，支持自定义标志定位；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10、支持多类别外挂执行器（舵机、彩灯、激光、红外、电磁铁等）；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11、标尺功能：可以用无人机测量两个点之间的距离，桌子的长度等；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12、高度限定：无人机可以通过地面站软件设置最高高度；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13、支持多机联动；支持10台多机联动，最多20台。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竞赛包</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1、串口TOF测距模块*1个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2、串口后置红外发射*1个（附带机械手控制）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3、单舵机多层机械手*1个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4、10mm物块*5个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5、保护罩*4个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6、桨叶*4片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7、定位卡*6个</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r>
      <w:tr>
        <w:trPr>
          <w:trHeight w:val="437"/>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竞赛场地套装</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2.5*4.5米场地地图*1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1.5米竖圈（含圆环支撑）*4；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1m台面*1；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投掷桶*3；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红外点阵靶*1；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自动开关装置*1；</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53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无人机备件</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配套编程无人机供电设备，满足800mah以上/3.8v/1S/Lip</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r>
      <w:tr>
        <w:trPr>
          <w:trHeight w:val="1265"/>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航拍无人机</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r>
            <w:r>
              <w:rPr>
                <w:rFonts w:hint="eastAsia" w:ascii="宋体" w:hAnsi="宋体" w:eastAsia="宋体" w:cs="宋体"/>
                <w:i w:val="0"/>
                <w:iCs w:val="0"/>
                <w:color w:val="auto"/>
                <w:sz w:val="21"/>
                <w:szCs w:val="21"/>
                <w:highlight w:val="none"/>
                <w:u w:val="none"/>
                <w:lang w:val="en-US" w:eastAsia="zh-CN" w:bidi="ar"/>
              </w:rPr>
              <w:t xml:space="preserve">双摄影像航拍机，高清全向主动避障，自动跟拍，3块智能电池、单肩包、ND镜套装、带屏遥控器，65W充电器</w:t>
            </w: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600"/>
        </w:trPr>
        <w:tc>
          <w:tcPr>
            <w:gridSpan w:val="5"/>
            <w:tcBorders>
              <w:top w:val="single" w:color="000000" w:sz="4" w:space="0"/>
              <w:bottom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13.地理教室</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推拉黑板</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1.结构：内外双层结构，内层为两块固定书写板，外层为两块滑动书写板，居中预留一体机安装位置。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2.基本尺寸：4200mm×1350mm×175mm，可根据所配一体机适当调整，确保与86寸一体机有效配套。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3.书写板面：采用优质烤漆钢板，厚度≥0.4mm。板面为亚光墨绿色，方便教师书写整齐有序，视觉舒适，用眼不疲劳。</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4.内芯材料：选用高强度、吸音、防潮、阻燃聚苯乙烯板，厚度≥14mm。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5.背板：选用优质亚光彩涂钢板，每隔80mm设有20mm加强凹槽。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6.覆板：采用环保型双组份聚氨酯胶水，自动化流水线覆板作业，确保粘接牢固，板面平整。</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边框：上横框采用开放式双轨道。平行对称双U型自动纠偏设计，避免滑动时出现滑轮卡死现象，上下框的立面尺寸≥90mm，双壁成腔结构，不接受单层铝合金设计，壁厚≥1.0mm；边框经氧化、喷砂涂层处理，无明显眩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滑轮：每块活动板采用静音组合滑轮组两组（每组由4个轮子组成，采用工字型实心合金轮架，精密进口轴承，静音特种橡胶胎圈，下平轮双侧滑动结构滑轮组（每组两个轮子），保证滑动板滑动平稳顺畅无噪音，写字无晃动现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9.锁具：一把锁配两把钥匙，一个学校钥匙互开通用。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固定板连接：固定板须用子母绞扣式连接方式，无须另行拉铆固定，通过固定板与大框相互绞扣吃力，从而增加牢固性，不得用铝合金块或钢板支架拉铆固定，避免多年使用后出现铆钉脱落造成的框架松动散架等隐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包角材料及立框侧封板：采用圆形钝角抗老化高强度ABS工程塑料注塑成型。双壁成腔流线型设计，如配装一体机需采用≥170mm一体化加长包角，须采用≥170mm一体化立框或子母绞扣式连接，不得用拉铆钉直接拉铆拼接。</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12.限位档：黑板边框内部两侧安装橡胶材质滑动板限位档，符合书写板安全距离标准的设定，防止活动黑板开启时撞击立框的同时，预留的空间易于一体机维护。</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13.安全及环保性：书写板框架、外观、边缘接角、ABS配套材料、钢制托架、胶粘剂等黑板组件配件，不得出现斜薄边及尖角毛刺或其他安全隐患。</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106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平面地形地球仪1</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球体和支架组成，球体直径 320 mm，平面比例尺 1 :40000000，地轴的倾角为 66.5 ，并垂直于赤道面。主要是反映世界地理、地形、河流、 山脉、海洋、高原、丘陵、盆地、沙漠、湖泊以及海洋分布的情况，具有识读功能</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95"/>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平面政区地球仪</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球体和支架组成，球体直径 320 mm，平面比例尺 1 :40000000，地轴的倾角为 66.5 °, 并垂直于赤道面，反映世界行政区域的划分及其首都、首府、大城市的地理位置，具有识读功能</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95"/>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平面地形地球仪2</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球体和支架组成，球体直径 141.6mm，平面比例尺1 :90000000，地轴的倾角为 66.5 °, 并垂直于赤道面，具有识读功能</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 </w:t>
            </w:r>
            <w:r/>
          </w:p>
        </w:tc>
      </w:tr>
      <w:tr>
        <w:trPr>
          <w:trHeight w:val="65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立体地形地球仪</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底座，支架和球体组成，球体为直径 320mm 立体地形地球仪，平面比例 1 :40000000，垂直比较尺 1 :60000</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9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平面两用地球仪</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球体和支架组成，球体直径 320mm，地形/政区，平面比例尺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:40000000，地轴的倾角为 66.5 ° , 并垂直于赤道面，具有识读功能</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89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经纬度模型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 24 条经线和9 条纬线构成空心网状球体，内装固定的本初子午线平面板和赤道平面板， 以及可转动的经线平面板和纬度指针，球上装旋钮分别控制经线平面板和纬度指针。球体直径 320mm，装于支架上，地轴与座底平面成 66.5 °夹角</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板块构造及地表形态模型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尺寸：≥600*320*140mm</w:t>
            </w:r>
            <w:r/>
          </w:p>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本产品主要在中学地理教学中直观演示讲授海底地形、地球内部圈层、地壳结构、地形变化、板块构造学说、火山地震的形成与分布、地球表面海陆轮廊的形成等内容时使用。这些内容是相互关联互为因果的。对于中学生来讲往往难于由此及彼’分析理解，再因其空间跨度大、变化时间长，不可以进行实际观察，抽象而难于理解</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褶皱构造及地貌演变模型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尺寸：≥520*210*150mm</w:t>
            </w:r>
            <w:r/>
          </w:p>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本产品主要在中学地理教学中直观演示讲授地形变化和地质构造时使用；褶皱构造现象及其地形的变化距学生的生活实际较远，再因其空间跨度大、变化时间长，难以进行实际观察，学生难以理解。通过褶皱构造模型可以把分布于广大空间范围的褶皱构造现象及其地表形态的动态变化过程概括、缩小、集中，建立其三度空间的立体形象，以小见大，帮助学生建立起这方面的观念和概念</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断裂构造及地垒地堑发育模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前后两部分五个块状组成，侧重表现断裂构造中地垒、地堑在构造形态和地形上的特征，并且表现由于外力作用的影响对断裂构造形态的改变。岩层的刻画应有立体感，接近自然，并表现出错位，通过磁铁吸附活动演示地垒、地堑的形成。断裂形成的地形包括：断裂山、 陡崖、谷底。外力作用后的形态：三角面、冲积扇、湖泊、河流积沟谷的发育。外形尺寸≥455 mm×220 mm×150 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地球内部构造模型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直径≥320mm，；产品有支架、立体球体组成，球体从四分之一剖面切开，观察地球内部构造，还可以把剖面合上，是一个立体地球仪。</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地壳变动模型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尺寸：≥450*110*160mm</w:t>
            </w:r>
            <w:r/>
          </w:p>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本产品适用于小学、中等学校自然地理教学，讲授地形变化和地质构造时，自然界距学生的实际生活较远，变化时间长，难以进行实际观察，学生难于理解。通过模型可以把分布于广大空间范围的褶皱构造现象及其地表形态的动态变化过程概括缩小、集中，以小见大，帮助学生建立起这方面的观念和概念。</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褶皱侵蚀与断层演示组合模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尺寸：≥480*380*210mm</w:t>
            </w:r>
            <w:r/>
          </w:p>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本产品适用于中等学校地理教学时讲授地质构造时使用。该模型很形象地显示出岩层因受力发生弯曲形成褶皱，或因受力不均断裂形成断层。褶皱和断层的形成都改变了地表形态。模型还可以增强学生的感性知识，能够解决学生难以掌握的自由外力作用的强烈剥蚀作用，使背斜成谷、向斜成山，并可以从模型中岩层的新老关系来确定背斜和向斜。</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岛屿成因演示模型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尺寸：≥570*410*100mm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1.模型按岛屿四大类成因分类制作，知识系统。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2.模型分别设计了大陆岛、珊瑚岛、火山岛、冲积岛四大类型。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3.珊瑚岛、火山岛成因是通过平面与剖面造型手法来表现两岛成因的。</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4.大陆岛是通过岛上山脉走向与大陆山脉一致且面积大的表现手法来说明大陆岛的成因。</w:t>
            </w:r>
            <w:r/>
          </w:p>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5.模型将冲积岛制作于河流入海处，便于教师讲解冲积岛的成因。</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海底地形模型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尺寸：≥450*220*120mm</w:t>
            </w:r>
            <w:r/>
          </w:p>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模型采用复合材料制作。主要适用在地理教学中讲授海底地形在深厚的海水掩盖下，学生难以观察和了解其形状与结构。通过海底地形模型，使学生认识到大陆陆地块的边缘在一片颇为平坦名叫大陆架的平原里徐徐下斜在大陆架的海中边缘，海底猛地倾斜下去，形成大陆坡。</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沉积地层模型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尺寸：≥450*110*150mm</w:t>
            </w:r>
            <w:r/>
          </w:p>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沉积地层由各种各样的物质组成，有砂岩、页岩、砾岩、石灰岩、各地层中都有代表各个重要地质年代的标准化石；将仪器上、下两部合起来，就是一个完整的地形。</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指南针</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手持式,直径≥75mm，材质：不锈钢材质</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世界钟</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直径：≥380mm，演示各国时间变化，本产品以内圈圆盘代替普通时钟的时针用以表示世界时间。对时的时候请将内圈圆盘上现在的时刻对准所在的时区即可。</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学生野外实践组合包</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罗盘、地质锤、地图夹、标本夹等</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地形地貌模型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种地形地貌，包括：黄土地貌模型、冰川地貌模型、海蚀地貌模型、丹霞地貌模型、流水地貌、重力地貌、喀斯特地貌、火山熔岩地貌规格：600*400mm，采用高分子材料精制而成仿真微缩内容完整充实、紧扣教材</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天文历</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查昼夜长短、太阳高度等</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活动星空盘</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可手动调节观看时间、 日期、月份；带指南针定方位；三种观看模式（星座连线观看、神话星图观看、双重模式观看）；可探索 30个以上星座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土壤标本</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（1）单木盒精装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（2）种类 36 种土壤标本，单个土壤瓶尺寸不小于 70*45mm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(3）土壤标本包含：红壤、棕红壤、赤红壤、砖红壤、黄棕壤、黑钙土、水稻土、红紫泥土、棕壤、黄土、黄刚土、沙质土、红沙土、褐土、黄褐土、灰潮土、粘质灰潮土、漂白土、红色石灰土、棕色石灰土、 明矾土、紫色土、壤土、腐殖土、铝矾土、硅藻土、草甸土、淤泥质黏土、黑土、膨润土。第四纪粘土、陶瓷粘土、水云母粘土、蒙脱石粘土、高岭土、耐火粘土。</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32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地理知识展板</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规格：600*800mm，材料：pvc材料封边和写真KT板内容：介绍各种地理知识。</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地理知识卷帘</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1.上梁：28mm铝合金画轴卷杆，轻巧不生锈。</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2.下梁：35mm白色烤漆铝合金下梁，窗帘垂感好，抗风护帘。</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3.防尘罩壳：米黄色插片罩厚款，防尘铝合金材质，坚固耐用；磨砂烤漆工艺，不易腐蚀；保护轨道，历久如新。</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4.窗帘布：材质：涤纶；艺：涤纶胚布四层涂层 两面涂黑色遮光层；双面丙烯酸树脂涂白，布面遮光率达99%以上；画面印刷工艺：UV（聚氨酯紫外光压电式弱溶剂墨水打印），环保无异味，色彩鲜亮画面还原度高，抵抗日晒，不易褪色。</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防水：高分子防水保护层，滴水成珠易清洗</w:t>
            </w:r>
            <w:r/>
          </w:p>
          <w:p>
            <w:pPr>
              <w:numPr>
                <w:ilvl w:val="0"/>
                <w:numId w:val="31"/>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拉绳：米黄尼龙绳+水晶手柄，拉绳细腻拉拽感，省力顺滑；手柄握感舒适。</w:t>
            </w:r>
            <w:r/>
          </w:p>
          <w:p>
            <w:pPr>
              <w:numPr>
                <w:ilvl w:val="0"/>
                <w:numId w:val="31"/>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面积约4平方米</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地理讲台</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尺寸：2400*600*850 ㎜ 台面：采用12.7mm 实芯理化板， 圆周加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厚处理，总厚度为25.4mm，四角圆角，四边磨边。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箱体：采用 16mm 厚中密度三聚氰胺双饰面板，断面以优质 2mmPVC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封边条配合进口胶王热熔封边防水处理，专用连接件连接组合紧固。四角包边：采用PP 改性材料，塑料注塑模一次性成型，曲面弧形造型，可以有效避免碰撞对人体产生的伤害。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 16mm 以上厚的E1 级中密度三聚氰胺饰面板，周边及断面采用厚 2mm 以上 PVC 热熔封边并做防水处理；每个箱体配四个优质的实验室仪器专用地脚，具有防腐防锈减震等特点。</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柜门，抽屉：采用厚 16mm 的中密度三聚氰胺饰面板，柜门和抽屉面板四周注塑模注塑包边成型，拉手与注塑包边一次性成型注塑。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讲台配有键盘和中控抽屉，侧边配视频展示台抽屉。</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14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单人学生桌</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1.规格：700*610*600~780mm 2.高度可调，每档 30mm，共 6 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台面：采用 25mm 厚中密度三聚氰胺饰面板，四周包边处理；桌腿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采用3mm 厚冲压成型的铁板和直径 50mm 壁厚 1.5mm 的钢管焊接而成， 内置直径 40mm 壁厚 1.5mm 并钻了 10 对调节孔的钢管，配合可调节塑料片可以调节桌腿高度；表面环氧树脂高压静电粉末喷涂，具有较强的耐腐蚀性。可调节塑料片：采用两瓣合并上下移动的可调节结构方式，用高强度的 ABS 材料，塑料具有较强的耐蚀性及承重性。 固定螺栓： 内六角不锈钢螺栓多功能可调地脚：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采用高强度的尼龙材料，塑料内置脚轮固定孔，可加装脚轮，具有较强的耐蚀性及承重性。</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numPr>
                <w:ilvl w:val="0"/>
                <w:numId w:val="32"/>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 Φ315*450～500mm±10mm；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2.凳脚材质：4 个凳脚采用 17×34×1.7mm，无缝钢管模具一次成型。全圆满焊接完成，结构牢固，经高温粉体烤漆处理，长时间使用也不会产生表面烤漆剥落现象。 Ф凳面直径 315×高450～500mm；</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3.凳面材质：采用聚丙烯共聚级注塑，厚 5mm。表面细纹咬花，防滑不发光，凳面底部镶嵌 4 枚铜质螺纹，采用不锈钢螺丝与圆形托盘固定；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4.脚垫材质：采用PP 加耐磨纤维质塑料，实心倒钩式一体射出成型凳面与凳脚留有一定的空间便于凳子挂在挂凳扣上。</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地理模型展柜</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800*500*1000mm，上柜 A：全玻璃结构，1/4 球面流线型的铝合金框架配 5mm 钢化玻璃制作，安全，稳固。下柜：采用 16mm 双贴面三聚氰胺板，优质PVC 封边条，封边机对板材截面进行封边，密封性好。</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r>
      <w:tr>
        <w:trPr>
          <w:trHeight w:val="600"/>
        </w:trPr>
        <w:tc>
          <w:tcPr>
            <w:gridSpan w:val="5"/>
            <w:tcBorders>
              <w:top w:val="single" w:color="000000" w:sz="4" w:space="0"/>
              <w:bottom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14.历史教室</w:t>
            </w:r>
            <w:r/>
          </w:p>
        </w:tc>
      </w:tr>
      <w:tr>
        <w:trPr>
          <w:trHeight w:val="9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推拉黑板</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1.结构：内外双层结构，内层为两块固定书写板，外层为两块滑动书写板，居中预留一体机安装位置。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2.基本尺寸：4200mm×1350mm×175mm，可根据所配一体机适当调整，确保与86寸一体机有效配套。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3.书写板面：采用优质烤漆钢板，厚度≥0.4mm。板面为亚光墨绿色，方便教师书写整齐有序，视觉舒适，用眼不疲劳。</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4.内芯材料：选用高强度、吸音、防潮、阻燃聚苯乙烯板，厚度≥14mm。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5.背板：选用优质亚光彩涂钢板，每隔80mm设有20mm加强凹槽。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6.覆板：采用环保型双组份聚氨酯胶水，自动化流水线覆板作业，确保粘接牢固，板面平整。</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边框：上横框采用开放式双轨道。平行对称双U型自动纠偏设计，避免滑动时出现滑轮卡死现象，上下框的立面尺寸≥90mm，双壁成腔结构，不接受单层铝合金设计，壁厚≥1.0mm；边框经氧化、喷砂涂层处理，无明显眩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滑轮：每块活动板采用静音组合滑轮组两组（每组由4个轮子组成，采用工字型实心合金轮架，精密进口轴承，静音特种橡胶胎圈，下平轮双侧滑动结构滑轮组（每组两个轮子），保证滑动板滑动平稳顺畅无噪音，写字无晃动现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9.锁具：一把锁配两把钥匙，一个学校钥匙互开通用。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固定板连接：固定板须用子母绞扣式连接方式，无须另行拉铆固定，通过固定板与大框相互绞扣吃力，从而增加牢固性，不得用铝合金块或钢板支架拉铆固定，避免多年使用后出现铆钉脱落造成的框架松动散架等隐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包角材料及立框侧封板：采用圆形钝角抗老化高强度ABS工程塑料注塑成型。双壁成腔流线型设计，如配装一体机需采用≥170mm一体化加长包角，须采用≥170mm一体化立框或子母绞扣式连接，不得用拉铆钉直接拉铆拼接。</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12.限位档：黑板边框内部两侧安装橡胶材质滑动板限位档，符合书写板安全距离标准的设定，防止活动黑板开启时撞击立框的同时，预留的空间易于一体机维护。</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13.安全及环保性：书写板框架、外观、边缘接角、ABS配套材料、钢制托架、胶粘剂等黑板组件配件，不得出现斜薄边及尖角毛刺或其他安全隐患。</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278"/>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教师桌椅</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规格：2000*700*900mm，材质：橡胶木， 台面板厚 16mm 以上，边框厚 28mm 以上，表面油漆采用清漆处理，五金件采用国产优质。</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仿古学生桌</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规格：1200*600*780mm，条形学生桌，橡胶木仿古制作，古案几设计，不设课桌抽屉， 台面板厚 16mm 以上，边框厚 30mm 以上表面油漆采用清漆处理。</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r>
      <w:tr>
        <w:trPr>
          <w:trHeight w:val="825"/>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仿古学生凳</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规格：400*300*450mm±10mm 橡胶木材质木精加工而成，凳面厚度≥ 16mm，古色古香，表面油漆采用清漆处理。</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历史模型展柜</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1200*600*1000mm，上柜 A：全玻璃结构， 1/4 球面流线型的铝合金框架配 5mm 钢化玻璃制作，安全，稳固。下柜：采用 16mm 双贴面三聚氰胺板，优质PVC 封边条，封边机对板材截面进行封边，密封性好。</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编木拱桥演示模型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编木拱桥是一种特殊的历史桥梁，在整个世界文明史中都非常普遍，它有丰厚的底蕴，他包含着古代建造者的聪明才智，把复杂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的构造转化成一种真正的视觉艺术，它是中国匠人的一个技术高峰。其中最著名的就是《清明上河图》 中的编木拱桥，画中的编木拱桥是北宋东京汴梁城外汴水河上的一座拱形桥梁，又称汴水虹桥。它是用巨大的方木或原木通过交织关系结合在一起，互相支撑，互相制约，化直为曲，形成了桥梁。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中国南方多山区，从古到今建造该地区的编木拱桥又与汴水虹桥结构不同，结构更为复杂，是木构桥梁的发展更广泛应用，在桥身基础上，通过立柱加盖廊顶，适应了南方多雨的环境，又称为木拱廊桥。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编木拱桥产品外形尺寸 650X400X305mm（允许误差±3mm）；本产品将古代编木拱桥两种形式：虹桥和廊桥桥体结构都呈现出来，两款桥体都实现了可互动组装的结构，其中虹桥桥体参考清明上河图中的编木拱桥虹桥结构成型，廊桥桥体参考闽浙一带现存廊桥结构设计成型，将其设计成可反复拆装结构可用于教学的演示模型；通过互动组装教学，使学生可以直观的了解古代造桥过程及工艺知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配备要求：编木拱桥（虹桥和廊桥）演示模型套装一套，外包装一套</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历史农耕文化实验套装</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春秋战国时期，世界上先进的耕作方法——垄作法（畎亩制） 已使用。西汉时，赵国总结劳动人民的生产经验，推行代田法，这种方法比当时普遍采用的撒播方法先进。到魏晋南北朝时期，北方旱地的耕耙耱技术形成，南方水田也采用耕耙技术。本模型产品演示功能介绍垄作法、代田法、魏晋之后的北方与南方耕种法这三种类型的场景及工具。其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1.垄作法为展示模型，重在描述其结构与特征，主要讲解井田制下农田的沟洫排水特征和垄土之后的畎亩特征，包含耦耕的耒耜；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2.代田法为展示模型，重在描述其结构与特征。 由于代田法的长宽比较悬殊，在此模型中仅做部分展示。包含耦犁和耧车；以魏晋南北朝之后的北方与南方农田为互动模型，重在演示各种农具的使用与特点。北方与南方的场景合二为一，为一整个通用沙盘。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互动演示区可以演示直辕犁与曲辕犁的农耕受力的情况，通过受力秤直接读数两种历史农具的受力情况。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配备要求：历史农耕与农具演示产品一套（演示地形板一件、包括各人物演示模型一套、小农具演示模型一套、直辕犁、 曲辕犁互动演示模型及配重件一套、机械秤、不干沙一包） ；外包装一套。</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5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帘床纸模古法造纸术实验套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装</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造纸术是中国古代四大发明之一：在东汉时期蔡伦把这项技术做了改进，诞生了更加便于制造和书写的纸， 因此， 中国造纸术发明史至少超过 2000 年。现代造纸技术高度发达，古法造纸的工艺过程及历史知识仅存在一些小型手工坊内，本实验套装可以完整地体现古代造纸术的工艺过程及相关的历史知识学习。帘床纸模古法造纸术以古法竹帘抄纸工艺造纸成型， 以互动实验的操作方式展现古代手工造纸的成型工艺过程，重点还原造纸工艺中的配浆——抄纸——烘晒工艺。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将纸的生产到成型在一个模型中进行统一的、连续的体验，高效的整合历史知识。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模型功能主要在于学生可以亲手体验造纸过程，交互分为配浆、抄纸、烘晒成型 3 个部分。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配备要求：古法造纸术产品一套（包括造纸产品外形尺寸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390X340X223mm 及烘纸产品外形尺寸 340X250X276mm 各一个， 电源线一根，纸浆包 3 个，植物胶 1 瓶，搅拌器 1 个，量杯 1 件）</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青铜器浇筑实验套装</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开启风箱电机及加热装置，加入适量的石蜡，石蜡融化后打开槽沟塞子，液态石蜡流淌至模范里，待石蜡冷却凝固就形成相应的青铜器模型；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该模型通过“鼓风设备 ”、“竖炉 ”、“浇铸模范 ”三个部分的动态演示及背景板彩绘图的静态观察，描述商周时期的青铜铸造场景及工艺， 旨在加深学生对青铜文化的印象， 了解文物背后的生产，拓展知识的维度，让学生可以了解古代青铜器的铸造过程和工艺。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1.钣金结构，产品尺寸：430*270*320mm（允许误差±3mm） ，主要有背景板和演示区组成；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2.背景板以彩绘图的方式展示古代青铜的铸造工艺；展示选矿、初炼、提炼、配比、制模、翻范、浇注铸造工艺流程；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3.演示区主要包含：竖炉、鼓风设备、范具、槽沟、石蜡等；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4.支持可变档加热，根据室温旋转加热挡位开关进行加热，加热档位为 0~60W；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5.鼓风设备支持电机电动演示推拉，形象演示古代劳动人民推拉风箱的工作流程。</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殷墟甲骨文模型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一甲一骨，高度仿真制作。盒装,不少2块仿真甲骨，一块甲骨尺寸：≥长158mm*宽22mm，一块甲骨尺寸：≥长185mm*宽101mm。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汉竹木简模型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材质：竹片，高度仿真，盒装，不少于3片，单片长度尺寸：≥230mm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地动仪模型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材质：塑料仿真，尺寸：≥370*370*380mm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人面鱼纹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陶瓷盆模型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材质：陶土，尺寸：≥Φ385*高160mm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四羊方尊模型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材质：树脂 四羊方尊 尺寸：≥420*420*580mm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司母戊鼎</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材质：锌铜合金,尺寸：≥长100*宽75*高130mm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货币模型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材质：合金，盒装，需包含不少于4块古货币，其中：齐之法化刀尺寸：≥长178mm*宽29mm、尖足平首布尺寸：≥长56mm*宽29mm、尖秦半两尺寸：≥直径38mm、蚁鼻钱尺寸：≥长21mm*宽12mm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曲辕犁</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材质：木质，规格：≥660*405*95mm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古钱币模型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合金,盒尺寸：≥210*195*35mm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筒车</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材质：木质，规格：≥450*180*390mm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辘轳模型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材质：木质，规格：≥370*200*225mm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连击水碓模型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材质：木质，规格：≥450*250*300mm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冶铁水排模型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材质：木质，规格：≥500*170*265mm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司南模型</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铜、木框，规格：≥250*250*55mm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唐三彩载乐俑</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 陶瓷，规格：≥320*190*100mm </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兵马俑</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材质：高分子材料, 规格：高度≥280mm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铜车马</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材质：合金，高仿；规格：≥250×230×150mm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马踏飞燕</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材质：青铜，高仿；尺寸：≥长330mm*高270mm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十二字砖</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材质：pvc 材质，高仿，尺寸：≥290*255*30mm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尖底陶瓶</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材质：高分子材料，高仿，尺寸：≥360*200mm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猪纹陶钵</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材质：高分子材料，高仿,尺寸：≥210*170*120mm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黑陶高柄杯</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材质：高分子材料，高仿,尺寸：≥高240mm ,口径≥100mm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三星堆青铜立人像</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材质：青铜，高仿；,尺寸：≥60×50×270mm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北京人头像</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材质：树脂 北京人头像,尺寸：≥ 285*250*475mm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trHeight w:val="600"/>
        </w:trPr>
        <w:tc>
          <w:tcPr>
            <w:tcBorders>
              <w:top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 </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历史知识卷帘</w:t>
            </w:r>
            <w:r/>
          </w:p>
        </w:tc>
        <w:tc>
          <w:tcPr>
            <w:tcBorders>
              <w:top w:val="single" w:color="000000" w:sz="4" w:space="0"/>
              <w:left w:val="single" w:color="000000" w:sz="4" w:space="0"/>
              <w:bottom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1.上梁：28mm铝合金画轴卷杆，轻巧不生锈。</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2.下梁：35mm白色烤漆铝合金下梁，窗帘垂感好，抗风护帘。</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3.防尘罩壳：米黄色插片罩厚款，防尘铝合金材质，坚固耐用；磨砂烤漆工艺，不易腐蚀；保护轨道，历久如新。</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4.窗帘布：材质：涤纶；艺：涤纶胚布四层涂层 两面涂黑色遮光层；双面丙烯酸树脂涂白，布面遮光率达99%以上；画面印刷工艺：UV（聚氨酯紫外光压电式弱溶剂墨水打印），环保无异味，色彩鲜亮画面还原度高，抵抗日晒，不易褪色。</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防水：高分子防水保护层，滴水成珠易清洗</w:t>
            </w:r>
            <w:r/>
          </w:p>
          <w:p>
            <w:pPr>
              <w:numPr>
                <w:ilvl w:val="0"/>
                <w:numId w:val="33"/>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拉绳：米黄尼龙绳+水晶手柄，拉绳细腻拉拽感，省力顺滑；手柄握感舒适。</w:t>
            </w:r>
            <w:r/>
          </w:p>
          <w:p>
            <w:pPr>
              <w:numPr>
                <w:ilvl w:val="0"/>
                <w:numId w:val="33"/>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面积约4平方米</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r>
      <w:tr>
        <w:trPr>
          <w:trHeight w:val="600"/>
        </w:trPr>
        <w:tc>
          <w:tcPr>
            <w:tcBorders>
              <w:top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 </w:t>
            </w:r>
            <w:r/>
          </w:p>
        </w:tc>
        <w:tc>
          <w:tcPr>
            <w:tcBorders>
              <w:top w:val="single" w:color="000000" w:sz="4" w:space="0"/>
              <w:left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历史知识展板</w:t>
            </w:r>
            <w:r/>
          </w:p>
        </w:tc>
        <w:tc>
          <w:tcPr>
            <w:tcBorders>
              <w:top w:val="single" w:color="000000" w:sz="4" w:space="0"/>
              <w:left w:val="single" w:color="000000" w:sz="4" w:space="0"/>
              <w:right w:val="single" w:color="000000" w:sz="4" w:space="0"/>
            </w:tcBorders>
            <w:tcW w:w="34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规格：600*800mm材料：pvc材料封边和写真KT板内容：介绍各种历史知识。</w:t>
            </w:r>
            <w:r/>
          </w:p>
        </w:tc>
        <w:tc>
          <w:tcPr>
            <w:tcBorders>
              <w:top w:val="single" w:color="000000" w:sz="4" w:space="0"/>
              <w:left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tcBorders>
              <w:top w:val="single" w:color="000000" w:sz="4" w:space="0"/>
              <w:lef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r>
    </w:tbl>
    <w:p>
      <w:pPr>
        <w:spacing w:line="360" w:lineRule="auto"/>
        <w:tabs>
          <w:tab w:val="left" w:pos="525" w:leader="none"/>
          <w:tab w:val="left" w:pos="630" w:leader="none"/>
          <w:tab w:val="left" w:pos="735" w:leader="none"/>
          <w:tab w:val="left" w:pos="945" w:leader="none"/>
        </w:tabs>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lang w:eastAsia="zh-CN"/>
        </w:rPr>
        <w:t xml:space="preserve">注：</w:t>
      </w:r>
      <w:r/>
    </w:p>
    <w:p>
      <w:pPr>
        <w:numPr>
          <w:ilvl w:val="0"/>
          <w:numId w:val="0"/>
        </w:numPr>
        <w:ind w:firstLine="480"/>
        <w:jc w:val="left"/>
        <w:spacing w:line="360" w:lineRule="auto"/>
        <w:tabs>
          <w:tab w:val="left" w:pos="525" w:leader="none"/>
          <w:tab w:val="left" w:pos="630" w:leader="none"/>
          <w:tab w:val="left" w:pos="735" w:leader="none"/>
          <w:tab w:val="left" w:pos="945"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rPr>
        <w:t xml:space="preserve">本项目中未详细标明产品长、宽、高的，尺寸顺序均为（长）mm*（宽）mm*（高）mm。</w:t>
      </w:r>
      <w:r/>
    </w:p>
    <w:p>
      <w:pPr>
        <w:ind w:firstLine="480"/>
        <w:jc w:val="left"/>
        <w:spacing w:line="360" w:lineRule="auto"/>
        <w:widowControl/>
        <w:rPr>
          <w:rFonts w:ascii="宋体" w:hAnsi="宋体" w:eastAsia="宋体" w:cs="宋体"/>
          <w:b/>
          <w:bCs/>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依据财政部、发展改革委发布的《节能产品政府采购品目清单》，本项目中</w:t>
      </w:r>
      <w:r>
        <w:rPr>
          <w:rFonts w:hint="eastAsia" w:ascii="宋体" w:hAnsi="宋体" w:eastAsia="宋体" w:cs="宋体"/>
          <w:color w:val="000000"/>
          <w:sz w:val="24"/>
          <w:szCs w:val="24"/>
          <w:lang w:eastAsia="zh-CN"/>
        </w:rPr>
        <w:t xml:space="preserve">的</w:t>
      </w:r>
      <w:r>
        <w:rPr>
          <w:rFonts w:hint="eastAsia" w:ascii="宋体" w:hAnsi="宋体" w:eastAsia="宋体" w:cs="宋体"/>
          <w:b/>
          <w:bCs/>
          <w:i w:val="0"/>
          <w:iCs w:val="0"/>
          <w:color w:val="auto"/>
          <w:sz w:val="22"/>
          <w:szCs w:val="22"/>
          <w:u w:val="none"/>
          <w:lang w:val="en-US" w:eastAsia="zh-CN" w:bidi="ar"/>
        </w:rPr>
        <w:t xml:space="preserve">实验室专用龙头</w:t>
      </w:r>
      <w:r>
        <w:rPr>
          <w:rFonts w:hint="eastAsia" w:ascii="宋体" w:hAnsi="宋体" w:eastAsia="宋体" w:cs="宋体"/>
          <w:color w:val="000000"/>
          <w:sz w:val="24"/>
          <w:szCs w:val="24"/>
          <w:lang w:eastAsia="zh-CN"/>
        </w:rPr>
        <w:t xml:space="preserve">为</w:t>
      </w:r>
      <w:r>
        <w:rPr>
          <w:rFonts w:hint="eastAsia" w:ascii="宋体" w:hAnsi="宋体" w:eastAsia="宋体" w:cs="宋体"/>
          <w:color w:val="000000"/>
          <w:sz w:val="24"/>
          <w:szCs w:val="24"/>
        </w:rPr>
        <w:t xml:space="preserve">政府强制采购节能产品，</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所投产品只能选择具有国家确定的认证机构出具的、处于有效期之内的节能产品认证证书的产品进行报价，供应商或所投产品的制造商需提供相关产品的有效节能产品认证证书，认证机构详见市场监管总局发布的《参与实施政府采购节能产品认证机构名录》。本项目中有信息安全产品的，必须选择经国家认证的信息安全产品，并提供由中国信息安全认证中心（中国网络安全审查技术与认证中心）颁发的有效认证证书原件扫描件。</w:t>
      </w:r>
      <w:bookmarkStart w:id="26" w:name="OLE_LINK15"/>
      <w:r>
        <w:rPr>
          <w:rFonts w:hint="eastAsia" w:ascii="宋体" w:hAnsi="宋体" w:eastAsia="宋体" w:cs="宋体"/>
          <w:b/>
          <w:bCs/>
          <w:sz w:val="24"/>
          <w:szCs w:val="24"/>
        </w:rPr>
        <w:t xml:space="preserve">供应商须承诺中标后按要求提供上述要求提供的证明材料，投标时提供承诺书（格式自拟），未提供承诺书的，作为无效投标处理。</w:t>
      </w:r>
      <w:bookmarkEnd w:id="26"/>
      <w:r>
        <w:rPr>
          <w:sz w:val="20"/>
          <w:szCs w:val="20"/>
        </w:rPr>
      </w:r>
      <w:r/>
    </w:p>
    <w:p>
      <w:pPr>
        <w:spacing w:line="360" w:lineRule="auto"/>
        <w:tabs>
          <w:tab w:val="left" w:pos="840" w:leader="none"/>
          <w:tab w:val="left" w:pos="1155" w:leader="none"/>
        </w:tabs>
        <w:rPr>
          <w:rFonts w:ascii="Times New Roman" w:hAnsi="Times New Roman" w:eastAsia="宋体"/>
          <w:b/>
          <w:color w:val="000000"/>
          <w:sz w:val="24"/>
          <w:szCs w:val="24"/>
        </w:rPr>
      </w:pPr>
      <w:r>
        <w:rPr>
          <w:rFonts w:hint="eastAsia" w:ascii="Times New Roman" w:hAnsi="Times New Roman" w:eastAsia="宋体"/>
          <w:b/>
          <w:color w:val="000000"/>
          <w:sz w:val="24"/>
          <w:szCs w:val="24"/>
        </w:rPr>
        <w:t xml:space="preserve">（二）有关说明： </w:t>
      </w:r>
      <w:r/>
    </w:p>
    <w:p>
      <w:pPr>
        <w:pStyle w:val="1571"/>
        <w:ind w:firstLine="482"/>
        <w:spacing w:after="0" w:line="360" w:lineRule="auto"/>
        <w:rPr>
          <w:rFonts w:hAnsi="Times New Roman"/>
          <w:bCs/>
          <w:color w:val="000000"/>
          <w:sz w:val="24"/>
          <w:highlight w:val="none"/>
        </w:rPr>
      </w:pPr>
      <w:r>
        <w:rPr>
          <w:rFonts w:hint="eastAsia" w:hAnsi="Times New Roman"/>
          <w:bCs/>
          <w:color w:val="000000"/>
          <w:sz w:val="24"/>
          <w:highlight w:val="none"/>
        </w:rPr>
        <w:t xml:space="preserve">1.投标总报价包括满足本项目要求的所有产品及其配件、包装、运杂、安装调试及售后服务等从项目中标起到项目正式交付以及质保期内所发生的一切费用。</w:t>
      </w:r>
      <w:r/>
    </w:p>
    <w:p>
      <w:pPr>
        <w:pStyle w:val="1571"/>
        <w:ind w:firstLine="482"/>
        <w:spacing w:after="0" w:line="360" w:lineRule="auto"/>
        <w:rPr>
          <w:rFonts w:hAnsi="Times New Roman"/>
          <w:bCs/>
          <w:color w:val="000000"/>
          <w:sz w:val="24"/>
          <w:highlight w:val="none"/>
        </w:rPr>
      </w:pPr>
      <w:r>
        <w:rPr>
          <w:rFonts w:hint="eastAsia" w:hAnsi="Times New Roman"/>
          <w:bCs/>
          <w:color w:val="000000"/>
          <w:sz w:val="24"/>
          <w:highlight w:val="none"/>
          <w:lang w:val="en-US" w:eastAsia="zh-CN"/>
        </w:rPr>
        <w:t xml:space="preserve">2</w:t>
      </w:r>
      <w:r>
        <w:rPr>
          <w:rFonts w:hint="eastAsia" w:hAnsi="Times New Roman"/>
          <w:bCs/>
          <w:color w:val="000000"/>
          <w:sz w:val="24"/>
          <w:highlight w:val="none"/>
        </w:rPr>
        <w:t xml:space="preserve">.通过中国海关报关验放进入中国境内且产自关境外的产品不在本项目的报价范围。</w:t>
      </w:r>
      <w:r/>
    </w:p>
    <w:p>
      <w:pPr>
        <w:pStyle w:val="1571"/>
        <w:ind w:firstLine="482"/>
        <w:spacing w:after="0" w:line="360" w:lineRule="auto"/>
        <w:rPr>
          <w:rFonts w:hAnsi="Times New Roman"/>
          <w:bCs/>
          <w:color w:val="000000"/>
          <w:sz w:val="24"/>
          <w:highlight w:val="none"/>
        </w:rPr>
      </w:pPr>
      <w:r>
        <w:rPr>
          <w:rFonts w:hint="eastAsia" w:hAnsi="Times New Roman"/>
          <w:bCs/>
          <w:color w:val="000000"/>
          <w:sz w:val="24"/>
          <w:highlight w:val="none"/>
          <w:lang w:val="en-US" w:eastAsia="zh-CN"/>
        </w:rPr>
        <w:t xml:space="preserve">3</w:t>
      </w:r>
      <w:r>
        <w:rPr>
          <w:rFonts w:hint="eastAsia" w:hAnsi="Times New Roman"/>
          <w:bCs/>
          <w:color w:val="000000"/>
          <w:sz w:val="24"/>
          <w:highlight w:val="none"/>
        </w:rPr>
        <w:t xml:space="preserve">.投标人必须在满足招标文件要求的基础上进行报价，如有技术偏离请于投标偏离表中说明。</w:t>
      </w:r>
      <w:r/>
    </w:p>
    <w:p>
      <w:pPr>
        <w:pStyle w:val="1571"/>
        <w:ind w:firstLine="482"/>
        <w:spacing w:after="0" w:line="360" w:lineRule="auto"/>
        <w:rPr>
          <w:rFonts w:hAnsi="Times New Roman"/>
          <w:bCs/>
          <w:color w:val="000000"/>
          <w:sz w:val="24"/>
          <w:highlight w:val="none"/>
        </w:rPr>
      </w:pPr>
      <w:r>
        <w:rPr>
          <w:rFonts w:hint="eastAsia" w:hAnsi="Times New Roman"/>
          <w:bCs/>
          <w:color w:val="000000"/>
          <w:sz w:val="24"/>
          <w:highlight w:val="none"/>
          <w:lang w:val="en-US" w:eastAsia="zh-CN"/>
        </w:rPr>
        <w:t xml:space="preserve">4</w:t>
      </w:r>
      <w:r>
        <w:rPr>
          <w:rFonts w:hint="eastAsia" w:hAnsi="Times New Roman"/>
          <w:bCs/>
          <w:color w:val="000000"/>
          <w:sz w:val="24"/>
          <w:highlight w:val="none"/>
        </w:rPr>
        <w:t xml:space="preserve">.项目整体质保期：</w:t>
      </w:r>
      <w:r>
        <w:rPr>
          <w:rFonts w:hint="eastAsia" w:hAnsi="Times New Roman"/>
          <w:bCs/>
          <w:color w:val="000000"/>
          <w:sz w:val="24"/>
          <w:highlight w:val="none"/>
          <w:lang w:eastAsia="zh-CN"/>
        </w:rPr>
        <w:t xml:space="preserve">三</w:t>
      </w:r>
      <w:r>
        <w:rPr>
          <w:rFonts w:hint="eastAsia" w:hAnsi="Times New Roman"/>
          <w:bCs/>
          <w:color w:val="000000"/>
          <w:sz w:val="24"/>
          <w:highlight w:val="none"/>
        </w:rPr>
        <w:t xml:space="preserve">年，自最终验收合格、交付使用之日起计算。供应商负责产品在使用期间内，提供</w:t>
      </w:r>
      <w:r>
        <w:rPr>
          <w:rFonts w:hint="eastAsia" w:hAnsi="Times New Roman"/>
          <w:bCs/>
          <w:color w:val="000000"/>
          <w:sz w:val="24"/>
          <w:highlight w:val="none"/>
          <w:lang w:eastAsia="zh-CN"/>
        </w:rPr>
        <w:t xml:space="preserve">三</w:t>
      </w:r>
      <w:r>
        <w:rPr>
          <w:rFonts w:hint="eastAsia" w:hAnsi="Times New Roman"/>
          <w:bCs/>
          <w:color w:val="000000"/>
          <w:sz w:val="24"/>
          <w:highlight w:val="none"/>
        </w:rPr>
        <w:t xml:space="preserve">年免费保修，在产品保修期内，一旦产品发生质量问题，中标人保证在接到通知1小时内响应，1日历天内赶到现场进行修理、更换或退货，费用由中标人负责。如中标人在接到通知后12小时内没有答复，则视为中标人承认质量问题并承担由此发生的一切费用。保修期间产品的一切质量问题，更换部件及产品本身质量原因造成的直接经济损失应全部由中标人负责。</w:t>
      </w:r>
      <w:r/>
    </w:p>
    <w:p>
      <w:pPr>
        <w:pStyle w:val="1571"/>
        <w:ind w:firstLine="482"/>
        <w:spacing w:after="0" w:line="360" w:lineRule="auto"/>
        <w:rPr>
          <w:rFonts w:hAnsi="Times New Roman"/>
          <w:bCs/>
          <w:color w:val="000000"/>
          <w:sz w:val="24"/>
          <w:highlight w:val="none"/>
          <w:lang w:eastAsia="zh-CN"/>
        </w:rPr>
      </w:pPr>
      <w:r>
        <w:rPr>
          <w:rFonts w:hint="eastAsia" w:hAnsi="Times New Roman"/>
          <w:bCs/>
          <w:color w:val="000000"/>
          <w:sz w:val="24"/>
          <w:highlight w:val="none"/>
          <w:lang w:val="en-US" w:eastAsia="zh-CN"/>
        </w:rPr>
        <w:t xml:space="preserve">5</w:t>
      </w:r>
      <w:r>
        <w:rPr>
          <w:rFonts w:hint="eastAsia" w:hAnsi="Times New Roman"/>
          <w:bCs/>
          <w:color w:val="000000"/>
          <w:sz w:val="24"/>
          <w:highlight w:val="none"/>
        </w:rPr>
        <w:t xml:space="preserve">.本项目合同履行地点：</w:t>
      </w:r>
      <w:r>
        <w:rPr>
          <w:rFonts w:hint="eastAsia" w:hAnsi="Times New Roman"/>
          <w:bCs/>
          <w:color w:val="000000"/>
          <w:sz w:val="24"/>
          <w:highlight w:val="none"/>
          <w:lang w:val="en-US" w:eastAsia="zh-CN"/>
        </w:rPr>
        <w:t xml:space="preserve">江苏省怀仁中学</w:t>
      </w:r>
      <w:r>
        <w:rPr>
          <w:rFonts w:hint="eastAsia" w:ascii="宋体"/>
          <w:bCs/>
          <w:sz w:val="24"/>
          <w:highlight w:val="none"/>
        </w:rPr>
        <w:t xml:space="preserve">，具体地点以合同书约定为准</w:t>
      </w:r>
      <w:r>
        <w:rPr>
          <w:rFonts w:hint="eastAsia" w:hAnsi="Times New Roman"/>
          <w:bCs/>
          <w:color w:val="000000"/>
          <w:sz w:val="24"/>
          <w:highlight w:val="none"/>
        </w:rPr>
        <w:t xml:space="preserve">。</w:t>
      </w:r>
      <w:r>
        <w:rPr>
          <w:rFonts w:hint="eastAsia" w:ascii="宋体"/>
          <w:bCs/>
          <w:sz w:val="24"/>
          <w:highlight w:val="none"/>
        </w:rPr>
        <w:t xml:space="preserve">中标方</w:t>
      </w:r>
      <w:r>
        <w:rPr>
          <w:rFonts w:hint="eastAsia" w:hAnsi="Times New Roman"/>
          <w:bCs/>
          <w:color w:val="000000"/>
          <w:sz w:val="24"/>
          <w:highlight w:val="none"/>
        </w:rPr>
        <w:t xml:space="preserve">必须按采购人要求将本项目中货物送到指定地点</w:t>
      </w:r>
      <w:r>
        <w:rPr>
          <w:rFonts w:hint="eastAsia" w:hAnsi="Times New Roman"/>
          <w:bCs/>
          <w:color w:val="000000"/>
          <w:sz w:val="24"/>
          <w:highlight w:val="none"/>
          <w:lang w:eastAsia="zh-CN"/>
        </w:rPr>
        <w:t xml:space="preserve">（</w:t>
      </w:r>
      <w:r>
        <w:rPr>
          <w:rFonts w:hint="eastAsia" w:hAnsi="Times New Roman"/>
          <w:bCs/>
          <w:color w:val="000000"/>
          <w:sz w:val="24"/>
          <w:highlight w:val="none"/>
        </w:rPr>
        <w:t xml:space="preserve">包括可能的</w:t>
      </w:r>
      <w:r>
        <w:rPr>
          <w:rFonts w:hint="eastAsia" w:hAnsi="Times New Roman"/>
          <w:bCs/>
          <w:color w:val="000000"/>
          <w:sz w:val="24"/>
          <w:highlight w:val="none"/>
          <w:lang w:eastAsia="zh-CN"/>
        </w:rPr>
        <w:t xml:space="preserve">分布范围），并分地实施安装调试。</w:t>
      </w:r>
      <w:r/>
    </w:p>
    <w:p>
      <w:pPr>
        <w:pStyle w:val="1571"/>
        <w:ind w:firstLine="482"/>
        <w:spacing w:after="0" w:line="360" w:lineRule="auto"/>
        <w:rPr>
          <w:rFonts w:hint="eastAsia" w:hAnsi="Times New Roman"/>
          <w:bCs/>
          <w:color w:val="000000"/>
          <w:sz w:val="24"/>
          <w:highlight w:val="none"/>
        </w:rPr>
      </w:pPr>
      <w:r>
        <w:rPr>
          <w:rFonts w:hint="eastAsia" w:hAnsi="Times New Roman"/>
          <w:bCs/>
          <w:color w:val="000000"/>
          <w:sz w:val="24"/>
          <w:highlight w:val="none"/>
          <w:lang w:val="en-US" w:eastAsia="zh-CN"/>
        </w:rPr>
        <w:t xml:space="preserve">6</w:t>
      </w:r>
      <w:r>
        <w:rPr>
          <w:rFonts w:hint="eastAsia" w:hAnsi="Times New Roman"/>
          <w:bCs/>
          <w:color w:val="000000"/>
          <w:sz w:val="24"/>
          <w:highlight w:val="none"/>
        </w:rPr>
        <w:t xml:space="preserve">.</w:t>
      </w:r>
      <w:r>
        <w:rPr>
          <w:rFonts w:hint="eastAsia" w:ascii="宋体"/>
          <w:bCs/>
          <w:sz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rFonts w:hint="eastAsia" w:hAnsi="Times New Roman"/>
          <w:bCs/>
          <w:color w:val="000000"/>
          <w:sz w:val="24"/>
          <w:highlight w:val="none"/>
        </w:rPr>
        <w:t xml:space="preserve">。</w:t>
      </w:r>
      <w:r/>
    </w:p>
    <w:p>
      <w:pPr>
        <w:pStyle w:val="1429"/>
        <w:ind w:firstLine="480"/>
        <w:jc w:val="left"/>
        <w:spacing w:line="360" w:lineRule="auto"/>
        <w:tabs>
          <w:tab w:val="left" w:pos="1080" w:leader="none"/>
        </w:tabs>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本项目收取履约保证金</w:t>
      </w:r>
      <w:r>
        <w:rPr>
          <w:rFonts w:hint="eastAsia" w:ascii="宋体" w:hAnsi="宋体" w:cs="宋体"/>
          <w:b w:val="0"/>
          <w:bCs/>
          <w:color w:val="000000"/>
          <w:sz w:val="24"/>
          <w:szCs w:val="24"/>
          <w:highlight w:val="none"/>
          <w:lang w:val="en-US" w:eastAsia="zh-CN"/>
        </w:rPr>
        <w:t xml:space="preserve">，详见合同</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contextualSpacing/>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zh-CN" w:eastAsia="zh-CN" w:bidi="ar-SA"/>
        </w:rPr>
        <w:t xml:space="preserve">、需求中涉及量化指标区间范围的，首个数字为该项最低标准，须完全满足，未满足的视为负偏离。</w:t>
      </w:r>
      <w:r>
        <w:rPr>
          <w:rFonts w:hint="eastAsia" w:ascii="宋体" w:hAnsi="宋体" w:eastAsia="宋体" w:cs="宋体"/>
          <w:b/>
          <w:bCs/>
          <w:color w:val="auto"/>
          <w:sz w:val="24"/>
          <w:szCs w:val="24"/>
          <w:highlight w:val="none"/>
        </w:rPr>
      </w:r>
      <w:r/>
    </w:p>
    <w:p>
      <w:pPr>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24"/>
          <w:szCs w:val="24"/>
          <w:highlight w:val="none"/>
          <w:lang w:val="zh-CN" w:eastAsia="zh-CN" w:bidi="ar-SA"/>
        </w:rPr>
      </w:pPr>
      <w:r>
        <w:rPr>
          <w:rFonts w:hint="eastAsia"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zh-CN" w:eastAsia="zh-CN" w:bidi="ar-SA"/>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
          <w:sz w:val="30"/>
          <w:szCs w:val="30"/>
        </w:rPr>
        <w:t xml:space="preserve">附：政府采购政策（包括但不限于下列具体政策要求）</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sz w:val="32"/>
          <w:szCs w:val="32"/>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sz w:val="24"/>
          <w:szCs w:val="24"/>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bCs/>
          <w:sz w:val="24"/>
          <w:szCs w:val="24"/>
          <w:lang w:eastAsia="zh-CN"/>
        </w:rPr>
        <w:t xml:space="preserve">中华人民共和国政府采购法</w:t>
      </w:r>
      <w:r>
        <w:rPr>
          <w:rFonts w:hint="eastAsia" w:ascii="宋体" w:hAnsi="宋体" w:eastAsia="宋体" w:cs="宋体"/>
          <w:bCs/>
          <w:sz w:val="24"/>
          <w:szCs w:val="24"/>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.本项目中如有涉及数据库、操作系</w:t>
      </w:r>
      <w:r>
        <w:rPr>
          <w:rFonts w:hint="eastAsia" w:ascii="宋体" w:hAnsi="宋体" w:eastAsia="宋体" w:cs="宋体"/>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采购人原则上应当自收到发票后10个工作日内将资金支付到合同约定的供应商账户。</w:t>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黑体" w:eastAsia="黑体"/>
          <w:bCs/>
          <w:sz w:val="28"/>
          <w:szCs w:val="28"/>
        </w:rPr>
      </w:pPr>
      <w:r>
        <w:rPr>
          <w:rFonts w:hint="eastAsia" w:ascii="黑体" w:eastAsia="黑体"/>
          <w:bCs/>
          <w:sz w:val="28"/>
          <w:szCs w:val="28"/>
        </w:rPr>
      </w:r>
      <w:r/>
    </w:p>
    <w:p>
      <w:pPr>
        <w:pStyle w:val="920"/>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920"/>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920"/>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920"/>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920"/>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920"/>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920"/>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920"/>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920"/>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pStyle w:val="1569"/>
        <w:numPr>
          <w:ilvl w:val="1"/>
          <w:numId w:val="0"/>
        </w:numPr>
        <w:spacing w:line="360" w:lineRule="auto"/>
        <w:outlineLvl w:val="1"/>
      </w:p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2.本合同标准文本为政府采购货物买卖合同编制提供参考，可以结合采购项目具体情况，对文本做必要的调整修订后使用。</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sz w:val="44"/>
          <w:szCs w:val="44"/>
        </w:rPr>
        <w:sectPr>
          <w:headerReference w:type="default" r:id="rId9"/>
          <w:footerReference w:type="default" r:id="rId13"/>
          <w:footnotePr/>
          <w:endnotePr/>
          <w:type w:val="nextPage"/>
          <w:pgSz w:w="11906" w:h="16838" w:orient="portrait"/>
          <w:pgMar w:top="1440" w:right="1417" w:bottom="1440" w:left="1417" w:header="851" w:footer="992" w:gutter="0"/>
          <w:cols w:num="1" w:sep="0" w:space="425" w:equalWidth="1"/>
          <w:docGrid w:linePitch="360"/>
        </w:sectPr>
      </w:pPr>
      <w:r>
        <w:rPr>
          <w:rFonts w:eastAsia="黑体"/>
          <w:sz w:val="44"/>
          <w:szCs w:val="44"/>
        </w:rPr>
      </w:r>
      <w:r/>
    </w:p>
    <w:p>
      <w:pPr>
        <w:pStyle w:val="905"/>
        <w:jc w:val="center"/>
        <w:spacing w:line="400" w:lineRule="exact"/>
        <w:rPr>
          <w:rFonts w:hint="eastAsia" w:ascii="黑体" w:hAnsi="华文中宋" w:eastAsia="黑体"/>
          <w:b w:val="0"/>
          <w:bCs w:val="0"/>
          <w:sz w:val="28"/>
          <w:szCs w:val="28"/>
        </w:rPr>
      </w:pPr>
      <w:r/>
      <w:bookmarkStart w:id="27"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27"/>
      <w:r/>
      <w:r/>
    </w:p>
    <w:p>
      <w:pPr>
        <w:pStyle w:val="905"/>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before="0" w:line="400" w:lineRule="exact"/>
        <w:rPr>
          <w:rFonts w:ascii="宋体" w:hAnsi="宋体"/>
          <w:szCs w:val="21"/>
        </w:rPr>
      </w:pPr>
      <w:r>
        <w:rPr>
          <w:rFonts w:hint="eastAsia" w:ascii="宋体" w:hAnsi="宋体"/>
          <w:szCs w:val="21"/>
        </w:rPr>
        <w:t xml:space="preserve">甲方（全称）：</w:t>
      </w:r>
      <w:r>
        <w:rPr>
          <w:rFonts w:hint="eastAsia" w:ascii="宋体" w:hAnsi="宋体" w:cs="Times New Roman"/>
          <w:szCs w:val="21"/>
          <w:u w:val="single"/>
          <w:lang w:eastAsia="zh-CN"/>
        </w:rPr>
        <w:t xml:space="preserve">江苏省怀仁中学</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或采购文件约定的合同甲方）</w:t>
      </w:r>
      <w:r/>
    </w:p>
    <w:p>
      <w:pPr>
        <w:spacing w:before="0" w:line="400" w:lineRule="exact"/>
        <w:rPr>
          <w:rFonts w:ascii="宋体" w:hAnsi="宋体"/>
          <w:szCs w:val="21"/>
        </w:rPr>
      </w:pPr>
      <w:r>
        <w:rPr>
          <w:rFonts w:hint="eastAsia" w:ascii="宋体" w:hAnsi="宋体"/>
          <w:szCs w:val="21"/>
        </w:rPr>
        <w:t xml:space="preserve">乙方</w:t>
      </w:r>
      <w:r>
        <w:rPr>
          <w:rFonts w:hint="eastAsia" w:ascii="宋体" w:hAnsi="宋体"/>
          <w:szCs w:val="21"/>
          <w:lang w:val="en-US" w:eastAsia="zh-CN"/>
        </w:rPr>
        <w:t xml:space="preserve">1</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（供应商）</w:t>
      </w:r>
      <w:r/>
    </w:p>
    <w:p>
      <w:pPr>
        <w:spacing w:before="0"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before="0" w:line="400" w:lineRule="exact"/>
        <w:rPr>
          <w:rFonts w:hint="eastAsia" w:ascii="宋体" w:hAnsi="宋体"/>
          <w:szCs w:val="21"/>
        </w:rPr>
      </w:pPr>
      <w:r>
        <w:rPr>
          <w:rFonts w:hint="eastAsia"/>
          <w:lang w:eastAsia="zh-CN"/>
        </w:rPr>
        <w:t xml:space="preserve">乙方</w:t>
      </w:r>
      <w:r>
        <w:rPr>
          <w:rFonts w:hint="eastAsia" w:ascii="宋体" w:hAnsi="宋体"/>
          <w:szCs w:val="21"/>
          <w:lang w:val="en-US" w:eastAsia="zh-CN"/>
        </w:rPr>
        <w:t xml:space="preserve">3</w:t>
      </w:r>
      <w:r>
        <w:rPr>
          <w:rFonts w:hint="eastAsia"/>
          <w:lang w:val="en-US" w:eastAsia="zh-C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default" w:eastAsia="宋体"/>
          <w:lang w:val="en-US" w:eastAsia="zh-CN"/>
        </w:rPr>
      </w:pPr>
      <w:r>
        <w:rPr>
          <w:rFonts w:hint="default" w:eastAsia="宋体"/>
          <w:lang w:val="en-US" w:eastAsia="zh-CN"/>
        </w:rPr>
      </w:r>
      <w:r/>
    </w:p>
    <w:p>
      <w:pPr>
        <w:pStyle w:val="921"/>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p>
    <w:p>
      <w:pPr>
        <w:numPr>
          <w:ilvl w:val="0"/>
          <w:numId w:val="34"/>
        </w:numPr>
        <w:ind w:firstLine="420"/>
        <w:spacing w:before="0" w:line="400" w:lineRule="exact"/>
        <w:rPr>
          <w:rFonts w:ascii="宋体" w:hAnsi="宋体"/>
          <w:b/>
          <w:szCs w:val="21"/>
        </w:rPr>
      </w:pPr>
      <w:r>
        <w:rPr>
          <w:rFonts w:hint="eastAsia" w:ascii="宋体" w:hAnsi="宋体"/>
          <w:b/>
          <w:szCs w:val="21"/>
        </w:rPr>
        <w:t xml:space="preserve">项目信息</w:t>
      </w:r>
      <w:r/>
    </w:p>
    <w:p>
      <w:pPr>
        <w:pStyle w:val="921"/>
        <w:numPr>
          <w:ilvl w:val="0"/>
          <w:numId w:val="35"/>
        </w:numPr>
        <w:ind w:left="0" w:firstLine="420"/>
        <w:spacing w:before="0" w:after="0" w:line="400" w:lineRule="exact"/>
        <w:rPr>
          <w:rFonts w:hint="eastAsia" w:ascii="宋体" w:hAnsi="宋体" w:cs="Times New Roman"/>
          <w:szCs w:val="21"/>
          <w:u w:val="single"/>
          <w:lang w:val="en-US" w:eastAsia="zh-CN"/>
        </w:rPr>
      </w:pPr>
      <w:r>
        <w:rPr>
          <w:rFonts w:hint="eastAsia" w:ascii="宋体" w:hAnsi="宋体"/>
          <w:szCs w:val="21"/>
        </w:rPr>
        <w:t xml:space="preserve">采购项目名称：</w:t>
      </w:r>
      <w:bookmarkStart w:id="28" w:name="OLE_LINK2"/>
      <w:r>
        <w:rPr>
          <w:rFonts w:hint="eastAsia" w:ascii="宋体" w:hAnsi="宋体" w:cs="Times New Roman"/>
          <w:szCs w:val="21"/>
          <w:u w:val="single"/>
          <w:lang w:eastAsia="zh-CN"/>
        </w:rPr>
        <w:t xml:space="preserve">江苏省怀仁中学实验室设备购置项</w:t>
      </w:r>
      <w:r>
        <w:rPr>
          <w:rFonts w:hint="eastAsia" w:ascii="宋体" w:hAnsi="宋体" w:cs="Times New Roman"/>
          <w:szCs w:val="21"/>
          <w:u w:val="single"/>
        </w:rPr>
        <w:t xml:space="preserve">目</w:t>
      </w:r>
      <w:bookmarkEnd w:id="28"/>
      <w:r/>
      <w:r/>
    </w:p>
    <w:p>
      <w:pPr>
        <w:pStyle w:val="921"/>
        <w:numPr>
          <w:ilvl w:val="-1"/>
          <w:numId w:val="0"/>
        </w:numPr>
        <w:ind w:left="0" w:firstLine="0"/>
        <w:spacing w:before="0" w:after="0" w:line="400" w:lineRule="exact"/>
        <w:tabs>
          <w:tab w:val="left" w:pos="999" w:leader="none"/>
        </w:tabs>
        <w:rPr>
          <w:rFonts w:hint="default"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p>
    <w:p>
      <w:pPr>
        <w:pStyle w:val="921"/>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before="0" w:line="400" w:lineRule="exact"/>
        <w:rPr>
          <w:rFonts w:hint="eastAsia" w:ascii="宋体" w:hAnsi="宋体"/>
          <w:szCs w:val="21"/>
        </w:rPr>
      </w:pPr>
      <w:r>
        <w:rPr>
          <w:rFonts w:hint="eastAsia" w:ascii="宋体" w:hAnsi="宋体"/>
          <w:szCs w:val="21"/>
        </w:rPr>
        <w:t xml:space="preserve">（3）项目内容：</w:t>
      </w:r>
      <w:r/>
    </w:p>
    <w:p>
      <w:pPr>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20"/>
        <w:spacing w:before="0" w:line="400" w:lineRule="exact"/>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p>
    <w:p>
      <w:pPr>
        <w:numPr>
          <w:ilvl w:val="-1"/>
          <w:numId w:val="0"/>
        </w:numPr>
        <w:ind w:firstLine="42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p>
    <w:p>
      <w:pPr>
        <w:numPr>
          <w:ilvl w:val="-1"/>
          <w:numId w:val="0"/>
        </w:numPr>
        <w:ind w:firstLine="42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p>
    <w:p>
      <w:pPr>
        <w:pStyle w:val="97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97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977"/>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977"/>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p>
    <w:p>
      <w:pPr>
        <w:pStyle w:val="977"/>
        <w:numPr>
          <w:ilvl w:val="-1"/>
          <w:numId w:val="0"/>
        </w:numPr>
        <w:ind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rPr>
        <w:t xml:space="preserve">是</w:t>
      </w:r>
      <w:r>
        <w:rPr>
          <w:rFonts w:hint="eastAsia" w:asciiTheme="minorEastAsia" w:hAnsiTheme="minorEastAsia" w:eastAsiaTheme="minorEastAsia" w:cstheme="minorEastAsia"/>
          <w:iCs w:val="0"/>
          <w:sz w:val="21"/>
          <w:szCs w:val="21"/>
          <w:lang w:eastAsia="zh-CN"/>
        </w:rPr>
        <w:t xml:space="preserve">，《政府采购品目分类目录》底级品目名称</w:t>
      </w:r>
      <w:r>
        <w:rPr>
          <w:rFonts w:hint="eastAsia" w:asciiTheme="minorEastAsia" w:hAnsiTheme="minorEastAsia" w:eastAsiaTheme="minorEastAsia" w:cstheme="minorEastAsia"/>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r/>
    </w:p>
    <w:p>
      <w:pPr>
        <w:pStyle w:val="977"/>
        <w:numPr>
          <w:ilvl w:val="-1"/>
          <w:numId w:val="0"/>
        </w:numPr>
        <w:ind w:firstLine="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否</w:t>
      </w:r>
      <w:r/>
    </w:p>
    <w:p>
      <w:pPr>
        <w:pStyle w:val="977"/>
        <w:numPr>
          <w:ilvl w:val="-1"/>
          <w:numId w:val="0"/>
        </w:numPr>
        <w:ind w:left="0"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 xml:space="preserve">4</w:t>
      </w:r>
      <w:r>
        <w:rPr>
          <w:rFonts w:hint="eastAsia" w:asciiTheme="minorEastAsia" w:hAnsiTheme="minorEastAsia" w:eastAsiaTheme="minorEastAsia" w:cstheme="minorEastAsia"/>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政府集中采购</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þ</w:t>
      </w:r>
      <w:r>
        <w:rPr>
          <w:rFonts w:hint="eastAsia" w:asciiTheme="minorEastAsia" w:hAnsiTheme="minorEastAsia" w:eastAsiaTheme="minorEastAsia" w:cstheme="minorEastAsia"/>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分散采购</w:t>
      </w:r>
      <w:r/>
    </w:p>
    <w:p>
      <w:pPr>
        <w:pStyle w:val="977"/>
        <w:numPr>
          <w:ilvl w:val="-1"/>
          <w:numId w:val="0"/>
        </w:numPr>
        <w:ind w:left="0" w:firstLine="42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w:t>
      </w:r>
      <w:r>
        <w:rPr>
          <w:rFonts w:hint="default" w:asciiTheme="minorEastAsia" w:hAnsiTheme="minorEastAsia" w:eastAsiaTheme="minorEastAsia" w:cstheme="minorEastAsia"/>
          <w:iCs w:val="0"/>
          <w:sz w:val="21"/>
          <w:szCs w:val="21"/>
          <w:lang w:val="en" w:eastAsia="zh-CN"/>
        </w:rPr>
        <w:t xml:space="preserve">5</w:t>
      </w:r>
      <w:r>
        <w:rPr>
          <w:rFonts w:hint="eastAsia" w:asciiTheme="minorEastAsia" w:hAnsiTheme="minorEastAsia" w:eastAsiaTheme="minorEastAsia" w:cstheme="minorEastAsia"/>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Theme="minorEastAsia" w:hAnsiTheme="minorEastAsia" w:eastAsiaTheme="minorEastAsia" w:cstheme="minorEastAsia"/>
          <w:iCs w:val="0"/>
          <w:sz w:val="21"/>
          <w:szCs w:val="21"/>
          <w:lang w:eastAsia="zh-CN"/>
        </w:rPr>
        <w:t xml:space="preserve">公开招标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邀请招标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竞争性谈判</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竞争性磋商</w:t>
      </w:r>
      <w:r/>
    </w:p>
    <w:p>
      <w:pPr>
        <w:pStyle w:val="977"/>
        <w:numPr>
          <w:ilvl w:val="-1"/>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询价</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单一来源</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框架协议</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977"/>
        <w:numPr>
          <w:ilvl w:val="-1"/>
          <w:numId w:val="0"/>
        </w:numPr>
        <w:ind w:left="0" w:firstLine="420"/>
        <w:spacing w:before="0" w:line="400" w:lineRule="exact"/>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p>
    <w:p>
      <w:pPr>
        <w:pStyle w:val="977"/>
        <w:numPr>
          <w:ilvl w:val="-1"/>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1"/>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lang w:eastAsia="zh-CN"/>
        </w:rPr>
        <w:t xml:space="preserve">购</w:t>
      </w:r>
      <w:r>
        <w:rPr>
          <w:rFonts w:hint="eastAsia" w:ascii="宋体" w:hAnsi="宋体"/>
          <w:szCs w:val="21"/>
          <w:shd w:val="clear" w:color="auto"/>
        </w:rPr>
        <w:t xml:space="preserve">合同</w:t>
      </w:r>
      <w:r>
        <w:rPr>
          <w:rFonts w:hint="eastAsia" w:ascii="宋体" w:hAnsi="宋体"/>
          <w:szCs w:val="21"/>
          <w:shd w:val="clear" w:color="auto"/>
          <w:lang w:eastAsia="zh-CN"/>
        </w:rPr>
        <w:t xml:space="preserve">（中小企业预留合同）</w:t>
      </w:r>
      <w:r>
        <w:rPr>
          <w:rFonts w:hint="eastAsia" w:ascii="宋体" w:hAnsi="宋体"/>
          <w:szCs w:val="21"/>
          <w:shd w:val="clear" w:color="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ind w:firstLine="0"/>
        <w:spacing w:line="400" w:lineRule="exact"/>
        <w:rPr>
          <w:rFonts w:hint="default"/>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before="0" w:line="400" w:lineRule="exact"/>
        <w:rPr>
          <w:rFonts w:ascii="宋体" w:hAnsi="宋体"/>
          <w:szCs w:val="21"/>
        </w:rPr>
      </w:pPr>
      <w:r>
        <w:rPr>
          <w:rFonts w:hint="eastAsia" w:ascii="宋体" w:hAnsi="宋体"/>
          <w:szCs w:val="21"/>
        </w:rPr>
        <w:t xml:space="preserve">（</w:t>
      </w:r>
      <w:r>
        <w:rPr>
          <w:rFonts w:hint="default"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p>
    <w:p>
      <w:pPr>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p>
    <w:p>
      <w:pPr>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p>
    <w:p>
      <w:pPr>
        <w:ind w:firstLine="840"/>
        <w:spacing w:line="400" w:lineRule="exact"/>
        <w:rPr>
          <w:rFonts w:hint="default"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p>
    <w:p>
      <w:pPr>
        <w:numPr>
          <w:ilvl w:val="-1"/>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77"/>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default"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p>
    <w:p>
      <w:pPr>
        <w:numPr>
          <w:ilvl w:val="-1"/>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p>
    <w:p>
      <w:pPr>
        <w:numPr>
          <w:ilvl w:val="-1"/>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p>
    <w:p>
      <w:pPr>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pStyle w:val="977"/>
        <w:numPr>
          <w:ilvl w:val="-1"/>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p>
    <w:p>
      <w:pPr>
        <w:pStyle w:val="977"/>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pStyle w:val="977"/>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p>
    <w:p>
      <w:pPr>
        <w:numPr>
          <w:ilvl w:val="-1"/>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w:t>
      </w:r>
      <w:r>
        <w:rPr>
          <w:rFonts w:hint="eastAsia" w:ascii="宋体" w:hAnsi="宋体"/>
          <w:szCs w:val="21"/>
          <w:lang w:eastAsia="zh-CN"/>
        </w:rPr>
        <w:t xml:space="preserve">》《</w:t>
      </w:r>
      <w:r>
        <w:rPr>
          <w:rFonts w:hint="eastAsia" w:ascii="宋体" w:hAnsi="宋体"/>
          <w:szCs w:val="21"/>
        </w:rPr>
        <w:t xml:space="preserve">快递包装政府采购需求标准（试行）》</w:t>
      </w:r>
      <w:r>
        <w:rPr>
          <w:rFonts w:hint="eastAsia" w:ascii="宋体" w:hAnsi="宋体" w:eastAsia="宋体"/>
          <w:szCs w:val="21"/>
          <w:lang w:eastAsia="zh-CN"/>
        </w:rPr>
        <w:t xml:space="preserve">明确产品及相关快递服务的具体包装要求：</w:t>
      </w:r>
      <w:r/>
    </w:p>
    <w:p>
      <w:pPr>
        <w:numPr>
          <w:ilvl w:val="-1"/>
          <w:numId w:val="0"/>
        </w:numPr>
        <w:ind w:firstLine="84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p>
    <w:p>
      <w:pPr>
        <w:numPr>
          <w:ilvl w:val="0"/>
          <w:numId w:val="34"/>
        </w:numPr>
        <w:ind w:firstLine="420"/>
        <w:spacing w:before="0"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p>
    <w:p>
      <w:pPr>
        <w:ind w:firstLine="42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p>
    <w:p>
      <w:pPr>
        <w:pStyle w:val="1195"/>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34"/>
        </w:numPr>
        <w:ind w:firstLine="420"/>
        <w:spacing w:before="0" w:line="400" w:lineRule="exact"/>
        <w:rPr>
          <w:rFonts w:ascii="宋体" w:hAnsi="宋体"/>
          <w:b/>
          <w:bCs w:val="0"/>
          <w:szCs w:val="21"/>
          <w:u w:val="single"/>
        </w:rPr>
      </w:pPr>
      <w:r>
        <w:rPr>
          <w:rFonts w:hint="eastAsia" w:ascii="宋体" w:hAnsi="宋体"/>
          <w:b/>
          <w:bCs w:val="0"/>
          <w:szCs w:val="21"/>
        </w:rPr>
        <w:t xml:space="preserve">合同履行</w:t>
      </w:r>
      <w:r/>
    </w:p>
    <w:p>
      <w:pPr>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p>
    <w:p>
      <w:pPr>
        <w:ind w:firstLine="420"/>
        <w:spacing w:before="0"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履约担保：</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是否收取履约保证金：</w:t>
      </w:r>
      <w:r>
        <w:rPr>
          <w:rFonts w:ascii="Wingdings" w:hAnsi="Wingdings" w:eastAsia="Wingdings" w:cs="Wingdings"/>
          <w:color w:val="000000" w:themeColor="text1"/>
          <w:sz w:val="21"/>
          <w:szCs w:val="21"/>
          <w:highlight w:val="none"/>
          <w14:textFill>
            <w14:solidFill>
              <w14:schemeClr w14:val="tx1"/>
            </w14:solidFill>
          </w14:textFill>
        </w:rPr>
        <w:t xml:space="preserve">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是</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ascii="Wingdings" w:hAnsi="Wingdings" w:eastAsia="Wingdings" w:cs="Wingding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否</w:t>
      </w:r>
      <w:r/>
    </w:p>
    <w:p>
      <w:pPr>
        <w:pStyle w:val="977"/>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Cs w:val="21"/>
          <w:highlight w:val="none"/>
          <w:u w:val="none"/>
          <w:lang w:val="en-US" w:eastAsia="zh-CN"/>
          <w14:textFill>
            <w14:solidFill>
              <w14:schemeClr w14:val="tx1"/>
            </w14:solidFill>
          </w14:textFill>
        </w:rPr>
        <w:t xml:space="preserve">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收取履约保证金形式：</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以支票、汇票、本票、保函等非现金形式缴纳或提交；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p>
    <w:p>
      <w:pPr>
        <w:pStyle w:val="977"/>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收取履约保证金金额：</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合同价的10%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p>
    <w:p>
      <w:pPr>
        <w:ind w:firstLine="420"/>
        <w:spacing w:line="400" w:lineRule="exact"/>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履约担保期限：</w:t>
      </w:r>
      <w:r>
        <w:rPr>
          <w:rFonts w:hint="eastAsia" w:ascii="宋体" w:hAnsi="宋体" w:cs="宋体"/>
          <w:bCs/>
          <w:color w:val="000000" w:themeColor="text1"/>
          <w:sz w:val="21"/>
          <w:szCs w:val="21"/>
          <w:highlight w:val="none"/>
          <w:u w:val="single"/>
          <w:lang w:val="en-US" w:eastAsia="zh-CN" w:bidi="ar-SA"/>
          <w14:textFill>
            <w14:solidFill>
              <w14:schemeClr w14:val="tx1"/>
            </w14:solidFill>
          </w14:textFill>
        </w:rPr>
        <w:t xml:space="preserve">在合同期满后30天内且中标人无任何违约或违法行为，由采购人无息退还给中标人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p>
    <w:p>
      <w:pPr>
        <w:pStyle w:val="977"/>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履约保证金的缴纳时间：</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中标人在签订合同后5个工作日内，向采购人提交履约保证金；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p>
    <w:p>
      <w:pPr>
        <w:pStyle w:val="977"/>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退付办法：</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与中标人提交履约保证金的方式相同；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p>
    <w:p>
      <w:pPr>
        <w:pStyle w:val="977"/>
        <w:rPr>
          <w:rFonts w:hint="default" w:ascii="宋体" w:hAnsi="宋体" w:eastAsia="等线" w:cs="宋体"/>
          <w:bCs/>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履约保证金不予退还的情形：</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①由于中标方的原因不能履约的，②在履行合同期间发生重大安全事故，给采购人造成不良影响和严重经济损失的                                </w:t>
      </w:r>
      <w:r/>
    </w:p>
    <w:p>
      <w:pPr>
        <w:ind w:firstLine="420"/>
        <w:spacing w:line="400" w:lineRule="exact"/>
        <w:rPr>
          <w:rFonts w:hint="eastAsia" w:ascii="宋体" w:hAnsi="宋体" w:eastAsia="等线" w:cs="宋体"/>
          <w:bCs/>
          <w:color w:val="000000" w:themeColor="text1"/>
          <w:sz w:val="21"/>
          <w:szCs w:val="21"/>
          <w:highlight w:val="yellow"/>
          <w:lang w:val="en-US" w:eastAsia="zh-CN" w:bidi="ar-SA"/>
          <w14:textFill>
            <w14:solidFill>
              <w14:schemeClr w14:val="tx1"/>
            </w14:solidFill>
          </w14:textFill>
        </w:rPr>
      </w:pP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逾期退还履约保证金的违约责任：</w:t>
      </w:r>
      <w:r>
        <w:rPr>
          <w:rFonts w:hint="eastAsia" w:ascii="宋体" w:hAnsi="宋体" w:cs="宋体"/>
          <w:bCs/>
          <w:color w:val="000000" w:themeColor="text1"/>
          <w:sz w:val="21"/>
          <w:szCs w:val="21"/>
          <w:highlight w:val="none"/>
          <w:u w:val="single"/>
          <w:lang w:val="en-US" w:eastAsia="zh-CN" w:bidi="ar-SA"/>
          <w14:textFill>
            <w14:solidFill>
              <w14:schemeClr w14:val="tx1"/>
            </w14:solidFill>
          </w14:textFill>
        </w:rPr>
        <w:t xml:space="preserve">履约保证金在合同期满后30天内且中标人无任何违约或违法行为，由采购人无息退还给中标人，如采购人未按时退还履约保证金，应当赔偿中标人利息损失；</w:t>
      </w:r>
      <w:r/>
    </w:p>
    <w:p>
      <w:pPr>
        <w:ind w:firstLine="42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2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34"/>
        </w:numPr>
        <w:ind w:firstLine="420"/>
        <w:spacing w:before="0" w:line="400" w:lineRule="exact"/>
        <w:rPr>
          <w:rFonts w:ascii="宋体" w:hAnsi="宋体"/>
          <w:b/>
          <w:szCs w:val="21"/>
        </w:rPr>
      </w:pPr>
      <w:r>
        <w:rPr>
          <w:rFonts w:hint="eastAsia" w:ascii="宋体" w:hAnsi="宋体"/>
          <w:b/>
          <w:szCs w:val="21"/>
        </w:rPr>
        <w:t xml:space="preserve">合同验收</w:t>
      </w:r>
      <w:r/>
    </w:p>
    <w:p>
      <w:pPr>
        <w:numPr>
          <w:ilvl w:val="0"/>
          <w:numId w:val="36"/>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p>
    <w:p>
      <w:pPr>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p>
    <w:p>
      <w:pPr>
        <w:ind w:firstLine="84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p>
    <w:p>
      <w:pPr>
        <w:ind w:firstLine="84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p>
    <w:p>
      <w:pPr>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p>
    <w:p>
      <w:pPr>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hint="default"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p>
    <w:p>
      <w:pPr>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77"/>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2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p>
    <w:p>
      <w:pPr>
        <w:numPr>
          <w:ilvl w:val="0"/>
          <w:numId w:val="34"/>
        </w:numPr>
        <w:ind w:firstLine="420"/>
        <w:spacing w:before="0" w:line="400" w:lineRule="exact"/>
        <w:rPr>
          <w:rFonts w:hint="eastAsia" w:ascii="宋体" w:hAnsi="宋体"/>
          <w:b/>
          <w:szCs w:val="21"/>
        </w:rPr>
      </w:pPr>
      <w:r>
        <w:rPr>
          <w:rFonts w:hint="eastAsia" w:ascii="宋体" w:hAnsi="宋体"/>
          <w:b/>
          <w:szCs w:val="21"/>
        </w:rPr>
        <w:t xml:space="preserve">组成合同的文件</w:t>
      </w:r>
      <w:r/>
    </w:p>
    <w:p>
      <w:pPr>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auto"/>
          <w:szCs w:val="21"/>
          <w:lang w:eastAsia="zh-CN"/>
        </w:rPr>
      </w:pPr>
      <w:r>
        <w:rPr>
          <w:rFonts w:hint="eastAsia" w:ascii="宋体" w:hAnsi="宋体"/>
          <w:color w:val="auto"/>
          <w:szCs w:val="21"/>
        </w:rPr>
        <w:t xml:space="preserve">（1）</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p>
    <w:p>
      <w:pPr>
        <w:ind w:firstLine="420"/>
        <w:spacing w:before="0" w:line="400" w:lineRule="exact"/>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4</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p>
    <w:p>
      <w:pPr>
        <w:ind w:firstLine="420"/>
        <w:spacing w:before="0" w:line="400" w:lineRule="exact"/>
        <w:rPr>
          <w:rFonts w:ascii="宋体" w:hAnsi="宋体"/>
          <w:szCs w:val="21"/>
        </w:rPr>
      </w:pPr>
      <w:r>
        <w:rPr>
          <w:rFonts w:hint="eastAsia" w:ascii="宋体" w:hAnsi="宋体"/>
          <w:szCs w:val="21"/>
        </w:rPr>
        <w:t xml:space="preserve">（6）采购文件</w:t>
      </w:r>
      <w:r/>
    </w:p>
    <w:p>
      <w:pPr>
        <w:ind w:firstLine="420"/>
        <w:spacing w:before="0" w:line="400" w:lineRule="exact"/>
        <w:rPr>
          <w:rFonts w:ascii="宋体" w:hAnsi="宋体"/>
          <w:szCs w:val="21"/>
        </w:rPr>
      </w:pPr>
      <w:r>
        <w:rPr>
          <w:rFonts w:hint="eastAsia" w:ascii="宋体" w:hAnsi="宋体"/>
          <w:szCs w:val="21"/>
        </w:rPr>
        <w:t xml:space="preserve">（7）有关技术文件，图纸</w:t>
      </w:r>
      <w:r/>
    </w:p>
    <w:p>
      <w:pPr>
        <w:pStyle w:val="977"/>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34"/>
        </w:numPr>
        <w:ind w:firstLine="420"/>
        <w:spacing w:before="0" w:line="400" w:lineRule="exact"/>
        <w:rPr>
          <w:rFonts w:hint="eastAsia" w:ascii="宋体" w:hAnsi="宋体"/>
          <w:b/>
          <w:szCs w:val="21"/>
        </w:rPr>
      </w:pPr>
      <w:r>
        <w:rPr>
          <w:rFonts w:hint="eastAsia" w:ascii="宋体" w:hAnsi="宋体"/>
          <w:b/>
          <w:szCs w:val="21"/>
        </w:rPr>
        <w:t xml:space="preserve">合同生效</w:t>
      </w:r>
      <w:r/>
    </w:p>
    <w:p>
      <w:pPr>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34"/>
        </w:numPr>
        <w:ind w:firstLine="420"/>
        <w:spacing w:before="0" w:line="400" w:lineRule="exact"/>
        <w:rPr>
          <w:rFonts w:hint="eastAsia" w:ascii="宋体" w:hAnsi="宋体"/>
          <w:b/>
          <w:szCs w:val="21"/>
        </w:rPr>
      </w:pPr>
      <w:r>
        <w:rPr>
          <w:rFonts w:hint="eastAsia" w:ascii="宋体" w:hAnsi="宋体"/>
          <w:b/>
          <w:szCs w:val="21"/>
        </w:rPr>
        <w:t xml:space="preserve">合同份数</w:t>
      </w:r>
      <w:r/>
    </w:p>
    <w:p>
      <w:pPr>
        <w:ind w:firstLine="42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1195"/>
        <w:spacing w:line="400" w:lineRule="exact"/>
      </w:pPr>
      <w:r/>
      <w:r/>
    </w:p>
    <w:p>
      <w:pPr>
        <w:pStyle w:val="905"/>
        <w:spacing w:line="400" w:lineRule="exact"/>
        <w:rPr>
          <w:rFonts w:hint="eastAsia" w:ascii="宋体" w:hAnsi="宋体" w:cs="Times New Roman"/>
          <w:b w:val="0"/>
          <w:bCs w:val="0"/>
          <w:sz w:val="21"/>
          <w:szCs w:val="21"/>
          <w:highlight w:val="none"/>
          <w:lang w:val="en-US" w:eastAsia="zh-CN"/>
        </w:rPr>
      </w:pPr>
      <w:r>
        <w:rPr>
          <w:rFonts w:hint="default"/>
          <w:lang w:val="en"/>
        </w:rPr>
        <w:t xml:space="preserve">   </w:t>
      </w:r>
      <w:r/>
    </w:p>
    <w:p>
      <w:pPr>
        <w:rPr>
          <w:rFonts w:hint="eastAsia"/>
        </w:rPr>
      </w:pPr>
      <w:r>
        <w:rPr>
          <w:rFonts w:hint="eastAsia"/>
        </w:rPr>
        <w:br w:type="page" w:clear="all"/>
      </w:r>
      <w:r/>
    </w:p>
    <w:p>
      <w:pPr>
        <w:pStyle w:val="1195"/>
        <w:rPr>
          <w:rFonts w:hint="eastAsia"/>
        </w:rPr>
      </w:pPr>
      <w:r>
        <w:rPr>
          <w:rFonts w:hint="eastAsia"/>
        </w:rPr>
      </w:r>
      <w:r/>
    </w:p>
    <w:tbl>
      <w:tblPr>
        <w:tblStyle w:val="91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921"/>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905"/>
        <w:jc w:val="center"/>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before="0" w:line="400" w:lineRule="exact"/>
        <w:tabs>
          <w:tab w:val="left" w:pos="8820" w:leader="none"/>
          <w:tab w:val="left" w:pos="9345" w:leader="none"/>
          <w:tab w:val="left" w:pos="9765" w:leader="none"/>
        </w:tabs>
        <w:rPr>
          <w:rFonts w:hint="eastAsia" w:ascii="宋体" w:hAnsi="宋体" w:eastAsia="宋体" w:cs="宋体"/>
          <w:b/>
          <w:bCs/>
          <w:sz w:val="24"/>
        </w:rPr>
      </w:pPr>
      <w:r>
        <w:rPr>
          <w:rFonts w:hint="eastAsia" w:ascii="宋体" w:hAnsi="宋体" w:eastAsia="宋体" w:cs="宋体"/>
          <w:b/>
          <w:sz w:val="24"/>
        </w:rPr>
        <w:t xml:space="preserve">1.</w:t>
      </w:r>
      <w:r>
        <w:rPr>
          <w:rFonts w:hint="eastAsia" w:ascii="宋体" w:hAnsi="宋体" w:eastAsia="宋体" w:cs="宋体"/>
          <w:b/>
          <w:sz w:val="24"/>
          <w:lang w:val="en-US" w:eastAsia="zh-CN"/>
        </w:rPr>
        <w:t xml:space="preserve"> </w:t>
      </w:r>
      <w:r>
        <w:rPr>
          <w:rFonts w:hint="eastAsia" w:ascii="宋体" w:hAnsi="宋体" w:eastAsia="宋体" w:cs="宋体"/>
          <w:b/>
          <w:bCs/>
          <w:sz w:val="24"/>
        </w:rPr>
        <w:t xml:space="preserve">定义</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（1）采购人（以下称甲方）是指使用财政性资金，通过政府采购方式向供应商购买货物</w:t>
      </w:r>
      <w:r>
        <w:rPr>
          <w:rFonts w:hint="eastAsia" w:ascii="宋体" w:hAnsi="宋体" w:eastAsia="宋体" w:cs="宋体"/>
          <w:color w:val="auto"/>
          <w:szCs w:val="21"/>
          <w:highlight w:val="none"/>
          <w:lang w:val="en-US" w:eastAsia="zh-CN"/>
        </w:rPr>
        <w:t xml:space="preserve">及其相关服务的</w:t>
      </w:r>
      <w:r>
        <w:rPr>
          <w:rFonts w:hint="eastAsia" w:ascii="宋体" w:hAnsi="宋体" w:eastAsia="宋体" w:cs="宋体"/>
          <w:color w:val="auto"/>
          <w:szCs w:val="21"/>
          <w:highlight w:val="none"/>
        </w:rPr>
        <w:t xml:space="preserve">国家机关、事业单位、团体组织。</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（2）供应商（以下称</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方）是指参加政府采购活动并且中标（成交），向采购人提供</w:t>
      </w:r>
      <w:r>
        <w:rPr>
          <w:rFonts w:hint="eastAsia" w:ascii="宋体" w:hAnsi="宋体" w:eastAsia="宋体" w:cs="宋体"/>
          <w:color w:val="auto"/>
          <w:szCs w:val="21"/>
          <w:highlight w:val="none"/>
          <w:lang w:val="en-US" w:eastAsia="zh-CN"/>
        </w:rPr>
        <w:t xml:space="preserve">合同约定的货物及其相关服务的法人、非法人组织或者自然人</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1.2本合同下列术语应解释为：</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auto"/>
          <w:szCs w:val="21"/>
          <w:lang w:eastAsia="zh-CN"/>
        </w:rPr>
        <w:t xml:space="preserve">政府采购</w:t>
      </w:r>
      <w:r>
        <w:rPr>
          <w:rFonts w:hint="eastAsia" w:ascii="宋体" w:hAnsi="宋体" w:eastAsia="宋体" w:cs="宋体"/>
          <w:color w:val="auto"/>
          <w:szCs w:val="21"/>
        </w:rPr>
        <w:t xml:space="preserve">合同协议书及其变更、补充</w:t>
      </w:r>
      <w:r>
        <w:rPr>
          <w:rFonts w:hint="eastAsia" w:ascii="宋体" w:hAnsi="宋体" w:eastAsia="宋体" w:cs="宋体"/>
          <w:color w:val="auto"/>
          <w:szCs w:val="21"/>
          <w:lang w:eastAsia="zh-CN"/>
        </w:rPr>
        <w:t xml:space="preserve">协议，</w:t>
      </w:r>
      <w:r>
        <w:rPr>
          <w:rFonts w:hint="eastAsia" w:ascii="宋体" w:hAnsi="宋体" w:eastAsia="宋体" w:cs="宋体"/>
          <w:szCs w:val="21"/>
        </w:rPr>
        <w:t xml:space="preserve">政府采购合同专用条款</w:t>
      </w:r>
      <w:r>
        <w:rPr>
          <w:rFonts w:hint="eastAsia" w:ascii="宋体" w:hAnsi="宋体" w:eastAsia="宋体" w:cs="宋体"/>
          <w:szCs w:val="21"/>
          <w:lang w:eastAsia="zh-CN"/>
        </w:rPr>
        <w:t xml:space="preserve">，</w:t>
      </w:r>
      <w:r>
        <w:rPr>
          <w:rFonts w:hint="eastAsia" w:ascii="宋体" w:hAnsi="宋体" w:eastAsia="宋体" w:cs="宋体"/>
          <w:szCs w:val="21"/>
        </w:rPr>
        <w:t xml:space="preserve">政府采购合同通用条款</w:t>
      </w:r>
      <w:r>
        <w:rPr>
          <w:rFonts w:hint="eastAsia" w:ascii="宋体" w:hAnsi="宋体" w:eastAsia="宋体" w:cs="宋体"/>
          <w:szCs w:val="21"/>
          <w:lang w:eastAsia="zh-CN"/>
        </w:rPr>
        <w:t xml:space="preserve">，</w:t>
      </w:r>
      <w:r>
        <w:rPr>
          <w:rFonts w:hint="eastAsia" w:ascii="宋体" w:hAnsi="宋体" w:eastAsia="宋体" w:cs="宋体"/>
          <w:color w:val="auto"/>
          <w:szCs w:val="21"/>
        </w:rPr>
        <w:t xml:space="preserve">中标</w:t>
      </w:r>
      <w:r>
        <w:rPr>
          <w:rFonts w:hint="eastAsia" w:ascii="宋体" w:hAnsi="宋体" w:eastAsia="宋体" w:cs="宋体"/>
          <w:color w:val="auto"/>
          <w:szCs w:val="21"/>
          <w:lang w:eastAsia="zh-CN"/>
        </w:rPr>
        <w:t xml:space="preserve">（成交）</w:t>
      </w:r>
      <w:r>
        <w:rPr>
          <w:rFonts w:hint="eastAsia" w:ascii="宋体" w:hAnsi="宋体" w:eastAsia="宋体" w:cs="宋体"/>
          <w:color w:val="auto"/>
          <w:szCs w:val="21"/>
        </w:rPr>
        <w:t xml:space="preserve">通知书</w:t>
      </w:r>
      <w:r>
        <w:rPr>
          <w:rFonts w:hint="eastAsia" w:ascii="宋体" w:hAnsi="宋体" w:eastAsia="宋体" w:cs="宋体"/>
          <w:color w:val="auto"/>
          <w:szCs w:val="21"/>
          <w:lang w:eastAsia="zh-CN"/>
        </w:rPr>
        <w:t xml:space="preserve">，</w:t>
      </w:r>
      <w:r>
        <w:rPr>
          <w:rFonts w:hint="eastAsia" w:ascii="宋体" w:hAnsi="宋体" w:eastAsia="宋体" w:cs="宋体"/>
          <w:szCs w:val="21"/>
        </w:rPr>
        <w:t xml:space="preserve">投标（响应）文件</w:t>
      </w:r>
      <w:r>
        <w:rPr>
          <w:rFonts w:hint="eastAsia" w:ascii="宋体" w:hAnsi="宋体" w:eastAsia="宋体" w:cs="宋体"/>
          <w:szCs w:val="21"/>
          <w:lang w:eastAsia="zh-CN"/>
        </w:rPr>
        <w:t xml:space="preserve">，</w:t>
      </w:r>
      <w:r>
        <w:rPr>
          <w:rFonts w:hint="eastAsia" w:ascii="宋体" w:hAnsi="宋体" w:eastAsia="宋体" w:cs="宋体"/>
          <w:szCs w:val="21"/>
        </w:rPr>
        <w:t xml:space="preserve">采购文件</w:t>
      </w:r>
      <w:r>
        <w:rPr>
          <w:rFonts w:hint="eastAsia" w:ascii="宋体" w:hAnsi="宋体" w:eastAsia="宋体" w:cs="宋体"/>
          <w:szCs w:val="21"/>
          <w:lang w:eastAsia="zh-CN"/>
        </w:rPr>
        <w:t xml:space="preserve">，</w:t>
      </w:r>
      <w:r>
        <w:rPr>
          <w:rFonts w:hint="eastAsia" w:ascii="宋体" w:hAnsi="宋体" w:eastAsia="宋体" w:cs="宋体"/>
          <w:szCs w:val="21"/>
        </w:rPr>
        <w:t xml:space="preserve">有关技术文件</w:t>
      </w:r>
      <w:r>
        <w:rPr>
          <w:rFonts w:hint="eastAsia" w:ascii="宋体" w:hAnsi="宋体" w:eastAsia="宋体" w:cs="宋体"/>
          <w:szCs w:val="21"/>
          <w:lang w:eastAsia="zh-CN"/>
        </w:rPr>
        <w:t xml:space="preserve">和</w:t>
      </w:r>
      <w:r>
        <w:rPr>
          <w:rFonts w:hint="eastAsia" w:ascii="宋体" w:hAnsi="宋体" w:eastAsia="宋体" w:cs="宋体"/>
          <w:szCs w:val="21"/>
        </w:rPr>
        <w:t xml:space="preserve">图纸</w:t>
      </w:r>
      <w:r>
        <w:rPr>
          <w:rFonts w:hint="eastAsia" w:ascii="宋体" w:hAnsi="宋体" w:eastAsia="宋体" w:cs="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w:t>
      </w:r>
      <w:r>
        <w:rPr>
          <w:rFonts w:hint="eastAsia" w:ascii="宋体" w:hAnsi="宋体" w:eastAsia="宋体" w:cs="宋体"/>
          <w:color w:val="auto"/>
          <w:szCs w:val="21"/>
          <w:highlight w:val="none"/>
          <w:lang w:val="en-US" w:eastAsia="zh-CN"/>
        </w:rPr>
        <w:t xml:space="preserve">款</w:t>
      </w:r>
      <w:r>
        <w:rPr>
          <w:rFonts w:hint="eastAsia" w:ascii="宋体" w:hAnsi="宋体" w:eastAsia="宋体" w:cs="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）“货物”系指乙方根据本合同规定须向甲方提供的各种形态和种类的物品，包括原材料、设备、产品（</w:t>
      </w:r>
      <w:r>
        <w:rPr>
          <w:rFonts w:hint="eastAsia" w:ascii="宋体" w:hAnsi="宋体" w:eastAsia="宋体" w:cs="宋体"/>
          <w:color w:val="000000" w:themeColor="text1"/>
          <w:szCs w:val="21"/>
          <w:highlight w:val="none"/>
          <w14:textFill>
            <w14:solidFill>
              <w14:schemeClr w14:val="tx1"/>
            </w14:solidFill>
          </w14:textFill>
        </w:rPr>
        <w:t xml:space="preserve">包括软件）及相关的其备品备件、工具、手册及</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技术资料和材料</w:t>
      </w:r>
      <w:r>
        <w:rPr>
          <w:rFonts w:hint="eastAsia" w:ascii="宋体" w:hAnsi="宋体" w:eastAsia="宋体" w:cs="宋体"/>
          <w:color w:val="000000" w:themeColor="text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eastAsia="宋体" w:cs="宋体"/>
          <w:color w:val="000000" w:themeColor="text1"/>
          <w:szCs w:val="21"/>
          <w:highlight w:val="none"/>
          <w14:textFill>
            <w14:solidFill>
              <w14:schemeClr w14:val="tx1"/>
            </w14:solidFill>
          </w14:textFill>
        </w:rPr>
        <w:t xml:space="preserve">技术、管理和</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eastAsia="宋体" w:cs="宋体"/>
          <w:color w:val="000000" w:themeColor="text1"/>
          <w:szCs w:val="21"/>
          <w:highlight w:val="none"/>
          <w:lang w:eastAsia="zh-CN"/>
          <w14:textFill>
            <w14:solidFill>
              <w14:schemeClr w14:val="tx1"/>
            </w14:solidFill>
          </w14:textFill>
        </w:rPr>
        <w:t xml:space="preserve">废弃处置、</w:t>
      </w:r>
      <w:r>
        <w:rPr>
          <w:rFonts w:hint="eastAsia" w:ascii="宋体" w:hAnsi="宋体" w:eastAsia="宋体" w:cs="宋体"/>
          <w:color w:val="000000" w:themeColor="text1"/>
          <w:szCs w:val="21"/>
          <w:highlight w:val="none"/>
          <w14:textFill>
            <w14:solidFill>
              <w14:schemeClr w14:val="tx1"/>
            </w14:solidFill>
          </w14:textFill>
        </w:rPr>
        <w:t xml:space="preserve">技术支持等以及合同中规定乙方应承担的</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）“分包”系指中标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szCs w:val="21"/>
        </w:rPr>
        <w:t xml:space="preserve">“联合体”系指</w:t>
      </w:r>
      <w:r>
        <w:rPr>
          <w:rFonts w:hint="eastAsia" w:ascii="宋体" w:hAnsi="宋体" w:eastAsia="宋体" w:cs="宋体"/>
          <w:szCs w:val="21"/>
          <w:lang w:eastAsia="zh-CN"/>
        </w:rPr>
        <w:t xml:space="preserve">由</w:t>
      </w:r>
      <w:r>
        <w:rPr>
          <w:rFonts w:hint="eastAsia" w:ascii="宋体" w:hAnsi="宋体" w:eastAsia="宋体" w:cs="宋体"/>
          <w:szCs w:val="21"/>
        </w:rPr>
        <w:t xml:space="preserve">两个以上的自然人、法人或者</w:t>
      </w:r>
      <w:r>
        <w:rPr>
          <w:rFonts w:hint="eastAsia" w:ascii="宋体" w:hAnsi="宋体" w:eastAsia="宋体" w:cs="宋体"/>
          <w:szCs w:val="21"/>
          <w:lang w:val="en-US" w:eastAsia="zh-CN"/>
        </w:rPr>
        <w:t xml:space="preserve">非法人</w:t>
      </w:r>
      <w:r>
        <w:rPr>
          <w:rFonts w:hint="eastAsia" w:ascii="宋体" w:hAnsi="宋体" w:eastAsia="宋体" w:cs="宋体"/>
          <w:szCs w:val="21"/>
        </w:rPr>
        <w:t xml:space="preserve">组织组成，</w:t>
      </w:r>
      <w:r>
        <w:rPr>
          <w:rFonts w:hint="eastAsia" w:ascii="宋体" w:hAnsi="宋体" w:eastAsia="宋体" w:cs="宋体"/>
          <w:szCs w:val="21"/>
          <w:lang w:eastAsia="zh-CN"/>
        </w:rPr>
        <w:t xml:space="preserve">以一个供应商的身份共同参加政府采购的主体</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承担连带责任。联合体具体要求见【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）其他术语解释，见【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numPr>
          <w:ilvl w:val="0"/>
          <w:numId w:val="37"/>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hint="eastAsia" w:ascii="宋体" w:hAnsi="宋体" w:eastAsia="宋体" w:cs="宋体"/>
          <w:b/>
          <w:bCs/>
          <w:i/>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中，甲方不再另行支付</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任何费用。</w:t>
      </w:r>
      <w:r/>
    </w:p>
    <w:p>
      <w:p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 xml:space="preserve">3</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eastAsia="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4</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.1 签署合同后，甲方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.3 甲方有权要求乙方对缺陷部分予以修复，并按合同约定享有货物保修及其他合同约定的权利。</w:t>
      </w:r>
      <w:r/>
    </w:p>
    <w:p>
      <w:pPr>
        <w:ind w:firstLine="420"/>
        <w:spacing w:line="400" w:lineRule="exact"/>
        <w:rPr>
          <w:rFonts w:hint="eastAsia" w:ascii="宋体" w:hAnsi="宋体" w:eastAsia="宋体" w:cs="宋体"/>
          <w:lang w:val="en-US" w:eastAsia="zh-CN"/>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eastAsia="宋体" w:cs="宋体"/>
          <w:b w:val="0"/>
          <w:bCs w:val="0"/>
          <w:szCs w:val="21"/>
          <w:highlight w:val="none"/>
          <w:lang w:eastAsia="zh-CN"/>
        </w:rPr>
        <w:t xml:space="preserve">未</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b w:val="0"/>
          <w:bCs w:val="0"/>
          <w:szCs w:val="21"/>
          <w:highlight w:val="none"/>
          <w:lang w:eastAsia="zh-CN"/>
        </w:rPr>
        <w:t xml:space="preserve">约定的期限内对乙方履约提出任何异议或者向乙方作出任何说明的，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 甲方应当根据合同约定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color w:val="000000" w:themeColor="text1"/>
          <w:szCs w:val="21"/>
          <w:highlight w:val="none"/>
          <w14:textFill>
            <w14:solidFill>
              <w14:schemeClr w14:val="tx1"/>
            </w14:solidFill>
          </w14:textFill>
        </w:rPr>
        <w:t xml:space="preserve">时向乙方支付</w:t>
      </w:r>
      <w:r>
        <w:rPr>
          <w:rFonts w:hint="eastAsia" w:ascii="宋体" w:hAnsi="宋体" w:eastAsia="宋体" w:cs="宋体"/>
          <w:color w:val="000000" w:themeColor="text1"/>
          <w:szCs w:val="21"/>
          <w:highlight w:val="none"/>
          <w:lang w:eastAsia="zh-CN"/>
          <w14:textFill>
            <w14:solidFill>
              <w14:schemeClr w14:val="tx1"/>
            </w14:solidFill>
          </w14:textFill>
        </w:rPr>
        <w:t xml:space="preserve">合同价款，不得以内部人员变更、履行内部付款流程等为由，拒绝或迟延支付。</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国家法律法规规定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themeColor="text1"/>
          <w:szCs w:val="21"/>
          <w:highlight w:val="none"/>
          <w:lang w:eastAsia="zh-CN"/>
          <w14:textFill>
            <w14:solidFill>
              <w14:schemeClr w14:val="tx1"/>
            </w14:solidFill>
          </w14:textFill>
        </w:rPr>
        <w:t xml:space="preserve">约定应</w:t>
      </w:r>
      <w:r>
        <w:rPr>
          <w:rFonts w:hint="eastAsia" w:ascii="宋体" w:hAnsi="宋体" w:eastAsia="宋体" w:cs="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5</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.1 签署合同后，乙方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.2 乙方应按照合同要求履约，充分合理安排，确保提供的货物</w:t>
      </w:r>
      <w:r>
        <w:rPr>
          <w:rFonts w:hint="eastAsia" w:ascii="宋体" w:hAnsi="宋体" w:eastAsia="宋体" w:cs="宋体"/>
          <w:color w:val="000000" w:themeColor="text1"/>
          <w:szCs w:val="21"/>
          <w:highlight w:val="none"/>
          <w:lang w:eastAsia="zh-CN"/>
          <w14:textFill>
            <w14:solidFill>
              <w14:schemeClr w14:val="tx1"/>
            </w14:solidFill>
          </w14:textFill>
        </w:rPr>
        <w:t xml:space="preserve">及相关</w:t>
      </w:r>
      <w:r>
        <w:rPr>
          <w:rFonts w:hint="eastAsia" w:ascii="宋体" w:hAnsi="宋体" w:eastAsia="宋体" w:cs="宋体"/>
          <w:color w:val="000000" w:themeColor="text1"/>
          <w:szCs w:val="21"/>
          <w:highlight w:val="none"/>
          <w14:textFill>
            <w14:solidFill>
              <w14:schemeClr w14:val="tx1"/>
            </w14:solidFill>
          </w14:textFill>
        </w:rPr>
        <w:t xml:space="preserve">服务符合合同</w:t>
      </w:r>
      <w:r>
        <w:rPr>
          <w:rFonts w:hint="eastAsia" w:ascii="宋体" w:hAnsi="宋体" w:eastAsia="宋体" w:cs="宋体"/>
          <w:color w:val="000000" w:themeColor="text1"/>
          <w:szCs w:val="21"/>
          <w:highlight w:val="none"/>
          <w:lang w:eastAsia="zh-CN"/>
          <w14:textFill>
            <w14:solidFill>
              <w14:schemeClr w14:val="tx1"/>
            </w14:solidFill>
          </w14:textFill>
        </w:rPr>
        <w:t xml:space="preserve">有关</w:t>
      </w:r>
      <w:r>
        <w:rPr>
          <w:rFonts w:hint="eastAsia" w:ascii="宋体" w:hAnsi="宋体" w:eastAsia="宋体" w:cs="宋体"/>
          <w:color w:val="000000" w:themeColor="text1"/>
          <w:szCs w:val="21"/>
          <w:highlight w:val="none"/>
          <w14:textFill>
            <w14:solidFill>
              <w14:schemeClr w14:val="tx1"/>
            </w14:solidFill>
          </w14:textFill>
        </w:rPr>
        <w:t xml:space="preserve">要求。接受项目行业管理部门及政府有关部门的指导，配合甲方的履约检查</w:t>
      </w:r>
      <w:r>
        <w:rPr>
          <w:rFonts w:hint="eastAsia" w:ascii="宋体" w:hAnsi="宋体" w:eastAsia="宋体" w:cs="宋体"/>
          <w:color w:val="000000" w:themeColor="text1"/>
          <w:szCs w:val="21"/>
          <w:highlight w:val="none"/>
          <w:lang w:eastAsia="zh-CN"/>
          <w14:textFill>
            <w14:solidFill>
              <w14:schemeClr w14:val="tx1"/>
            </w14:solidFill>
          </w14:textFill>
        </w:rPr>
        <w:t xml:space="preserve">及验收</w:t>
      </w:r>
      <w:r>
        <w:rPr>
          <w:rFonts w:hint="eastAsia" w:ascii="宋体" w:hAnsi="宋体" w:eastAsia="宋体" w:cs="宋体"/>
          <w:color w:val="000000" w:themeColor="text1"/>
          <w:szCs w:val="21"/>
          <w:highlight w:val="none"/>
          <w14:textFill>
            <w14:solidFill>
              <w14:schemeClr w14:val="tx1"/>
            </w14:solidFill>
          </w14:textFill>
        </w:rPr>
        <w:t xml:space="preserve">，并负责项目实施过程中的所有协调工作。</w:t>
      </w:r>
      <w:r/>
    </w:p>
    <w:p>
      <w:pPr>
        <w:pStyle w:val="920"/>
        <w:ind w:firstLine="422"/>
        <w:spacing w:after="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乙方有权根据合同约定向甲方收取合同价款。</w:t>
      </w:r>
      <w:r/>
    </w:p>
    <w:p>
      <w:pPr>
        <w:pStyle w:val="920"/>
        <w:ind w:firstLine="422"/>
        <w:spacing w:after="0"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国家法律法规规定及【政府采购合同专用条款】约定应由乙方承担的其他义务和责任。</w:t>
      </w:r>
      <w:r/>
    </w:p>
    <w:p>
      <w:pPr>
        <w:numPr>
          <w:ilvl w:val="0"/>
          <w:numId w:val="38"/>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合同履</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rPr>
          <w:rFonts w:hint="eastAsia" w:ascii="宋体" w:hAnsi="宋体" w:eastAsia="宋体" w:cs="宋体"/>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7</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货物包装、运输</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保险</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和交付</w:t>
      </w:r>
      <w:r>
        <w:rPr>
          <w:rFonts w:hint="eastAsia" w:ascii="宋体" w:hAnsi="宋体" w:eastAsia="宋体" w:cs="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.1 本合同</w:t>
      </w:r>
      <w:r>
        <w:rPr>
          <w:rFonts w:hint="eastAsia" w:ascii="宋体" w:hAnsi="宋体" w:eastAsia="宋体" w:cs="宋体"/>
          <w:bCs/>
          <w:color w:val="000000" w:themeColor="text1"/>
          <w:szCs w:val="21"/>
          <w:highlight w:val="none"/>
          <w14:textFill>
            <w14:solidFill>
              <w14:schemeClr w14:val="tx1"/>
            </w14:solidFill>
          </w14:textFill>
        </w:rPr>
        <w:t xml:space="preserve">涉及商品包装</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快递包装的，</w:t>
      </w:r>
      <w:r>
        <w:rPr>
          <w:rFonts w:hint="eastAsia" w:ascii="宋体" w:hAnsi="宋体" w:eastAsia="宋体" w:cs="宋体"/>
          <w:color w:val="000000" w:themeColor="text1"/>
          <w:szCs w:val="21"/>
          <w:highlight w:val="none"/>
          <w14:textFill>
            <w14:solidFill>
              <w14:schemeClr w14:val="tx1"/>
            </w14:solidFill>
          </w14:textFill>
        </w:rPr>
        <w:t xml:space="preserve">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Cs w:val="21"/>
          <w:highlight w:val="none"/>
          <w:lang w:eastAsia="zh-CN"/>
          <w14:textFill>
            <w14:solidFill>
              <w14:schemeClr w14:val="tx1"/>
            </w14:solidFill>
          </w14:textFill>
        </w:rPr>
        <w:t xml:space="preserve">约定的</w:t>
      </w:r>
      <w:r>
        <w:rPr>
          <w:rFonts w:hint="eastAsia" w:ascii="宋体" w:hAnsi="宋体" w:eastAsia="宋体" w:cs="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.2 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eastAsia="宋体" w:cs="宋体"/>
          <w:color w:val="000000" w:themeColor="text1"/>
          <w:szCs w:val="21"/>
          <w:highlight w:val="none"/>
          <w:lang w:eastAsia="zh-CN"/>
          <w14:textFill>
            <w14:solidFill>
              <w14:schemeClr w14:val="tx1"/>
            </w14:solidFill>
          </w14:textFill>
        </w:rPr>
        <w:t xml:space="preserve">，并装卸、交付至甲方</w:t>
      </w:r>
      <w:r>
        <w:rPr>
          <w:rFonts w:hint="eastAsia" w:ascii="宋体" w:hAnsi="宋体" w:eastAsia="宋体" w:cs="宋体"/>
          <w:color w:val="000000" w:themeColor="text1"/>
          <w:szCs w:val="21"/>
          <w:highlight w:val="none"/>
          <w14:textFill>
            <w14:solidFill>
              <w14:schemeClr w14:val="tx1"/>
            </w14:solidFill>
          </w14:textFill>
        </w:rPr>
        <w:t xml:space="preserve">的一切运输事项，相关费用应</w:t>
      </w:r>
      <w:r>
        <w:rPr>
          <w:rFonts w:hint="eastAsia" w:ascii="宋体" w:hAnsi="宋体" w:eastAsia="宋体" w:cs="宋体"/>
          <w:color w:val="000000" w:themeColor="text1"/>
          <w:szCs w:val="21"/>
          <w:highlight w:val="none"/>
          <w:lang w:eastAsia="zh-CN"/>
          <w14:textFill>
            <w14:solidFill>
              <w14:schemeClr w14:val="tx1"/>
            </w14:solidFill>
          </w14:textFill>
        </w:rPr>
        <w:t xml:space="preserve">包含</w:t>
      </w:r>
      <w:r>
        <w:rPr>
          <w:rFonts w:hint="eastAsia" w:ascii="宋体" w:hAnsi="宋体" w:eastAsia="宋体" w:cs="宋体"/>
          <w:color w:val="000000" w:themeColor="text1"/>
          <w:szCs w:val="21"/>
          <w:highlight w:val="none"/>
          <w14:textFill>
            <w14:solidFill>
              <w14:schemeClr w14:val="tx1"/>
            </w14:solidFill>
          </w14:textFill>
        </w:rPr>
        <w:t xml:space="preserve">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.3 货物保险要求按</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规定执行</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.4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除采购活动</w:t>
      </w:r>
      <w:r>
        <w:rPr>
          <w:rFonts w:hint="eastAsia" w:ascii="宋体" w:hAnsi="宋体" w:eastAsia="宋体" w:cs="宋体"/>
          <w:color w:val="000000" w:themeColor="text1"/>
          <w:szCs w:val="21"/>
          <w:highlight w:val="none"/>
          <w14:textFill>
            <w14:solidFill>
              <w14:schemeClr w14:val="tx1"/>
            </w14:solidFill>
          </w14:textFill>
        </w:rPr>
        <w:t xml:space="preserve">对商品包装</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eastAsia="宋体" w:cs="宋体"/>
          <w:color w:val="000000" w:themeColor="text1"/>
          <w:szCs w:val="21"/>
          <w:highlight w:val="none"/>
          <w14:textFill>
            <w14:solidFill>
              <w14:schemeClr w14:val="tx1"/>
            </w14:solidFill>
          </w14:textFill>
        </w:rPr>
        <w:t xml:space="preserve">，乙方提供产品及相关快递服务</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涉及</w:t>
      </w:r>
      <w:r>
        <w:rPr>
          <w:rFonts w:hint="eastAsia" w:ascii="宋体" w:hAnsi="宋体" w:eastAsia="宋体" w:cs="宋体"/>
          <w:color w:val="000000" w:themeColor="text1"/>
          <w:szCs w:val="21"/>
          <w:highlight w:val="none"/>
          <w14:textFill>
            <w14:solidFill>
              <w14:schemeClr w14:val="tx1"/>
            </w14:solidFill>
          </w14:textFill>
        </w:rPr>
        <w:t xml:space="preserve">具体包装要求</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Cs w:val="21"/>
          <w:highlight w:val="none"/>
          <w14:textFill>
            <w14:solidFill>
              <w14:schemeClr w14:val="tx1"/>
            </w14:solidFill>
          </w14:textFill>
        </w:rPr>
        <w:t xml:space="preserve">应</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Cs w:val="21"/>
          <w:highlight w:val="none"/>
          <w14:textFill>
            <w14:solidFill>
              <w14:schemeClr w14:val="tx1"/>
            </w14:solidFill>
          </w14:textFill>
        </w:rPr>
        <w:t xml:space="preserve">《商品包装政府采购需求标准（试行）</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快递包装政府采购需求标准（试行）》</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标准</w:t>
      </w:r>
      <w:r>
        <w:rPr>
          <w:rFonts w:hint="eastAsia" w:ascii="宋体" w:hAnsi="宋体" w:eastAsia="宋体" w:cs="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eastAsia="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eastAsia="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eastAsia="宋体" w:cs="宋体"/>
          <w:color w:val="000000"/>
          <w:szCs w:val="21"/>
          <w:lang w:eastAsia="zh-CN"/>
        </w:rPr>
        <w:t xml:space="preserve">，甲方配合乙方做好货物的接收工作。</w:t>
      </w:r>
      <w:r/>
    </w:p>
    <w:p>
      <w:pPr>
        <w:pStyle w:val="977"/>
        <w:rPr>
          <w:rFonts w:hint="eastAsia" w:ascii="宋体" w:hAnsi="宋体" w:eastAsia="宋体" w:cs="宋体"/>
          <w:sz w:val="21"/>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宋体"/>
          <w:color w:val="000000"/>
          <w:sz w:val="21"/>
          <w:szCs w:val="21"/>
          <w:highlight w:val="none"/>
        </w:rPr>
        <w:t xml:space="preserve">如因包装</w:t>
      </w:r>
      <w:r>
        <w:rPr>
          <w:rFonts w:hint="eastAsia" w:ascii="宋体" w:hAnsi="宋体" w:eastAsia="宋体" w:cs="宋体"/>
          <w:color w:val="000000"/>
          <w:sz w:val="21"/>
          <w:szCs w:val="21"/>
          <w:highlight w:val="none"/>
          <w:lang w:eastAsia="zh-CN"/>
        </w:rPr>
        <w:t xml:space="preserve">、运输</w:t>
      </w:r>
      <w:r>
        <w:rPr>
          <w:rFonts w:hint="eastAsia" w:ascii="宋体" w:hAnsi="宋体" w:eastAsia="宋体" w:cs="宋体"/>
          <w:color w:val="000000"/>
          <w:sz w:val="21"/>
          <w:szCs w:val="21"/>
          <w:highlight w:val="none"/>
        </w:rPr>
        <w:t xml:space="preserve">问题导致货物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宋体"/>
          <w:color w:val="000000"/>
          <w:sz w:val="21"/>
          <w:szCs w:val="21"/>
          <w:highlight w:val="none"/>
        </w:rPr>
        <w:t xml:space="preserve">或者品质下降，</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有权要求降价、换货、拒收部分或整批货物，由此</w:t>
      </w:r>
      <w:r>
        <w:rPr>
          <w:rFonts w:hint="eastAsia" w:ascii="宋体" w:hAnsi="宋体" w:eastAsia="宋体" w:cs="宋体"/>
          <w:color w:val="000000"/>
          <w:sz w:val="21"/>
          <w:szCs w:val="21"/>
          <w:highlight w:val="none"/>
          <w:lang w:eastAsia="zh-CN"/>
        </w:rPr>
        <w:t xml:space="preserve">产生</w:t>
      </w:r>
      <w:r>
        <w:rPr>
          <w:rFonts w:hint="eastAsia" w:ascii="宋体" w:hAnsi="宋体" w:eastAsia="宋体" w:cs="宋体"/>
          <w:color w:val="000000"/>
          <w:sz w:val="21"/>
          <w:szCs w:val="21"/>
          <w:highlight w:val="none"/>
        </w:rPr>
        <w:t xml:space="preserve">的费用和损失，均由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000000" w:themeColor="text1"/>
          <w:sz w:val="24"/>
          <w:highlight w:val="none"/>
          <w:lang w:eastAsia="zh-CN"/>
          <w14:textFill>
            <w14:solidFill>
              <w14:schemeClr w14:val="tx1"/>
            </w14:solidFill>
          </w14:textFill>
        </w:rPr>
        <w:t xml:space="preserve">8</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auto"/>
          <w:sz w:val="24"/>
          <w:highlight w:val="none"/>
        </w:rPr>
        <w:t xml:space="preserve">质量标准和保证</w:t>
      </w:r>
      <w:r/>
    </w:p>
    <w:p>
      <w:pPr>
        <w:pStyle w:val="925"/>
        <w:ind w:firstLine="420"/>
        <w:jc w:val="left"/>
        <w:spacing w:before="0" w:line="400" w:lineRule="exact"/>
        <w:rPr>
          <w:rFonts w:hint="eastAsia" w:ascii="宋体" w:hAnsi="宋体" w:eastAsia="宋体" w:cs="宋体"/>
          <w:b/>
          <w:color w:val="auto"/>
          <w:highlight w:val="none"/>
        </w:rPr>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.1 质量标准</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（1）本合同下</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w:t>
      </w:r>
      <w:r>
        <w:rPr>
          <w:rFonts w:hint="eastAsia" w:ascii="宋体" w:hAnsi="宋体" w:eastAsia="宋体" w:cs="宋体"/>
          <w:color w:val="auto"/>
          <w:szCs w:val="21"/>
          <w:highlight w:val="none"/>
          <w:lang w:eastAsia="zh-CN"/>
        </w:rPr>
        <w:t xml:space="preserve">合同</w:t>
      </w:r>
      <w:r>
        <w:rPr>
          <w:rFonts w:hint="eastAsia" w:ascii="宋体" w:hAnsi="宋体" w:eastAsia="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eastAsia="宋体" w:cs="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 xml:space="preserve">。</w:t>
      </w:r>
      <w:r/>
    </w:p>
    <w:p>
      <w:pPr>
        <w:pStyle w:val="925"/>
        <w:ind w:firstLine="420"/>
        <w:jc w:val="left"/>
        <w:spacing w:before="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（2）采用中华人民共和国法定计量单位。</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的货物应符合国家有关安全、环保、卫生</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规定。</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（4）乙方应向甲方提交所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上述</w:t>
      </w:r>
      <w:r>
        <w:rPr>
          <w:rFonts w:hint="eastAsia" w:ascii="宋体" w:hAnsi="宋体" w:eastAsia="宋体" w:cs="宋体"/>
          <w:color w:val="auto"/>
          <w:szCs w:val="21"/>
          <w:highlight w:val="none"/>
        </w:rPr>
        <w:t xml:space="preserve">文件应包装好随货物一同发运。</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.2 保证</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（1）乙方应保证</w:t>
      </w:r>
      <w:r>
        <w:rPr>
          <w:rFonts w:hint="eastAsia" w:ascii="宋体" w:hAnsi="宋体" w:eastAsia="宋体" w:cs="宋体"/>
          <w:color w:val="auto"/>
          <w:szCs w:val="21"/>
          <w:highlight w:val="none"/>
          <w:lang w:eastAsia="zh-CN"/>
        </w:rPr>
        <w:t xml:space="preserve">提供的货物</w:t>
      </w:r>
      <w:r>
        <w:rPr>
          <w:rFonts w:hint="eastAsia" w:ascii="宋体" w:hAnsi="宋体" w:eastAsia="宋体" w:cs="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eastAsia="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存在</w:t>
      </w:r>
      <w:r>
        <w:rPr>
          <w:rFonts w:hint="eastAsia" w:ascii="宋体" w:hAnsi="宋体" w:eastAsia="宋体" w:cs="宋体"/>
          <w:color w:val="auto"/>
          <w:szCs w:val="21"/>
          <w:highlight w:val="none"/>
        </w:rPr>
        <w:t xml:space="preserve">质量保证期的，货物最终交付验收</w:t>
      </w:r>
      <w:r>
        <w:rPr>
          <w:rFonts w:hint="eastAsia" w:ascii="宋体" w:hAnsi="宋体" w:eastAsia="宋体" w:cs="宋体"/>
          <w:color w:val="auto"/>
          <w:szCs w:val="21"/>
          <w:highlight w:val="none"/>
          <w:lang w:eastAsia="zh-CN"/>
        </w:rPr>
        <w:t xml:space="preserve">合格</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eastAsia="zh-CN"/>
        </w:rPr>
        <w:t xml:space="preserve">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w:t>
      </w:r>
      <w:r>
        <w:rPr>
          <w:rFonts w:hint="eastAsia" w:ascii="宋体" w:hAnsi="宋体" w:eastAsia="宋体" w:cs="宋体"/>
          <w:color w:val="auto"/>
          <w:szCs w:val="21"/>
          <w:highlight w:val="none"/>
          <w:lang w:eastAsia="zh-CN"/>
        </w:rPr>
        <w:t xml:space="preserve">书面</w:t>
      </w:r>
      <w:r>
        <w:rPr>
          <w:rFonts w:hint="eastAsia" w:ascii="宋体" w:hAnsi="宋体" w:eastAsia="宋体" w:cs="宋体"/>
          <w:color w:val="auto"/>
          <w:szCs w:val="21"/>
          <w:highlight w:val="none"/>
        </w:rPr>
        <w:t xml:space="preserve">承诺（两者以较长的为准）的质量保证期内，本保证保持有效。</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（3）乙方收到通知后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auto"/>
          <w:szCs w:val="21"/>
          <w:highlight w:val="none"/>
        </w:rPr>
        <w:t xml:space="preserve">.1条规定以书面形式</w:t>
      </w:r>
      <w:r>
        <w:rPr>
          <w:rFonts w:hint="eastAsia" w:ascii="宋体" w:hAnsi="宋体" w:eastAsia="宋体" w:cs="宋体"/>
          <w:color w:val="000000" w:themeColor="text1"/>
          <w:szCs w:val="21"/>
          <w:highlight w:val="none"/>
          <w:lang w:eastAsia="zh-CN"/>
          <w14:textFill>
            <w14:solidFill>
              <w14:schemeClr w14:val="tx1"/>
            </w14:solidFill>
          </w14:textFill>
        </w:rPr>
        <w:t xml:space="preserve">追究</w:t>
      </w:r>
      <w:r>
        <w:rPr>
          <w:rFonts w:hint="eastAsia" w:ascii="宋体" w:hAnsi="宋体" w:eastAsia="宋体" w:cs="宋体"/>
          <w:color w:val="auto"/>
          <w:szCs w:val="21"/>
          <w:highlight w:val="none"/>
        </w:rPr>
        <w:t xml:space="preserve">乙方</w:t>
      </w:r>
      <w:r>
        <w:rPr>
          <w:rFonts w:hint="eastAsia" w:ascii="宋体" w:hAnsi="宋体" w:eastAsia="宋体" w:cs="宋体"/>
          <w:color w:val="000000" w:themeColor="text1"/>
          <w:szCs w:val="21"/>
          <w:highlight w:val="none"/>
          <w:lang w:eastAsia="zh-CN"/>
          <w14:textFill>
            <w14:solidFill>
              <w14:schemeClr w14:val="tx1"/>
            </w14:solidFill>
          </w14:textFill>
        </w:rPr>
        <w:t xml:space="preserve">的违约责任</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对乙方行使的其他权利不受影响。</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9</w:t>
      </w:r>
      <w:r>
        <w:rPr>
          <w:rFonts w:hint="eastAsia" w:ascii="宋体" w:hAnsi="宋体" w:eastAsia="宋体" w:cs="宋体"/>
          <w:b/>
          <w:bCs/>
          <w:color w:val="auto"/>
          <w:sz w:val="24"/>
          <w:highlight w:val="none"/>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auto"/>
          <w:sz w:val="24"/>
          <w:highlight w:val="none"/>
        </w:rPr>
        <w:t xml:space="preserve">权利瑕疵担保</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.3 如甲方使用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上述</w:t>
      </w:r>
      <w:r>
        <w:rPr>
          <w:rFonts w:hint="eastAsia" w:ascii="宋体" w:hAnsi="宋体" w:eastAsia="宋体" w:cs="宋体"/>
          <w:color w:val="000000" w:themeColor="text1"/>
          <w:szCs w:val="21"/>
          <w:highlight w:val="none"/>
          <w14:textFill>
            <w14:solidFill>
              <w14:schemeClr w14:val="tx1"/>
            </w14:solidFill>
          </w14:textFill>
        </w:rPr>
        <w:t xml:space="preserve">货物构成</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对第三人</w:t>
      </w:r>
      <w:r>
        <w:rPr>
          <w:rFonts w:hint="eastAsia" w:ascii="宋体" w:hAnsi="宋体" w:eastAsia="宋体" w:cs="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0</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0</w:t>
      </w:r>
      <w:r>
        <w:rPr>
          <w:rFonts w:hint="eastAsia" w:ascii="宋体" w:hAnsi="宋体" w:eastAsia="宋体" w:cs="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eastAsia="宋体" w:cs="宋体"/>
          <w:color w:val="auto"/>
          <w:szCs w:val="21"/>
          <w:highlight w:val="none"/>
        </w:rPr>
        <w:t xml:space="preserve">何第三人的知识产权等权利。</w:t>
      </w:r>
      <w:bookmarkStart w:id="29"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29"/>
      <w:r>
        <w:rPr>
          <w:rFonts w:hint="eastAsia" w:ascii="宋体" w:hAnsi="宋体" w:eastAsia="宋体" w:cs="宋体"/>
          <w:color w:val="auto"/>
          <w:szCs w:val="21"/>
          <w:highlight w:val="none"/>
        </w:rPr>
        <w:t xml:space="preserve">。</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保密义务</w:t>
      </w:r>
      <w:r/>
    </w:p>
    <w:p>
      <w:pPr>
        <w:ind w:firstLine="420"/>
        <w:jc w:val="left"/>
        <w:spacing w:before="0" w:line="400" w:lineRule="exact"/>
        <w:rPr>
          <w:rFonts w:hint="eastAsia" w:ascii="宋体" w:hAnsi="宋体" w:eastAsia="宋体" w:cs="宋体"/>
          <w:szCs w:val="15"/>
        </w:rPr>
      </w:pPr>
      <w:r>
        <w:rPr>
          <w:rFonts w:hint="eastAsia" w:ascii="宋体" w:hAnsi="宋体" w:eastAsia="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eastAsia="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eastAsia="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eastAsia="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eastAsia="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eastAsia="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eastAsia="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合同价款支付</w:t>
      </w:r>
      <w:r>
        <w:rPr>
          <w:rFonts w:hint="eastAsia" w:ascii="宋体" w:hAnsi="宋体" w:eastAsia="宋体" w:cs="宋体"/>
          <w:color w:val="auto"/>
          <w:szCs w:val="21"/>
          <w:highlight w:val="none"/>
        </w:rPr>
        <w:t xml:space="preserve">按照国库集中支付</w:t>
      </w:r>
      <w:r>
        <w:rPr>
          <w:rFonts w:hint="eastAsia" w:ascii="宋体" w:hAnsi="宋体" w:eastAsia="宋体" w:cs="宋体"/>
          <w:color w:val="auto"/>
          <w:szCs w:val="21"/>
          <w:highlight w:val="none"/>
          <w:lang w:eastAsia="zh-CN"/>
        </w:rPr>
        <w:t xml:space="preserve">制度及财政管理相关</w:t>
      </w:r>
      <w:r>
        <w:rPr>
          <w:rFonts w:hint="eastAsia" w:ascii="宋体" w:hAnsi="宋体" w:eastAsia="宋体" w:cs="宋体"/>
          <w:color w:val="auto"/>
          <w:szCs w:val="21"/>
          <w:highlight w:val="none"/>
        </w:rPr>
        <w:t xml:space="preserve">规定执行。</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outlineLvl w:val="9"/>
      </w:pPr>
      <w:r>
        <w:rPr>
          <w:rFonts w:hint="eastAsia" w:ascii="宋体" w:hAnsi="宋体" w:eastAsia="宋体" w:cs="宋体"/>
          <w:b w:val="0"/>
          <w:bCs w:val="0"/>
          <w:color w:val="auto"/>
          <w:sz w:val="21"/>
          <w:szCs w:val="21"/>
          <w:highlight w:val="none"/>
          <w:lang w:val="en-US" w:eastAsia="zh-CN"/>
        </w:rPr>
        <w:t xml:space="preserve">12.2 </w:t>
      </w:r>
      <w:bookmarkStart w:id="30" w:name="OLE_LINK17"/>
      <w:r>
        <w:rPr>
          <w:rFonts w:hint="eastAsia" w:ascii="宋体" w:hAnsi="宋体" w:eastAsia="宋体" w:cs="宋体"/>
          <w:color w:val="000000" w:themeColor="text1"/>
          <w:sz w:val="21"/>
          <w:szCs w:val="21"/>
          <w:highlight w:val="none"/>
          <w:u w:val="single"/>
          <w14:textFill>
            <w14:solidFill>
              <w14:schemeClr w14:val="tx1"/>
            </w14:solidFill>
          </w14:textFill>
        </w:rPr>
        <w:t xml:space="preserve">供货完，安装调试完成验收合格后，支付合同价的80%，验收合格满两年后支付合同价的10%，验收合格满三年后付清（不计息）</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采购人原则上应当自收到发票后10个工作日内将资金支付到合同约定的供应商账户。</w:t>
      </w:r>
      <w:bookmarkEnd w:id="30"/>
      <w:r>
        <w:rPr>
          <w:rFonts w:hint="eastAsia" w:ascii="宋体" w:hAnsi="宋体" w:eastAsia="宋体" w:cs="宋体"/>
          <w:color w:val="000000" w:themeColor="text1"/>
          <w:sz w:val="21"/>
          <w:szCs w:val="21"/>
          <w:highlight w:val="none"/>
          <w:u w:val="single"/>
          <w14:textFill>
            <w14:solidFill>
              <w14:schemeClr w14:val="tx1"/>
            </w14:solidFill>
          </w14:textFill>
        </w:rPr>
        <w:t xml:space="preserve">若中标人未能按期开具发票，采购人可顺延付款。</w:t>
      </w:r>
      <w:r/>
    </w:p>
    <w:p>
      <w:pPr>
        <w:pStyle w:val="92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.2 如果乙方</w:t>
      </w:r>
      <w:r>
        <w:rPr>
          <w:rFonts w:hint="eastAsia" w:ascii="宋体" w:hAnsi="宋体" w:eastAsia="宋体" w:cs="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eastAsia="宋体" w:cs="宋体"/>
          <w:b w:val="0"/>
          <w:bCs w:val="0"/>
          <w:szCs w:val="15"/>
          <w:highlight w:val="none"/>
          <w:lang w:eastAsia="zh-CN"/>
        </w:rPr>
        <w:t xml:space="preserve">约定</w:t>
      </w:r>
      <w:r>
        <w:rPr>
          <w:rFonts w:hint="eastAsia" w:ascii="宋体" w:hAnsi="宋体" w:eastAsia="宋体" w:cs="宋体"/>
          <w:b w:val="0"/>
          <w:bCs w:val="0"/>
          <w:szCs w:val="15"/>
          <w:lang w:eastAsia="zh-CN"/>
        </w:rPr>
        <w:t xml:space="preserve">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 xml:space="preserve">且</w:t>
      </w:r>
      <w:r>
        <w:rPr>
          <w:rFonts w:hint="eastAsia" w:ascii="宋体" w:hAnsi="宋体" w:eastAsia="宋体" w:cs="宋体"/>
          <w:color w:val="auto"/>
          <w:szCs w:val="21"/>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 xml:space="preserve">售后服务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（1）货物的现场移动、安装、调试、启动监督及技术支持；</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（2）提供货物组装和维修所需的专用工具和辅助材料；</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（4）在制造商</w:t>
      </w:r>
      <w:r>
        <w:rPr>
          <w:rFonts w:hint="eastAsia" w:ascii="宋体" w:hAnsi="宋体" w:eastAsia="宋体" w:cs="宋体"/>
          <w:color w:val="auto"/>
          <w:szCs w:val="21"/>
          <w:highlight w:val="none"/>
          <w:lang w:eastAsia="zh-CN"/>
        </w:rPr>
        <w:t xml:space="preserve">所在地</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指定</w:t>
      </w:r>
      <w:r>
        <w:rPr>
          <w:rFonts w:hint="eastAsia" w:ascii="宋体" w:hAnsi="宋体" w:eastAsia="宋体" w:cs="宋体"/>
          <w:color w:val="auto"/>
          <w:szCs w:val="21"/>
          <w:highlight w:val="none"/>
        </w:rPr>
        <w:t xml:space="preserve">现场就货物的安装、启动、运营、维护</w:t>
      </w:r>
      <w:r>
        <w:rPr>
          <w:rFonts w:hint="eastAsia" w:ascii="宋体" w:hAnsi="宋体" w:eastAsia="宋体" w:cs="宋体"/>
          <w:color w:val="auto"/>
          <w:szCs w:val="21"/>
          <w:highlight w:val="none"/>
          <w:lang w:eastAsia="zh-CN"/>
        </w:rPr>
        <w:t xml:space="preserve">、废弃处置等</w:t>
      </w:r>
      <w:r>
        <w:rPr>
          <w:rFonts w:hint="eastAsia" w:ascii="宋体" w:hAnsi="宋体" w:eastAsia="宋体" w:cs="宋体"/>
          <w:color w:val="auto"/>
          <w:szCs w:val="21"/>
          <w:highlight w:val="none"/>
        </w:rPr>
        <w:t xml:space="preserve">对甲方操作人员进行培训</w:t>
      </w:r>
      <w:r>
        <w:rPr>
          <w:rFonts w:hint="eastAsia" w:ascii="宋体" w:hAnsi="宋体" w:eastAsia="宋体" w:cs="宋体"/>
          <w:szCs w:val="15"/>
          <w:lang w:eastAsia="zh-CN"/>
        </w:rPr>
        <w:t xml:space="preserve">；</w:t>
      </w:r>
      <w:r/>
    </w:p>
    <w:p>
      <w:pPr>
        <w:pStyle w:val="977"/>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 乙方提供的</w:t>
      </w:r>
      <w:r>
        <w:rPr>
          <w:rFonts w:hint="eastAsia" w:ascii="宋体" w:hAnsi="宋体" w:eastAsia="宋体" w:cs="宋体"/>
          <w:color w:val="auto"/>
          <w:szCs w:val="21"/>
          <w:highlight w:val="none"/>
          <w:lang w:eastAsia="zh-CN"/>
        </w:rPr>
        <w:t xml:space="preserve">售后</w:t>
      </w:r>
      <w:r>
        <w:rPr>
          <w:rFonts w:hint="eastAsia" w:ascii="宋体" w:hAnsi="宋体" w:eastAsia="宋体" w:cs="宋体"/>
          <w:color w:val="auto"/>
          <w:szCs w:val="21"/>
          <w:highlight w:val="none"/>
        </w:rPr>
        <w:t xml:space="preserve">服务的费用</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包含在合同价款中，甲方不再另行支付。</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违约责任</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.1质量瑕疵的</w:t>
      </w:r>
      <w:r>
        <w:rPr>
          <w:rFonts w:hint="eastAsia" w:ascii="宋体" w:hAnsi="宋体" w:eastAsia="宋体" w:cs="宋体"/>
          <w:bCs/>
          <w:color w:val="auto"/>
          <w:szCs w:val="21"/>
          <w:highlight w:val="none"/>
          <w:lang w:eastAsia="zh-CN"/>
        </w:rPr>
        <w:t xml:space="preserve">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的产品不符合</w:t>
      </w:r>
      <w:r>
        <w:rPr>
          <w:rFonts w:hint="eastAsia" w:ascii="宋体" w:hAnsi="宋体" w:eastAsia="宋体" w:cs="宋体"/>
          <w:color w:val="auto"/>
          <w:szCs w:val="21"/>
          <w:highlight w:val="none"/>
          <w:lang w:eastAsia="zh-CN"/>
        </w:rPr>
        <w:t xml:space="preserve">合同约定的</w:t>
      </w:r>
      <w:r>
        <w:rPr>
          <w:rFonts w:hint="eastAsia" w:ascii="宋体" w:hAnsi="宋体" w:eastAsia="宋体" w:cs="宋体"/>
          <w:color w:val="auto"/>
          <w:szCs w:val="21"/>
          <w:highlight w:val="none"/>
        </w:rPr>
        <w:t xml:space="preserve">质量标准或存在产品质量缺陷，</w:t>
      </w:r>
      <w:r>
        <w:rPr>
          <w:rFonts w:hint="eastAsia" w:ascii="宋体" w:hAnsi="宋体" w:eastAsia="宋体" w:cs="宋体"/>
          <w:color w:val="auto"/>
          <w:szCs w:val="21"/>
          <w:highlight w:val="none"/>
          <w:lang w:eastAsia="zh-CN"/>
        </w:rPr>
        <w:t xml:space="preserve">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要求</w:t>
      </w:r>
      <w:r>
        <w:rPr>
          <w:rFonts w:hint="eastAsia" w:ascii="宋体" w:hAnsi="宋体" w:eastAsia="宋体" w:cs="宋体"/>
          <w:color w:val="auto"/>
          <w:szCs w:val="21"/>
          <w:highlight w:val="none"/>
          <w:lang w:eastAsia="zh-CN"/>
        </w:rPr>
        <w:t xml:space="preserve">及时修理、重作、更换，并承担由此给甲</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eastAsia="zh-CN"/>
        </w:rPr>
        <w:t xml:space="preserve">造成的损失</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.2 迟延交货的违约责任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（1）乙方应按照本合同规定的时间、地点交货和提供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服务。在履行合同过程中，如果乙方遇到可能</w:t>
      </w:r>
      <w:r>
        <w:rPr>
          <w:rFonts w:hint="eastAsia" w:ascii="宋体" w:hAnsi="宋体" w:eastAsia="宋体" w:cs="宋体"/>
          <w:color w:val="auto"/>
          <w:szCs w:val="21"/>
          <w:highlight w:val="none"/>
          <w:lang w:eastAsia="zh-CN"/>
        </w:rPr>
        <w:t xml:space="preserve">影响</w:t>
      </w:r>
      <w:r>
        <w:rPr>
          <w:rFonts w:hint="eastAsia" w:ascii="宋体" w:hAnsi="宋体" w:eastAsia="宋体" w:cs="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 xml:space="preserve">长</w:t>
      </w:r>
      <w:r>
        <w:rPr>
          <w:rFonts w:hint="eastAsia" w:ascii="宋体" w:hAnsi="宋体" w:eastAsia="宋体" w:cs="宋体"/>
          <w:color w:val="auto"/>
          <w:szCs w:val="21"/>
          <w:highlight w:val="none"/>
        </w:rPr>
        <w:t xml:space="preserve">交货时间或延期提供服务。</w:t>
      </w:r>
      <w:r/>
    </w:p>
    <w:p>
      <w:pPr>
        <w:ind w:firstLine="420"/>
        <w:jc w:val="left"/>
        <w:spacing w:before="0"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（2）如果乙方没有按照合同规定的时间交货和提供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可要求继续履行或者</w:t>
      </w:r>
      <w:r>
        <w:rPr>
          <w:rFonts w:hint="eastAsia" w:ascii="宋体" w:hAnsi="宋体" w:eastAsia="宋体" w:cs="宋体"/>
          <w:color w:val="auto"/>
          <w:szCs w:val="21"/>
          <w:highlight w:val="none"/>
          <w:lang w:eastAsia="zh-CN"/>
        </w:rPr>
        <w:t xml:space="preserve">采取其他补救措施</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 迟延支付的违约责任</w:t>
      </w:r>
      <w:r/>
    </w:p>
    <w:p>
      <w:pPr>
        <w:ind w:firstLine="420"/>
        <w:jc w:val="left"/>
        <w:keepLines w:val="0"/>
        <w:keepNext w:val="0"/>
        <w:pageBreakBefore w:val="0"/>
        <w:spacing w:before="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keepLines w:val="0"/>
        <w:keepNext w:val="0"/>
        <w:pageBreakBefore w:val="0"/>
        <w:spacing w:before="0"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pStyle w:val="915"/>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915"/>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（1）需方内部工作安排、计划调整等自身原因；</w:t>
      </w:r>
      <w:r/>
    </w:p>
    <w:p>
      <w:pPr>
        <w:pStyle w:val="915"/>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（2）中央、省、市、区级政策变动，以及规划、计划调整等外部原因；</w:t>
      </w:r>
      <w:r/>
    </w:p>
    <w:p>
      <w:pPr>
        <w:pStyle w:val="915"/>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（3）其他需方原因。</w:t>
      </w:r>
      <w:r/>
    </w:p>
    <w:p>
      <w:pPr>
        <w:pStyle w:val="915"/>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本合同对合同变更、中止或终止合同有其他特殊约定的，按该特殊约定执行。</w:t>
      </w:r>
      <w:r/>
    </w:p>
    <w:p>
      <w:pPr>
        <w:numPr>
          <w:ilvl w:val="0"/>
          <w:numId w:val="39"/>
        </w:num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合同变更</w:t>
      </w:r>
      <w:r>
        <w:rPr>
          <w:rFonts w:hint="eastAsia" w:ascii="宋体" w:hAnsi="宋体" w:eastAsia="宋体" w:cs="宋体"/>
          <w:b/>
          <w:color w:val="auto"/>
          <w:sz w:val="24"/>
          <w:highlight w:val="none"/>
          <w:lang w:eastAsia="zh-CN"/>
        </w:rPr>
        <w:t xml:space="preserve">、中止与终止</w:t>
      </w:r>
      <w:r/>
    </w:p>
    <w:p>
      <w:pPr>
        <w:ind w:firstLine="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.1合同的</w:t>
      </w:r>
      <w:r>
        <w:rPr>
          <w:rFonts w:hint="eastAsia" w:ascii="宋体" w:hAnsi="宋体" w:eastAsia="宋体" w:cs="宋体"/>
          <w:color w:val="auto"/>
          <w:szCs w:val="21"/>
          <w:highlight w:val="none"/>
          <w:lang w:eastAsia="zh-CN"/>
        </w:rPr>
        <w:t xml:space="preserve">变更</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政府采购合同履行中，</w:t>
      </w:r>
      <w:r>
        <w:rPr>
          <w:rFonts w:hint="eastAsia" w:ascii="宋体" w:hAnsi="宋体" w:eastAsia="宋体" w:cs="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 xml:space="preserve">一致后</w:t>
      </w:r>
      <w:r>
        <w:rPr>
          <w:rFonts w:hint="eastAsia" w:ascii="宋体" w:hAnsi="宋体" w:eastAsia="宋体" w:cs="宋体"/>
          <w:color w:val="auto"/>
          <w:szCs w:val="21"/>
          <w:highlight w:val="none"/>
        </w:rPr>
        <w:t xml:space="preserve">签订补充协议。</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合同的</w:t>
      </w:r>
      <w:r>
        <w:rPr>
          <w:rFonts w:hint="eastAsia" w:ascii="宋体" w:hAnsi="宋体" w:eastAsia="宋体" w:cs="宋体"/>
          <w:color w:val="auto"/>
          <w:szCs w:val="21"/>
          <w:highlight w:val="none"/>
          <w:lang w:eastAsia="zh-CN"/>
        </w:rPr>
        <w:t xml:space="preserve">终止</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（1）合同履行过程中因供应商就采购文件、采购过程或结果提起投诉的，甲方认为有必要的，</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中止合同的履行。</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合同履行过程中，</w:t>
      </w:r>
      <w:r>
        <w:rPr>
          <w:rFonts w:hint="eastAsia" w:ascii="宋体" w:hAnsi="宋体" w:eastAsia="宋体" w:cs="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 xml:space="preserve">，乙方有义务及时告知甲方</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以书面形式通知乙方</w:t>
      </w:r>
      <w:r>
        <w:rPr>
          <w:rFonts w:hint="eastAsia" w:ascii="宋体" w:hAnsi="宋体" w:eastAsia="宋体" w:cs="宋体"/>
          <w:color w:val="auto"/>
          <w:szCs w:val="21"/>
          <w:highlight w:val="none"/>
          <w:lang w:eastAsia="zh-CN"/>
        </w:rPr>
        <w:t xml:space="preserve">终</w:t>
      </w:r>
      <w:r>
        <w:rPr>
          <w:rFonts w:hint="eastAsia" w:ascii="宋体" w:hAnsi="宋体" w:eastAsia="宋体" w:cs="宋体"/>
          <w:color w:val="auto"/>
          <w:szCs w:val="21"/>
          <w:highlight w:val="none"/>
        </w:rPr>
        <w:t xml:space="preserve">止合同</w:t>
      </w:r>
      <w:r>
        <w:rPr>
          <w:rFonts w:hint="eastAsia" w:ascii="宋体" w:hAnsi="宋体" w:eastAsia="宋体" w:cs="宋体"/>
          <w:color w:val="auto"/>
          <w:szCs w:val="21"/>
          <w:highlight w:val="none"/>
          <w:lang w:eastAsia="zh-CN"/>
        </w:rPr>
        <w:t xml:space="preserve">并要求乙方在合理期限内消除相关情形或者提供适当担保。</w:t>
      </w:r>
      <w:r>
        <w:rPr>
          <w:rFonts w:hint="eastAsia" w:ascii="宋体" w:hAnsi="宋体" w:eastAsia="宋体" w:cs="宋体"/>
          <w:color w:val="auto"/>
          <w:szCs w:val="21"/>
          <w:highlight w:val="none"/>
        </w:rPr>
        <w:t xml:space="preserve">乙方提供适当担保的，</w:t>
      </w:r>
      <w:r>
        <w:rPr>
          <w:rFonts w:hint="eastAsia" w:ascii="宋体" w:hAnsi="宋体" w:eastAsia="宋体" w:cs="宋体"/>
          <w:color w:val="auto"/>
          <w:szCs w:val="21"/>
          <w:highlight w:val="none"/>
          <w:lang w:eastAsia="zh-CN"/>
        </w:rPr>
        <w:t xml:space="preserve">合同继续</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方在合理期限内未恢复履约能力且未提供适当担保的，视为拒绝</w:t>
      </w:r>
      <w:r>
        <w:rPr>
          <w:rFonts w:hint="eastAsia" w:ascii="宋体" w:hAnsi="宋体" w:eastAsia="宋体" w:cs="宋体"/>
          <w:color w:val="auto"/>
          <w:szCs w:val="21"/>
          <w:highlight w:val="none"/>
          <w:lang w:eastAsia="zh-CN"/>
        </w:rPr>
        <w:t xml:space="preserve">继续</w:t>
      </w:r>
      <w:r>
        <w:rPr>
          <w:rFonts w:hint="eastAsia" w:ascii="宋体" w:hAnsi="宋体" w:eastAsia="宋体" w:cs="宋体"/>
          <w:color w:val="auto"/>
          <w:szCs w:val="21"/>
          <w:highlight w:val="none"/>
        </w:rPr>
        <w:t xml:space="preserve">履约，甲方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解除合同并要求乙方承担</w:t>
      </w:r>
      <w:r>
        <w:rPr>
          <w:rFonts w:hint="eastAsia" w:ascii="宋体" w:hAnsi="宋体" w:eastAsia="宋体" w:cs="宋体"/>
          <w:color w:val="auto"/>
          <w:szCs w:val="21"/>
          <w:highlight w:val="none"/>
          <w:lang w:eastAsia="zh-CN"/>
        </w:rPr>
        <w:t xml:space="preserve">由此给甲方造成的损失</w:t>
      </w:r>
      <w:r>
        <w:rPr>
          <w:rFonts w:hint="eastAsia" w:ascii="宋体" w:hAnsi="宋体" w:eastAsia="宋体" w:cs="宋体"/>
          <w:color w:val="auto"/>
          <w:szCs w:val="21"/>
          <w:highlight w:val="none"/>
        </w:rPr>
        <w:t xml:space="preserve">。</w:t>
      </w:r>
      <w:r/>
    </w:p>
    <w:p>
      <w:pPr>
        <w:pStyle w:val="977"/>
        <w:jc w:val="both"/>
        <w:rPr>
          <w:rFonts w:hint="eastAsia"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20"/>
        <w:jc w:val="left"/>
        <w:spacing w:line="400" w:lineRule="exact"/>
        <w:rPr>
          <w:rFonts w:hint="eastAsia" w:ascii="宋体" w:hAnsi="宋体" w:eastAsia="宋体" w:cs="宋体"/>
          <w:sz w:val="21"/>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）甲方不得以行政区划调整、政府换届、机构或者职能调整以及相关责任人更替为由</w:t>
      </w:r>
      <w:r>
        <w:rPr>
          <w:rFonts w:hint="eastAsia" w:ascii="宋体" w:hAnsi="宋体" w:eastAsia="宋体" w:cs="宋体"/>
          <w:color w:val="auto"/>
          <w:szCs w:val="21"/>
          <w:highlight w:val="none"/>
          <w:lang w:eastAsia="zh-CN"/>
        </w:rPr>
        <w:t xml:space="preserve">终止</w:t>
      </w:r>
      <w:r>
        <w:rPr>
          <w:rFonts w:hint="eastAsia" w:ascii="宋体" w:hAnsi="宋体" w:eastAsia="宋体" w:cs="宋体"/>
          <w:color w:val="auto"/>
          <w:szCs w:val="21"/>
          <w:highlight w:val="none"/>
        </w:rPr>
        <w:t xml:space="preserve">合同。</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合同的终止</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（1）合同因有效期限届满而终止；</w:t>
      </w:r>
      <w:r/>
    </w:p>
    <w:p>
      <w:pPr>
        <w:ind w:firstLine="420"/>
        <w:spacing w:line="400" w:lineRule="exact"/>
        <w:rPr>
          <w:rFonts w:hint="eastAsia" w:ascii="宋体" w:hAnsi="宋体" w:eastAsia="宋体" w:cs="宋体"/>
          <w:szCs w:val="21"/>
          <w:lang w:eastAsia="zh-CN"/>
        </w:rPr>
      </w:pPr>
      <w:r>
        <w:rPr>
          <w:rFonts w:hint="eastAsia" w:ascii="宋体" w:hAnsi="宋体" w:eastAsia="宋体" w:cs="宋体"/>
          <w:color w:val="auto"/>
          <w:szCs w:val="21"/>
          <w:highlight w:val="none"/>
        </w:rPr>
        <w:t xml:space="preserve">（2）乙方未</w:t>
      </w:r>
      <w:r>
        <w:rPr>
          <w:rFonts w:hint="eastAsia" w:ascii="宋体" w:hAnsi="宋体" w:eastAsia="宋体" w:cs="宋体"/>
          <w:color w:val="auto"/>
          <w:szCs w:val="21"/>
          <w:highlight w:val="none"/>
          <w:lang w:eastAsia="zh-CN"/>
        </w:rPr>
        <w:t xml:space="preserve">按</w:t>
      </w:r>
      <w:r>
        <w:rPr>
          <w:rFonts w:hint="eastAsia" w:ascii="宋体" w:hAnsi="宋体" w:eastAsia="宋体" w:cs="宋体"/>
          <w:color w:val="auto"/>
          <w:szCs w:val="21"/>
          <w:highlight w:val="none"/>
        </w:rPr>
        <w:t xml:space="preserve">合同约定履行，构成根本性违约的，甲方有权终止合同</w:t>
      </w:r>
      <w:r>
        <w:rPr>
          <w:rFonts w:hint="eastAsia" w:ascii="宋体" w:hAnsi="宋体" w:eastAsia="宋体" w:cs="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eastAsia="宋体" w:cs="宋体"/>
          <w:szCs w:val="21"/>
          <w:lang w:val="en-US" w:eastAsia="zh-CN"/>
        </w:rPr>
        <w:t xml:space="preserve">任</w:t>
      </w:r>
      <w:r>
        <w:rPr>
          <w:rFonts w:hint="eastAsia" w:ascii="宋体" w:hAnsi="宋体" w:eastAsia="宋体" w:cs="宋体"/>
          <w:color w:val="auto"/>
          <w:szCs w:val="21"/>
          <w:highlight w:val="none"/>
        </w:rPr>
        <w:t xml:space="preserve">。</w:t>
      </w:r>
      <w:r/>
    </w:p>
    <w:p>
      <w:pPr>
        <w:pStyle w:val="977"/>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 xml:space="preserve">涉及国家利益、社会公共利益的情形</w:t>
      </w:r>
      <w:r/>
    </w:p>
    <w:p>
      <w:pPr>
        <w:pStyle w:val="977"/>
        <w:jc w:val="both"/>
        <w:rPr>
          <w:rFonts w:hint="eastAsia"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合同分包</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乙方不得</w:t>
      </w:r>
      <w:r>
        <w:rPr>
          <w:rFonts w:hint="eastAsia" w:ascii="宋体" w:hAnsi="宋体" w:eastAsia="宋体" w:cs="宋体"/>
          <w:color w:val="auto"/>
          <w:szCs w:val="21"/>
          <w:highlight w:val="none"/>
          <w:lang w:eastAsia="zh-CN"/>
        </w:rPr>
        <w:t xml:space="preserve">将合同转包给其他供应商。涉及合同分包的，乙方</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lang w:eastAsia="zh-CN"/>
        </w:rPr>
        <w:t xml:space="preserve">根据采购文件和投标（响应）文件规定进行</w:t>
      </w:r>
      <w:r>
        <w:rPr>
          <w:rFonts w:hint="eastAsia" w:ascii="宋体" w:hAnsi="宋体" w:eastAsia="宋体" w:cs="宋体"/>
          <w:color w:val="auto"/>
          <w:szCs w:val="21"/>
          <w:highlight w:val="none"/>
        </w:rPr>
        <w:t xml:space="preserve">合同分包。</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乙方执行政府采购政策向中小企业依法分包的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乙方应当按采购文件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投标（响应）文件签订分包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协议属于本合同组成部分。</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不可抗力</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不可抗力是指合同双方不能预见、不能避免且不能克服的客观情况。</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遇有不可抗力的一方，应及时将事件情况以书面形式</w:t>
      </w:r>
      <w:r>
        <w:rPr>
          <w:rFonts w:hint="eastAsia" w:ascii="宋体" w:hAnsi="宋体" w:eastAsia="宋体" w:cs="宋体"/>
          <w:color w:val="auto"/>
          <w:szCs w:val="21"/>
          <w:highlight w:val="none"/>
          <w:lang w:eastAsia="zh-CN"/>
        </w:rPr>
        <w:t xml:space="preserve">告</w:t>
      </w:r>
      <w:r>
        <w:rPr>
          <w:rFonts w:hint="eastAsia" w:ascii="宋体" w:hAnsi="宋体" w:eastAsia="宋体" w:cs="宋体"/>
          <w:color w:val="auto"/>
          <w:szCs w:val="21"/>
          <w:highlight w:val="none"/>
        </w:rPr>
        <w:t xml:space="preserve">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 xml:space="preserve">的详细</w:t>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lang w:val="en-US" w:eastAsia="zh-CN"/>
        </w:rPr>
        <w:t xml:space="preserve">及证明不可抗力发生及其持续时间的证据</w:t>
      </w:r>
      <w:r>
        <w:rPr>
          <w:rFonts w:hint="eastAsia" w:ascii="宋体" w:hAnsi="宋体" w:eastAsia="宋体" w:cs="宋体"/>
          <w:color w:val="auto"/>
          <w:szCs w:val="21"/>
          <w:highlight w:val="none"/>
        </w:rPr>
        <w:t xml:space="preserve">。</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19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解决争议的方法</w:t>
      </w:r>
      <w:r/>
    </w:p>
    <w:p>
      <w:pPr>
        <w:pStyle w:val="97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97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7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政府采购政策</w:t>
      </w:r>
      <w:r/>
    </w:p>
    <w:p>
      <w:pPr>
        <w:ind w:firstLine="420"/>
        <w:jc w:val="left"/>
        <w:spacing w:before="0"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920"/>
        <w:ind w:firstLine="420"/>
        <w:spacing w:after="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法律适用</w:t>
      </w:r>
      <w:r/>
    </w:p>
    <w:p>
      <w:pPr>
        <w:pStyle w:val="97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97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 xml:space="preserve">通知</w:t>
      </w:r>
      <w:r/>
    </w:p>
    <w:p>
      <w:pPr>
        <w:pStyle w:val="97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977"/>
        <w:ind w:firstLine="0"/>
        <w:jc w:val="both"/>
        <w:rPr>
          <w:rFonts w:hint="eastAsia" w:ascii="宋体" w:hAnsi="宋体" w:eastAsia="宋体" w:cs="宋体"/>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通知以送达之日或通知书中规定的生效之日起生效，两者中以较迟之日为准。</w:t>
      </w:r>
      <w:r/>
    </w:p>
    <w:p>
      <w:pPr>
        <w:numPr>
          <w:ilvl w:val="0"/>
          <w:numId w:val="40"/>
        </w:num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合同未尽事项</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ind w:firstLine="0"/>
        <w:jc w:val="left"/>
        <w:spacing w:line="400" w:lineRule="exact"/>
        <w:rPr>
          <w:rFonts w:hint="eastAsia" w:ascii="宋体" w:hAnsi="宋体" w:eastAsia="宋体" w:cs="宋体"/>
          <w:color w:val="auto"/>
          <w:sz w:val="28"/>
          <w:szCs w:val="28"/>
        </w:rPr>
      </w:pPr>
      <w:r>
        <w:rPr>
          <w:rFonts w:hint="eastAsia" w:ascii="宋体" w:hAnsi="宋体" w:eastAsia="宋体" w:cs="宋体"/>
          <w:bCs/>
          <w:color w:val="auto"/>
          <w:szCs w:val="21"/>
          <w:highlight w:val="none"/>
          <w:lang w:val="en-US" w:eastAsia="zh-CN"/>
        </w:rPr>
        <w:t xml:space="preserve">    23.2 合同附件与合同正文具有同等的法律效力。</w:t>
      </w:r>
      <w:bookmarkStart w:id="31"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905"/>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31"/>
      <w:r/>
      <w:r/>
    </w:p>
    <w:tbl>
      <w:tblPr>
        <w:tblStyle w:val="91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977"/>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pPr>
            <w:r>
              <w:rPr>
                <w:rFonts w:hint="eastAsia" w:ascii="宋体" w:hAnsi="宋体"/>
                <w:color w:val="auto"/>
                <w:szCs w:val="21"/>
                <w:highlight w:val="none"/>
                <w:lang w:eastAsia="zh-CN"/>
              </w:rPr>
              <w:t xml:space="preserve">修理、重做、更换相关具体规定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pPr>
            <w:r>
              <w:rPr>
                <w:rFonts w:hint="default" w:ascii="宋体" w:hAnsi="宋体" w:eastAsia="宋体"/>
                <w:szCs w:val="21"/>
                <w:lang w:val="en-US" w:eastAsia="zh-CN"/>
              </w:rPr>
            </w:r>
            <w:r/>
          </w:p>
        </w:tc>
      </w:tr>
    </w:tbl>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bookmarkStart w:id="32" w:name="OLE_LINK40"/>
      <w:r>
        <w:rPr>
          <w:rFonts w:hint="eastAsia" w:ascii="宋体" w:hAnsi="宋体" w:eastAsia="宋体" w:cs="宋体"/>
          <w:b/>
          <w:color w:val="000000"/>
          <w:sz w:val="32"/>
          <w:szCs w:val="32"/>
        </w:rPr>
        <w:t xml:space="preserve">五、附件</w:t>
      </w:r>
      <w:bookmarkEnd w:id="32"/>
      <w:r/>
      <w:r/>
    </w:p>
    <w:p>
      <w:pPr>
        <w:pStyle w:val="1195"/>
        <w:ind w:firstLine="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附件一：评分标准：</w:t>
      </w:r>
      <w:r>
        <w:rPr>
          <w:rFonts w:hint="eastAsia" w:ascii="宋体" w:hAnsi="宋体" w:eastAsia="宋体" w:cs="宋体"/>
          <w:color w:val="000000" w:themeColor="text1"/>
          <w:sz w:val="24"/>
          <w:highlight w:val="none"/>
          <w14:textFill>
            <w14:solidFill>
              <w14:schemeClr w14:val="tx1"/>
            </w14:solidFill>
          </w14:textFill>
        </w:rPr>
        <w:t xml:space="preserve">（总分100分）</w:t>
      </w:r>
      <w:r/>
    </w:p>
    <w:p>
      <w:pPr>
        <w:ind w:firstLine="480"/>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s="宋体"/>
          <w:bCs/>
          <w:color w:val="000000"/>
          <w:sz w:val="24"/>
          <w:szCs w:val="24"/>
        </w:rPr>
        <w:t xml:space="preserve">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auto"/>
          <w:sz w:val="24"/>
          <w:szCs w:val="24"/>
          <w:highlight w:val="none"/>
        </w:rPr>
        <w:t xml:space="preserve">未列入本评分标准的其他条件不作为评分内容。</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具体评分标准如下：</w:t>
      </w:r>
      <w:r/>
    </w:p>
    <w:p>
      <w:pPr>
        <w:ind w:firstLine="48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1.投标报价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43</w:t>
      </w:r>
      <w:r>
        <w:rPr>
          <w:rFonts w:hint="eastAsia" w:ascii="宋体" w:hAnsi="宋体" w:eastAsia="宋体" w:cs="宋体"/>
          <w:bCs/>
          <w:color w:val="auto"/>
          <w:sz w:val="24"/>
          <w:szCs w:val="24"/>
          <w:highlight w:val="none"/>
        </w:rPr>
        <w:t xml:space="preserve">分</w:t>
      </w:r>
      <w:r/>
    </w:p>
    <w:p>
      <w:pPr>
        <w:ind w:firstLine="48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2.供应商综合评价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9</w:t>
      </w:r>
      <w:r>
        <w:rPr>
          <w:rFonts w:hint="eastAsia" w:ascii="宋体" w:hAnsi="宋体" w:eastAsia="宋体" w:cs="宋体"/>
          <w:bCs/>
          <w:color w:val="auto"/>
          <w:sz w:val="24"/>
          <w:szCs w:val="24"/>
          <w:highlight w:val="none"/>
        </w:rPr>
        <w:t xml:space="preserve">分</w:t>
      </w:r>
      <w:r/>
    </w:p>
    <w:p>
      <w:pPr>
        <w:ind w:firstLine="48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.技术方案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46</w:t>
      </w:r>
      <w:r>
        <w:rPr>
          <w:rFonts w:hint="eastAsia" w:ascii="宋体" w:hAnsi="宋体" w:eastAsia="宋体" w:cs="宋体"/>
          <w:bCs/>
          <w:color w:val="auto"/>
          <w:sz w:val="24"/>
          <w:szCs w:val="24"/>
          <w:highlight w:val="none"/>
        </w:rPr>
        <w:t xml:space="preserve">分</w:t>
      </w:r>
      <w:r/>
    </w:p>
    <w:p>
      <w:pPr>
        <w:ind w:firstLine="48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政策加分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p>
      <w:pPr>
        <w:ind w:firstLine="48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本项目评分标准</w:t>
      </w:r>
      <w:r>
        <w:rPr>
          <w:rFonts w:hint="eastAsia" w:ascii="宋体" w:hAnsi="宋体" w:eastAsia="宋体" w:cs="宋体"/>
          <w:bCs/>
          <w:color w:val="auto"/>
          <w:sz w:val="24"/>
          <w:szCs w:val="24"/>
          <w:highlight w:val="none"/>
          <w:lang w:eastAsia="zh-CN"/>
        </w:rPr>
        <w:t xml:space="preserve">：</w:t>
      </w:r>
      <w:r/>
    </w:p>
    <w:p>
      <w:pPr>
        <w:ind w:firstLine="480"/>
        <w:pageBreakBefore w:val="0"/>
        <w:spacing w:line="360" w:lineRule="auto"/>
        <w:widowControl w:val="off"/>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1.投标报价</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43</w:t>
      </w:r>
      <w:r>
        <w:rPr>
          <w:rFonts w:hint="eastAsia" w:ascii="宋体" w:hAnsi="宋体" w:eastAsia="宋体" w:cs="宋体"/>
          <w:b/>
          <w:bCs w:val="0"/>
          <w:color w:val="auto"/>
          <w:sz w:val="24"/>
          <w:szCs w:val="24"/>
          <w:highlight w:val="none"/>
        </w:rPr>
        <w:t xml:space="preserve">分</w:t>
      </w:r>
      <w:r>
        <w:rPr>
          <w:rFonts w:hint="eastAsia" w:ascii="宋体" w:hAnsi="宋体" w:eastAsia="宋体" w:cs="宋体"/>
          <w:b/>
          <w:bCs w:val="0"/>
          <w:color w:val="auto"/>
          <w:sz w:val="24"/>
          <w:szCs w:val="24"/>
          <w:highlight w:val="none"/>
          <w:lang w:eastAsia="zh-CN"/>
        </w:rPr>
        <w:t xml:space="preserve">）</w:t>
      </w:r>
      <w:r/>
    </w:p>
    <w:p>
      <w:pPr>
        <w:ind w:firstLine="48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pageBreakBefore w:val="0"/>
        <w:spacing w:line="360" w:lineRule="auto"/>
        <w:widowControl w:val="off"/>
        <w:tabs>
          <w:tab w:val="left" w:pos="525" w:leader="none"/>
          <w:tab w:val="left" w:pos="1050"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投标报价得分=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投标基准价／投标报价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43</w:t>
      </w:r>
      <w:r/>
    </w:p>
    <w:p>
      <w:pPr>
        <w:ind w:firstLine="480"/>
        <w:pageBreakBefore w:val="0"/>
        <w:spacing w:line="360" w:lineRule="auto"/>
        <w:widowControl w:val="off"/>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0"/>
        <w:pageBreakBefore w:val="0"/>
        <w:spacing w:line="360" w:lineRule="auto"/>
        <w:widowControl w:val="off"/>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2.投标供应商评价 (</w:t>
      </w:r>
      <w:r>
        <w:rPr>
          <w:rFonts w:hint="eastAsia" w:ascii="宋体" w:hAnsi="宋体" w:eastAsia="宋体" w:cs="宋体"/>
          <w:b/>
          <w:bCs w:val="0"/>
          <w:color w:val="auto"/>
          <w:sz w:val="24"/>
          <w:szCs w:val="24"/>
          <w:highlight w:val="none"/>
        </w:rPr>
        <w:t xml:space="preserve">9分</w:t>
      </w:r>
      <w:r>
        <w:rPr>
          <w:rFonts w:hint="eastAsia" w:ascii="宋体" w:hAnsi="宋体" w:eastAsia="宋体" w:cs="宋体"/>
          <w:b/>
          <w:bCs w:val="0"/>
          <w:color w:val="auto"/>
          <w:sz w:val="24"/>
          <w:szCs w:val="24"/>
          <w:highlight w:val="none"/>
          <w:lang w:eastAsia="zh-CN"/>
        </w:rPr>
        <w:t xml:space="preserve">）</w:t>
      </w:r>
      <w:r/>
    </w:p>
    <w:p>
      <w:pPr>
        <w:ind w:firstLine="480"/>
        <w:pageBreakBefore w:val="0"/>
        <w:spacing w:line="360" w:lineRule="auto"/>
        <w:widowControl w:val="off"/>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提供自20</w:t>
      </w:r>
      <w:r>
        <w:rPr>
          <w:rFonts w:hint="eastAsia" w:ascii="宋体" w:hAnsi="宋体" w:eastAsia="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年1月1日以来承担过的类似业绩，有1个得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分，最高得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提供单份有效期内的合同或协议、验收证明（能够证明本项目已经完成的证明材料）、</w:t>
      </w:r>
      <w:r>
        <w:rPr>
          <w:rFonts w:hint="eastAsia" w:ascii="宋体" w:hAnsi="宋体" w:eastAsia="宋体" w:cs="宋体"/>
          <w:b/>
          <w:bCs w:val="0"/>
          <w:color w:val="auto"/>
          <w:sz w:val="24"/>
          <w:szCs w:val="24"/>
          <w:highlight w:val="none"/>
          <w:u w:val="none"/>
        </w:rPr>
        <w:t xml:space="preserve">资金往来证明的</w:t>
      </w:r>
      <w:r>
        <w:rPr>
          <w:rFonts w:hint="eastAsia" w:ascii="宋体" w:hAnsi="宋体" w:eastAsia="宋体" w:cs="宋体"/>
          <w:b/>
          <w:bCs w:val="0"/>
          <w:color w:val="auto"/>
          <w:sz w:val="24"/>
          <w:szCs w:val="24"/>
          <w:highlight w:val="none"/>
        </w:rPr>
        <w:t xml:space="preserve">扫描件</w:t>
      </w:r>
      <w:r>
        <w:rPr>
          <w:rFonts w:hint="eastAsia" w:ascii="宋体" w:hAnsi="宋体" w:eastAsia="宋体" w:cs="宋体"/>
          <w:b/>
          <w:bCs/>
          <w:color w:val="auto"/>
          <w:sz w:val="24"/>
          <w:szCs w:val="24"/>
          <w:highlight w:val="none"/>
          <w:shd w:val="clear" w:color="auto" w:fill="ffffff"/>
        </w:rPr>
        <w:t xml:space="preserve">上传至投标文件</w:t>
      </w:r>
      <w:r>
        <w:rPr>
          <w:rFonts w:hint="eastAsia" w:ascii="宋体" w:hAnsi="宋体" w:eastAsia="宋体" w:cs="宋体"/>
          <w:b/>
          <w:bCs/>
          <w:color w:val="auto"/>
          <w:sz w:val="24"/>
          <w:szCs w:val="24"/>
          <w:highlight w:val="none"/>
          <w:shd w:val="clear" w:color="auto" w:fill="ffffff"/>
          <w:lang w:val="en-US" w:eastAsia="zh-CN"/>
        </w:rPr>
        <w:t xml:space="preserve">中</w:t>
      </w:r>
      <w:r>
        <w:rPr>
          <w:rFonts w:hint="eastAsia" w:ascii="宋体" w:hAnsi="宋体" w:eastAsia="宋体" w:cs="宋体"/>
          <w:b/>
          <w:bCs/>
          <w:color w:val="auto"/>
          <w:sz w:val="24"/>
          <w:szCs w:val="24"/>
          <w:highlight w:val="none"/>
          <w:shd w:val="clear" w:color="auto" w:fill="ffffff"/>
        </w:rPr>
        <w:t xml:space="preserve">并电子签章，</w:t>
      </w:r>
      <w:r>
        <w:rPr>
          <w:rFonts w:hint="eastAsia" w:ascii="宋体" w:hAnsi="宋体" w:eastAsia="宋体" w:cs="宋体"/>
          <w:b/>
          <w:bCs w:val="0"/>
          <w:color w:val="auto"/>
          <w:sz w:val="24"/>
          <w:szCs w:val="24"/>
          <w:highlight w:val="none"/>
        </w:rPr>
        <w:t xml:space="preserve">时间以合同签订时间为准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shd w:val="clear" w:color="auto" w:fill="ffffff"/>
        </w:rPr>
        <w:t xml:space="preserve">未按要求提供不得分</w:t>
      </w:r>
      <w:r>
        <w:rPr>
          <w:rFonts w:hint="eastAsia" w:ascii="宋体" w:hAnsi="宋体" w:eastAsia="宋体" w:cs="宋体"/>
          <w:b/>
          <w:bCs w:val="0"/>
          <w:color w:val="auto"/>
          <w:sz w:val="24"/>
          <w:szCs w:val="24"/>
          <w:highlight w:val="none"/>
        </w:rPr>
        <w:t xml:space="preserve">。】</w:t>
      </w:r>
      <w:r/>
    </w:p>
    <w:p>
      <w:pPr>
        <w:ind w:firstLine="480"/>
        <w:pageBreakBefore w:val="0"/>
        <w:spacing w:line="360" w:lineRule="auto"/>
        <w:widowControl w:val="off"/>
        <w:tabs>
          <w:tab w:val="left" w:pos="525" w:leader="none"/>
          <w:tab w:val="left" w:pos="105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bookmarkStart w:id="33" w:name="OLE_LINK13"/>
      <w:r>
        <w:rPr>
          <w:rFonts w:hint="eastAsia" w:ascii="宋体" w:hAnsi="宋体" w:eastAsia="宋体" w:cs="宋体"/>
          <w:b w:val="0"/>
          <w:bCs/>
          <w:color w:val="auto"/>
          <w:sz w:val="24"/>
          <w:szCs w:val="24"/>
          <w:highlight w:val="none"/>
        </w:rPr>
        <w:t xml:space="preserve">投标人或产品制造商</w:t>
      </w:r>
      <w:r>
        <w:rPr>
          <w:rFonts w:hint="eastAsia" w:ascii="宋体" w:hAnsi="宋体" w:eastAsia="宋体" w:cs="宋体"/>
          <w:bCs/>
          <w:sz w:val="24"/>
          <w:highlight w:val="none"/>
          <w:lang w:val="en-US" w:eastAsia="zh-CN"/>
        </w:rPr>
        <w:t xml:space="preserve">所投产品互动示教系统软件具有软件著作权证书的</w:t>
      </w:r>
      <w:r>
        <w:rPr>
          <w:rFonts w:hint="eastAsia" w:ascii="宋体" w:hAnsi="宋体" w:eastAsia="宋体" w:cs="宋体"/>
          <w:bCs/>
          <w:color w:val="auto"/>
          <w:sz w:val="24"/>
          <w:highlight w:val="none"/>
          <w:u w:val="none"/>
          <w:lang w:val="en-US" w:eastAsia="zh-CN"/>
        </w:rPr>
        <w:t xml:space="preserve">得2分，</w:t>
      </w:r>
      <w:r>
        <w:rPr>
          <w:rFonts w:hint="eastAsia" w:ascii="宋体" w:hAnsi="宋体" w:eastAsia="宋体" w:cs="宋体"/>
          <w:color w:val="000000"/>
          <w:sz w:val="24"/>
          <w:highlight w:val="none"/>
          <w:lang w:val="en-US" w:eastAsia="zh-CN"/>
        </w:rPr>
        <w:t xml:space="preserve">本项最高得</w:t>
      </w:r>
      <w:r>
        <w:rPr>
          <w:rFonts w:hint="eastAsia" w:ascii="宋体" w:hAnsi="宋体" w:eastAsia="宋体" w:cs="宋体"/>
          <w:color w:val="auto"/>
          <w:sz w:val="24"/>
          <w:highlight w:val="none"/>
          <w:shd w:val="clear" w:color="auto" w:fill="auto"/>
          <w:lang w:val="en-US" w:eastAsia="zh-CN"/>
        </w:rPr>
        <w:t xml:space="preserve">2</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b/>
          <w:bCs/>
          <w:color w:val="auto"/>
          <w:sz w:val="24"/>
          <w:szCs w:val="24"/>
          <w:highlight w:val="none"/>
          <w:shd w:val="clear" w:color="auto" w:fill="ffffff"/>
        </w:rPr>
        <w:t xml:space="preserve">【提供相应证书的扫描件上传至投标文件</w:t>
      </w:r>
      <w:r>
        <w:rPr>
          <w:rFonts w:hint="eastAsia" w:ascii="宋体" w:hAnsi="宋体" w:eastAsia="宋体" w:cs="宋体"/>
          <w:b/>
          <w:bCs/>
          <w:color w:val="auto"/>
          <w:sz w:val="24"/>
          <w:szCs w:val="24"/>
          <w:highlight w:val="none"/>
          <w:shd w:val="clear" w:color="auto" w:fill="ffffff"/>
          <w:lang w:val="en-US" w:eastAsia="zh-CN"/>
        </w:rPr>
        <w:t xml:space="preserve">中</w:t>
      </w:r>
      <w:r>
        <w:rPr>
          <w:rFonts w:hint="eastAsia" w:ascii="宋体" w:hAnsi="宋体" w:eastAsia="宋体" w:cs="宋体"/>
          <w:b/>
          <w:bCs/>
          <w:color w:val="auto"/>
          <w:sz w:val="24"/>
          <w:szCs w:val="24"/>
          <w:highlight w:val="none"/>
          <w:shd w:val="clear" w:color="auto" w:fill="ffffff"/>
        </w:rPr>
        <w:t xml:space="preserve">并电子签章，未按要求提供不得分，认证产品名称与上述名称不同，但内容实质相同的视作等同】</w:t>
      </w:r>
      <w:r>
        <w:rPr>
          <w:rFonts w:hint="eastAsia" w:ascii="宋体" w:hAnsi="宋体" w:eastAsia="宋体" w:cs="宋体"/>
          <w:b w:val="0"/>
          <w:bCs/>
          <w:color w:val="auto"/>
          <w:sz w:val="24"/>
          <w:szCs w:val="24"/>
          <w:highlight w:val="none"/>
        </w:rPr>
      </w:r>
      <w:r/>
    </w:p>
    <w:p>
      <w:pPr>
        <w:ind w:firstLine="480"/>
        <w:pageBreakBefore w:val="0"/>
        <w:spacing w:line="360" w:lineRule="auto"/>
        <w:widowControl w:val="off"/>
        <w:tabs>
          <w:tab w:val="left" w:pos="525" w:leader="none"/>
          <w:tab w:val="left" w:pos="1050" w:leader="none"/>
        </w:tabs>
        <w:rPr>
          <w:rFonts w:hint="eastAsia" w:ascii="宋体" w:hAnsi="宋体" w:eastAsia="宋体" w:cs="宋体"/>
          <w:b w:val="0"/>
          <w:bCs/>
          <w:color w:val="auto"/>
          <w:sz w:val="24"/>
          <w:szCs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b w:val="0"/>
          <w:bCs/>
          <w:color w:val="auto"/>
          <w:sz w:val="24"/>
          <w:szCs w:val="24"/>
          <w:highlight w:val="none"/>
        </w:rPr>
        <w:t xml:space="preserve">投标人或产品制造商</w:t>
      </w:r>
      <w:r>
        <w:rPr>
          <w:rFonts w:hint="eastAsia" w:ascii="宋体" w:hAnsi="宋体" w:eastAsia="宋体" w:cs="宋体"/>
          <w:color w:val="000000"/>
          <w:sz w:val="24"/>
          <w:highlight w:val="none"/>
          <w:lang w:val="en-US" w:eastAsia="zh-CN"/>
        </w:rPr>
        <w:t xml:space="preserve">所投</w:t>
      </w:r>
      <w:r>
        <w:rPr>
          <w:rFonts w:hint="eastAsia" w:ascii="宋体" w:hAnsi="宋体" w:eastAsia="宋体" w:cs="宋体"/>
          <w:b/>
          <w:bCs/>
          <w:color w:val="000000"/>
          <w:sz w:val="24"/>
          <w:highlight w:val="none"/>
          <w:lang w:val="en-US" w:eastAsia="zh-CN"/>
        </w:rPr>
        <w:t xml:space="preserve">家具类产品</w:t>
      </w:r>
      <w:r>
        <w:rPr>
          <w:rFonts w:hint="eastAsia" w:ascii="宋体" w:hAnsi="宋体" w:eastAsia="宋体" w:cs="宋体"/>
          <w:color w:val="000000"/>
          <w:sz w:val="24"/>
          <w:highlight w:val="none"/>
          <w:lang w:val="en-US" w:eastAsia="zh-CN"/>
        </w:rPr>
        <w:t xml:space="preserve">具有有效的有害物质限量认证证书的，每有1个得1分，本项最高得</w:t>
      </w:r>
      <w:r>
        <w:rPr>
          <w:rFonts w:hint="eastAsia" w:ascii="宋体" w:hAnsi="宋体" w:eastAsia="宋体" w:cs="宋体"/>
          <w:color w:val="000000"/>
          <w:sz w:val="24"/>
          <w:highlight w:val="none"/>
          <w:u w:val="none"/>
          <w:lang w:val="en-US" w:eastAsia="zh-CN"/>
        </w:rPr>
        <w:t xml:space="preserve">3</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b/>
          <w:bCs/>
          <w:color w:val="auto"/>
          <w:sz w:val="24"/>
          <w:szCs w:val="24"/>
          <w:highlight w:val="none"/>
          <w:shd w:val="clear" w:color="auto" w:fill="ffffff"/>
        </w:rPr>
        <w:t xml:space="preserve">【提供相应证书的扫描件，同时还须提供该证书在“国家市场监督管理总局-全国认证认可信息公共服务平台”网站查询到的有效认证截图上传至投标文件</w:t>
      </w:r>
      <w:r>
        <w:rPr>
          <w:rFonts w:hint="eastAsia" w:ascii="宋体" w:hAnsi="宋体" w:eastAsia="宋体" w:cs="宋体"/>
          <w:b/>
          <w:bCs/>
          <w:color w:val="auto"/>
          <w:sz w:val="24"/>
          <w:szCs w:val="24"/>
          <w:highlight w:val="none"/>
          <w:shd w:val="clear" w:color="auto" w:fill="ffffff"/>
          <w:lang w:val="en-US" w:eastAsia="zh-CN"/>
        </w:rPr>
        <w:t xml:space="preserve">中</w:t>
      </w:r>
      <w:r>
        <w:rPr>
          <w:rFonts w:hint="eastAsia" w:ascii="宋体" w:hAnsi="宋体" w:eastAsia="宋体" w:cs="宋体"/>
          <w:b/>
          <w:bCs/>
          <w:color w:val="auto"/>
          <w:sz w:val="24"/>
          <w:szCs w:val="24"/>
          <w:highlight w:val="none"/>
          <w:shd w:val="clear" w:color="auto" w:fill="ffffff"/>
        </w:rPr>
        <w:t xml:space="preserve">并电子签章</w:t>
      </w:r>
      <w:r>
        <w:rPr>
          <w:rFonts w:hint="eastAsia" w:ascii="宋体" w:hAnsi="宋体" w:eastAsia="宋体" w:cs="宋体"/>
          <w:b/>
          <w:bCs/>
          <w:color w:val="auto"/>
          <w:sz w:val="24"/>
          <w:szCs w:val="24"/>
          <w:highlight w:val="none"/>
          <w:shd w:val="clear" w:color="auto" w:fill="ffffff"/>
          <w:lang w:eastAsia="zh-CN"/>
        </w:rPr>
        <w:t xml:space="preserve">，</w:t>
      </w:r>
      <w:r>
        <w:rPr>
          <w:rFonts w:hint="eastAsia" w:ascii="宋体" w:hAnsi="宋体" w:eastAsia="宋体" w:cs="宋体"/>
          <w:b/>
          <w:bCs/>
          <w:color w:val="auto"/>
          <w:sz w:val="24"/>
          <w:szCs w:val="24"/>
          <w:highlight w:val="none"/>
          <w:shd w:val="clear" w:color="auto" w:fill="ffffff"/>
        </w:rPr>
        <w:t xml:space="preserve">未按要求提供不得分。认证产品名称与上述名称不同，但内容实质相同的视作等同。不提供或提供不全不得分】</w:t>
      </w:r>
      <w:bookmarkEnd w:id="33"/>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rPr>
        <w:t xml:space="preserve">.技术方案（</w:t>
      </w:r>
      <w:r>
        <w:rPr>
          <w:rFonts w:hint="eastAsia" w:ascii="宋体" w:hAnsi="宋体" w:eastAsia="宋体" w:cs="宋体"/>
          <w:b/>
          <w:bCs w:val="0"/>
          <w:color w:val="auto"/>
          <w:sz w:val="24"/>
          <w:szCs w:val="24"/>
          <w:highlight w:val="none"/>
          <w:lang w:val="en-US" w:eastAsia="zh-CN"/>
        </w:rPr>
        <w:t xml:space="preserve">46</w:t>
      </w:r>
      <w:r>
        <w:rPr>
          <w:rFonts w:hint="eastAsia" w:ascii="宋体" w:hAnsi="宋体" w:eastAsia="宋体" w:cs="宋体"/>
          <w:b/>
          <w:bCs w:val="0"/>
          <w:color w:val="auto"/>
          <w:sz w:val="24"/>
          <w:szCs w:val="24"/>
          <w:highlight w:val="none"/>
        </w:rPr>
        <w:t xml:space="preserve">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暗标</w:t>
      </w:r>
      <w:r>
        <w:rPr>
          <w:rFonts w:hint="eastAsia" w:ascii="宋体" w:hAnsi="宋体" w:eastAsia="宋体" w:cs="宋体"/>
          <w:b/>
          <w:bCs w:val="0"/>
          <w:color w:val="auto"/>
          <w:sz w:val="24"/>
          <w:szCs w:val="24"/>
          <w:highlight w:val="none"/>
          <w:lang w:eastAsia="zh-CN"/>
        </w:rPr>
        <w:t xml:space="preserve">）</w:t>
      </w:r>
      <w:r/>
    </w:p>
    <w:p>
      <w:pPr>
        <w:pStyle w:val="1195"/>
        <w:ind w:firstLine="480"/>
        <w:spacing w:line="360" w:lineRule="auto"/>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（1）项目实施方案（10分）：</w:t>
      </w:r>
      <w:r/>
    </w:p>
    <w:p>
      <w:pPr>
        <w:pStyle w:val="1195"/>
        <w:ind w:firstLine="480"/>
        <w:spacing w:line="360" w:lineRule="auto"/>
        <w:rPr>
          <w:rFonts w:hint="eastAsia" w:ascii="宋体" w:hAnsi="宋体"/>
          <w:b/>
          <w:bCs/>
          <w:sz w:val="24"/>
          <w:szCs w:val="24"/>
          <w:highlight w:val="none"/>
          <w:lang w:val="en-US" w:eastAsia="zh-CN"/>
        </w:rPr>
      </w:pPr>
      <w:r>
        <w:rPr>
          <w:rFonts w:hint="eastAsia" w:ascii="宋体" w:hAnsi="宋体"/>
          <w:b w:val="0"/>
          <w:bCs w:val="0"/>
          <w:sz w:val="24"/>
          <w:szCs w:val="24"/>
          <w:highlight w:val="none"/>
          <w:lang w:val="en-US" w:eastAsia="zh-CN"/>
        </w:rPr>
        <w:t xml:space="preserve">①项目组织架构及人员安排（2分）；</w:t>
      </w:r>
      <w:r/>
    </w:p>
    <w:p>
      <w:pPr>
        <w:pStyle w:val="1195"/>
        <w:ind w:firstLine="480"/>
        <w:spacing w:line="360" w:lineRule="auto"/>
        <w:rPr>
          <w:rFonts w:hint="eastAsia" w:ascii="宋体" w:hAnsi="宋体" w:eastAsia="宋体" w:cs="Times New Roman"/>
          <w:b w:val="0"/>
          <w:bCs w:val="0"/>
          <w:sz w:val="24"/>
          <w:szCs w:val="24"/>
          <w:highlight w:val="none"/>
          <w:lang w:val="en-US" w:eastAsia="zh-CN" w:bidi="ar-SA"/>
        </w:rPr>
      </w:pPr>
      <w:r/>
      <w:bookmarkStart w:id="34" w:name="OLE_LINK31"/>
      <w:r>
        <w:rPr>
          <w:rFonts w:hint="eastAsia" w:ascii="宋体" w:hAnsi="宋体"/>
          <w:b w:val="0"/>
          <w:bCs w:val="0"/>
          <w:sz w:val="24"/>
          <w:szCs w:val="24"/>
          <w:highlight w:val="none"/>
          <w:lang w:val="en-US" w:eastAsia="zh-CN"/>
        </w:rPr>
        <w:t xml:space="preserve">②项目进度安排表（2分）；</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③项目实施方案（2分）；</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④应急方案（2分）；</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⑤供货组织及运输安排（2分）</w:t>
      </w:r>
      <w:bookmarkEnd w:id="34"/>
      <w:r>
        <w:rPr>
          <w:rFonts w:hint="eastAsia" w:ascii="宋体" w:hAnsi="宋体"/>
          <w:b w:val="0"/>
          <w:bCs w:val="0"/>
          <w:sz w:val="24"/>
          <w:szCs w:val="24"/>
          <w:highlight w:val="none"/>
          <w:lang w:val="en-US" w:eastAsia="zh-CN"/>
        </w:rPr>
        <w:t xml:space="preserve">。</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eastAsia="宋体" w:cs="宋体"/>
          <w:sz w:val="24"/>
          <w:szCs w:val="24"/>
          <w:highlight w:val="none"/>
          <w:lang w:val="en-US" w:eastAsia="zh-CN"/>
        </w:rPr>
        <w:t xml:space="preserve">投标人针对上述内容进行阐述，要求阐述内容完整合理、可行性强。以上内容不存在瑕疵的该条得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分；以上内容存在1处瑕疵的该条得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分；以上内容存在2处瑕的该条得</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lang w:val="en-US" w:eastAsia="zh-CN"/>
        </w:rPr>
        <w:t xml:space="preserve">分；未提供方案或不满足项目需求书要求或内容存在3处及以上瑕疵的该条得0分；本项最高得</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分。</w:t>
      </w:r>
      <w:r/>
    </w:p>
    <w:p>
      <w:pPr>
        <w:pStyle w:val="1195"/>
        <w:ind w:firstLine="480"/>
        <w:spacing w:line="360" w:lineRule="auto"/>
        <w:rPr>
          <w:rFonts w:hint="eastAsia" w:ascii="宋体" w:hAnsi="宋体"/>
          <w:b/>
          <w:bCs/>
          <w:sz w:val="24"/>
          <w:szCs w:val="24"/>
          <w:highlight w:val="none"/>
          <w:lang w:val="en-US" w:eastAsia="zh-CN"/>
        </w:rPr>
      </w:pPr>
      <w:r/>
      <w:bookmarkStart w:id="35" w:name="OLE_LINK32"/>
      <w:r>
        <w:rPr>
          <w:rFonts w:hint="eastAsia" w:ascii="宋体" w:hAnsi="宋体"/>
          <w:b/>
          <w:bCs/>
          <w:sz w:val="24"/>
          <w:szCs w:val="24"/>
          <w:highlight w:val="none"/>
          <w:lang w:val="en-US" w:eastAsia="zh-CN"/>
        </w:rPr>
        <w:t xml:space="preserve">（2）质量保证方案（10分）：</w:t>
      </w:r>
      <w:bookmarkEnd w:id="35"/>
      <w:r/>
      <w:r/>
    </w:p>
    <w:p>
      <w:pPr>
        <w:pStyle w:val="1195"/>
        <w:ind w:firstLine="480"/>
        <w:spacing w:line="360" w:lineRule="auto"/>
        <w:rPr>
          <w:rFonts w:hint="eastAsia" w:ascii="宋体" w:hAnsi="宋体"/>
          <w:b w:val="0"/>
          <w:bCs w:val="0"/>
          <w:sz w:val="24"/>
          <w:szCs w:val="24"/>
          <w:highlight w:val="none"/>
          <w:lang w:val="en-US" w:eastAsia="zh-CN"/>
        </w:rPr>
      </w:pPr>
      <w:r/>
      <w:bookmarkStart w:id="36" w:name="OLE_LINK33"/>
      <w:r>
        <w:rPr>
          <w:rFonts w:hint="eastAsia" w:ascii="宋体" w:hAnsi="宋体"/>
          <w:b w:val="0"/>
          <w:bCs w:val="0"/>
          <w:sz w:val="24"/>
          <w:szCs w:val="24"/>
          <w:highlight w:val="none"/>
          <w:lang w:val="en-US" w:eastAsia="zh-CN"/>
        </w:rPr>
        <w:t xml:space="preserve">①质量总则与质量规范（2分）；</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②产品生产过程质量控制措施（2分）；</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③仓储质量保障措施（2分）；</w:t>
      </w:r>
      <w:r/>
    </w:p>
    <w:p>
      <w:pPr>
        <w:pStyle w:val="1195"/>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④运输与包装质量控制</w:t>
      </w:r>
      <w:r>
        <w:rPr>
          <w:rFonts w:hint="eastAsia" w:ascii="宋体" w:hAnsi="宋体"/>
          <w:b w:val="0"/>
          <w:bCs w:val="0"/>
          <w:sz w:val="24"/>
          <w:szCs w:val="24"/>
          <w:highlight w:val="none"/>
          <w:lang w:val="en-US" w:eastAsia="zh-CN"/>
        </w:rPr>
        <w:t xml:space="preserve">（2分）；</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eastAsia="宋体" w:cs="宋体"/>
          <w:sz w:val="24"/>
          <w:szCs w:val="24"/>
          <w:highlight w:val="none"/>
          <w:lang w:val="en-US" w:eastAsia="zh-CN"/>
        </w:rPr>
        <w:t xml:space="preserve">⑤备品备件保障</w:t>
      </w:r>
      <w:r>
        <w:rPr>
          <w:rFonts w:hint="eastAsia" w:ascii="宋体" w:hAnsi="宋体"/>
          <w:b w:val="0"/>
          <w:bCs w:val="0"/>
          <w:sz w:val="24"/>
          <w:szCs w:val="24"/>
          <w:highlight w:val="none"/>
          <w:lang w:val="en-US" w:eastAsia="zh-CN"/>
        </w:rPr>
        <w:t xml:space="preserve">措施（2分）。</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eastAsia="宋体" w:cs="宋体"/>
          <w:sz w:val="24"/>
          <w:szCs w:val="24"/>
          <w:highlight w:val="none"/>
          <w:lang w:val="en-US" w:eastAsia="zh-CN"/>
        </w:rPr>
        <w:t xml:space="preserve">投标人针对上述内容进行阐述，要求阐述内容完整合理、可行性强。以上内容不存在瑕疵的该条得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分；以上内容存在1处瑕疵的该条得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分；以上内容存在2处瑕的该条得</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lang w:val="en-US" w:eastAsia="zh-CN"/>
        </w:rPr>
        <w:t xml:space="preserve">分；未提供方案或不满足项目需求书要求或内容存在3处及以上瑕疵的该条得0分；本项最高得</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分。</w:t>
      </w:r>
      <w:bookmarkEnd w:id="36"/>
      <w:r/>
      <w:r/>
    </w:p>
    <w:p>
      <w:pPr>
        <w:pStyle w:val="1195"/>
        <w:ind w:firstLine="480"/>
        <w:spacing w:line="360" w:lineRule="auto"/>
        <w:rPr>
          <w:rFonts w:hint="eastAsia" w:ascii="宋体" w:hAnsi="宋体"/>
          <w:b/>
          <w:bCs/>
          <w:sz w:val="24"/>
          <w:szCs w:val="24"/>
          <w:highlight w:val="none"/>
          <w:lang w:val="en-US" w:eastAsia="zh-CN"/>
        </w:rPr>
      </w:pPr>
      <w:r/>
      <w:bookmarkStart w:id="37" w:name="OLE_LINK34"/>
      <w:r>
        <w:rPr>
          <w:rFonts w:hint="eastAsia" w:ascii="宋体" w:hAnsi="宋体"/>
          <w:b/>
          <w:bCs/>
          <w:sz w:val="24"/>
          <w:szCs w:val="24"/>
          <w:highlight w:val="none"/>
          <w:lang w:val="en-US" w:eastAsia="zh-CN"/>
        </w:rPr>
        <w:t xml:space="preserve">（3）安装方案（12分）</w:t>
      </w:r>
      <w:bookmarkEnd w:id="37"/>
      <w:r>
        <w:rPr>
          <w:rFonts w:hint="eastAsia" w:ascii="宋体" w:hAnsi="宋体"/>
          <w:b/>
          <w:bCs/>
          <w:sz w:val="24"/>
          <w:szCs w:val="24"/>
          <w:highlight w:val="none"/>
          <w:lang w:val="en-US" w:eastAsia="zh-CN"/>
        </w:rPr>
        <w:t xml:space="preserve">：</w:t>
      </w:r>
      <w:r/>
    </w:p>
    <w:p>
      <w:pPr>
        <w:pStyle w:val="1195"/>
        <w:ind w:firstLine="480"/>
        <w:spacing w:line="360" w:lineRule="auto"/>
        <w:rPr>
          <w:rFonts w:hint="eastAsia" w:ascii="宋体" w:hAnsi="宋体"/>
          <w:b w:val="0"/>
          <w:bCs w:val="0"/>
          <w:sz w:val="24"/>
          <w:szCs w:val="24"/>
          <w:highlight w:val="none"/>
          <w:lang w:val="en-US" w:eastAsia="zh-CN"/>
        </w:rPr>
      </w:pPr>
      <w:r/>
      <w:bookmarkStart w:id="38" w:name="OLE_LINK35"/>
      <w:r>
        <w:rPr>
          <w:rFonts w:hint="eastAsia" w:ascii="宋体" w:hAnsi="宋体"/>
          <w:b w:val="0"/>
          <w:bCs w:val="0"/>
          <w:sz w:val="24"/>
          <w:szCs w:val="24"/>
          <w:highlight w:val="none"/>
          <w:lang w:val="en-US" w:eastAsia="zh-CN"/>
        </w:rPr>
        <w:t xml:space="preserve">①安装前准备（2分）；</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②安装总体布置（2分）；</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③安装工期控制措施（2分）；</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④质量保证措施跟确保工程质量措施（2分）；</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⑤安全文明安装及环境保护措施（2分）；</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⑥机械设备和材料投入计划（2分）。</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eastAsia="宋体" w:cs="宋体"/>
          <w:sz w:val="24"/>
          <w:szCs w:val="24"/>
          <w:highlight w:val="none"/>
          <w:lang w:val="en-US" w:eastAsia="zh-CN"/>
        </w:rPr>
        <w:t xml:space="preserve">投标人针对上述内容进行阐述，要求阐述内容完整合理、可行性强。以上内容不存在瑕疵的该条得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分；以上内容存在1处瑕疵的该条得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分；以上内容存在2处瑕的该条得</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lang w:val="en-US" w:eastAsia="zh-CN"/>
        </w:rPr>
        <w:t xml:space="preserve">分；未提供方案或不满足项目需求书要求或内容存在3处及以上瑕疵的该条得0分；本项最高得</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lang w:val="en-US" w:eastAsia="zh-CN"/>
        </w:rPr>
        <w:t xml:space="preserve">分。</w:t>
      </w:r>
      <w:bookmarkEnd w:id="38"/>
      <w:r/>
      <w:r/>
    </w:p>
    <w:p>
      <w:pPr>
        <w:pStyle w:val="1195"/>
        <w:ind w:firstLine="480"/>
        <w:spacing w:line="360" w:lineRule="auto"/>
        <w:rPr>
          <w:rFonts w:hint="eastAsia" w:ascii="宋体" w:hAnsi="宋体"/>
          <w:b/>
          <w:bCs/>
          <w:sz w:val="24"/>
          <w:szCs w:val="24"/>
          <w:highlight w:val="none"/>
          <w:lang w:val="en-US" w:eastAsia="zh-CN"/>
        </w:rPr>
      </w:pPr>
      <w:r/>
      <w:bookmarkStart w:id="39" w:name="OLE_LINK36"/>
      <w:r>
        <w:rPr>
          <w:rFonts w:hint="eastAsia" w:ascii="宋体" w:hAnsi="宋体"/>
          <w:b/>
          <w:bCs/>
          <w:sz w:val="24"/>
          <w:szCs w:val="24"/>
          <w:highlight w:val="none"/>
          <w:lang w:val="en-US" w:eastAsia="zh-CN"/>
        </w:rPr>
        <w:t xml:space="preserve">（4）售后服务管理及措施（14分）</w:t>
      </w:r>
      <w:bookmarkEnd w:id="39"/>
      <w:r>
        <w:rPr>
          <w:rFonts w:hint="eastAsia" w:ascii="宋体" w:hAnsi="宋体"/>
          <w:b/>
          <w:bCs/>
          <w:sz w:val="24"/>
          <w:szCs w:val="24"/>
          <w:highlight w:val="none"/>
          <w:lang w:val="en-US" w:eastAsia="zh-CN"/>
        </w:rPr>
        <w:t xml:space="preserve">：</w:t>
      </w:r>
      <w:r/>
    </w:p>
    <w:p>
      <w:pPr>
        <w:pStyle w:val="1195"/>
        <w:ind w:firstLine="480"/>
        <w:spacing w:line="360" w:lineRule="auto"/>
        <w:rPr>
          <w:rFonts w:hint="eastAsia" w:ascii="宋体" w:hAnsi="宋体"/>
          <w:b w:val="0"/>
          <w:bCs w:val="0"/>
          <w:sz w:val="24"/>
          <w:szCs w:val="24"/>
          <w:highlight w:val="none"/>
          <w:lang w:val="en-US" w:eastAsia="zh-CN"/>
        </w:rPr>
      </w:pPr>
      <w:r/>
      <w:bookmarkStart w:id="40" w:name="OLE_LINK37"/>
      <w:r>
        <w:rPr>
          <w:rFonts w:hint="eastAsia" w:ascii="宋体" w:hAnsi="宋体"/>
          <w:b w:val="0"/>
          <w:bCs w:val="0"/>
          <w:sz w:val="24"/>
          <w:szCs w:val="24"/>
          <w:highlight w:val="none"/>
          <w:lang w:val="en-US" w:eastAsia="zh-CN"/>
        </w:rPr>
        <w:t xml:space="preserve">①产品质量保证承诺（2分）；</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②现场服务措施（2分）；</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③故障解决能力（2分）；</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④应急服务响应时间（2分）</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⑤售后服务流程介绍（2分）；</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⑥售后服务回访（2分）；</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cs="宋体"/>
          <w:color w:val="000000"/>
          <w:sz w:val="24"/>
          <w:szCs w:val="24"/>
          <w:lang w:val="en-US" w:eastAsia="zh-CN"/>
        </w:rPr>
        <w:t xml:space="preserve">⑦</w:t>
      </w:r>
      <w:r>
        <w:rPr>
          <w:rFonts w:hint="eastAsia" w:ascii="宋体" w:hAnsi="宋体" w:cs="宋体"/>
          <w:color w:val="000000"/>
          <w:sz w:val="24"/>
          <w:szCs w:val="24"/>
        </w:rPr>
        <w:t xml:space="preserve">保修原则</w:t>
      </w:r>
      <w:r>
        <w:rPr>
          <w:rFonts w:hint="eastAsia" w:ascii="宋体" w:hAnsi="宋体"/>
          <w:b w:val="0"/>
          <w:bCs w:val="0"/>
          <w:sz w:val="24"/>
          <w:szCs w:val="24"/>
          <w:highlight w:val="none"/>
          <w:lang w:val="en-US" w:eastAsia="zh-CN"/>
        </w:rPr>
        <w:t xml:space="preserve">（2分）。</w:t>
      </w:r>
      <w:r/>
    </w:p>
    <w:p>
      <w:pPr>
        <w:pStyle w:val="1195"/>
        <w:ind w:firstLine="480"/>
        <w:spacing w:line="360" w:lineRule="auto"/>
        <w:rPr>
          <w:rFonts w:hint="eastAsia" w:ascii="宋体" w:hAnsi="宋体"/>
          <w:b w:val="0"/>
          <w:bCs w:val="0"/>
          <w:sz w:val="24"/>
          <w:szCs w:val="24"/>
          <w:highlight w:val="none"/>
          <w:lang w:val="en-US" w:eastAsia="zh-CN"/>
        </w:rPr>
      </w:pPr>
      <w:r>
        <w:rPr>
          <w:rFonts w:hint="eastAsia" w:ascii="宋体" w:hAnsi="宋体" w:eastAsia="宋体" w:cs="宋体"/>
          <w:sz w:val="24"/>
          <w:szCs w:val="24"/>
          <w:highlight w:val="none"/>
          <w:lang w:val="en-US" w:eastAsia="zh-CN"/>
        </w:rPr>
        <w:t xml:space="preserve">投标人针对上述内容进行阐述，要求阐述内容完整合理、可行性强。以上内容不存在瑕疵的该条得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分；以上内容存在1处瑕疵的该条得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分；以上内容存在2处瑕的该条得</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lang w:val="en-US" w:eastAsia="zh-CN"/>
        </w:rPr>
        <w:t xml:space="preserve">分；未提供方案或不满足项目需求书要求或内容存在3处及以上瑕疵的该条得0分；本项最高得</w:t>
      </w:r>
      <w:r>
        <w:rPr>
          <w:rFonts w:hint="eastAsia" w:ascii="宋体" w:hAnsi="宋体" w:cs="宋体"/>
          <w:sz w:val="24"/>
          <w:szCs w:val="24"/>
          <w:highlight w:val="none"/>
          <w:lang w:val="en-US" w:eastAsia="zh-CN"/>
        </w:rPr>
        <w:t xml:space="preserve">14</w:t>
      </w:r>
      <w:r>
        <w:rPr>
          <w:rFonts w:hint="eastAsia" w:ascii="宋体" w:hAnsi="宋体" w:eastAsia="宋体" w:cs="宋体"/>
          <w:sz w:val="24"/>
          <w:szCs w:val="24"/>
          <w:highlight w:val="none"/>
          <w:lang w:val="en-US" w:eastAsia="zh-CN"/>
        </w:rPr>
        <w:t xml:space="preserve">分。</w:t>
      </w:r>
      <w:bookmarkEnd w:id="40"/>
      <w:r/>
      <w:r/>
    </w:p>
    <w:p>
      <w:pPr>
        <w:ind w:firstLine="480"/>
        <w:pageBreakBefore w:val="0"/>
        <w:spacing w:line="360" w:lineRule="auto"/>
        <w:widowControl w:val="off"/>
        <w:tabs>
          <w:tab w:val="left" w:pos="525" w:leader="none"/>
          <w:tab w:val="left" w:pos="1050" w:leader="none"/>
        </w:tabs>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pageBreakBefore w:val="0"/>
        <w:spacing w:line="360" w:lineRule="auto"/>
        <w:widowControl w:val="off"/>
        <w:tabs>
          <w:tab w:val="left" w:pos="525" w:leader="none"/>
          <w:tab w:val="left" w:pos="1050" w:leader="none"/>
        </w:tabs>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rPr>
        <w:t xml:space="preserve">6.政策加分（</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分）</w:t>
      </w:r>
      <w:r/>
    </w:p>
    <w:p>
      <w:pPr>
        <w:ind w:firstLine="48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分，最高得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p>
    <w:p>
      <w:pPr>
        <w:ind w:firstLine="48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注：同一产品同时具备节能产品认证证书、环境标志产品认证证书的，不重复计分。投标时提供认证证书扫描件。</w:t>
      </w:r>
      <w:r/>
    </w:p>
    <w:p>
      <w:pPr>
        <w:ind w:firstLine="48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195"/>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br w:type="page" w:clear="all"/>
      </w:r>
      <w:r/>
    </w:p>
    <w:p>
      <w:pPr>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附件二：投标文件格式</w:t>
      </w:r>
      <w:r/>
    </w:p>
    <w:p>
      <w:pPr>
        <w:rPr>
          <w:rFonts w:hint="eastAsia" w:ascii="宋体" w:hAnsi="宋体" w:eastAsia="宋体" w:cs="宋体"/>
          <w:bCs/>
          <w:color w:val="000000"/>
          <w:sz w:val="32"/>
        </w:rPr>
      </w:pPr>
      <w:r>
        <w:rPr>
          <w:rFonts w:hint="eastAsia" w:ascii="宋体" w:hAnsi="宋体" w:eastAsia="宋体" w:cs="宋体"/>
          <w:bCs/>
          <w:color w:val="000000"/>
          <w:sz w:val="32"/>
        </w:rPr>
      </w:r>
      <w:r/>
    </w:p>
    <w:p>
      <w:pPr>
        <w:pStyle w:val="920"/>
        <w:rPr>
          <w:rFonts w:hint="eastAsia"/>
        </w:rPr>
      </w:pPr>
      <w:r>
        <w:rPr>
          <w:rFonts w:hint="eastAsia"/>
        </w:rPr>
      </w:r>
      <w:r/>
    </w:p>
    <w:p>
      <w:pPr>
        <w:rPr>
          <w:rFonts w:hint="eastAsia" w:ascii="宋体" w:hAnsi="宋体" w:eastAsia="宋体" w:cs="宋体"/>
          <w:bCs/>
          <w:color w:val="000000"/>
          <w:sz w:val="32"/>
        </w:rPr>
      </w:pPr>
      <w:r>
        <w:rPr>
          <w:rFonts w:hint="eastAsia" w:ascii="宋体" w:hAnsi="宋体" w:eastAsia="宋体" w:cs="宋体"/>
          <w:bCs/>
          <w:color w:val="000000"/>
          <w:sz w:val="3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投</w:t>
      </w:r>
      <w:r/>
    </w:p>
    <w:p>
      <w:pPr>
        <w:jc w:val="center"/>
        <w:rPr>
          <w:rFonts w:hint="eastAsia" w:ascii="宋体" w:hAnsi="宋体" w:eastAsia="宋体" w:cs="宋体"/>
          <w:bCs/>
          <w:color w:val="000000"/>
          <w:sz w:val="72"/>
        </w:rPr>
      </w:pPr>
      <w:r>
        <w:rPr>
          <w:rFonts w:hint="eastAsia" w:ascii="宋体" w:hAnsi="宋体" w:eastAsia="宋体" w:cs="宋体"/>
          <w:bCs/>
          <w:color w:val="000000"/>
          <w:sz w:val="7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标</w:t>
      </w:r>
      <w:r/>
    </w:p>
    <w:p>
      <w:pPr>
        <w:jc w:val="center"/>
        <w:rPr>
          <w:rFonts w:hint="eastAsia" w:ascii="宋体" w:hAnsi="宋体" w:eastAsia="宋体" w:cs="宋体"/>
          <w:bCs/>
          <w:color w:val="000000"/>
          <w:sz w:val="72"/>
        </w:rPr>
      </w:pPr>
      <w:r>
        <w:rPr>
          <w:rFonts w:hint="eastAsia" w:ascii="宋体" w:hAnsi="宋体" w:eastAsia="宋体" w:cs="宋体"/>
          <w:bCs/>
          <w:color w:val="000000"/>
          <w:sz w:val="7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文</w:t>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r>
      <w:r/>
    </w:p>
    <w:p>
      <w:pPr>
        <w:jc w:val="center"/>
        <w:rPr>
          <w:rFonts w:hint="eastAsia" w:ascii="宋体" w:hAnsi="宋体" w:eastAsia="宋体" w:cs="宋体"/>
          <w:bCs/>
          <w:color w:val="000000"/>
          <w:sz w:val="72"/>
        </w:rPr>
      </w:pPr>
      <w:r>
        <w:rPr>
          <w:rFonts w:hint="eastAsia" w:ascii="宋体" w:hAnsi="宋体" w:eastAsia="宋体" w:cs="宋体"/>
          <w:bCs/>
          <w:color w:val="000000"/>
          <w:sz w:val="52"/>
          <w:szCs w:val="52"/>
        </w:rPr>
        <w:t xml:space="preserve">件</w:t>
      </w:r>
      <w:r/>
    </w:p>
    <w:p>
      <w:pPr>
        <w:rPr>
          <w:rFonts w:hint="eastAsia" w:ascii="宋体" w:hAnsi="宋体" w:eastAsia="宋体" w:cs="宋体"/>
          <w:bCs/>
          <w:color w:val="000000"/>
          <w:sz w:val="28"/>
        </w:rPr>
      </w:pPr>
      <w:r>
        <w:rPr>
          <w:rFonts w:hint="eastAsia" w:ascii="宋体" w:hAnsi="宋体" w:eastAsia="宋体" w:cs="宋体"/>
          <w:bCs/>
          <w:color w:val="000000"/>
          <w:sz w:val="28"/>
        </w:rPr>
      </w:r>
      <w:r/>
    </w:p>
    <w:p>
      <w:pPr>
        <w:pStyle w:val="915"/>
        <w:rPr>
          <w:rFonts w:hint="eastAsia" w:ascii="宋体" w:hAnsi="宋体" w:eastAsia="宋体" w:cs="宋体"/>
          <w:bCs/>
          <w:color w:val="000000"/>
          <w:sz w:val="28"/>
        </w:rPr>
      </w:pPr>
      <w:r>
        <w:rPr>
          <w:rFonts w:hint="eastAsia" w:ascii="宋体" w:hAnsi="宋体" w:eastAsia="宋体" w:cs="宋体"/>
          <w:bCs/>
          <w:color w:val="000000"/>
          <w:sz w:val="28"/>
        </w:rPr>
      </w:r>
      <w:r/>
    </w:p>
    <w:p>
      <w:pPr>
        <w:rPr>
          <w:rFonts w:hint="eastAsia" w:ascii="宋体" w:hAnsi="宋体" w:eastAsia="宋体" w:cs="宋体"/>
          <w:bCs/>
          <w:color w:val="000000"/>
          <w:sz w:val="28"/>
        </w:rPr>
      </w:pPr>
      <w:r>
        <w:rPr>
          <w:rFonts w:hint="eastAsia" w:ascii="宋体" w:hAnsi="宋体" w:eastAsia="宋体" w:cs="宋体"/>
          <w:bCs/>
          <w:color w:val="000000"/>
          <w:sz w:val="28"/>
        </w:rPr>
      </w:r>
      <w:r/>
    </w:p>
    <w:p>
      <w:pPr>
        <w:pStyle w:val="915"/>
        <w:ind w:left="0"/>
        <w:rPr>
          <w:rFonts w:hint="eastAsia" w:ascii="宋体" w:hAnsi="宋体" w:eastAsia="宋体" w:cs="宋体"/>
          <w:bCs/>
          <w:color w:val="000000"/>
          <w:sz w:val="28"/>
        </w:rPr>
      </w:pPr>
      <w:r>
        <w:rPr>
          <w:rFonts w:hint="eastAsia" w:ascii="宋体" w:hAnsi="宋体" w:eastAsia="宋体" w:cs="宋体"/>
          <w:bCs/>
          <w:color w:val="000000"/>
          <w:sz w:val="28"/>
        </w:rPr>
      </w:r>
      <w:r/>
    </w:p>
    <w:p>
      <w:pPr>
        <w:rPr>
          <w:rFonts w:hint="eastAsia" w:ascii="宋体" w:hAnsi="宋体" w:eastAsia="宋体" w:cs="宋体"/>
        </w:rPr>
      </w:pPr>
      <w:r>
        <w:rPr>
          <w:rFonts w:hint="eastAsia" w:ascii="宋体" w:hAnsi="宋体" w:eastAsia="宋体" w:cs="宋体"/>
        </w:rPr>
      </w:r>
      <w:r/>
    </w:p>
    <w:p>
      <w:pPr>
        <w:ind w:firstLine="1680"/>
        <w:spacing w:line="360" w:lineRule="auto"/>
        <w:rPr>
          <w:rFonts w:hint="default" w:ascii="宋体" w:hAnsi="宋体" w:eastAsia="宋体" w:cs="宋体"/>
          <w:bCs/>
          <w:color w:val="000000"/>
          <w:sz w:val="28"/>
          <w:szCs w:val="28"/>
          <w:lang w:val="en-US" w:eastAsia="zh-CN"/>
        </w:rPr>
        <w:outlineLvl w:val="0"/>
      </w:pPr>
      <w:r>
        <w:rPr>
          <w:rFonts w:hint="eastAsia" w:ascii="宋体" w:hAnsi="宋体" w:eastAsia="宋体" w:cs="宋体"/>
          <w:bCs/>
          <w:color w:val="000000"/>
          <w:sz w:val="28"/>
          <w:szCs w:val="28"/>
        </w:rPr>
        <w:t xml:space="preserve">采购项目编号：</w:t>
      </w:r>
      <w:r>
        <w:rPr>
          <w:rFonts w:hint="eastAsia" w:ascii="宋体" w:hAnsi="宋体" w:eastAsia="宋体" w:cs="宋体"/>
          <w:color w:val="000000"/>
          <w:sz w:val="30"/>
          <w:szCs w:val="30"/>
          <w:lang w:eastAsia="zh-CN"/>
        </w:rPr>
        <w:t xml:space="preserve">JSZC-320205-JZCG-G2025-0083</w:t>
      </w:r>
      <w:r/>
    </w:p>
    <w:p>
      <w:pPr>
        <w:ind w:firstLine="1680"/>
        <w:jc w:val="left"/>
        <w:spacing w:line="360" w:lineRule="auto"/>
        <w:rPr>
          <w:rFonts w:hint="eastAsia" w:ascii="宋体" w:hAnsi="宋体" w:eastAsia="宋体" w:cs="宋体"/>
          <w:bCs/>
          <w:color w:val="000000"/>
          <w:sz w:val="28"/>
          <w:szCs w:val="28"/>
          <w:lang w:val="en-US" w:eastAsia="zh-CN"/>
        </w:rPr>
        <w:outlineLvl w:val="0"/>
      </w:pPr>
      <w:r>
        <w:rPr>
          <w:rFonts w:hint="eastAsia" w:ascii="宋体" w:hAnsi="宋体" w:eastAsia="宋体" w:cs="宋体"/>
          <w:bCs/>
          <w:color w:val="000000"/>
          <w:sz w:val="28"/>
          <w:szCs w:val="28"/>
        </w:rPr>
        <w:t xml:space="preserve">采购项目名称：</w:t>
      </w:r>
      <w:r>
        <w:rPr>
          <w:rFonts w:hint="eastAsia" w:ascii="宋体" w:hAnsi="宋体" w:eastAsia="宋体" w:cs="宋体"/>
          <w:bCs/>
          <w:color w:val="000000"/>
          <w:sz w:val="28"/>
          <w:szCs w:val="28"/>
          <w:lang w:eastAsia="zh-CN"/>
        </w:rPr>
        <w:t xml:space="preserve">江苏省怀仁中学实验室设备购置项目</w:t>
      </w:r>
      <w:r/>
    </w:p>
    <w:p>
      <w:pPr>
        <w:ind w:left="3163" w:hanging="1489"/>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供应商：</w:t>
      </w:r>
      <w:r/>
    </w:p>
    <w:p>
      <w:pPr>
        <w:pStyle w:val="915"/>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915"/>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915"/>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rPr>
          <w:rFonts w:hint="eastAsia" w:ascii="宋体" w:hAnsi="宋体" w:eastAsia="宋体" w:cs="宋体"/>
          <w:bCs/>
          <w:color w:val="000000"/>
          <w:sz w:val="36"/>
          <w:szCs w:val="36"/>
        </w:rPr>
      </w:pPr>
      <w:r>
        <w:rPr>
          <w:rFonts w:hint="eastAsia" w:ascii="宋体" w:hAnsi="宋体" w:eastAsia="宋体" w:cs="宋体"/>
          <w:bCs/>
          <w:color w:val="000000"/>
          <w:sz w:val="36"/>
          <w:szCs w:val="36"/>
          <w:lang w:eastAsia="zh-CN"/>
        </w:rPr>
        <w:t xml:space="preserve">二〇二五</w:t>
      </w:r>
      <w:r>
        <w:rPr>
          <w:rFonts w:hint="eastAsia" w:ascii="宋体" w:hAnsi="宋体" w:eastAsia="宋体" w:cs="宋体"/>
          <w:bCs/>
          <w:color w:val="000000"/>
          <w:sz w:val="36"/>
          <w:szCs w:val="36"/>
        </w:rPr>
        <w:t xml:space="preserve">年  月  日</w:t>
      </w:r>
      <w:r/>
    </w:p>
    <w:p>
      <w:pPr>
        <w:pStyle w:val="1195"/>
        <w:ind w:firstLine="0"/>
        <w:rPr>
          <w:rFonts w:hint="eastAsia" w:ascii="宋体" w:hAnsi="宋体" w:cs="宋体"/>
          <w:color w:val="000000"/>
        </w:rPr>
      </w:pPr>
      <w:r/>
      <w:bookmarkStart w:id="41" w:name="一．报价函（格式）"/>
      <w:r/>
      <w:bookmarkEnd w:id="41"/>
      <w:r/>
      <w:r/>
    </w:p>
    <w:p>
      <w:pPr>
        <w:pStyle w:val="1195"/>
        <w:ind w:firstLine="0"/>
        <w:rPr>
          <w:rFonts w:hint="eastAsia" w:ascii="宋体" w:hAnsi="宋体" w:cs="宋体"/>
          <w:color w:val="000000"/>
        </w:rPr>
      </w:pPr>
      <w:r>
        <w:rPr>
          <w:rFonts w:hint="eastAsia" w:ascii="宋体" w:hAnsi="宋体" w:cs="宋体"/>
          <w:color w:val="000000"/>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br w:type="page" w:clear="all"/>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（一）投标函（格式）：</w:t>
      </w:r>
      <w:r/>
    </w:p>
    <w:p>
      <w:pPr>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r>
      <w:r/>
    </w:p>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8"/>
          <w:szCs w:val="28"/>
        </w:rPr>
        <w:t xml:space="preserve">投  标  函</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致无锡市公共资源交易中心锡山分中心：</w:t>
      </w:r>
      <w:r/>
    </w:p>
    <w:p>
      <w:pPr>
        <w:ind w:firstLine="480"/>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我方收到贵方编号</w:t>
      </w:r>
      <w:r>
        <w:rPr>
          <w:rFonts w:hint="eastAsia" w:ascii="宋体" w:hAnsi="宋体" w:eastAsia="宋体" w:cs="宋体"/>
          <w:bCs/>
          <w:color w:val="000000" w:themeColor="text1"/>
          <w:sz w:val="24"/>
          <w:szCs w:val="24"/>
          <w:lang w:eastAsia="zh-CN"/>
          <w14:textFill>
            <w14:solidFill>
              <w14:schemeClr w14:val="tx1"/>
            </w14:solidFill>
          </w14:textFill>
        </w:rPr>
        <w:t xml:space="preserve">JSZC-320205-JZCG-G2025-0083</w:t>
      </w:r>
      <w:r>
        <w:rPr>
          <w:rFonts w:hint="eastAsia" w:ascii="宋体" w:hAnsi="宋体" w:eastAsia="宋体" w:cs="宋体"/>
          <w:bCs/>
          <w:color w:val="000000"/>
          <w:sz w:val="24"/>
          <w:szCs w:val="24"/>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190"/>
          <w:rFonts w:hint="eastAsia"/>
          <w:bCs/>
          <w:color w:val="000000"/>
        </w:rPr>
      </w:pPr>
      <w:r>
        <w:rPr>
          <w:rFonts w:hint="eastAsia" w:ascii="宋体" w:hAnsi="宋体" w:eastAsia="宋体" w:cs="宋体"/>
          <w:bCs/>
          <w:color w:val="000000"/>
          <w:sz w:val="24"/>
          <w:szCs w:val="24"/>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rPr>
        <w:t xml:space="preserve">和</w:t>
      </w:r>
      <w:r>
        <w:rPr>
          <w:rFonts w:hint="eastAsia" w:ascii="宋体" w:hAnsi="宋体" w:eastAsia="宋体" w:cs="宋体"/>
          <w:bCs/>
          <w:color w:val="000000"/>
          <w:sz w:val="24"/>
          <w:szCs w:val="24"/>
        </w:rPr>
        <w:t xml:space="preserve">合同条款履行自己的全部责任。</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rPr>
      </w:pPr>
      <w:r>
        <w:rPr>
          <w:rFonts w:hint="eastAsia" w:ascii="宋体" w:hAnsi="宋体" w:eastAsia="宋体" w:cs="宋体"/>
          <w:bCs/>
          <w:color w:val="000000"/>
          <w:sz w:val="24"/>
          <w:szCs w:val="24"/>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十一、我方承诺不非法转包、分包。</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szCs w:val="24"/>
        </w:rPr>
        <w:t xml:space="preserve">以上条款，如有违反，愿依照国家相关法律处理，并承担由此给采购人带来的损失</w:t>
      </w:r>
      <w:r>
        <w:rPr>
          <w:rFonts w:hint="eastAsia" w:ascii="宋体" w:hAnsi="宋体" w:eastAsia="宋体" w:cs="宋体"/>
          <w:bCs/>
          <w:color w:val="000000"/>
          <w:sz w:val="24"/>
        </w:rPr>
        <w:t xml:space="preserve">。</w:t>
      </w:r>
      <w:r/>
    </w:p>
    <w:p>
      <w:pPr>
        <w:pStyle w:val="1146"/>
        <w:rPr>
          <w:rFonts w:hint="eastAsia" w:ascii="宋体" w:hAnsi="宋体" w:eastAsia="宋体" w:cs="宋体"/>
          <w:color w:val="000000"/>
        </w:rPr>
      </w:pPr>
      <w:r>
        <w:rPr>
          <w:rFonts w:hint="eastAsia" w:ascii="宋体" w:hAnsi="宋体" w:eastAsia="宋体" w:cs="宋体"/>
          <w:color w:val="000000"/>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供应商（盖章）：     </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电话：                              传真：</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通讯地址：                          邮编：</w:t>
      </w:r>
      <w:r/>
    </w:p>
    <w:p>
      <w:pPr>
        <w:pStyle w:val="1146"/>
        <w:rPr>
          <w:rFonts w:hint="eastAsia" w:ascii="宋体" w:hAnsi="宋体" w:eastAsia="宋体" w:cs="宋体"/>
          <w:color w:val="000000"/>
        </w:rPr>
      </w:pPr>
      <w:r>
        <w:rPr>
          <w:rFonts w:hint="eastAsia" w:ascii="宋体" w:hAnsi="宋体" w:eastAsia="宋体" w:cs="宋体"/>
          <w:color w:val="000000"/>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920"/>
        <w:rPr>
          <w:rFonts w:hint="eastAsia"/>
          <w:bCs/>
          <w:color w:val="000000"/>
          <w:lang w:eastAsia="zh-CN"/>
        </w:rPr>
      </w:pPr>
      <w:r>
        <w:rPr>
          <w:rFonts w:hint="eastAsia"/>
          <w:bCs/>
          <w:color w:val="000000"/>
          <w:lang w:eastAsia="zh-CN"/>
        </w:rPr>
      </w:r>
      <w:r/>
    </w:p>
    <w:p>
      <w:pPr>
        <w:pStyle w:val="920"/>
        <w:rPr>
          <w:rFonts w:hint="eastAsia"/>
          <w:bCs/>
          <w:color w:val="000000"/>
          <w:lang w:eastAsia="zh-CN"/>
        </w:rPr>
      </w:pPr>
      <w:r>
        <w:rPr>
          <w:rFonts w:hint="eastAsia"/>
          <w:bCs/>
          <w:color w:val="000000"/>
          <w:lang w:eastAsia="zh-CN"/>
        </w:rPr>
      </w:r>
      <w:r/>
    </w:p>
    <w:p>
      <w:pPr>
        <w:pStyle w:val="920"/>
        <w:rPr>
          <w:rFonts w:hint="eastAsia"/>
          <w:bCs/>
          <w:color w:val="000000"/>
          <w:lang w:eastAsia="zh-CN"/>
        </w:rPr>
      </w:pPr>
      <w:r>
        <w:rPr>
          <w:rFonts w:hint="eastAsia"/>
          <w:bCs/>
          <w:color w:val="000000"/>
          <w:lang w:eastAsia="zh-CN"/>
        </w:rPr>
      </w:r>
      <w:r/>
    </w:p>
    <w:p>
      <w:pPr>
        <w:ind w:firstLine="480"/>
        <w:spacing w:line="360" w:lineRule="auto"/>
        <w:rPr>
          <w:rFonts w:hint="eastAsia" w:ascii="宋体" w:hAnsi="宋体" w:eastAsia="宋体" w:cs="宋体"/>
          <w:bCs/>
          <w:color w:val="000000"/>
          <w:sz w:val="28"/>
          <w:szCs w:val="28"/>
        </w:rPr>
        <w:outlineLvl w:val="0"/>
      </w:pPr>
      <w:r>
        <w:rPr>
          <w:rFonts w:hint="eastAsia" w:ascii="宋体" w:hAnsi="宋体" w:eastAsia="宋体" w:cs="宋体"/>
          <w:bCs/>
          <w:color w:val="000000"/>
          <w:sz w:val="24"/>
          <w:szCs w:val="24"/>
        </w:rPr>
        <w:t xml:space="preserve">（二）（供应商）关于资格的声明函（格式）：</w:t>
      </w:r>
      <w:r/>
    </w:p>
    <w:p>
      <w:pPr>
        <w:ind w:firstLine="720"/>
        <w:spacing w:line="360" w:lineRule="auto"/>
        <w:rPr>
          <w:rFonts w:hint="eastAsia" w:ascii="宋体" w:hAnsi="宋体" w:eastAsia="宋体" w:cs="宋体"/>
          <w:bCs/>
          <w:color w:val="000000"/>
          <w:sz w:val="36"/>
        </w:rPr>
      </w:pPr>
      <w:r>
        <w:rPr>
          <w:rFonts w:hint="eastAsia" w:ascii="宋体" w:hAnsi="宋体" w:eastAsia="宋体" w:cs="宋体"/>
          <w:bCs/>
          <w:color w:val="000000"/>
          <w:sz w:val="36"/>
        </w:rPr>
      </w:r>
      <w:r/>
    </w:p>
    <w:p>
      <w:pPr>
        <w:ind w:firstLine="560"/>
        <w:jc w:val="center"/>
        <w:spacing w:line="360" w:lineRule="auto"/>
        <w:rPr>
          <w:rFonts w:hint="eastAsia" w:ascii="宋体" w:hAnsi="宋体" w:eastAsia="宋体" w:cs="宋体"/>
          <w:bCs/>
          <w:color w:val="000000"/>
          <w:sz w:val="28"/>
          <w:szCs w:val="28"/>
        </w:rPr>
      </w:pPr>
      <w:r/>
      <w:bookmarkStart w:id="42" w:name="报价方关于资格的声明函（格式）"/>
      <w:r/>
      <w:bookmarkEnd w:id="42"/>
      <w:r>
        <w:rPr>
          <w:rFonts w:hint="eastAsia" w:ascii="宋体" w:hAnsi="宋体" w:eastAsia="宋体" w:cs="宋体"/>
          <w:bCs/>
          <w:color w:val="000000"/>
          <w:sz w:val="28"/>
          <w:szCs w:val="28"/>
        </w:rPr>
        <w:t xml:space="preserve">关于资格的声明函</w:t>
      </w:r>
      <w:r/>
    </w:p>
    <w:p>
      <w:pP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ind w:firstLine="60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30"/>
        </w:rPr>
        <w:t xml:space="preserve">   </w:t>
      </w:r>
      <w:r>
        <w:rPr>
          <w:rFonts w:hint="eastAsia" w:ascii="宋体" w:hAnsi="宋体" w:eastAsia="宋体" w:cs="宋体"/>
          <w:bCs/>
          <w:color w:val="000000"/>
          <w:sz w:val="24"/>
          <w:szCs w:val="24"/>
        </w:rPr>
        <w:t xml:space="preserve">                         政府采购编号：</w:t>
      </w:r>
      <w:r>
        <w:rPr>
          <w:rFonts w:hint="eastAsia" w:ascii="宋体" w:hAnsi="宋体" w:eastAsia="宋体" w:cs="宋体"/>
          <w:bCs/>
          <w:color w:val="000000"/>
          <w:sz w:val="24"/>
          <w:szCs w:val="24"/>
          <w:lang w:eastAsia="zh-CN"/>
        </w:rPr>
        <w:t xml:space="preserve">JSZC-320205-JZCG-G2025-0083</w:t>
      </w:r>
      <w:r>
        <w:rPr>
          <w:rFonts w:hint="eastAsia" w:ascii="宋体" w:hAnsi="宋体" w:eastAsia="宋体" w:cs="宋体"/>
          <w:bCs/>
          <w:color w:val="000000"/>
          <w:sz w:val="24"/>
          <w:szCs w:val="24"/>
        </w:rPr>
        <w:t xml:space="preserve"> </w:t>
      </w:r>
      <w:r/>
    </w:p>
    <w:p>
      <w:pPr>
        <w:ind w:firstLine="480"/>
        <w:jc w:val="center"/>
        <w:spacing w:line="360" w:lineRule="auto"/>
        <w:tabs>
          <w:tab w:val="left" w:pos="63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日期：</w:t>
      </w:r>
      <w:r/>
    </w:p>
    <w:p>
      <w:pPr>
        <w:ind w:firstLine="48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我公司（单位）愿针对本次</w:t>
      </w:r>
      <w:r>
        <w:rPr>
          <w:rFonts w:hint="eastAsia" w:ascii="宋体" w:hAnsi="宋体" w:eastAsia="宋体" w:cs="宋体"/>
          <w:bCs/>
          <w:color w:val="000000"/>
          <w:sz w:val="24"/>
          <w:szCs w:val="24"/>
          <w:u w:val="single"/>
          <w:lang w:eastAsia="zh-CN"/>
        </w:rPr>
        <w:t xml:space="preserve">江苏省怀仁中学实验室设备购置项目</w:t>
      </w:r>
      <w:r>
        <w:rPr>
          <w:rFonts w:hint="eastAsia" w:ascii="宋体" w:hAnsi="宋体" w:eastAsia="宋体" w:cs="宋体"/>
          <w:bCs/>
          <w:color w:val="000000"/>
          <w:sz w:val="24"/>
          <w:szCs w:val="24"/>
        </w:rPr>
        <w:t xml:space="preserve">进行投标。</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（一）具有独立承担民事责任的能力；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（二）具有良好的商业信誉和健全的财务会计制度；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（三）具有履行合同所必需的设备和专业技术能力；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（四）有依法缴纳税收和社会保障资金的良好记录；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（五）近三年内，在经营活动中没有重大违法记录；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若有违背，我公司（单位）愿意承担由此而产生的一切后果。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供应商（盖章）：</w:t>
      </w:r>
      <w:r/>
    </w:p>
    <w:p>
      <w:pPr>
        <w:ind w:firstLine="480"/>
        <w:spacing w:line="360" w:lineRule="auto"/>
        <w:rPr>
          <w:rFonts w:hint="eastAsia" w:ascii="宋体" w:hAnsi="宋体" w:eastAsia="宋体" w:cs="宋体"/>
          <w:color w:val="000000"/>
        </w:rPr>
      </w:pPr>
      <w:r>
        <w:rPr>
          <w:rFonts w:hint="eastAsia" w:ascii="宋体" w:hAnsi="宋体" w:eastAsia="宋体" w:cs="宋体"/>
          <w:bCs/>
          <w:color w:val="000000"/>
          <w:sz w:val="24"/>
          <w:szCs w:val="24"/>
        </w:rPr>
        <w:t xml:space="preserve">                                  法定代表人（签字或盖章）：</w:t>
      </w:r>
      <w:r/>
    </w:p>
    <w:p>
      <w:pPr>
        <w:rPr>
          <w:rFonts w:hint="eastAsia" w:ascii="宋体" w:hAnsi="宋体" w:eastAsia="宋体" w:cs="宋体"/>
          <w:color w:val="000000"/>
        </w:rPr>
      </w:pPr>
      <w:r>
        <w:rPr>
          <w:rFonts w:hint="eastAsia" w:ascii="宋体" w:hAnsi="宋体" w:eastAsia="宋体" w:cs="宋体"/>
          <w:color w:val="000000"/>
        </w:rPr>
      </w:r>
      <w:r/>
    </w:p>
    <w:p>
      <w:pPr>
        <w:spacing w:line="360" w:lineRule="auto"/>
        <w:rPr>
          <w:rFonts w:hint="eastAsia" w:ascii="宋体" w:hAnsi="宋体" w:eastAsia="宋体" w:cs="宋体"/>
          <w:color w:val="000000"/>
        </w:rPr>
      </w:pPr>
      <w:r>
        <w:rPr>
          <w:rFonts w:hint="eastAsia" w:ascii="宋体" w:hAnsi="宋体" w:eastAsia="宋体" w:cs="宋体"/>
          <w:bCs/>
          <w:color w:val="000000"/>
          <w:szCs w:val="21"/>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90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24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（三）（供应商）法定代表人授权委托书（格式）：</w:t>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jc w:val="cente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法定代表人授权委托书</w:t>
      </w:r>
      <w:r/>
    </w:p>
    <w:p>
      <w:pPr>
        <w:jc w:val="center"/>
        <w:spacing w:line="360" w:lineRule="auto"/>
        <w:rPr>
          <w:rFonts w:hint="eastAsia" w:ascii="宋体" w:hAnsi="宋体" w:eastAsia="宋体" w:cs="宋体"/>
          <w:bCs/>
          <w:color w:val="000000"/>
          <w:sz w:val="36"/>
        </w:rPr>
      </w:pPr>
      <w:r>
        <w:rPr>
          <w:rFonts w:hint="eastAsia" w:ascii="宋体" w:hAnsi="宋体" w:eastAsia="宋体" w:cs="宋体"/>
          <w:bCs/>
          <w:color w:val="000000"/>
          <w:sz w:val="36"/>
        </w:rPr>
      </w:r>
      <w:r/>
    </w:p>
    <w:p>
      <w:pPr>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30"/>
        </w:rPr>
        <w:t xml:space="preserve">                           </w:t>
      </w:r>
      <w:r>
        <w:rPr>
          <w:rFonts w:hint="eastAsia" w:ascii="宋体" w:hAnsi="宋体" w:eastAsia="宋体" w:cs="宋体"/>
          <w:bCs/>
          <w:color w:val="000000"/>
          <w:sz w:val="24"/>
          <w:szCs w:val="24"/>
        </w:rPr>
        <w:t xml:space="preserve">采购项目编号：</w:t>
      </w:r>
      <w:r>
        <w:rPr>
          <w:rFonts w:hint="eastAsia" w:ascii="宋体" w:hAnsi="宋体" w:eastAsia="宋体" w:cs="宋体"/>
          <w:bCs/>
          <w:color w:val="000000"/>
          <w:sz w:val="24"/>
          <w:szCs w:val="24"/>
          <w:lang w:eastAsia="zh-CN"/>
        </w:rPr>
        <w:t xml:space="preserve">JSZC-320205-JZCG-G2025-0083</w:t>
      </w:r>
      <w:r>
        <w:rPr>
          <w:rFonts w:hint="eastAsia" w:ascii="宋体" w:hAnsi="宋体" w:eastAsia="宋体" w:cs="宋体"/>
          <w:bCs/>
          <w:color w:val="000000"/>
          <w:sz w:val="24"/>
          <w:szCs w:val="24"/>
        </w:rPr>
        <w:t xml:space="preserve">                                         日期：</w:t>
      </w:r>
      <w:r/>
    </w:p>
    <w:p>
      <w:pPr>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w:t>
      </w:r>
      <w:r/>
    </w:p>
    <w:p>
      <w:pPr>
        <w:ind w:firstLine="48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代表我公司（单位）全权办理针对本项目（</w:t>
      </w:r>
      <w:r>
        <w:rPr>
          <w:rFonts w:hint="eastAsia" w:ascii="宋体" w:hAnsi="宋体" w:eastAsia="宋体" w:cs="宋体"/>
          <w:bCs/>
          <w:color w:val="000000"/>
          <w:sz w:val="24"/>
          <w:szCs w:val="24"/>
          <w:u w:val="single"/>
          <w:lang w:eastAsia="zh-CN"/>
        </w:rPr>
        <w:t xml:space="preserve">江苏省怀仁中学实验室设备购置项目</w:t>
      </w:r>
      <w:r>
        <w:rPr>
          <w:rFonts w:hint="eastAsia" w:ascii="宋体" w:hAnsi="宋体" w:eastAsia="宋体" w:cs="宋体"/>
          <w:bCs/>
          <w:color w:val="000000"/>
          <w:sz w:val="24"/>
          <w:szCs w:val="24"/>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我公司（单位）对被授权代表的签名负全部责任。</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被授权代表情况：</w:t>
      </w:r>
      <w:r/>
    </w:p>
    <w:p>
      <w:pPr>
        <w:ind w:firstLine="525"/>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姓名：         性别：       电话：</w:t>
      </w:r>
      <w:r/>
    </w:p>
    <w:p>
      <w:pPr>
        <w:ind w:firstLine="324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324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324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单位名称（盖章）：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2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2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915"/>
        <w:rPr>
          <w:rFonts w:hint="eastAsia" w:ascii="宋体" w:hAnsi="宋体" w:eastAsia="宋体" w:cs="宋体"/>
          <w:bCs/>
          <w:color w:val="000000"/>
          <w:sz w:val="24"/>
        </w:rPr>
      </w:pPr>
      <w:r>
        <w:rPr>
          <w:rFonts w:hint="eastAsia" w:ascii="宋体" w:hAnsi="宋体" w:eastAsia="宋体" w:cs="宋体"/>
          <w:bCs/>
          <w:color w:val="000000"/>
          <w:sz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15"/>
        <w:rPr>
          <w:rFonts w:hint="eastAsia" w:ascii="宋体" w:hAnsi="宋体" w:eastAsia="宋体" w:cs="宋体"/>
          <w:bCs/>
          <w:color w:val="000000"/>
          <w:sz w:val="24"/>
        </w:rPr>
      </w:pPr>
      <w:r>
        <w:rPr>
          <w:rFonts w:hint="eastAsia" w:ascii="宋体" w:hAnsi="宋体" w:eastAsia="宋体" w:cs="宋体"/>
          <w:bCs/>
          <w:color w:val="000000"/>
          <w:sz w:val="24"/>
        </w:rPr>
      </w:r>
      <w:r/>
    </w:p>
    <w:p>
      <w:pPr>
        <w:rPr>
          <w:rFonts w:hint="eastAsia" w:ascii="宋体" w:hAnsi="宋体" w:eastAsia="宋体" w:cs="宋体"/>
        </w:rPr>
      </w:pPr>
      <w:r>
        <w:rPr>
          <w:rFonts w:hint="eastAsia" w:ascii="宋体" w:hAnsi="宋体" w:eastAsia="宋体" w:cs="宋体"/>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供应商法定代表人身份证扫描件：</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eastAsia="宋体" w:cs="宋体"/>
          <w:color w:val="000000"/>
          <w:sz w:val="32"/>
          <w:szCs w:val="32"/>
        </w:rPr>
        <w:t xml:space="preserve"> </w:t>
      </w:r>
      <w:r>
        <w:rPr>
          <w:rFonts w:hint="eastAsia" w:ascii="宋体" w:hAnsi="宋体" w:eastAsia="宋体" w:cs="宋体"/>
          <w:bCs/>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rPr>
          <w:rFonts w:hint="eastAsia" w:ascii="宋体" w:hAnsi="宋体" w:eastAsia="宋体" w:cs="宋体"/>
          <w:bCs/>
          <w:color w:val="000000"/>
          <w:sz w:val="24"/>
          <w:szCs w:val="24"/>
        </w:rPr>
        <w:t xml:space="preserve">       </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法定代表人授权代表</w:t>
      </w:r>
      <w:r>
        <w:rPr>
          <w:rFonts w:hint="eastAsia" w:ascii="宋体" w:hAnsi="宋体" w:eastAsia="宋体" w:cs="宋体"/>
          <w:b/>
          <w:bCs/>
          <w:color w:val="000000"/>
          <w:sz w:val="24"/>
          <w:szCs w:val="24"/>
        </w:rPr>
        <w:t xml:space="preserve">人</w:t>
      </w:r>
      <w:r/>
    </w:p>
    <w:p>
      <w:pPr>
        <w:rPr>
          <w:rFonts w:hint="eastAsia" w:ascii="宋体" w:hAnsi="宋体" w:eastAsia="宋体" w:cs="宋体"/>
          <w:color w:val="000000"/>
          <w:sz w:val="32"/>
          <w:szCs w:val="32"/>
        </w:rPr>
      </w:pPr>
      <w:r>
        <w:rPr>
          <w:rFonts w:hint="eastAsia" w:ascii="宋体" w:hAnsi="宋体" w:eastAsia="宋体" w:cs="宋体"/>
          <w:bCs/>
          <w:color w:val="000000"/>
          <w:sz w:val="24"/>
          <w:szCs w:val="24"/>
        </w:rPr>
        <w:t xml:space="preserve"> </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1146"/>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4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46"/>
        <w:ind w:firstLine="480"/>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法定代表人授权代表身份证扫描件：（法定代表人亲自参与投标的除外）</w:t>
      </w:r>
      <w:r/>
    </w:p>
    <w:p>
      <w:pPr>
        <w:pStyle w:val="114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46"/>
        <w:rPr>
          <w:rFonts w:hint="eastAsia" w:ascii="宋体" w:hAnsi="宋体" w:eastAsia="宋体" w:cs="宋体"/>
          <w:bCs w:val="0"/>
          <w:color w:val="000000"/>
          <w:sz w:val="24"/>
          <w:szCs w:val="24"/>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6" o:spid="_x0000_s6"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p>
    <w:p>
      <w:pPr>
        <w:pStyle w:val="1146"/>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46"/>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46"/>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46"/>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46"/>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46"/>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46"/>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46"/>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46"/>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46"/>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46"/>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47"/>
        <w:rPr>
          <w:rFonts w:hint="eastAsia" w:ascii="宋体" w:hAnsi="宋体" w:eastAsia="宋体" w:cs="宋体"/>
          <w:color w:val="000000"/>
        </w:rPr>
      </w:pPr>
      <w:r>
        <w:rPr>
          <w:rFonts w:hint="eastAsia" w:ascii="宋体" w:hAnsi="宋体" w:eastAsia="宋体" w:cs="宋体"/>
          <w:color w:val="000000"/>
        </w:rPr>
      </w:r>
      <w:r/>
    </w:p>
    <w:p>
      <w:pPr>
        <w:pStyle w:val="1146"/>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46"/>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46"/>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46"/>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46"/>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46"/>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46"/>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46"/>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46"/>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46"/>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47"/>
        <w:ind w:firstLine="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（四）承诺书（格式）：</w:t>
      </w:r>
      <w:r/>
    </w:p>
    <w:p>
      <w:pPr>
        <w:spacing w:line="360" w:lineRule="auto"/>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承诺书</w:t>
      </w:r>
      <w:r/>
    </w:p>
    <w:p>
      <w:pPr>
        <w:pStyle w:val="1154"/>
        <w:ind w:left="1260"/>
        <w:spacing w:line="360" w:lineRule="auto"/>
        <w:rPr>
          <w:rFonts w:hint="eastAsia" w:ascii="宋体" w:hAnsi="宋体" w:cs="宋体"/>
          <w:color w:val="000000"/>
        </w:rPr>
      </w:pPr>
      <w:r>
        <w:rPr>
          <w:rFonts w:hint="eastAsia" w:ascii="宋体" w:hAnsi="宋体" w:cs="宋体"/>
          <w:color w:val="000000"/>
        </w:rPr>
      </w:r>
      <w:r/>
    </w:p>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rPr>
        <w:t xml:space="preserve">供应商</w:t>
      </w:r>
      <w:r>
        <w:rPr>
          <w:rFonts w:hint="eastAsia" w:ascii="宋体" w:hAnsi="宋体" w:eastAsia="宋体" w:cs="宋体"/>
          <w:color w:val="000000"/>
          <w:sz w:val="24"/>
          <w:szCs w:val="24"/>
        </w:rPr>
        <w:t xml:space="preserve">名称）在此承诺：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1．本公司（单位）</w:t>
      </w:r>
      <w:r>
        <w:rPr>
          <w:rFonts w:hint="eastAsia" w:ascii="宋体" w:hAnsi="宋体" w:eastAsia="宋体" w:cs="宋体"/>
          <w:bCs/>
          <w:color w:val="000000"/>
          <w:sz w:val="24"/>
          <w:szCs w:val="24"/>
        </w:rPr>
        <w:t xml:space="preserve">对本项目（</w:t>
      </w:r>
      <w:r>
        <w:rPr>
          <w:rFonts w:hint="eastAsia" w:ascii="宋体" w:hAnsi="宋体" w:eastAsia="宋体" w:cs="宋体"/>
          <w:bCs/>
          <w:color w:val="000000"/>
          <w:sz w:val="24"/>
          <w:szCs w:val="24"/>
          <w:u w:val="single"/>
        </w:rPr>
        <w:t xml:space="preserve">项目编号 </w:t>
      </w:r>
      <w:r>
        <w:rPr>
          <w:rFonts w:hint="eastAsia" w:ascii="宋体" w:hAnsi="宋体" w:eastAsia="宋体" w:cs="宋体"/>
          <w:bCs/>
          <w:color w:val="000000" w:themeColor="text1"/>
          <w:sz w:val="24"/>
          <w:szCs w:val="24"/>
          <w:u w:val="single"/>
          <w:lang w:eastAsia="zh-CN"/>
          <w14:textFill>
            <w14:solidFill>
              <w14:schemeClr w14:val="tx1"/>
            </w14:solidFill>
          </w14:textFill>
        </w:rPr>
        <w:t xml:space="preserve">JSZC-320205-JZCG-G2025-0083</w:t>
      </w:r>
      <w:r>
        <w:rPr>
          <w:rFonts w:hint="eastAsia" w:ascii="宋体" w:hAnsi="宋体" w:eastAsia="宋体" w:cs="宋体"/>
          <w:bCs/>
          <w:color w:val="000000"/>
          <w:sz w:val="24"/>
          <w:szCs w:val="24"/>
        </w:rPr>
        <w:t xml:space="preserve">）所提供的货物符合招标文件要求；</w:t>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本公司（单位）</w:t>
      </w:r>
      <w:r>
        <w:rPr>
          <w:rFonts w:hint="eastAsia" w:ascii="宋体" w:hAnsi="宋体" w:eastAsia="宋体" w:cs="宋体"/>
          <w:bCs/>
          <w:color w:val="000000"/>
          <w:sz w:val="24"/>
          <w:szCs w:val="24"/>
        </w:rPr>
        <w:t xml:space="preserve">具备履行合同所必需的服务和专业技术能力；</w:t>
      </w:r>
      <w:r/>
    </w:p>
    <w:p>
      <w:pPr>
        <w:ind w:firstLine="480"/>
        <w:spacing w:line="48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Cs w:val="21"/>
        </w:rPr>
        <w:t xml:space="preserve"> </w:t>
      </w:r>
      <w:r>
        <w:rPr>
          <w:rFonts w:hint="eastAsia" w:ascii="宋体" w:hAnsi="宋体" w:eastAsia="宋体" w:cs="宋体"/>
          <w:color w:val="000000"/>
          <w:sz w:val="24"/>
          <w:szCs w:val="24"/>
        </w:rPr>
        <w:t xml:space="preserve">本公司未被“</w:t>
      </w:r>
      <w:r>
        <w:rPr>
          <w:rFonts w:hint="eastAsia" w:ascii="宋体" w:hAnsi="宋体" w:eastAsia="宋体" w:cs="宋体"/>
          <w:bCs/>
          <w:color w:val="000000"/>
          <w:sz w:val="24"/>
          <w:szCs w:val="24"/>
        </w:rPr>
        <w:t xml:space="preserve">信用中国</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网站</w:t>
      </w:r>
      <w:r>
        <w:rPr>
          <w:rFonts w:hint="eastAsia" w:ascii="宋体" w:hAnsi="宋体" w:eastAsia="宋体" w:cs="宋体"/>
          <w:color w:val="000000"/>
          <w:sz w:val="24"/>
          <w:szCs w:val="24"/>
        </w:rPr>
        <w:t xml:space="preserve">（</w:t>
      </w:r>
      <w:r>
        <w:fldChar w:fldCharType="begin"/>
      </w:r>
      <w:r>
        <w:instrText xml:space="preserve"> HYPERLINK "http://www.creditchina.gov.cn" </w:instrText>
      </w:r>
      <w: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spacing w:line="360" w:lineRule="auto"/>
        <w:rPr>
          <w:rFonts w:hint="eastAsia" w:ascii="宋体" w:hAnsi="宋体" w:eastAsia="宋体" w:cs="宋体"/>
          <w:color w:val="000000"/>
        </w:rPr>
      </w:pPr>
      <w:r>
        <w:rPr>
          <w:rFonts w:hint="eastAsia" w:ascii="宋体" w:hAnsi="宋体" w:eastAsia="宋体" w:cs="宋体"/>
          <w:color w:val="000000"/>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540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供应商（盖章）：</w:t>
      </w:r>
      <w:r/>
    </w:p>
    <w:p>
      <w:pPr>
        <w:ind w:firstLine="480"/>
        <w:spacing w:line="480" w:lineRule="auto"/>
        <w:rPr>
          <w:rFonts w:hint="eastAsia" w:ascii="宋体" w:hAnsi="宋体" w:eastAsia="宋体" w:cs="宋体"/>
          <w:color w:val="000000"/>
        </w:rPr>
        <w:sectPr>
          <w:headerReference w:type="default" r:id="rId10"/>
          <w:headerReference w:type="first" r:id="rId11"/>
          <w:footerReference w:type="default" r:id="rId14"/>
          <w:footerReference w:type="first" r:id="rId15"/>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sz w:val="24"/>
          <w:szCs w:val="24"/>
        </w:rPr>
        <w:t xml:space="preserve">法定代表人或法定代表人授权代表签字或盖章：</w:t>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2"/>
        <w:rPr>
          <w:rFonts w:hint="eastAsia" w:ascii="宋体" w:hAnsi="宋体" w:eastAsia="宋体" w:cs="宋体"/>
          <w:b/>
          <w:color w:val="000000"/>
          <w:sz w:val="28"/>
          <w:szCs w:val="28"/>
        </w:rPr>
        <w:outlineLvl w:val="0"/>
      </w:pPr>
      <w:r>
        <w:rPr>
          <w:rFonts w:hint="eastAsia" w:ascii="宋体" w:hAnsi="宋体" w:eastAsia="宋体" w:cs="宋体"/>
          <w:b/>
          <w:color w:val="000000"/>
          <w:sz w:val="24"/>
          <w:szCs w:val="24"/>
        </w:rPr>
        <w:t xml:space="preserve">（五）开标一览表（格式）：</w:t>
      </w:r>
      <w:r/>
    </w:p>
    <w:p>
      <w:pP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jc w:val="center"/>
        <w:rPr>
          <w:rFonts w:hint="eastAsia" w:ascii="宋体" w:hAnsi="宋体" w:eastAsia="宋体" w:cs="宋体"/>
          <w:bCs/>
          <w:color w:val="000000"/>
          <w:sz w:val="28"/>
          <w:szCs w:val="28"/>
        </w:rPr>
        <w:outlineLvl w:val="0"/>
      </w:pPr>
      <w:r>
        <w:rPr>
          <w:rFonts w:hint="eastAsia" w:ascii="宋体" w:hAnsi="宋体" w:eastAsia="宋体" w:cs="宋体"/>
          <w:b/>
          <w:color w:val="000000"/>
          <w:sz w:val="28"/>
          <w:szCs w:val="28"/>
        </w:rPr>
        <w:t xml:space="preserve">开标一览表</w:t>
      </w:r>
      <w:r>
        <w:rPr>
          <w:rFonts w:hint="eastAsia" w:ascii="宋体" w:hAnsi="宋体" w:eastAsia="宋体" w:cs="宋体"/>
          <w:bCs/>
          <w:color w:val="000000"/>
          <w:sz w:val="28"/>
          <w:szCs w:val="28"/>
        </w:rPr>
        <w:t xml:space="preserve"> </w:t>
      </w:r>
      <w:r/>
    </w:p>
    <w:p>
      <w:pPr>
        <w:pStyle w:val="915"/>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供应商名称（盖章）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项目名称：</w:t>
      </w:r>
      <w:r/>
    </w:p>
    <w:p>
      <w:pPr>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rPr>
        <w:t xml:space="preserve">采购项目编号：</w:t>
      </w:r>
      <w:r>
        <w:rPr>
          <w:rFonts w:hint="eastAsia" w:ascii="宋体" w:hAnsi="宋体" w:eastAsia="宋体" w:cs="宋体"/>
          <w:bCs/>
          <w:sz w:val="24"/>
          <w:szCs w:val="24"/>
          <w:lang w:eastAsia="zh-CN"/>
        </w:rPr>
        <w:t xml:space="preserve">JSZC-320205-JZCG-G2025-0083</w:t>
      </w:r>
      <w:r/>
    </w:p>
    <w:p>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分包号：采购包</w:t>
      </w:r>
      <w:r/>
    </w:p>
    <w:tbl>
      <w:tblPr>
        <w:tblStyle w:val="914"/>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524"/>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投标货物名称</w:t>
            </w:r>
            <w:r/>
          </w:p>
        </w:tc>
        <w:tc>
          <w:tcPr>
            <w:tcW w:w="5524" w:type="dxa"/>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bCs/>
                <w:sz w:val="24"/>
                <w:szCs w:val="24"/>
              </w:rPr>
              <w:t xml:space="preserve">总价（小写）</w:t>
            </w:r>
            <w:r/>
          </w:p>
        </w:tc>
        <w:tc>
          <w:tcPr>
            <w:tcW w:w="5524"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总价（大写）</w:t>
            </w:r>
            <w:r/>
          </w:p>
        </w:tc>
        <w:tc>
          <w:tcPr>
            <w:tcW w:w="5524"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核心产品品牌</w:t>
            </w:r>
            <w:r/>
          </w:p>
        </w:tc>
        <w:tc>
          <w:tcPr>
            <w:tcW w:w="5524"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r>
    </w:tbl>
    <w:p>
      <w:pPr>
        <w:rPr>
          <w:rFonts w:hint="eastAsia" w:ascii="宋体" w:hAnsi="宋体" w:eastAsia="宋体" w:cs="宋体"/>
          <w:sz w:val="22"/>
        </w:rPr>
      </w:pPr>
      <w:r>
        <w:rPr>
          <w:rFonts w:hint="eastAsia" w:ascii="宋体" w:hAnsi="宋体" w:eastAsia="宋体" w:cs="宋体"/>
          <w:sz w:val="22"/>
        </w:rPr>
      </w:r>
      <w:r/>
    </w:p>
    <w:p>
      <w:pPr>
        <w:ind w:firstLine="472"/>
        <w:spacing w:line="460" w:lineRule="exact"/>
        <w:rPr>
          <w:rFonts w:hint="eastAsia" w:ascii="宋体" w:hAnsi="宋体" w:eastAsia="宋体" w:cs="宋体"/>
          <w:b/>
          <w:sz w:val="24"/>
        </w:rPr>
      </w:pPr>
      <w:r>
        <w:rPr>
          <w:rFonts w:hint="eastAsia" w:ascii="宋体" w:hAnsi="宋体" w:eastAsia="宋体" w:cs="宋体"/>
          <w:b/>
          <w:sz w:val="24"/>
        </w:rPr>
        <w:t xml:space="preserve">填写说明：</w:t>
      </w:r>
      <w:r/>
    </w:p>
    <w:p>
      <w:pPr>
        <w:numPr>
          <w:ilvl w:val="0"/>
          <w:numId w:val="41"/>
        </w:numPr>
        <w:ind w:firstLine="470"/>
        <w:spacing w:line="460" w:lineRule="exact"/>
        <w:rPr>
          <w:rFonts w:hint="eastAsia" w:ascii="宋体" w:hAnsi="宋体" w:eastAsia="宋体" w:cs="宋体"/>
          <w:bCs/>
          <w:sz w:val="24"/>
          <w:szCs w:val="24"/>
        </w:rPr>
      </w:pPr>
      <w:r>
        <w:rPr>
          <w:rFonts w:hint="eastAsia" w:ascii="宋体" w:hAnsi="宋体" w:eastAsia="宋体" w:cs="宋体"/>
          <w:bCs/>
          <w:sz w:val="24"/>
        </w:rPr>
        <w:t xml:space="preserve">评标时一律按苏采云系统自带的开标一览表中内容为准，开标一览表中必须盖章。</w:t>
      </w:r>
      <w:r/>
    </w:p>
    <w:p>
      <w:pPr>
        <w:pStyle w:val="915"/>
        <w:rPr>
          <w:rFonts w:hint="eastAsia" w:ascii="宋体" w:hAnsi="宋体" w:eastAsia="宋体" w:cs="宋体"/>
          <w:bCs/>
          <w:color w:val="000000"/>
          <w:sz w:val="24"/>
        </w:rPr>
      </w:pPr>
      <w:r>
        <w:rPr>
          <w:rFonts w:hint="eastAsia" w:ascii="宋体" w:hAnsi="宋体" w:eastAsia="宋体" w:cs="宋体"/>
          <w:bCs/>
          <w:color w:val="000000"/>
          <w:sz w:val="24"/>
        </w:rPr>
      </w:r>
      <w:r/>
    </w:p>
    <w:p>
      <w:pPr>
        <w:rPr>
          <w:rFonts w:hint="eastAsia" w:ascii="宋体" w:hAnsi="宋体" w:eastAsia="宋体" w:cs="宋体"/>
        </w:rPr>
      </w:pPr>
      <w:r>
        <w:rPr>
          <w:rFonts w:hint="eastAsia" w:ascii="宋体" w:hAnsi="宋体" w:eastAsia="宋体" w:cs="宋体"/>
        </w:rPr>
      </w:r>
      <w:r/>
    </w:p>
    <w:p>
      <w:pPr>
        <w:spacing w:before="5" w:line="360" w:lineRule="auto"/>
        <w:rPr>
          <w:rFonts w:hint="eastAsia" w:ascii="宋体" w:hAnsi="宋体" w:eastAsia="宋体" w:cs="宋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sz w:val="24"/>
          <w:szCs w:val="24"/>
        </w:rPr>
        <w:t xml:space="preserve">日期：</w:t>
      </w:r>
      <w:r/>
    </w:p>
    <w:p>
      <w:pPr>
        <w:numPr>
          <w:ilvl w:val="0"/>
          <w:numId w:val="42"/>
        </w:num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报价明细表（格式）：</w:t>
      </w:r>
      <w:r/>
    </w:p>
    <w:p>
      <w:pPr>
        <w:pStyle w:val="915"/>
        <w:ind w:left="0"/>
        <w:rPr>
          <w:rFonts w:hint="eastAsia" w:ascii="宋体" w:hAnsi="宋体" w:eastAsia="宋体" w:cs="宋体"/>
        </w:rPr>
      </w:pPr>
      <w:r>
        <w:rPr>
          <w:rFonts w:hint="eastAsia" w:ascii="宋体" w:hAnsi="宋体" w:eastAsia="宋体" w:cs="宋体"/>
        </w:rPr>
      </w:r>
      <w:r/>
    </w:p>
    <w:p>
      <w:pPr>
        <w:pStyle w:val="915"/>
        <w:jc w:val="center"/>
        <w:rPr>
          <w:rFonts w:hint="eastAsia" w:ascii="宋体" w:hAnsi="宋体" w:eastAsia="宋体" w:cs="宋体"/>
          <w:b/>
          <w:color w:val="000000"/>
          <w:sz w:val="36"/>
        </w:rPr>
      </w:pPr>
      <w:r>
        <w:rPr>
          <w:rFonts w:hint="eastAsia" w:ascii="宋体" w:hAnsi="宋体" w:eastAsia="宋体" w:cs="宋体"/>
          <w:b/>
          <w:color w:val="000000"/>
          <w:sz w:val="36"/>
        </w:rPr>
        <w:t xml:space="preserve">报价明细表</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供应商名称（盖章）                        政府采购编号：</w:t>
      </w:r>
      <w:r/>
    </w:p>
    <w:tbl>
      <w:tblPr>
        <w:tblStyle w:val="914"/>
        <w:tblW w:w="9000"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3"/>
        <w:gridCol w:w="707"/>
        <w:gridCol w:w="598"/>
        <w:gridCol w:w="570"/>
        <w:gridCol w:w="1350"/>
        <w:gridCol w:w="687"/>
        <w:gridCol w:w="663"/>
        <w:gridCol w:w="600"/>
        <w:gridCol w:w="1025"/>
        <w:gridCol w:w="1125"/>
        <w:gridCol w:w="1062"/>
      </w:tblGrid>
      <w:tr>
        <w:trPr>
          <w:cantSplit/>
          <w:trHeight w:val="519"/>
        </w:trPr>
        <w:tc>
          <w:tcPr>
            <w:tcMar>
              <w:left w:w="15" w:type="dxa"/>
              <w:top w:w="15" w:type="dxa"/>
              <w:right w:w="15" w:type="dxa"/>
              <w:bottom w:w="0" w:type="dxa"/>
            </w:tcMar>
            <w:tcW w:w="613"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序号</w:t>
            </w:r>
            <w:r/>
          </w:p>
        </w:tc>
        <w:tc>
          <w:tcPr>
            <w:tcMar>
              <w:left w:w="15" w:type="dxa"/>
              <w:top w:w="15" w:type="dxa"/>
              <w:right w:w="15" w:type="dxa"/>
              <w:bottom w:w="0" w:type="dxa"/>
            </w:tcMar>
            <w:tcW w:w="707"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名称</w:t>
            </w:r>
            <w:r/>
          </w:p>
        </w:tc>
        <w:tc>
          <w:tcPr>
            <w:tcBorders>
              <w:right w:val="single" w:color="auto" w:sz="4" w:space="0"/>
            </w:tcBorders>
            <w:tcMar>
              <w:left w:w="15" w:type="dxa"/>
              <w:top w:w="15" w:type="dxa"/>
              <w:right w:w="15" w:type="dxa"/>
              <w:bottom w:w="0" w:type="dxa"/>
            </w:tcMar>
            <w:tcW w:w="598"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品牌</w:t>
            </w:r>
            <w:r/>
          </w:p>
        </w:tc>
        <w:tc>
          <w:tcPr>
            <w:tcBorders>
              <w:left w:val="single" w:color="auto" w:sz="4" w:space="0"/>
            </w:tcBorders>
            <w:tcMar>
              <w:left w:w="15" w:type="dxa"/>
              <w:top w:w="15" w:type="dxa"/>
              <w:right w:w="15" w:type="dxa"/>
              <w:bottom w:w="0" w:type="dxa"/>
            </w:tcMar>
            <w:tcW w:w="570"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型号</w:t>
            </w:r>
            <w:r/>
          </w:p>
        </w:tc>
        <w:tc>
          <w:tcPr>
            <w:tcMar>
              <w:left w:w="15" w:type="dxa"/>
              <w:top w:w="15" w:type="dxa"/>
              <w:right w:w="15" w:type="dxa"/>
              <w:bottom w:w="0" w:type="dxa"/>
            </w:tcMar>
            <w:tcW w:w="1350"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性能指标</w:t>
            </w:r>
            <w:r/>
          </w:p>
        </w:tc>
        <w:tc>
          <w:tcPr>
            <w:tcMar>
              <w:left w:w="15" w:type="dxa"/>
              <w:top w:w="15" w:type="dxa"/>
              <w:right w:w="15" w:type="dxa"/>
              <w:bottom w:w="0" w:type="dxa"/>
            </w:tcMar>
            <w:tcW w:w="687" w:type="dxa"/>
            <w:vAlign w:val="center"/>
            <w:textDirection w:val="lrTb"/>
            <w:noWrap w:val="false"/>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数量</w:t>
            </w:r>
            <w:r/>
          </w:p>
        </w:tc>
        <w:tc>
          <w:tcPr>
            <w:tcMar>
              <w:left w:w="15" w:type="dxa"/>
              <w:top w:w="15" w:type="dxa"/>
              <w:right w:w="15" w:type="dxa"/>
              <w:bottom w:w="0" w:type="dxa"/>
            </w:tcMar>
            <w:tcW w:w="663"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单位</w:t>
            </w:r>
            <w:r/>
          </w:p>
        </w:tc>
        <w:tc>
          <w:tcPr>
            <w:tcMar>
              <w:left w:w="15" w:type="dxa"/>
              <w:top w:w="15" w:type="dxa"/>
              <w:right w:w="15" w:type="dxa"/>
              <w:bottom w:w="0" w:type="dxa"/>
            </w:tcMar>
            <w:tcW w:w="600"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产地</w:t>
            </w:r>
            <w:r/>
          </w:p>
        </w:tc>
        <w:tc>
          <w:tcPr>
            <w:tcW w:w="1025" w:type="dxa"/>
            <w:vAlign w:val="center"/>
            <w:textDirection w:val="lrTb"/>
            <w:noWrap w:val="false"/>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免费质保期</w:t>
            </w:r>
            <w:r/>
          </w:p>
        </w:tc>
        <w:tc>
          <w:tcPr>
            <w:tcW w:w="1125" w:type="dxa"/>
            <w:vAlign w:val="center"/>
            <w:textDirection w:val="lrTb"/>
            <w:noWrap w:val="false"/>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单报价（元）</w:t>
            </w:r>
            <w:r/>
          </w:p>
        </w:tc>
        <w:tc>
          <w:tcPr>
            <w:tcW w:w="1062" w:type="dxa"/>
            <w:vAlign w:val="center"/>
            <w:textDirection w:val="lrTb"/>
            <w:noWrap w:val="false"/>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分项总报价（元）</w:t>
            </w:r>
            <w:r/>
          </w:p>
        </w:tc>
      </w:tr>
      <w:tr>
        <w:trPr>
          <w:cantSplit/>
          <w:trHeight w:val="615"/>
        </w:trPr>
        <w:tc>
          <w:tcPr>
            <w:tcMar>
              <w:left w:w="15" w:type="dxa"/>
              <w:top w:w="15" w:type="dxa"/>
              <w:right w:w="15" w:type="dxa"/>
              <w:bottom w:w="0" w:type="dxa"/>
            </w:tcMar>
            <w:tcW w:w="613" w:type="dxa"/>
            <w:vAlign w:val="center"/>
            <w:textDirection w:val="lrTb"/>
            <w:noWrap/>
          </w:tcPr>
          <w:p>
            <w:pPr>
              <w:pStyle w:val="1166"/>
              <w:spacing w:before="5"/>
              <w:tabs>
                <w:tab w:val="clear" w:pos="4153" w:leader="none"/>
                <w:tab w:val="clear" w:pos="8306" w:leader="none"/>
              </w:tabs>
              <w:rPr>
                <w:rFonts w:hint="eastAsia" w:ascii="宋体" w:hAnsi="宋体" w:eastAsia="宋体" w:cs="宋体"/>
                <w:color w:val="000000"/>
              </w:rPr>
              <w:pBdr>
                <w:bottom w:val="none" w:color="000000" w:sz="0" w:space="0"/>
              </w:pBdr>
            </w:pPr>
            <w:r>
              <w:rPr>
                <w:rFonts w:hint="eastAsia" w:ascii="宋体" w:hAnsi="宋体" w:eastAsia="宋体" w:cs="宋体"/>
                <w:color w:val="000000"/>
              </w:rPr>
            </w:r>
            <w:r/>
          </w:p>
        </w:tc>
        <w:tc>
          <w:tcPr>
            <w:tcMar>
              <w:left w:w="15" w:type="dxa"/>
              <w:top w:w="15" w:type="dxa"/>
              <w:right w:w="15" w:type="dxa"/>
              <w:bottom w:w="0" w:type="dxa"/>
            </w:tcMar>
            <w:tcW w:w="707" w:type="dxa"/>
            <w:vAlign w:val="center"/>
            <w:textDirection w:val="lrTb"/>
            <w:noWrap/>
          </w:tcPr>
          <w:p>
            <w:pPr>
              <w:pStyle w:val="116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Borders>
              <w:right w:val="single" w:color="auto" w:sz="4" w:space="0"/>
            </w:tcBorders>
            <w:tcMar>
              <w:left w:w="15" w:type="dxa"/>
              <w:top w:w="15" w:type="dxa"/>
              <w:right w:w="15" w:type="dxa"/>
              <w:bottom w:w="0" w:type="dxa"/>
            </w:tcMar>
            <w:tcW w:w="598" w:type="dxa"/>
            <w:vAlign w:val="center"/>
            <w:textDirection w:val="lrTb"/>
            <w:noWrap w:val="false"/>
          </w:tcPr>
          <w:p>
            <w:pPr>
              <w:pStyle w:val="116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Borders>
              <w:left w:val="single" w:color="auto" w:sz="4" w:space="0"/>
            </w:tcBorders>
            <w:tcMar>
              <w:left w:w="15" w:type="dxa"/>
              <w:top w:w="15" w:type="dxa"/>
              <w:right w:w="15" w:type="dxa"/>
              <w:bottom w:w="0" w:type="dxa"/>
            </w:tcMar>
            <w:tcW w:w="570" w:type="dxa"/>
            <w:vAlign w:val="center"/>
            <w:textDirection w:val="lrTb"/>
            <w:noWrap w:val="false"/>
          </w:tcPr>
          <w:p>
            <w:pPr>
              <w:pStyle w:val="116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025"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615"/>
        </w:trPr>
        <w:tc>
          <w:tcPr>
            <w:tcMar>
              <w:left w:w="15" w:type="dxa"/>
              <w:top w:w="15" w:type="dxa"/>
              <w:right w:w="15" w:type="dxa"/>
              <w:bottom w:w="0" w:type="dxa"/>
            </w:tcMar>
            <w:tcW w:w="613" w:type="dxa"/>
            <w:vAlign w:val="center"/>
            <w:textDirection w:val="lrTb"/>
            <w:noWrap/>
          </w:tcPr>
          <w:p>
            <w:pPr>
              <w:pStyle w:val="1166"/>
              <w:spacing w:before="5"/>
              <w:tabs>
                <w:tab w:val="clear" w:pos="4153" w:leader="none"/>
                <w:tab w:val="clear" w:pos="8306" w:leader="none"/>
              </w:tabs>
              <w:rPr>
                <w:rFonts w:hint="eastAsia" w:ascii="宋体" w:hAnsi="宋体" w:eastAsia="宋体" w:cs="宋体"/>
                <w:color w:val="000000"/>
              </w:rPr>
              <w:pBdr>
                <w:bottom w:val="none" w:color="000000" w:sz="0" w:space="0"/>
              </w:pBdr>
            </w:pPr>
            <w:r>
              <w:rPr>
                <w:rFonts w:hint="eastAsia" w:ascii="宋体" w:hAnsi="宋体" w:eastAsia="宋体" w:cs="宋体"/>
                <w:color w:val="000000"/>
              </w:rPr>
            </w:r>
            <w:r/>
          </w:p>
        </w:tc>
        <w:tc>
          <w:tcPr>
            <w:tcMar>
              <w:left w:w="15" w:type="dxa"/>
              <w:top w:w="15" w:type="dxa"/>
              <w:right w:w="15" w:type="dxa"/>
              <w:bottom w:w="0" w:type="dxa"/>
            </w:tcMar>
            <w:tcW w:w="707" w:type="dxa"/>
            <w:vAlign w:val="center"/>
            <w:textDirection w:val="lrTb"/>
            <w:noWrap/>
          </w:tcPr>
          <w:p>
            <w:pPr>
              <w:pStyle w:val="116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Borders>
              <w:right w:val="single" w:color="auto" w:sz="4" w:space="0"/>
            </w:tcBorders>
            <w:tcMar>
              <w:left w:w="15" w:type="dxa"/>
              <w:top w:w="15" w:type="dxa"/>
              <w:right w:w="15" w:type="dxa"/>
              <w:bottom w:w="0" w:type="dxa"/>
            </w:tcMar>
            <w:tcW w:w="598" w:type="dxa"/>
            <w:vAlign w:val="center"/>
            <w:textDirection w:val="lrTb"/>
            <w:noWrap w:val="false"/>
          </w:tcPr>
          <w:p>
            <w:pPr>
              <w:pStyle w:val="116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Borders>
              <w:left w:val="single" w:color="auto" w:sz="4" w:space="0"/>
            </w:tcBorders>
            <w:tcMar>
              <w:left w:w="15" w:type="dxa"/>
              <w:top w:w="15" w:type="dxa"/>
              <w:right w:w="15" w:type="dxa"/>
              <w:bottom w:w="0" w:type="dxa"/>
            </w:tcMar>
            <w:tcW w:w="570" w:type="dxa"/>
            <w:vAlign w:val="center"/>
            <w:textDirection w:val="lrTb"/>
            <w:noWrap w:val="false"/>
          </w:tcPr>
          <w:p>
            <w:pPr>
              <w:pStyle w:val="116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rPr>
              <w:t xml:space="preserve">　</w:t>
            </w:r>
            <w:r/>
          </w:p>
        </w:tc>
        <w:tc>
          <w:tcPr>
            <w:tcW w:w="10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rPr>
              <w:t xml:space="preserve">　</w:t>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567"/>
        </w:trPr>
        <w:tc>
          <w:tcPr>
            <w:tcMar>
              <w:left w:w="15" w:type="dxa"/>
              <w:top w:w="15" w:type="dxa"/>
              <w:right w:w="15" w:type="dxa"/>
              <w:bottom w:w="0" w:type="dxa"/>
            </w:tcMar>
            <w:tcW w:w="613" w:type="dxa"/>
            <w:vAlign w:val="center"/>
            <w:textDirection w:val="lrTb"/>
            <w:noWrap/>
          </w:tcPr>
          <w:p>
            <w:pPr>
              <w:jc w:val="center"/>
              <w:rPr>
                <w:rFonts w:hint="eastAsia" w:ascii="宋体" w:hAnsi="宋体" w:eastAsia="宋体" w:cs="宋体"/>
                <w:color w:val="000000"/>
                <w:sz w:val="18"/>
              </w:rPr>
            </w:pPr>
            <w:r>
              <w:rPr>
                <w:rFonts w:hint="eastAsia" w:ascii="宋体" w:hAnsi="宋体" w:eastAsia="宋体" w:cs="宋体"/>
                <w:color w:val="000000"/>
                <w:sz w:val="18"/>
              </w:rPr>
            </w:r>
            <w:r/>
          </w:p>
        </w:tc>
        <w:tc>
          <w:tcPr>
            <w:tcMar>
              <w:left w:w="15" w:type="dxa"/>
              <w:top w:w="15" w:type="dxa"/>
              <w:right w:w="15" w:type="dxa"/>
              <w:bottom w:w="0" w:type="dxa"/>
            </w:tcMar>
            <w:tcW w:w="707" w:type="dxa"/>
            <w:vAlign w:val="center"/>
            <w:textDirection w:val="lrTb"/>
            <w:noWrap/>
          </w:tcPr>
          <w:p>
            <w:pPr>
              <w:jc w:val="center"/>
              <w:rPr>
                <w:rFonts w:hint="eastAsia" w:ascii="宋体" w:hAnsi="宋体" w:eastAsia="宋体" w:cs="宋体"/>
                <w:color w:val="000000"/>
              </w:rPr>
            </w:pPr>
            <w:r>
              <w:rPr>
                <w:rFonts w:hint="eastAsia" w:ascii="宋体" w:hAnsi="宋体" w:eastAsia="宋体" w:cs="宋体"/>
                <w:color w:val="000000"/>
              </w:rPr>
            </w:r>
            <w:r/>
          </w:p>
        </w:tc>
        <w:tc>
          <w:tcPr>
            <w:tcBorders>
              <w:right w:val="single" w:color="auto" w:sz="4" w:space="0"/>
            </w:tcBorders>
            <w:tcMar>
              <w:left w:w="15" w:type="dxa"/>
              <w:top w:w="15" w:type="dxa"/>
              <w:right w:w="15" w:type="dxa"/>
              <w:bottom w:w="0" w:type="dxa"/>
            </w:tcMar>
            <w:tcW w:w="598" w:type="dxa"/>
            <w:vAlign w:val="center"/>
            <w:textDirection w:val="lrTb"/>
            <w:noWrap w:val="false"/>
          </w:tcPr>
          <w:p>
            <w:pPr>
              <w:pStyle w:val="116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Borders>
              <w:left w:val="single" w:color="auto" w:sz="4" w:space="0"/>
            </w:tcBorders>
            <w:tcMar>
              <w:left w:w="15" w:type="dxa"/>
              <w:top w:w="15" w:type="dxa"/>
              <w:right w:w="15" w:type="dxa"/>
              <w:bottom w:w="0" w:type="dxa"/>
            </w:tcMar>
            <w:tcW w:w="570" w:type="dxa"/>
            <w:vAlign w:val="center"/>
            <w:textDirection w:val="lrTb"/>
            <w:noWrap w:val="false"/>
          </w:tcPr>
          <w:p>
            <w:pPr>
              <w:pStyle w:val="116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rPr>
              <w:t xml:space="preserve">　</w:t>
            </w:r>
            <w:r/>
          </w:p>
        </w:tc>
        <w:tc>
          <w:tcPr>
            <w:tcW w:w="10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rPr>
              <w:t xml:space="preserve">　</w:t>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635"/>
        </w:trPr>
        <w:tc>
          <w:tcPr>
            <w:gridSpan w:val="4"/>
            <w:tcMar>
              <w:left w:w="15" w:type="dxa"/>
              <w:top w:w="15" w:type="dxa"/>
              <w:right w:w="15" w:type="dxa"/>
              <w:bottom w:w="0" w:type="dxa"/>
            </w:tcMar>
            <w:tcW w:w="2488" w:type="dxa"/>
            <w:vAlign w:val="center"/>
            <w:textDirection w:val="lrTb"/>
            <w:noWrap/>
          </w:tcPr>
          <w:p>
            <w:pPr>
              <w:pStyle w:val="1166"/>
              <w:tabs>
                <w:tab w:val="clear" w:pos="4153" w:leader="none"/>
                <w:tab w:val="clear" w:pos="8306" w:leader="none"/>
              </w:tabs>
              <w:rPr>
                <w:rFonts w:hint="eastAsia" w:ascii="宋体" w:hAnsi="宋体" w:eastAsia="宋体" w:cs="宋体"/>
                <w:b/>
                <w:bCs/>
                <w:color w:val="000000"/>
                <w:sz w:val="24"/>
              </w:rPr>
              <w:pBdr>
                <w:bottom w:val="none" w:color="000000" w:sz="0" w:space="0"/>
              </w:pBdr>
            </w:pPr>
            <w:r>
              <w:rPr>
                <w:rFonts w:hint="eastAsia" w:ascii="宋体" w:hAnsi="宋体" w:eastAsia="宋体" w:cs="宋体"/>
                <w:b/>
                <w:bCs/>
                <w:color w:val="000000"/>
                <w:sz w:val="24"/>
              </w:rPr>
              <w:t xml:space="preserve">合计（元）</w:t>
            </w:r>
            <w:r/>
          </w:p>
        </w:tc>
        <w:tc>
          <w:tcPr>
            <w:gridSpan w:val="7"/>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635"/>
        </w:trPr>
        <w:tc>
          <w:tcPr>
            <w:gridSpan w:val="4"/>
            <w:tcMar>
              <w:left w:w="15" w:type="dxa"/>
              <w:top w:w="15" w:type="dxa"/>
              <w:right w:w="15" w:type="dxa"/>
              <w:bottom w:w="0" w:type="dxa"/>
            </w:tcMar>
            <w:tcW w:w="2488" w:type="dxa"/>
            <w:vAlign w:val="center"/>
            <w:textDirection w:val="lrTb"/>
            <w:noWrap/>
          </w:tcPr>
          <w:p>
            <w:pPr>
              <w:pStyle w:val="1166"/>
              <w:tabs>
                <w:tab w:val="clear" w:pos="4153" w:leader="none"/>
                <w:tab w:val="clear" w:pos="8306" w:leader="none"/>
              </w:tabs>
              <w:rPr>
                <w:rFonts w:hint="eastAsia" w:ascii="宋体" w:hAnsi="宋体" w:eastAsia="宋体" w:cs="宋体"/>
                <w:b/>
                <w:bCs/>
                <w:color w:val="000000"/>
                <w:sz w:val="24"/>
              </w:rPr>
              <w:pBdr>
                <w:bottom w:val="none" w:color="000000" w:sz="0" w:space="0"/>
              </w:pBdr>
            </w:pPr>
            <w:r>
              <w:rPr>
                <w:rFonts w:hint="eastAsia" w:ascii="宋体" w:hAnsi="宋体" w:eastAsia="宋体" w:cs="宋体"/>
                <w:b/>
                <w:bCs/>
                <w:color w:val="000000"/>
                <w:sz w:val="24"/>
              </w:rPr>
              <w:t xml:space="preserve">完工期</w:t>
            </w:r>
            <w:r/>
          </w:p>
        </w:tc>
        <w:tc>
          <w:tcPr>
            <w:gridSpan w:val="7"/>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Cs/>
                <w:color w:val="000000"/>
                <w:sz w:val="24"/>
                <w:szCs w:val="24"/>
                <w:u w:val="single"/>
              </w:rPr>
            </w:pPr>
            <w:r>
              <w:rPr>
                <w:rFonts w:hint="eastAsia" w:ascii="宋体" w:hAnsi="宋体" w:eastAsia="宋体" w:cs="宋体"/>
                <w:color w:val="000000"/>
                <w:sz w:val="24"/>
                <w:szCs w:val="24"/>
                <w:highlight w:val="none"/>
                <w:lang w:val="en-US" w:eastAsia="zh-CN"/>
              </w:rPr>
              <w:t xml:space="preserve">合同签订后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日历天内到货并安装完毕交付使用</w:t>
            </w:r>
            <w:r>
              <w:rPr>
                <w:rFonts w:ascii="宋体" w:hAnsi="宋体" w:eastAsia="宋体"/>
                <w:sz w:val="24"/>
                <w:szCs w:val="24"/>
                <w:highlight w:val="none"/>
              </w:rPr>
              <w:t xml:space="preserve">。</w:t>
            </w:r>
            <w:r/>
          </w:p>
        </w:tc>
      </w:tr>
      <w:tr>
        <w:trPr>
          <w:cantSplit/>
          <w:trHeight w:val="645"/>
        </w:trPr>
        <w:tc>
          <w:tcPr>
            <w:gridSpan w:val="4"/>
            <w:tcMar>
              <w:left w:w="15" w:type="dxa"/>
              <w:top w:w="15" w:type="dxa"/>
              <w:right w:w="15" w:type="dxa"/>
              <w:bottom w:w="0" w:type="dxa"/>
            </w:tcMar>
            <w:tcW w:w="2488" w:type="dxa"/>
            <w:vAlign w:val="center"/>
            <w:textDirection w:val="lrTb"/>
            <w:noWrap/>
          </w:tcPr>
          <w:p>
            <w:pPr>
              <w:pStyle w:val="1166"/>
              <w:tabs>
                <w:tab w:val="clear" w:pos="4153" w:leader="none"/>
                <w:tab w:val="clear" w:pos="8306" w:leader="none"/>
              </w:tabs>
              <w:rPr>
                <w:rFonts w:hint="eastAsia" w:ascii="宋体" w:hAnsi="宋体" w:eastAsia="宋体" w:cs="宋体"/>
                <w:b/>
                <w:bCs/>
                <w:color w:val="000000"/>
                <w:sz w:val="24"/>
              </w:rPr>
              <w:pBdr>
                <w:bottom w:val="none" w:color="000000" w:sz="0" w:space="0"/>
              </w:pBdr>
            </w:pPr>
            <w:r>
              <w:rPr>
                <w:rFonts w:hint="eastAsia" w:ascii="宋体" w:hAnsi="宋体" w:eastAsia="宋体" w:cs="宋体"/>
                <w:b/>
                <w:bCs/>
                <w:color w:val="000000"/>
                <w:sz w:val="24"/>
              </w:rPr>
              <w:t xml:space="preserve">项目整体免费质保期</w:t>
            </w:r>
            <w:r/>
          </w:p>
        </w:tc>
        <w:tc>
          <w:tcPr>
            <w:gridSpan w:val="7"/>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color w:val="000000"/>
                <w:sz w:val="24"/>
                <w:szCs w:val="28"/>
              </w:rPr>
              <w:t xml:space="preserve">项目经最终验收合格之日起____年</w:t>
            </w:r>
            <w:r/>
          </w:p>
        </w:tc>
      </w:tr>
    </w:tbl>
    <w:p>
      <w:pPr>
        <w:rPr>
          <w:rFonts w:hint="eastAsia" w:ascii="宋体" w:hAnsi="宋体" w:eastAsia="宋体" w:cs="宋体"/>
          <w:color w:val="000000"/>
        </w:rPr>
      </w:pPr>
      <w:r>
        <w:rPr>
          <w:rFonts w:hint="eastAsia" w:ascii="宋体" w:hAnsi="宋体" w:eastAsia="宋体" w:cs="宋体"/>
          <w:b/>
          <w:bCs/>
          <w:color w:val="000000"/>
          <w:sz w:val="24"/>
          <w:szCs w:val="24"/>
        </w:rPr>
        <w:t xml:space="preserve">上述报价表不限于此，结合第三章项目要求和有关说明详细清单自行编制。</w:t>
      </w:r>
      <w:r/>
    </w:p>
    <w:p>
      <w:pPr>
        <w:spacing w:line="400" w:lineRule="exact"/>
        <w:rPr>
          <w:rFonts w:hint="eastAsia"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）投标供应商应当根据“项目技术要求和有关说明”的内容在上表中详细填写；</w:t>
      </w:r>
      <w:r/>
    </w:p>
    <w:p>
      <w:pPr>
        <w:spacing w:line="400" w:lineRule="exact"/>
        <w:rPr>
          <w:rFonts w:hint="eastAsia" w:ascii="宋体" w:hAnsi="宋体" w:eastAsia="宋体" w:cs="宋体"/>
          <w:bCs/>
          <w:color w:val="000000"/>
          <w:sz w:val="24"/>
          <w:szCs w:val="24"/>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）表格不够可自行延长，</w:t>
      </w:r>
      <w:r>
        <w:rPr>
          <w:rFonts w:hint="eastAsia" w:ascii="宋体" w:hAnsi="宋体" w:eastAsia="宋体" w:cs="宋体"/>
          <w:bCs/>
          <w:color w:val="000000"/>
          <w:sz w:val="24"/>
          <w:szCs w:val="24"/>
        </w:rPr>
        <w:t xml:space="preserve">但不得改变文本格式；</w:t>
      </w:r>
      <w:r/>
    </w:p>
    <w:p>
      <w:pPr>
        <w:ind w:right="153"/>
        <w:spacing w:after="120" w:line="42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（4）该报价包括实施本项目所需的全部设备、辅助材料、人工费、服务费、运输费、税金、安装调试费及其他一切费用。如有漏项，均由中标人承担；以上报价为含税价</w:t>
      </w:r>
      <w:r/>
    </w:p>
    <w:p>
      <w:pPr>
        <w:pStyle w:val="979"/>
        <w:rPr>
          <w:rFonts w:hint="eastAsia" w:ascii="宋体" w:hAnsi="宋体" w:cs="宋体"/>
          <w:color w:val="000000"/>
        </w:rPr>
      </w:pPr>
      <w:r>
        <w:rPr>
          <w:rFonts w:hint="eastAsia" w:ascii="宋体" w:hAnsi="宋体" w:cs="宋体"/>
          <w:color w:val="000000"/>
        </w:rPr>
      </w:r>
      <w:r/>
    </w:p>
    <w:p>
      <w:pPr>
        <w:ind w:right="-511"/>
        <w:spacing w:after="120" w:line="420" w:lineRule="exact"/>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日期：</w:t>
      </w:r>
      <w:r/>
    </w:p>
    <w:p>
      <w:pPr>
        <w:pStyle w:val="979"/>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79"/>
        <w:ind w:left="0" w:firstLine="0"/>
        <w:jc w:val="both"/>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pStyle w:val="920"/>
        <w:rPr>
          <w:rFonts w:hint="eastAsia"/>
        </w:rPr>
      </w:pPr>
      <w:r>
        <w:rPr>
          <w:rFonts w:hint="eastAsia"/>
        </w:rPr>
      </w:r>
      <w:r/>
    </w:p>
    <w:p>
      <w:pPr>
        <w:rPr>
          <w:rFonts w:hint="eastAsia" w:ascii="宋体" w:hAnsi="宋体" w:eastAsia="宋体" w:cs="宋体"/>
          <w:color w:val="000000"/>
        </w:rPr>
      </w:pPr>
      <w:r>
        <w:rPr>
          <w:rFonts w:hint="eastAsia" w:ascii="宋体" w:hAnsi="宋体" w:eastAsia="宋体" w:cs="宋体"/>
          <w:color w:val="000000"/>
        </w:rPr>
      </w:r>
      <w:r/>
    </w:p>
    <w:p>
      <w:pPr>
        <w:pStyle w:val="915"/>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（七） </w:t>
      </w:r>
      <w:r>
        <w:rPr>
          <w:rFonts w:hint="eastAsia" w:ascii="宋体" w:hAnsi="宋体" w:eastAsia="宋体" w:cs="宋体"/>
          <w:bCs/>
          <w:color w:val="000000"/>
          <w:sz w:val="24"/>
          <w:szCs w:val="32"/>
        </w:rPr>
        <w:t xml:space="preserve">服务保障承诺书（格式）：</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服务承诺</w:t>
      </w:r>
      <w:r/>
    </w:p>
    <w:p>
      <w:pPr>
        <w:jc w:val="left"/>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供应商名称）针对本次</w:t>
      </w:r>
      <w:r>
        <w:rPr>
          <w:rFonts w:hint="eastAsia" w:ascii="宋体" w:hAnsi="宋体" w:eastAsia="宋体" w:cs="宋体"/>
          <w:bCs/>
          <w:color w:val="000000"/>
          <w:sz w:val="24"/>
          <w:szCs w:val="24"/>
          <w:u w:val="single"/>
          <w:lang w:eastAsia="zh-CN"/>
        </w:rPr>
        <w:t xml:space="preserve">江苏省怀仁中学实验室设备购置</w:t>
      </w:r>
      <w:r>
        <w:rPr>
          <w:rFonts w:hint="eastAsia" w:ascii="宋体" w:hAnsi="宋体" w:eastAsia="宋体" w:cs="宋体"/>
          <w:bCs/>
          <w:color w:val="000000"/>
          <w:sz w:val="24"/>
          <w:szCs w:val="24"/>
          <w:u w:val="single"/>
          <w:lang w:val="en-US" w:eastAsia="zh-CN"/>
        </w:rPr>
        <w:t xml:space="preserve">项目</w:t>
      </w:r>
      <w:r>
        <w:rPr>
          <w:rFonts w:hint="eastAsia" w:ascii="宋体" w:hAnsi="宋体" w:eastAsia="宋体" w:cs="宋体"/>
          <w:color w:val="000000"/>
          <w:sz w:val="24"/>
          <w:szCs w:val="24"/>
        </w:rPr>
        <w:t xml:space="preserve">在此承诺：</w:t>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ind w:firstLine="372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72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720"/>
        <w:spacing w:line="48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供应商</w:t>
      </w:r>
      <w:r>
        <w:rPr>
          <w:rFonts w:hint="eastAsia" w:ascii="宋体" w:hAnsi="宋体" w:eastAsia="宋体" w:cs="宋体"/>
          <w:bCs/>
          <w:color w:val="000000"/>
          <w:sz w:val="24"/>
          <w:szCs w:val="24"/>
        </w:rPr>
        <w:t xml:space="preserve">（盖章）：</w:t>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20"/>
        <w:spacing w:line="480" w:lineRule="auto"/>
        <w:rPr>
          <w:rFonts w:hint="eastAsia" w:ascii="宋体" w:hAnsi="宋体" w:eastAsia="宋体" w:cs="宋体"/>
          <w:b/>
          <w:color w:val="000000"/>
          <w:szCs w:val="21"/>
        </w:rPr>
      </w:pPr>
      <w:r>
        <w:rPr>
          <w:rFonts w:hint="eastAsia" w:ascii="宋体" w:hAnsi="宋体" w:eastAsia="宋体" w:cs="宋体"/>
          <w:b/>
          <w:color w:val="000000"/>
          <w:szCs w:val="21"/>
        </w:rPr>
      </w:r>
      <w:r/>
    </w:p>
    <w:p>
      <w:pPr>
        <w:ind w:firstLine="420"/>
        <w:spacing w:line="48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注：以上内容由投标单位根据采购要求自行完善。</w:t>
      </w:r>
      <w:r/>
    </w:p>
    <w:p>
      <w:pPr>
        <w:pStyle w:val="1147"/>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47"/>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47"/>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47"/>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47"/>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47"/>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47"/>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47"/>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47"/>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47"/>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rPr>
          <w:rFonts w:hint="eastAsia" w:ascii="宋体" w:hAnsi="宋体" w:eastAsia="宋体" w:cs="宋体"/>
          <w:bCs/>
          <w:color w:val="000000"/>
          <w:sz w:val="28"/>
          <w:szCs w:val="28"/>
        </w:rPr>
        <w:outlineLvl w:val="0"/>
      </w:pPr>
      <w:r>
        <w:rPr>
          <w:rFonts w:hint="eastAsia" w:ascii="宋体" w:hAnsi="宋体" w:eastAsia="宋体" w:cs="宋体"/>
          <w:bCs/>
          <w:color w:val="000000"/>
          <w:sz w:val="24"/>
          <w:szCs w:val="24"/>
        </w:rPr>
        <w:t xml:space="preserve">（八）投标偏离表（格式）：</w:t>
      </w:r>
      <w:r/>
    </w:p>
    <w:p>
      <w:pPr>
        <w:ind w:firstLine="490"/>
        <w:jc w:val="cente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ind w:firstLine="490"/>
        <w:jc w:val="center"/>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t xml:space="preserve">投标偏离表</w:t>
      </w:r>
      <w:r/>
    </w:p>
    <w:p>
      <w:pPr>
        <w:jc w:val="center"/>
        <w:spacing w:line="40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spacing w:line="400" w:lineRule="exact"/>
        <w:rPr>
          <w:rFonts w:hint="eastAsia" w:ascii="宋体" w:hAnsi="宋体" w:eastAsia="宋体" w:cs="宋体"/>
          <w:bCs/>
          <w:color w:val="000000"/>
          <w:sz w:val="24"/>
          <w:szCs w:val="24"/>
          <w:lang w:eastAsia="zh-CN"/>
        </w:rPr>
        <w:outlineLvl w:val="0"/>
      </w:pPr>
      <w:r>
        <w:rPr>
          <w:rFonts w:hint="eastAsia" w:ascii="宋体" w:hAnsi="宋体" w:eastAsia="宋体" w:cs="宋体"/>
          <w:bCs/>
          <w:color w:val="000000"/>
          <w:sz w:val="24"/>
          <w:szCs w:val="24"/>
        </w:rPr>
        <w:t xml:space="preserve">供应商名称（盖章）              采购项目编号：</w:t>
      </w:r>
      <w:r>
        <w:rPr>
          <w:rFonts w:hint="eastAsia" w:ascii="宋体" w:hAnsi="宋体" w:eastAsia="宋体" w:cs="宋体"/>
          <w:bCs/>
          <w:color w:val="000000"/>
          <w:sz w:val="24"/>
          <w:szCs w:val="24"/>
          <w:lang w:eastAsia="zh-CN"/>
        </w:rPr>
        <w:t xml:space="preserve">JSZC-320205-JZCG-G2025-0083</w:t>
      </w:r>
      <w:r/>
    </w:p>
    <w:tbl>
      <w:tblPr>
        <w:tblStyle w:val="914"/>
        <w:tblW w:w="8990"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410"/>
        <w:gridCol w:w="2550"/>
        <w:gridCol w:w="212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r>
    </w:tbl>
    <w:p>
      <w:pP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法定代表人或法定代表人授权代表签字或盖章：</w:t>
      </w:r>
      <w:r/>
    </w:p>
    <w:p>
      <w:pPr>
        <w:rPr>
          <w:rFonts w:hint="eastAsia" w:ascii="宋体" w:hAnsi="宋体" w:eastAsia="宋体" w:cs="宋体"/>
          <w:bCs/>
          <w:color w:val="000000"/>
          <w:sz w:val="30"/>
        </w:rPr>
      </w:pPr>
      <w:r>
        <w:rPr>
          <w:rFonts w:hint="eastAsia" w:ascii="宋体" w:hAnsi="宋体" w:eastAsia="宋体" w:cs="宋体"/>
          <w:bCs/>
          <w:color w:val="000000"/>
          <w:sz w:val="30"/>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注：</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（1）本表不得删除；</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（2）如无任何服务偏离，请于本表 “偏离说明”中注明“无偏离”；</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（3）如有服务偏离项，请于本表中列明偏离内容，如需要可自行延长，其余无偏离内容不须赘述。</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979"/>
        <w:ind w:left="728" w:hanging="340"/>
        <w:jc w:val="both"/>
        <w:rPr>
          <w:rFonts w:hint="eastAsia" w:ascii="宋体" w:hAnsi="宋体" w:cs="宋体"/>
          <w:b w:val="0"/>
          <w:bCs/>
          <w:color w:val="000000"/>
          <w:sz w:val="24"/>
          <w:szCs w:val="24"/>
        </w:rPr>
      </w:pPr>
      <w:r>
        <w:rPr>
          <w:rFonts w:hint="eastAsia" w:ascii="宋体" w:hAnsi="宋体" w:cs="宋体"/>
          <w:b w:val="0"/>
          <w:bCs/>
          <w:color w:val="000000"/>
          <w:sz w:val="24"/>
          <w:szCs w:val="24"/>
        </w:rPr>
        <w:t xml:space="preserve">（5）表格不够可自行延长，但不得改变文本格式；</w:t>
      </w:r>
      <w:r/>
    </w:p>
    <w:p>
      <w:pPr>
        <w:pStyle w:val="979"/>
        <w:rPr>
          <w:rFonts w:hint="eastAsia" w:ascii="宋体" w:hAnsi="宋体" w:cs="宋体"/>
          <w:color w:val="000000"/>
        </w:rPr>
      </w:pPr>
      <w:r>
        <w:rPr>
          <w:rFonts w:hint="eastAsia" w:ascii="宋体" w:hAnsi="宋体" w:cs="宋体"/>
          <w:color w:val="000000"/>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1147"/>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left"/>
        <w:pageBreakBefore/>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（九）投标供应商情况表（格式）</w:t>
      </w:r>
      <w:r/>
    </w:p>
    <w:p>
      <w:pPr>
        <w:pStyle w:val="1121"/>
        <w:ind w:firstLine="0"/>
        <w:jc w:val="center"/>
        <w:rPr>
          <w:rFonts w:hint="eastAsia" w:ascii="宋体" w:hAnsi="宋体" w:cs="宋体"/>
          <w:b/>
          <w:color w:val="000000"/>
          <w:szCs w:val="21"/>
        </w:rPr>
      </w:pPr>
      <w:r>
        <w:rPr>
          <w:rFonts w:hint="eastAsia" w:ascii="宋体" w:hAnsi="宋体" w:cs="宋体"/>
          <w:b/>
          <w:color w:val="000000"/>
          <w:szCs w:val="21"/>
        </w:rPr>
        <w:t xml:space="preserve">投标供应商情况表</w:t>
      </w:r>
      <w:r/>
    </w:p>
    <w:p>
      <w:pPr>
        <w:ind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单位名称：（公章）</w:t>
      </w:r>
      <w:r/>
    </w:p>
    <w:p>
      <w:pPr>
        <w:ind w:firstLine="420"/>
        <w:jc w:val="center"/>
        <w:rPr>
          <w:rFonts w:hint="eastAsia" w:ascii="宋体" w:hAnsi="宋体" w:eastAsia="宋体" w:cs="宋体"/>
          <w:color w:val="000000"/>
        </w:rPr>
      </w:pPr>
      <w:r>
        <w:rPr>
          <w:rFonts w:hint="eastAsia" w:ascii="宋体" w:hAnsi="宋体" w:eastAsia="宋体" w:cs="宋体"/>
          <w:color w:val="000000"/>
        </w:rPr>
      </w:r>
      <w:r/>
    </w:p>
    <w:tbl>
      <w:tblPr>
        <w:tblStyle w:val="914"/>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法定代表人</w:t>
            </w:r>
            <w:r/>
          </w:p>
        </w:tc>
        <w:tc>
          <w:tcPr>
            <w:tcW w:w="1925"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成立日期</w:t>
            </w:r>
            <w:r/>
          </w:p>
        </w:tc>
        <w:tc>
          <w:tcPr>
            <w:tcW w:w="3216"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503"/>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企业地址</w:t>
            </w:r>
            <w:r/>
          </w:p>
        </w:tc>
        <w:tc>
          <w:tcPr>
            <w:tcW w:w="1925"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注册资本</w:t>
            </w:r>
            <w:r/>
          </w:p>
        </w:tc>
        <w:tc>
          <w:tcPr>
            <w:tcW w:w="3216" w:type="dxa"/>
            <w:textDirection w:val="lrTb"/>
            <w:noWrap w:val="false"/>
          </w:tcPr>
          <w:p>
            <w:pPr>
              <w:ind w:firstLine="2160"/>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28"/>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经营范围</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541"/>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开户行</w:t>
            </w:r>
            <w:r/>
          </w:p>
        </w:tc>
        <w:tc>
          <w:tcPr>
            <w:tcW w:w="1925"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银行账号</w:t>
            </w:r>
            <w:r/>
          </w:p>
        </w:tc>
        <w:tc>
          <w:tcPr>
            <w:tcW w:w="3216"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202</w:t>
            </w:r>
            <w:r>
              <w:rPr>
                <w:rFonts w:hint="eastAsia" w:ascii="宋体" w:hAnsi="宋体" w:eastAsia="宋体" w:cs="宋体"/>
                <w:color w:val="000000"/>
                <w:sz w:val="22"/>
                <w:szCs w:val="21"/>
                <w:lang w:val="en-US" w:eastAsia="zh-CN"/>
              </w:rPr>
              <w:t xml:space="preserve">4</w:t>
            </w:r>
            <w:r>
              <w:rPr>
                <w:rFonts w:hint="eastAsia" w:ascii="宋体" w:hAnsi="宋体" w:eastAsia="宋体" w:cs="宋体"/>
                <w:color w:val="000000"/>
                <w:sz w:val="22"/>
                <w:szCs w:val="21"/>
              </w:rPr>
              <w:t xml:space="preserve">年     万元</w:t>
            </w:r>
            <w:r/>
          </w:p>
        </w:tc>
      </w:tr>
      <w:tr>
        <w:trPr>
          <w:cantSplit/>
          <w:jc w:val="center"/>
          <w:trHeight w:val="564"/>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实现利润</w:t>
            </w:r>
            <w:r/>
          </w:p>
        </w:tc>
        <w:tc>
          <w:tcPr>
            <w:tcW w:w="1925"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202</w:t>
            </w:r>
            <w:r>
              <w:rPr>
                <w:rFonts w:hint="eastAsia" w:ascii="宋体" w:hAnsi="宋体" w:eastAsia="宋体" w:cs="宋体"/>
                <w:color w:val="000000"/>
                <w:sz w:val="22"/>
                <w:szCs w:val="21"/>
                <w:lang w:val="en-US" w:eastAsia="zh-CN"/>
              </w:rPr>
              <w:t xml:space="preserve">4</w:t>
            </w:r>
            <w:r>
              <w:rPr>
                <w:rFonts w:hint="eastAsia" w:ascii="宋体" w:hAnsi="宋体" w:eastAsia="宋体" w:cs="宋体"/>
                <w:color w:val="000000"/>
                <w:sz w:val="22"/>
                <w:szCs w:val="21"/>
              </w:rPr>
              <w:t xml:space="preserve">年 万元</w:t>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3216"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         平方米</w:t>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其中：</w:t>
            </w:r>
            <w:r/>
          </w:p>
        </w:tc>
        <w:tc>
          <w:tcPr>
            <w:tcW w:w="3216"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自有面积平方米</w:t>
            </w:r>
            <w:r/>
          </w:p>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承租面积平方米</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单位简历及内设机构情况</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703"/>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单位优势及特长</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近三年来完成或正在履行的重大合同情况</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最近2年内在经营过程中受到何种奖励或处分</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（包括解决方式和结果）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获得技术认证的工程师及简介</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947"/>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其他需要说明的情况</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bl>
    <w:p>
      <w:pPr>
        <w:jc w:val="left"/>
        <w:rPr>
          <w:rFonts w:hint="eastAsia" w:ascii="宋体" w:hAnsi="宋体" w:eastAsia="宋体" w:cs="宋体"/>
          <w:color w:val="000000"/>
        </w:rPr>
      </w:pPr>
      <w:r>
        <w:rPr>
          <w:rFonts w:hint="eastAsia" w:ascii="宋体" w:hAnsi="宋体" w:eastAsia="宋体" w:cs="宋体"/>
          <w:color w:val="000000"/>
        </w:rPr>
      </w:r>
      <w:r/>
    </w:p>
    <w:p>
      <w:pPr>
        <w:pStyle w:val="1147"/>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47"/>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19"/>
        <w:spacing w:before="160" w:after="160"/>
        <w:rPr>
          <w:rFonts w:hint="eastAsia" w:ascii="宋体" w:hAnsi="宋体" w:eastAsia="宋体" w:cs="宋体"/>
          <w:b w:val="0"/>
          <w:color w:val="000000"/>
          <w:sz w:val="24"/>
        </w:rPr>
      </w:pPr>
      <w:r/>
      <w:bookmarkStart w:id="43" w:name="_Toc112006946"/>
      <w:r>
        <w:rPr>
          <w:rFonts w:hint="eastAsia" w:ascii="宋体" w:hAnsi="宋体" w:eastAsia="宋体" w:cs="宋体"/>
          <w:b w:val="0"/>
          <w:color w:val="000000"/>
          <w:sz w:val="24"/>
        </w:rPr>
        <w:t xml:space="preserve">（十）（供应商）中小企业声明函（格式）</w:t>
      </w:r>
      <w:bookmarkEnd w:id="43"/>
      <w:r/>
      <w:r/>
    </w:p>
    <w:p>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bCs/>
          <w:color w:val="000000"/>
          <w:sz w:val="24"/>
          <w:szCs w:val="24"/>
        </w:rPr>
      </w:pPr>
      <w:r/>
      <w:bookmarkStart w:id="44" w:name="_Toc112006947"/>
      <w:r>
        <w:rPr>
          <w:rFonts w:hint="eastAsia" w:ascii="宋体" w:hAnsi="宋体" w:eastAsia="宋体" w:cs="宋体"/>
          <w:color w:val="000000"/>
          <w:sz w:val="36"/>
        </w:rPr>
        <w:t xml:space="preserve">中小企业声明函（货物）</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本公司（联合体）郑重声明，根据《政府采购促进中小企业发展管理办法》（财库﹝2020﹞46 号）的规定，本公司</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参加</w:t>
      </w:r>
      <w:r>
        <w:rPr>
          <w:rFonts w:hint="eastAsia" w:ascii="宋体" w:hAnsi="宋体" w:eastAsia="宋体" w:cs="宋体"/>
          <w:i/>
          <w:color w:val="000000"/>
          <w:sz w:val="24"/>
          <w:u w:val="single"/>
          <w:lang w:bidi="ar"/>
        </w:rPr>
        <w:t xml:space="preserve">（单位名称）</w:t>
      </w:r>
      <w:r>
        <w:rPr>
          <w:rFonts w:hint="eastAsia" w:ascii="宋体" w:hAnsi="宋体" w:eastAsia="宋体" w:cs="宋体"/>
          <w:color w:val="000000"/>
          <w:sz w:val="24"/>
          <w:lang w:bidi="ar"/>
        </w:rPr>
        <w:t xml:space="preserve">的</w:t>
      </w:r>
      <w:r>
        <w:rPr>
          <w:rFonts w:hint="eastAsia" w:ascii="宋体" w:hAnsi="宋体" w:eastAsia="宋体" w:cs="宋体"/>
          <w:i/>
          <w:color w:val="000000"/>
          <w:sz w:val="24"/>
          <w:u w:val="single"/>
          <w:lang w:bidi="ar"/>
        </w:rPr>
        <w:t xml:space="preserve">（项目名称）</w:t>
      </w:r>
      <w:r>
        <w:rPr>
          <w:rFonts w:hint="eastAsia" w:ascii="宋体" w:hAnsi="宋体" w:eastAsia="宋体" w:cs="宋体"/>
          <w:color w:val="000000"/>
          <w:sz w:val="24"/>
          <w:lang w:bidi="ar"/>
        </w:rPr>
        <w:t xml:space="preserve">采购活动，</w:t>
      </w:r>
      <w:r>
        <w:rPr>
          <w:rFonts w:hint="eastAsia" w:ascii="宋体" w:hAnsi="宋体" w:eastAsia="宋体" w:cs="宋体"/>
          <w:color w:val="000000"/>
          <w:sz w:val="24"/>
        </w:rPr>
        <w:t xml:space="preserve">提供的货物全部由符合政策要求的中小企业制造。企业的具体情况如下</w:t>
      </w:r>
      <w:r>
        <w:rPr>
          <w:rFonts w:hint="eastAsia" w:ascii="宋体" w:hAnsi="宋体" w:eastAsia="宋体" w:cs="宋体"/>
          <w:color w:val="000000"/>
          <w:sz w:val="24"/>
          <w:lang w:bidi="ar"/>
        </w:rPr>
        <w:t xml:space="preserve">：</w:t>
      </w:r>
      <w:r/>
    </w:p>
    <w:p>
      <w:pPr>
        <w:numPr>
          <w:ilvl w:val="0"/>
          <w:numId w:val="43"/>
        </w:num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p>
    <w:p>
      <w:pPr>
        <w:numPr>
          <w:ilvl w:val="0"/>
          <w:numId w:val="43"/>
        </w:num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p>
    <w:p>
      <w:pPr>
        <w:numPr>
          <w:ilvl w:val="0"/>
          <w:numId w:val="43"/>
        </w:num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pStyle w:val="920"/>
        <w:spacing w:line="360" w:lineRule="auto"/>
        <w:rPr>
          <w:rFonts w:hint="eastAsia"/>
          <w:color w:val="000000"/>
          <w:szCs w:val="22"/>
          <w:lang w:eastAsia="zh-CN" w:bidi="ar"/>
        </w:rPr>
      </w:pPr>
      <w:r>
        <w:rPr>
          <w:rFonts w:hint="eastAsia"/>
          <w:color w:val="000000"/>
          <w:szCs w:val="22"/>
          <w:lang w:eastAsia="zh-CN" w:bidi="ar"/>
        </w:rPr>
        <w:t xml:space="preserve">（企业名称），从业人员</w:t>
      </w:r>
      <w:r>
        <w:rPr>
          <w:rFonts w:hint="eastAsia"/>
          <w:color w:val="000000"/>
          <w:szCs w:val="22"/>
          <w:u w:val="single"/>
          <w:lang w:eastAsia="zh-CN" w:bidi="ar"/>
        </w:rPr>
        <w:t xml:space="preserve">      </w:t>
      </w:r>
      <w:r>
        <w:rPr>
          <w:rFonts w:hint="eastAsia"/>
          <w:color w:val="000000"/>
          <w:szCs w:val="22"/>
          <w:lang w:eastAsia="zh-CN" w:bidi="ar"/>
        </w:rPr>
        <w:t xml:space="preserve">人，营业收入为</w:t>
      </w:r>
      <w:r>
        <w:rPr>
          <w:rFonts w:hint="eastAsia"/>
          <w:color w:val="000000"/>
          <w:szCs w:val="22"/>
          <w:u w:val="single"/>
          <w:lang w:eastAsia="zh-CN" w:bidi="ar"/>
        </w:rPr>
        <w:t xml:space="preserve">      </w:t>
      </w:r>
      <w:r>
        <w:rPr>
          <w:rFonts w:hint="eastAsia"/>
          <w:color w:val="000000"/>
          <w:szCs w:val="22"/>
          <w:lang w:eastAsia="zh-CN" w:bidi="ar"/>
        </w:rPr>
        <w:t xml:space="preserve">万元，资产总额为</w:t>
      </w:r>
      <w:r>
        <w:rPr>
          <w:rFonts w:hint="eastAsia"/>
          <w:color w:val="000000"/>
          <w:szCs w:val="22"/>
          <w:u w:val="single"/>
          <w:lang w:eastAsia="zh-CN" w:bidi="ar"/>
        </w:rPr>
        <w:t xml:space="preserve">      </w:t>
      </w:r>
      <w:r>
        <w:rPr>
          <w:rFonts w:hint="eastAsia"/>
          <w:color w:val="000000"/>
          <w:szCs w:val="22"/>
          <w:lang w:eastAsia="zh-CN" w:bidi="ar"/>
        </w:rPr>
        <w:t xml:space="preserve">万元 ，属于</w:t>
      </w:r>
      <w:r>
        <w:rPr>
          <w:rFonts w:hint="eastAsia"/>
          <w:color w:val="000000"/>
          <w:szCs w:val="22"/>
          <w:u w:val="single"/>
          <w:lang w:eastAsia="zh-CN" w:bidi="ar"/>
        </w:rPr>
        <w:t xml:space="preserve">      </w:t>
      </w:r>
      <w:r>
        <w:rPr>
          <w:rFonts w:hint="eastAsia"/>
          <w:color w:val="000000"/>
          <w:szCs w:val="22"/>
          <w:lang w:eastAsia="zh-CN" w:bidi="ar"/>
        </w:rPr>
        <w:t xml:space="preserve">（中型企业、小型企业、微型企业）；</w:t>
      </w:r>
      <w:r/>
    </w:p>
    <w:p>
      <w:pPr>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p>
    <w:p>
      <w:pPr>
        <w:ind w:firstLine="480"/>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ind w:firstLine="576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企业名称（盖章）： </w:t>
      </w:r>
      <w:r/>
    </w:p>
    <w:p>
      <w:pPr>
        <w:ind w:firstLine="6720"/>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日    期：</w:t>
      </w:r>
      <w:r/>
    </w:p>
    <w:p>
      <w:pPr>
        <w:pStyle w:val="978"/>
        <w:rPr>
          <w:rFonts w:hint="eastAsia" w:ascii="宋体" w:hAnsi="宋体" w:cs="宋体"/>
          <w:color w:val="000000"/>
        </w:rPr>
      </w:pPr>
      <w:r>
        <w:rPr>
          <w:rFonts w:hint="eastAsia" w:ascii="宋体" w:hAnsi="宋体" w:cs="宋体"/>
          <w:color w:val="000000"/>
        </w:rPr>
      </w:r>
      <w:r/>
    </w:p>
    <w:p>
      <w:pPr>
        <w:rPr>
          <w:rFonts w:hint="eastAsia" w:ascii="宋体" w:hAnsi="宋体" w:eastAsia="宋体" w:cs="宋体"/>
          <w:color w:val="000000"/>
          <w:sz w:val="24"/>
        </w:rPr>
      </w:pPr>
      <w:r>
        <w:rPr>
          <w:rFonts w:hint="eastAsia" w:ascii="宋体" w:hAnsi="宋体" w:eastAsia="宋体" w:cs="宋体"/>
          <w:color w:val="000000"/>
          <w:sz w:val="24"/>
        </w:rPr>
        <w:t xml:space="preserve">说明： </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right="-216"/>
        <w:jc w:val="left"/>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920"/>
        <w:rPr>
          <w:rFonts w:hint="eastAsia" w:ascii="宋体" w:hAnsi="宋体" w:eastAsia="宋体" w:cs="宋体"/>
          <w:color w:val="000000"/>
          <w:sz w:val="24"/>
        </w:rPr>
      </w:pPr>
      <w:r>
        <w:rPr>
          <w:rFonts w:hint="eastAsia" w:ascii="宋体" w:hAnsi="宋体" w:eastAsia="宋体" w:cs="宋体"/>
          <w:color w:val="000000"/>
          <w:sz w:val="24"/>
        </w:rPr>
      </w:r>
      <w:r/>
    </w:p>
    <w:p>
      <w:pPr>
        <w:pStyle w:val="1119"/>
        <w:spacing w:before="160" w:after="160"/>
        <w:rPr>
          <w:rFonts w:hint="eastAsia" w:ascii="宋体" w:hAnsi="宋体" w:eastAsia="宋体" w:cs="宋体"/>
          <w:b w:val="0"/>
          <w:color w:val="000000"/>
          <w:sz w:val="24"/>
        </w:rPr>
      </w:pPr>
      <w:r>
        <w:rPr>
          <w:rFonts w:hint="eastAsia" w:ascii="宋体" w:hAnsi="宋体" w:eastAsia="宋体" w:cs="宋体"/>
          <w:b w:val="0"/>
          <w:color w:val="000000"/>
          <w:sz w:val="24"/>
        </w:rPr>
      </w:r>
      <w:r/>
    </w:p>
    <w:p>
      <w:pPr>
        <w:pStyle w:val="1119"/>
        <w:spacing w:before="160" w:after="160"/>
        <w:rPr>
          <w:rFonts w:hint="eastAsia" w:ascii="宋体" w:hAnsi="宋体" w:eastAsia="宋体" w:cs="宋体"/>
          <w:b w:val="0"/>
          <w:bCs w:val="0"/>
          <w:color w:val="000000"/>
          <w:sz w:val="24"/>
          <w:szCs w:val="24"/>
        </w:rPr>
      </w:pPr>
      <w:r>
        <w:rPr>
          <w:rFonts w:hint="eastAsia" w:ascii="宋体" w:hAnsi="宋体" w:eastAsia="宋体" w:cs="宋体"/>
          <w:b w:val="0"/>
          <w:color w:val="000000"/>
          <w:sz w:val="24"/>
        </w:rPr>
        <w:t xml:space="preserve">（十一）（供应商）残疾人福利性单位声明函（格式）：</w:t>
      </w:r>
      <w:bookmarkEnd w:id="44"/>
      <w:r/>
      <w:r/>
    </w:p>
    <w:p>
      <w:pPr>
        <w:spacing w:line="588" w:lineRule="exact"/>
        <w:rPr>
          <w:rFonts w:hint="eastAsia" w:ascii="宋体" w:hAnsi="宋体" w:eastAsia="宋体" w:cs="宋体"/>
          <w:b/>
          <w:color w:val="000000"/>
          <w:spacing w:val="6"/>
          <w:sz w:val="30"/>
          <w:szCs w:val="30"/>
        </w:rPr>
      </w:pPr>
      <w:r>
        <w:rPr>
          <w:rFonts w:hint="eastAsia" w:ascii="宋体" w:hAnsi="宋体" w:eastAsia="宋体" w:cs="宋体"/>
          <w:b/>
          <w:color w:val="000000"/>
          <w:spacing w:val="6"/>
          <w:sz w:val="30"/>
          <w:szCs w:val="30"/>
        </w:rPr>
      </w:r>
      <w:r/>
    </w:p>
    <w:p>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残疾人福利性单位声明函</w:t>
      </w:r>
      <w:r/>
    </w:p>
    <w:p>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lang w:eastAsia="zh-CN"/>
        </w:rPr>
        <w:t xml:space="preserve">〔2017〕141号</w:t>
      </w:r>
      <w:r>
        <w:rPr>
          <w:rFonts w:hint="eastAsia" w:ascii="宋体" w:hAnsi="宋体" w:eastAsia="宋体" w:cs="宋体"/>
          <w:bCs/>
          <w:color w:val="000000"/>
          <w:sz w:val="24"/>
          <w:szCs w:val="24"/>
        </w:rPr>
        <w:t xml:space="preserve">）的规定，本单位为符合条件的残疾人福利性单位，且本单位参加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单位的</w:t>
      </w:r>
      <w:r>
        <w:rPr>
          <w:rFonts w:hint="eastAsia" w:ascii="宋体" w:hAnsi="宋体" w:eastAsia="宋体" w:cs="宋体"/>
          <w:bCs/>
          <w:color w:val="000000"/>
          <w:sz w:val="24"/>
          <w:szCs w:val="24"/>
          <w:u w:val="single"/>
        </w:rPr>
        <w:t xml:space="preserve">  （                                </w:t>
      </w:r>
      <w:r>
        <w:rPr>
          <w:rFonts w:hint="eastAsia" w:ascii="宋体" w:hAnsi="宋体" w:eastAsia="宋体" w:cs="宋体"/>
          <w:color w:val="000000"/>
          <w:sz w:val="24"/>
          <w:szCs w:val="24"/>
          <w:u w:val="single"/>
        </w:rPr>
        <w:t xml:space="preserve">项目</w:t>
      </w:r>
      <w:r>
        <w:rPr>
          <w:rFonts w:hint="eastAsia" w:ascii="宋体" w:hAnsi="宋体" w:eastAsia="宋体" w:cs="宋体"/>
          <w:bCs/>
          <w:color w:val="000000"/>
          <w:sz w:val="24"/>
          <w:szCs w:val="24"/>
          <w:u w:val="single"/>
        </w:rPr>
        <w:t xml:space="preserve">）</w:t>
      </w:r>
      <w:r>
        <w:rPr>
          <w:rFonts w:hint="eastAsia" w:ascii="宋体" w:hAnsi="宋体" w:eastAsia="宋体" w:cs="宋体"/>
          <w:bCs/>
          <w:color w:val="000000"/>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单位名称（盖章）：</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  期：</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jc w:val="left"/>
        <w:rPr>
          <w:rFonts w:hint="eastAsia" w:ascii="宋体" w:hAnsi="宋体" w:eastAsia="宋体" w:cs="宋体"/>
          <w:color w:val="000000"/>
        </w:rPr>
      </w:pPr>
      <w:r>
        <w:rPr>
          <w:rFonts w:hint="eastAsia" w:ascii="宋体" w:hAnsi="宋体" w:eastAsia="宋体" w:cs="宋体"/>
          <w:color w:val="000000"/>
        </w:rPr>
        <w:br w:type="page" w:clear="all"/>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（十二）服务方案（格式）</w:t>
      </w:r>
      <w:r/>
    </w:p>
    <w:p>
      <w:pPr>
        <w:ind w:firstLine="48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供应商应按评分标准中的顺序编制完整的服务方案，以便评审。</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ind w:left="120"/>
        <w:spacing w:line="360" w:lineRule="auto"/>
        <w:rPr>
          <w:rFonts w:hint="eastAsia" w:ascii="宋体" w:hAnsi="宋体" w:eastAsia="宋体" w:cs="宋体"/>
          <w:bCs/>
          <w:color w:val="000000"/>
        </w:rPr>
      </w:pPr>
      <w:r>
        <w:rPr>
          <w:rFonts w:hint="eastAsia" w:ascii="宋体" w:hAnsi="宋体" w:eastAsia="宋体" w:cs="宋体"/>
          <w:bCs/>
          <w:color w:val="000000"/>
          <w:sz w:val="24"/>
          <w:szCs w:val="24"/>
        </w:rPr>
        <w:t xml:space="preserve">供应商名称（盖章）：</w:t>
      </w:r>
      <w:r/>
    </w:p>
    <w:p>
      <w:pPr>
        <w:ind w:left="1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  期：</w:t>
      </w:r>
      <w:r/>
    </w:p>
    <w:p>
      <w:pPr>
        <w:spacing w:line="360" w:lineRule="auto"/>
        <w:rPr>
          <w:rFonts w:hint="eastAsia" w:ascii="宋体" w:hAnsi="宋体" w:eastAsia="宋体" w:cs="宋体"/>
          <w:bCs/>
          <w:color w:val="000000"/>
          <w:sz w:val="24"/>
          <w:szCs w:val="24"/>
        </w:rPr>
        <w:sectPr>
          <w:headerReference w:type="default" r:id="rId12"/>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sz w:val="24"/>
          <w:szCs w:val="24"/>
        </w:rPr>
      </w:r>
      <w:r/>
    </w:p>
    <w:p>
      <w:pPr>
        <w:pStyle w:val="1119"/>
        <w:spacing w:before="160" w:after="160"/>
        <w:rPr>
          <w:rFonts w:hint="eastAsia" w:ascii="宋体" w:hAnsi="宋体" w:eastAsia="宋体" w:cs="宋体"/>
          <w:b w:val="0"/>
          <w:color w:val="000000"/>
          <w:sz w:val="24"/>
        </w:rPr>
      </w:pPr>
      <w:r/>
      <w:bookmarkStart w:id="45" w:name="_Toc112006949"/>
      <w:r>
        <w:rPr>
          <w:rFonts w:hint="eastAsia" w:ascii="宋体" w:hAnsi="宋体" w:eastAsia="宋体" w:cs="宋体"/>
          <w:b w:val="0"/>
          <w:color w:val="000000"/>
          <w:sz w:val="24"/>
        </w:rPr>
        <w:t xml:space="preserve">（十</w:t>
      </w:r>
      <w:r>
        <w:rPr>
          <w:rFonts w:hint="eastAsia" w:ascii="宋体" w:hAnsi="宋体" w:eastAsia="宋体" w:cs="宋体"/>
          <w:b w:val="0"/>
          <w:color w:val="000000"/>
          <w:sz w:val="24"/>
          <w:lang w:val="en-US" w:eastAsia="zh-CN"/>
        </w:rPr>
        <w:t xml:space="preserve">三</w:t>
      </w:r>
      <w:r>
        <w:rPr>
          <w:rFonts w:hint="eastAsia" w:ascii="宋体" w:hAnsi="宋体" w:eastAsia="宋体" w:cs="宋体"/>
          <w:b w:val="0"/>
          <w:color w:val="000000"/>
          <w:sz w:val="24"/>
        </w:rPr>
        <w:t xml:space="preserve">）（供应商）其他材料</w:t>
      </w:r>
      <w:bookmarkEnd w:id="45"/>
      <w:r>
        <w:rPr>
          <w:rFonts w:hint="eastAsia" w:ascii="宋体" w:hAnsi="宋体" w:eastAsia="宋体" w:cs="宋体"/>
          <w:b w:val="0"/>
          <w:color w:val="000000"/>
          <w:sz w:val="24"/>
        </w:rPr>
        <w:t xml:space="preserve">：</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供应商认为有必要提供的声明和文件，如有自拟并自行添加</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供应商名称（公章）：</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法定代表人或授权委托人（签字）：</w:t>
      </w:r>
      <w:r/>
    </w:p>
    <w:p>
      <w:pPr>
        <w:jc w:val="center"/>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                             日期：     年    月   日</w:t>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sectPr>
      <w:footnotePr/>
      <w:endnotePr/>
      <w:type w:val="nextPage"/>
      <w:pgSz w:w="11906" w:h="16838" w:orient="portrait"/>
      <w:pgMar w:top="1134"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MS Sans Serif">
    <w:panose1 w:val="020B0503020202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icrosoftYaHei-Identity-H">
    <w:panose1 w:val="020B0503020204020204"/>
  </w:font>
  <w:font w:name="楷体_GB2312">
    <w:panose1 w:val="02010609060101010101"/>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仿宋">
    <w:panose1 w:val="02010609060101010101"/>
  </w:font>
  <w:font w:name="等线">
    <w:panose1 w:val="02010600030101010101"/>
  </w:font>
  <w:font w:name="等线 Light">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bevel/>
                      </a:ln>
                    </wps:spPr>
                    <wps:style>
                      <a:lnRef idx="0">
                        <a:schemeClr val="accent1"/>
                      </a:lnRef>
                      <a:fillRef idx="0">
                        <a:schemeClr val="accent1"/>
                      </a:fillRef>
                      <a:effectRef idx="0">
                        <a:schemeClr val="accent1"/>
                      </a:effectRef>
                      <a:fontRef idx="minor">
                        <a:schemeClr val="dk1"/>
                      </a:fontRef>
                    </wps:style>
                    <wps:txbx>
                      <w:txbxContent>
                        <w:p>
                          <w:pPr>
                            <w:pStyle w:val="9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164"/>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4"/>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4"/>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4"/>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both"/>
      <w:rPr>
        <w:rFonts w:hint="eastAsia" w:ascii="宋体" w:hAnsi="宋体" w:eastAsia="宋体" w:cs="宋体"/>
        <w:sz w:val="15"/>
        <w:szCs w:val="15"/>
      </w:rPr>
    </w:pPr>
    <w:r>
      <w:rPr>
        <w:rFonts w:hint="eastAsia" w:eastAsia="楷体_GB2312"/>
        <w:sz w:val="21"/>
        <w:lang w:eastAsia="zh-CN"/>
      </w:rPr>
      <w:t xml:space="preserve">JSZC-320205-JZCG-G2025-0083</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lang w:val="en-US" w:eastAsia="zh-CN"/>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930"/>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both"/>
      <w:rPr>
        <w:rFonts w:eastAsia="楷体_GB2312"/>
        <w:sz w:val="21"/>
      </w:rPr>
    </w:pPr>
    <w:r>
      <w:rPr>
        <w:rFonts w:eastAsia="楷体_GB2312"/>
        <w:sz w:val="21"/>
      </w:rPr>
    </w:r>
    <w:r/>
  </w:p>
  <w:p>
    <w:pPr>
      <w:pStyle w:val="1166"/>
      <w:jc w:val="both"/>
      <w:rPr>
        <w:rFonts w:hint="eastAsia" w:ascii="宋体" w:hAnsi="宋体" w:eastAsia="宋体" w:cs="宋体"/>
        <w:sz w:val="15"/>
        <w:szCs w:val="15"/>
      </w:rPr>
    </w:pPr>
    <w:r>
      <w:rPr>
        <w:rFonts w:hint="eastAsia" w:eastAsia="楷体_GB2312"/>
        <w:sz w:val="21"/>
        <w:lang w:eastAsia="zh-CN"/>
      </w:rPr>
      <w:t xml:space="preserve">JSZC-320205-JZCG-G2025-0083</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both"/>
      <w:rPr>
        <w:rFonts w:hint="eastAsia"/>
      </w:rPr>
    </w:pPr>
    <w:r>
      <w:rPr>
        <w:rFonts w:hint="eastAsia" w:eastAsia="楷体_GB2312"/>
        <w:sz w:val="21"/>
        <w:lang w:eastAsia="zh-CN"/>
      </w:rPr>
      <w:t xml:space="preserve">JSZC-320205-JZCG-G2025-0083</w:t>
    </w:r>
    <w:r>
      <w:rPr>
        <w:rFonts w:hint="eastAsia" w:eastAsia="楷体_GB2312"/>
        <w:sz w:val="22"/>
        <w:szCs w:val="22"/>
      </w:rPr>
      <w:t xml:space="preserve">                      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JSZC-320205-JZCG-G2025-0083</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1569"/>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553"/>
        <w:isLgl w:val="false"/>
        <w:suff w:val="tab"/>
        <w:lvlText w:val="%1.%2."/>
        <w:lvlJc w:val="left"/>
        <w:pPr>
          <w:ind w:left="567" w:hanging="567"/>
          <w:tabs>
            <w:tab w:val="left" w:pos="567" w:leader="none"/>
          </w:tabs>
        </w:pPr>
        <w:rPr>
          <w:rFonts w:hint="eastAsia"/>
        </w:rPr>
      </w:lvl>
    </w:lvlOverride>
    <w:lvlOverride w:ilvl="2">
      <w:lvl w:ilvl="2">
        <w:start w:val="1"/>
        <w:numFmt w:val="decimal"/>
        <w:pStyle w:val="1552"/>
        <w:isLgl w:val="false"/>
        <w:suff w:val="tab"/>
        <w:lvlText w:val="%1.%2.%3."/>
        <w:lvlJc w:val="left"/>
        <w:pPr>
          <w:ind w:left="709" w:hanging="709"/>
          <w:tabs>
            <w:tab w:val="left" w:pos="709" w:leader="none"/>
          </w:tabs>
        </w:pPr>
        <w:rPr>
          <w:rFonts w:hint="eastAsia"/>
        </w:rPr>
      </w:lvl>
    </w:lvlOverride>
    <w:lvlOverride w:ilvl="3">
      <w:lvl w:ilvl="3">
        <w:start w:val="1"/>
        <w:numFmt w:val="decimal"/>
        <w:pStyle w:val="1369"/>
        <w:isLgl w:val="false"/>
        <w:suff w:val="tab"/>
        <w:lvlText w:val="%1.%2.%3.%4."/>
        <w:lvlJc w:val="left"/>
        <w:pPr>
          <w:ind w:left="851" w:hanging="851"/>
          <w:tabs>
            <w:tab w:val="left" w:pos="851" w:leader="none"/>
          </w:tabs>
        </w:pPr>
        <w:rPr>
          <w:rFonts w:hint="eastAsia"/>
        </w:rPr>
      </w:lvl>
    </w:lvlOverride>
    <w:lvlOverride w:ilvl="4">
      <w:lvl w:ilvl="4">
        <w:start w:val="1"/>
        <w:numFmt w:val="decimal"/>
        <w:pStyle w:val="1366"/>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33"/>
  </w:num>
  <w:num w:numId="3">
    <w:abstractNumId w:val="8"/>
  </w:num>
  <w:num w:numId="4">
    <w:abstractNumId w:val="7"/>
  </w:num>
  <w:num w:numId="5">
    <w:abstractNumId w:val="42"/>
  </w:num>
  <w:num w:numId="6">
    <w:abstractNumId w:val="38"/>
  </w:num>
  <w:num w:numId="7">
    <w:abstractNumId w:val="30"/>
  </w:num>
  <w:num w:numId="8">
    <w:abstractNumId w:val="25"/>
  </w:num>
  <w:num w:numId="9">
    <w:abstractNumId w:val="20"/>
  </w:num>
  <w:num w:numId="10">
    <w:abstractNumId w:val="32"/>
  </w:num>
  <w:num w:numId="11">
    <w:abstractNumId w:val="28"/>
  </w:num>
  <w:num w:numId="12">
    <w:abstractNumId w:val="39"/>
  </w:num>
  <w:num w:numId="13">
    <w:abstractNumId w:val="37"/>
  </w:num>
  <w:num w:numId="14">
    <w:abstractNumId w:val="27"/>
  </w:num>
  <w:num w:numId="15">
    <w:abstractNumId w:val="9"/>
  </w:num>
  <w:num w:numId="16">
    <w:abstractNumId w:val="31"/>
  </w:num>
  <w:num w:numId="17">
    <w:abstractNumId w:val="0"/>
  </w:num>
  <w:num w:numId="18">
    <w:abstractNumId w:val="35"/>
  </w:num>
  <w:num w:numId="19">
    <w:abstractNumId w:val="19"/>
  </w:num>
  <w:num w:numId="20">
    <w:abstractNumId w:val="4"/>
  </w:num>
  <w:num w:numId="21">
    <w:abstractNumId w:val="26"/>
  </w:num>
  <w:num w:numId="22">
    <w:abstractNumId w:val="3"/>
  </w:num>
  <w:num w:numId="23">
    <w:abstractNumId w:val="5"/>
  </w:num>
  <w:num w:numId="24">
    <w:abstractNumId w:val="16"/>
  </w:num>
  <w:num w:numId="25">
    <w:abstractNumId w:val="18"/>
  </w:num>
  <w:num w:numId="26">
    <w:abstractNumId w:val="1"/>
  </w:num>
  <w:num w:numId="27">
    <w:abstractNumId w:val="10"/>
  </w:num>
  <w:num w:numId="28">
    <w:abstractNumId w:val="23"/>
  </w:num>
  <w:num w:numId="29">
    <w:abstractNumId w:val="6"/>
  </w:num>
  <w:num w:numId="30">
    <w:abstractNumId w:val="11"/>
  </w:num>
  <w:num w:numId="31">
    <w:abstractNumId w:val="14"/>
  </w:num>
  <w:num w:numId="32">
    <w:abstractNumId w:val="40"/>
  </w:num>
  <w:num w:numId="33">
    <w:abstractNumId w:val="36"/>
  </w:num>
  <w:num w:numId="34">
    <w:abstractNumId w:val="22"/>
  </w:num>
  <w:num w:numId="35">
    <w:abstractNumId w:val="41"/>
  </w:num>
  <w:num w:numId="36">
    <w:abstractNumId w:val="17"/>
  </w:num>
  <w:num w:numId="37">
    <w:abstractNumId w:val="2"/>
  </w:num>
  <w:num w:numId="38">
    <w:abstractNumId w:val="24"/>
  </w:num>
  <w:num w:numId="39">
    <w:abstractNumId w:val="34"/>
  </w:num>
  <w:num w:numId="40">
    <w:abstractNumId w:val="12"/>
  </w:num>
  <w:num w:numId="41">
    <w:abstractNumId w:val="29"/>
  </w:num>
  <w:num w:numId="42">
    <w:abstractNumId w:val="13"/>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3" w:default="1">
    <w:name w:val="Normal"/>
    <w:next w:val="915"/>
    <w:uiPriority w:val="0"/>
    <w:qFormat/>
    <w:pPr>
      <w:jc w:val="both"/>
      <w:widowControl w:val="off"/>
    </w:pPr>
    <w:rPr>
      <w:rFonts w:hint="default" w:ascii="等线" w:hAnsi="等线" w:eastAsia="等线" w:cs="Times New Roman"/>
      <w:sz w:val="21"/>
      <w:szCs w:val="22"/>
      <w:lang w:val="en-US" w:eastAsia="zh-CN" w:bidi="ar-SA"/>
    </w:rPr>
  </w:style>
  <w:style w:type="paragraph" w:styleId="904">
    <w:name w:val="Heading 1"/>
    <w:basedOn w:val="903"/>
    <w:next w:val="903"/>
    <w:uiPriority w:val="9"/>
    <w:qFormat/>
    <w:pPr>
      <w:keepLines/>
      <w:keepNext/>
      <w:spacing w:before="480" w:after="200"/>
      <w:outlineLvl w:val="0"/>
    </w:pPr>
    <w:rPr>
      <w:rFonts w:ascii="Arial" w:hAnsi="Arial" w:eastAsia="Arial" w:cs="Arial"/>
      <w:sz w:val="40"/>
      <w:szCs w:val="40"/>
    </w:rPr>
  </w:style>
  <w:style w:type="paragraph" w:styleId="905">
    <w:name w:val="Heading 2"/>
    <w:basedOn w:val="903"/>
    <w:next w:val="903"/>
    <w:uiPriority w:val="9"/>
    <w:unhideWhenUsed/>
    <w:qFormat/>
    <w:pPr>
      <w:keepLines/>
      <w:keepNext/>
      <w:spacing w:before="360" w:after="200"/>
      <w:outlineLvl w:val="1"/>
    </w:pPr>
    <w:rPr>
      <w:rFonts w:ascii="Arial" w:hAnsi="Arial" w:eastAsia="Arial" w:cs="Arial"/>
      <w:sz w:val="34"/>
    </w:rPr>
  </w:style>
  <w:style w:type="paragraph" w:styleId="906">
    <w:name w:val="Heading 3"/>
    <w:basedOn w:val="903"/>
    <w:next w:val="903"/>
    <w:uiPriority w:val="9"/>
    <w:unhideWhenUsed/>
    <w:qFormat/>
    <w:pPr>
      <w:keepLines/>
      <w:keepNext/>
      <w:spacing w:before="320" w:after="200"/>
      <w:outlineLvl w:val="2"/>
    </w:pPr>
    <w:rPr>
      <w:rFonts w:ascii="Arial" w:hAnsi="Arial" w:eastAsia="Arial" w:cs="Arial"/>
      <w:sz w:val="30"/>
      <w:szCs w:val="30"/>
    </w:rPr>
  </w:style>
  <w:style w:type="paragraph" w:styleId="907">
    <w:name w:val="Heading 4"/>
    <w:basedOn w:val="903"/>
    <w:next w:val="903"/>
    <w:uiPriority w:val="9"/>
    <w:unhideWhenUsed/>
    <w:qFormat/>
    <w:pPr>
      <w:keepLines/>
      <w:keepNext/>
      <w:spacing w:before="320" w:after="200"/>
      <w:outlineLvl w:val="3"/>
    </w:pPr>
    <w:rPr>
      <w:rFonts w:ascii="Arial" w:hAnsi="Arial" w:eastAsia="Arial" w:cs="Arial"/>
      <w:b/>
      <w:bCs/>
      <w:sz w:val="26"/>
      <w:szCs w:val="26"/>
    </w:rPr>
  </w:style>
  <w:style w:type="paragraph" w:styleId="908">
    <w:name w:val="Heading 5"/>
    <w:basedOn w:val="903"/>
    <w:next w:val="903"/>
    <w:uiPriority w:val="9"/>
    <w:unhideWhenUsed/>
    <w:qFormat/>
    <w:pPr>
      <w:keepLines/>
      <w:keepNext/>
      <w:spacing w:before="320" w:after="200"/>
      <w:outlineLvl w:val="4"/>
    </w:pPr>
    <w:rPr>
      <w:rFonts w:ascii="Arial" w:hAnsi="Arial" w:eastAsia="Arial" w:cs="Arial"/>
      <w:b/>
      <w:bCs/>
      <w:sz w:val="24"/>
      <w:szCs w:val="24"/>
    </w:rPr>
  </w:style>
  <w:style w:type="paragraph" w:styleId="909">
    <w:name w:val="Heading 6"/>
    <w:basedOn w:val="903"/>
    <w:next w:val="903"/>
    <w:link w:val="980"/>
    <w:uiPriority w:val="9"/>
    <w:unhideWhenUsed/>
    <w:qFormat/>
    <w:pPr>
      <w:keepLines/>
      <w:keepNext/>
      <w:spacing w:before="320" w:after="200"/>
      <w:outlineLvl w:val="5"/>
    </w:pPr>
    <w:rPr>
      <w:rFonts w:ascii="Arial" w:hAnsi="Arial" w:eastAsia="Arial" w:cs="Arial"/>
      <w:b/>
      <w:bCs/>
      <w:sz w:val="22"/>
    </w:rPr>
  </w:style>
  <w:style w:type="paragraph" w:styleId="910">
    <w:name w:val="Heading 7"/>
    <w:basedOn w:val="903"/>
    <w:next w:val="903"/>
    <w:link w:val="981"/>
    <w:uiPriority w:val="9"/>
    <w:unhideWhenUsed/>
    <w:qFormat/>
    <w:pPr>
      <w:keepLines/>
      <w:keepNext/>
      <w:spacing w:before="320" w:after="200"/>
      <w:outlineLvl w:val="6"/>
    </w:pPr>
    <w:rPr>
      <w:rFonts w:ascii="Arial" w:hAnsi="Arial" w:eastAsia="Arial" w:cs="Arial"/>
      <w:b/>
      <w:bCs/>
      <w:i/>
      <w:iCs/>
      <w:sz w:val="22"/>
    </w:rPr>
  </w:style>
  <w:style w:type="paragraph" w:styleId="911">
    <w:name w:val="Heading 8"/>
    <w:basedOn w:val="903"/>
    <w:next w:val="903"/>
    <w:link w:val="982"/>
    <w:uiPriority w:val="9"/>
    <w:unhideWhenUsed/>
    <w:qFormat/>
    <w:pPr>
      <w:keepLines/>
      <w:keepNext/>
      <w:spacing w:before="320" w:after="200"/>
      <w:outlineLvl w:val="7"/>
    </w:pPr>
    <w:rPr>
      <w:rFonts w:ascii="Arial" w:hAnsi="Arial" w:eastAsia="Arial" w:cs="Arial"/>
      <w:i/>
      <w:iCs/>
      <w:sz w:val="22"/>
    </w:rPr>
  </w:style>
  <w:style w:type="paragraph" w:styleId="912">
    <w:name w:val="Heading 9"/>
    <w:basedOn w:val="903"/>
    <w:next w:val="903"/>
    <w:link w:val="983"/>
    <w:uiPriority w:val="9"/>
    <w:unhideWhenUsed/>
    <w:qFormat/>
    <w:pPr>
      <w:keepLines/>
      <w:keepNext/>
      <w:spacing w:before="320" w:after="200"/>
      <w:outlineLvl w:val="8"/>
    </w:pPr>
    <w:rPr>
      <w:rFonts w:ascii="Arial" w:hAnsi="Arial" w:eastAsia="Arial" w:cs="Arial"/>
      <w:i/>
      <w:iCs/>
      <w:szCs w:val="21"/>
    </w:rPr>
  </w:style>
  <w:style w:type="character" w:styleId="913" w:default="1">
    <w:name w:val="Default Paragraph Font"/>
    <w:uiPriority w:val="1"/>
    <w:semiHidden/>
    <w:unhideWhenUsed/>
    <w:qFormat/>
  </w:style>
  <w:style w:type="table" w:styleId="914" w:default="1">
    <w:name w:val="Normal Table"/>
    <w:uiPriority w:val="99"/>
    <w:semiHidden/>
    <w:unhideWhenUsed/>
    <w:qFormat/>
    <w:tblPr>
      <w:tblCellMar>
        <w:left w:w="108" w:type="dxa"/>
        <w:top w:w="0" w:type="dxa"/>
        <w:right w:w="108" w:type="dxa"/>
        <w:bottom w:w="0" w:type="dxa"/>
      </w:tblCellMar>
    </w:tblPr>
  </w:style>
  <w:style w:type="paragraph" w:styleId="915">
    <w:name w:val="index 4"/>
    <w:basedOn w:val="903"/>
    <w:next w:val="903"/>
    <w:uiPriority w:val="99"/>
    <w:qFormat/>
    <w:pPr>
      <w:ind w:left="600"/>
    </w:pPr>
    <w:rPr>
      <w:szCs w:val="24"/>
    </w:rPr>
  </w:style>
  <w:style w:type="paragraph" w:styleId="916">
    <w:name w:val="toc 7"/>
    <w:basedOn w:val="903"/>
    <w:next w:val="903"/>
    <w:uiPriority w:val="39"/>
    <w:unhideWhenUsed/>
    <w:qFormat/>
    <w:pPr>
      <w:ind w:left="1701"/>
      <w:spacing w:after="57"/>
    </w:pPr>
  </w:style>
  <w:style w:type="paragraph" w:styleId="917">
    <w:name w:val="Caption"/>
    <w:basedOn w:val="903"/>
    <w:next w:val="9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8">
    <w:name w:val="annotation text"/>
    <w:basedOn w:val="903"/>
    <w:uiPriority w:val="0"/>
    <w:qFormat/>
    <w:pPr>
      <w:jc w:val="left"/>
      <w:spacing w:line="360" w:lineRule="auto"/>
    </w:pPr>
    <w:rPr>
      <w:rFonts w:ascii="Calibri" w:hAnsi="Calibri" w:eastAsia="微软雅黑"/>
      <w:szCs w:val="24"/>
      <w:lang w:val="zh-CN"/>
    </w:rPr>
  </w:style>
  <w:style w:type="paragraph" w:styleId="919">
    <w:name w:val="index 6"/>
    <w:basedOn w:val="903"/>
    <w:next w:val="903"/>
    <w:uiPriority w:val="0"/>
    <w:qFormat/>
    <w:pPr>
      <w:ind w:left="2100"/>
    </w:pPr>
    <w:rPr>
      <w:rFonts w:eastAsia="楷体_GB2312"/>
      <w:sz w:val="26"/>
    </w:rPr>
  </w:style>
  <w:style w:type="paragraph" w:styleId="920">
    <w:name w:val="Body Text"/>
    <w:basedOn w:val="903"/>
    <w:uiPriority w:val="0"/>
    <w:semiHidden/>
    <w:qFormat/>
    <w:rPr>
      <w:rFonts w:ascii="宋体" w:hAnsi="宋体" w:eastAsia="宋体" w:cs="宋体"/>
      <w:sz w:val="24"/>
      <w:szCs w:val="24"/>
      <w:lang w:eastAsia="en-US"/>
    </w:rPr>
  </w:style>
  <w:style w:type="paragraph" w:styleId="921">
    <w:name w:val="Body Text Indent"/>
    <w:basedOn w:val="903"/>
    <w:next w:val="922"/>
    <w:uiPriority w:val="0"/>
    <w:qFormat/>
    <w:pPr>
      <w:ind w:left="420"/>
      <w:spacing w:after="120"/>
    </w:pPr>
  </w:style>
  <w:style w:type="paragraph" w:styleId="922">
    <w:name w:val="envelope return"/>
    <w:basedOn w:val="903"/>
    <w:uiPriority w:val="0"/>
    <w:qFormat/>
    <w:rPr>
      <w:rFonts w:ascii="Arial" w:hAnsi="Arial"/>
    </w:rPr>
  </w:style>
  <w:style w:type="paragraph" w:styleId="923">
    <w:name w:val="toc 5"/>
    <w:basedOn w:val="903"/>
    <w:next w:val="903"/>
    <w:uiPriority w:val="39"/>
    <w:unhideWhenUsed/>
    <w:qFormat/>
    <w:pPr>
      <w:ind w:left="1134"/>
      <w:spacing w:after="57"/>
    </w:pPr>
  </w:style>
  <w:style w:type="paragraph" w:styleId="924">
    <w:name w:val="toc 3"/>
    <w:basedOn w:val="903"/>
    <w:next w:val="903"/>
    <w:uiPriority w:val="39"/>
    <w:unhideWhenUsed/>
    <w:qFormat/>
    <w:pPr>
      <w:ind w:left="567"/>
      <w:spacing w:after="57"/>
    </w:pPr>
  </w:style>
  <w:style w:type="paragraph" w:styleId="925">
    <w:name w:val="Plain Text"/>
    <w:basedOn w:val="903"/>
    <w:uiPriority w:val="0"/>
    <w:qFormat/>
    <w:rPr>
      <w:rFonts w:ascii="宋体" w:hAnsi="Courier New" w:cs="Courier New"/>
      <w:szCs w:val="21"/>
    </w:rPr>
  </w:style>
  <w:style w:type="paragraph" w:styleId="926">
    <w:name w:val="toc 8"/>
    <w:basedOn w:val="903"/>
    <w:next w:val="903"/>
    <w:uiPriority w:val="39"/>
    <w:unhideWhenUsed/>
    <w:qFormat/>
    <w:pPr>
      <w:ind w:left="1984"/>
      <w:spacing w:after="57"/>
    </w:pPr>
  </w:style>
  <w:style w:type="paragraph" w:styleId="927">
    <w:name w:val="endnote text"/>
    <w:basedOn w:val="903"/>
    <w:link w:val="1116"/>
    <w:uiPriority w:val="99"/>
    <w:semiHidden/>
    <w:unhideWhenUsed/>
    <w:qFormat/>
    <w:rPr>
      <w:sz w:val="20"/>
    </w:rPr>
  </w:style>
  <w:style w:type="paragraph" w:styleId="928">
    <w:name w:val="Balloon Text"/>
    <w:basedOn w:val="903"/>
    <w:link w:val="1568"/>
    <w:uiPriority w:val="99"/>
    <w:semiHidden/>
    <w:unhideWhenUsed/>
    <w:qFormat/>
    <w:rPr>
      <w:sz w:val="18"/>
      <w:szCs w:val="18"/>
    </w:rPr>
  </w:style>
  <w:style w:type="paragraph" w:styleId="929">
    <w:name w:val="Footer"/>
    <w:basedOn w:val="903"/>
    <w:link w:val="990"/>
    <w:uiPriority w:val="99"/>
    <w:unhideWhenUsed/>
    <w:qFormat/>
    <w:pPr>
      <w:tabs>
        <w:tab w:val="center" w:pos="7143" w:leader="none"/>
        <w:tab w:val="right" w:pos="14287" w:leader="none"/>
      </w:tabs>
    </w:pPr>
  </w:style>
  <w:style w:type="paragraph" w:styleId="930">
    <w:name w:val="Header"/>
    <w:basedOn w:val="903"/>
    <w:uiPriority w:val="99"/>
    <w:unhideWhenUsed/>
    <w:qFormat/>
    <w:pPr>
      <w:tabs>
        <w:tab w:val="center" w:pos="7143" w:leader="none"/>
        <w:tab w:val="right" w:pos="14287" w:leader="none"/>
      </w:tabs>
    </w:pPr>
  </w:style>
  <w:style w:type="paragraph" w:styleId="931">
    <w:name w:val="toc 1"/>
    <w:basedOn w:val="903"/>
    <w:next w:val="903"/>
    <w:uiPriority w:val="39"/>
    <w:unhideWhenUsed/>
    <w:qFormat/>
    <w:pPr>
      <w:spacing w:after="57"/>
    </w:pPr>
  </w:style>
  <w:style w:type="paragraph" w:styleId="932">
    <w:name w:val="toc 4"/>
    <w:basedOn w:val="903"/>
    <w:next w:val="903"/>
    <w:uiPriority w:val="39"/>
    <w:unhideWhenUsed/>
    <w:qFormat/>
    <w:pPr>
      <w:ind w:left="850"/>
      <w:spacing w:after="57"/>
    </w:pPr>
  </w:style>
  <w:style w:type="paragraph" w:styleId="933">
    <w:name w:val="Subtitle"/>
    <w:basedOn w:val="903"/>
    <w:next w:val="903"/>
    <w:link w:val="985"/>
    <w:uiPriority w:val="11"/>
    <w:qFormat/>
    <w:pPr>
      <w:spacing w:before="200" w:after="200"/>
    </w:pPr>
    <w:rPr>
      <w:sz w:val="24"/>
      <w:szCs w:val="24"/>
    </w:rPr>
  </w:style>
  <w:style w:type="paragraph" w:styleId="934">
    <w:name w:val="List"/>
    <w:basedOn w:val="903"/>
    <w:uiPriority w:val="0"/>
    <w:qFormat/>
    <w:pPr>
      <w:ind w:left="420" w:hanging="420"/>
      <w:spacing w:after="20" w:line="288" w:lineRule="auto"/>
      <w:tabs>
        <w:tab w:val="left" w:pos="420" w:leader="none"/>
      </w:tabs>
    </w:pPr>
    <w:rPr>
      <w:szCs w:val="20"/>
      <w:lang w:val="en-GB"/>
    </w:rPr>
  </w:style>
  <w:style w:type="paragraph" w:styleId="935">
    <w:name w:val="footnote text"/>
    <w:basedOn w:val="903"/>
    <w:uiPriority w:val="99"/>
    <w:semiHidden/>
    <w:unhideWhenUsed/>
    <w:qFormat/>
    <w:pPr>
      <w:spacing w:after="40"/>
    </w:pPr>
    <w:rPr>
      <w:sz w:val="18"/>
    </w:rPr>
  </w:style>
  <w:style w:type="paragraph" w:styleId="936">
    <w:name w:val="toc 6"/>
    <w:basedOn w:val="903"/>
    <w:next w:val="903"/>
    <w:uiPriority w:val="39"/>
    <w:unhideWhenUsed/>
    <w:qFormat/>
    <w:pPr>
      <w:ind w:left="1417"/>
      <w:spacing w:after="57"/>
    </w:pPr>
  </w:style>
  <w:style w:type="paragraph" w:styleId="937">
    <w:name w:val="table of figures"/>
    <w:basedOn w:val="903"/>
    <w:next w:val="903"/>
    <w:uiPriority w:val="99"/>
    <w:unhideWhenUsed/>
    <w:qFormat/>
  </w:style>
  <w:style w:type="paragraph" w:styleId="938">
    <w:name w:val="toc 2"/>
    <w:basedOn w:val="903"/>
    <w:next w:val="903"/>
    <w:uiPriority w:val="39"/>
    <w:unhideWhenUsed/>
    <w:qFormat/>
    <w:pPr>
      <w:ind w:left="283"/>
      <w:spacing w:after="57"/>
    </w:pPr>
  </w:style>
  <w:style w:type="paragraph" w:styleId="939">
    <w:name w:val="toc 9"/>
    <w:basedOn w:val="903"/>
    <w:next w:val="903"/>
    <w:uiPriority w:val="39"/>
    <w:unhideWhenUsed/>
    <w:qFormat/>
    <w:pPr>
      <w:ind w:left="2268"/>
      <w:spacing w:after="57"/>
    </w:pPr>
  </w:style>
  <w:style w:type="paragraph" w:styleId="940">
    <w:name w:val="Title"/>
    <w:basedOn w:val="903"/>
    <w:next w:val="903"/>
    <w:uiPriority w:val="10"/>
    <w:qFormat/>
    <w:pPr>
      <w:contextualSpacing/>
      <w:spacing w:before="300" w:after="200"/>
    </w:pPr>
    <w:rPr>
      <w:sz w:val="48"/>
      <w:szCs w:val="48"/>
    </w:rPr>
  </w:style>
  <w:style w:type="paragraph" w:styleId="941">
    <w:name w:val="Body Text First Indent"/>
    <w:basedOn w:val="920"/>
    <w:uiPriority w:val="0"/>
    <w:unhideWhenUsed/>
    <w:qFormat/>
    <w:pPr>
      <w:ind w:firstLine="420"/>
      <w:spacing w:after="120"/>
    </w:pPr>
    <w:rPr>
      <w:rFonts w:ascii="等线" w:hAnsi="等线" w:eastAsia="等线"/>
      <w:sz w:val="21"/>
    </w:rPr>
  </w:style>
  <w:style w:type="paragraph" w:styleId="942">
    <w:name w:val="Body Text First Indent 2"/>
    <w:basedOn w:val="921"/>
    <w:uiPriority w:val="0"/>
    <w:qFormat/>
    <w:pPr>
      <w:ind w:firstLine="420"/>
    </w:pPr>
  </w:style>
  <w:style w:type="table" w:styleId="9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4">
    <w:name w:val="endnote reference"/>
    <w:uiPriority w:val="99"/>
    <w:semiHidden/>
    <w:unhideWhenUsed/>
    <w:qFormat/>
    <w:rPr>
      <w:vertAlign w:val="superscript"/>
    </w:rPr>
  </w:style>
  <w:style w:type="character" w:styleId="945">
    <w:name w:val="Hyperlink"/>
    <w:uiPriority w:val="99"/>
    <w:unhideWhenUsed/>
    <w:qFormat/>
    <w:rPr>
      <w:color w:val="0000ff" w:themeColor="hyperlink"/>
      <w:u w:val="single"/>
      <w14:textFill>
        <w14:solidFill>
          <w14:schemeClr w14:val="hlink"/>
        </w14:solidFill>
      </w14:textFill>
    </w:rPr>
  </w:style>
  <w:style w:type="character" w:styleId="946">
    <w:name w:val="annotation reference"/>
    <w:basedOn w:val="913"/>
    <w:uiPriority w:val="99"/>
    <w:semiHidden/>
    <w:unhideWhenUsed/>
    <w:qFormat/>
    <w:rPr>
      <w:sz w:val="21"/>
      <w:szCs w:val="21"/>
    </w:rPr>
  </w:style>
  <w:style w:type="character" w:styleId="947">
    <w:name w:val="footnote reference"/>
    <w:uiPriority w:val="99"/>
    <w:unhideWhenUsed/>
    <w:qFormat/>
    <w:rPr>
      <w:vertAlign w:val="superscript"/>
    </w:rPr>
  </w:style>
  <w:style w:type="character" w:styleId="948" w:customStyle="1">
    <w:name w:val="Heading 6 Char"/>
    <w:basedOn w:val="913"/>
    <w:uiPriority w:val="9"/>
    <w:qFormat/>
    <w:rPr>
      <w:rFonts w:ascii="Arial" w:hAnsi="Arial" w:eastAsia="Arial" w:cs="Arial"/>
      <w:b/>
      <w:bCs/>
      <w:sz w:val="22"/>
      <w:szCs w:val="22"/>
    </w:rPr>
  </w:style>
  <w:style w:type="character" w:styleId="949" w:customStyle="1">
    <w:name w:val="Heading 7 Char"/>
    <w:basedOn w:val="913"/>
    <w:uiPriority w:val="9"/>
    <w:qFormat/>
    <w:rPr>
      <w:rFonts w:ascii="Arial" w:hAnsi="Arial" w:eastAsia="Arial" w:cs="Arial"/>
      <w:b/>
      <w:bCs/>
      <w:i/>
      <w:iCs/>
      <w:sz w:val="22"/>
      <w:szCs w:val="22"/>
    </w:rPr>
  </w:style>
  <w:style w:type="character" w:styleId="950" w:customStyle="1">
    <w:name w:val="Heading 8 Char"/>
    <w:basedOn w:val="913"/>
    <w:uiPriority w:val="9"/>
    <w:qFormat/>
    <w:rPr>
      <w:rFonts w:ascii="Arial" w:hAnsi="Arial" w:eastAsia="Arial" w:cs="Arial"/>
      <w:i/>
      <w:iCs/>
      <w:sz w:val="22"/>
      <w:szCs w:val="22"/>
    </w:rPr>
  </w:style>
  <w:style w:type="character" w:styleId="951" w:customStyle="1">
    <w:name w:val="Heading 9 Char"/>
    <w:basedOn w:val="913"/>
    <w:uiPriority w:val="9"/>
    <w:qFormat/>
    <w:rPr>
      <w:rFonts w:ascii="Arial" w:hAnsi="Arial" w:eastAsia="Arial" w:cs="Arial"/>
      <w:i/>
      <w:iCs/>
      <w:sz w:val="21"/>
      <w:szCs w:val="21"/>
    </w:rPr>
  </w:style>
  <w:style w:type="character" w:styleId="952" w:customStyle="1">
    <w:name w:val="Subtitle Char"/>
    <w:basedOn w:val="913"/>
    <w:uiPriority w:val="11"/>
    <w:qFormat/>
    <w:rPr>
      <w:sz w:val="24"/>
      <w:szCs w:val="24"/>
    </w:rPr>
  </w:style>
  <w:style w:type="character" w:styleId="953" w:customStyle="1">
    <w:name w:val="Quote Char"/>
    <w:uiPriority w:val="29"/>
    <w:qFormat/>
    <w:rPr>
      <w:i/>
    </w:rPr>
  </w:style>
  <w:style w:type="character" w:styleId="954" w:customStyle="1">
    <w:name w:val="Intense Quote Char"/>
    <w:uiPriority w:val="30"/>
    <w:qFormat/>
    <w:rPr>
      <w:i/>
    </w:rPr>
  </w:style>
  <w:style w:type="character" w:styleId="955" w:customStyle="1">
    <w:name w:val="Caption Char"/>
    <w:uiPriority w:val="99"/>
    <w:qFormat/>
  </w:style>
  <w:style w:type="table" w:styleId="956" w:customStyle="1">
    <w:name w:val="Plain Table 1"/>
    <w:basedOn w:val="9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Plain Table 2"/>
    <w:basedOn w:val="9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Plain Table 3"/>
    <w:basedOn w:val="9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9" w:customStyle="1">
    <w:name w:val="Plain Table 4"/>
    <w:basedOn w:val="9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0" w:customStyle="1">
    <w:name w:val="Plain Table 5"/>
    <w:basedOn w:val="9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1" w:customStyle="1">
    <w:name w:val="Grid Table 1 Light"/>
    <w:basedOn w:val="9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2" w:customStyle="1">
    <w:name w:val="Grid Table 2"/>
    <w:basedOn w:val="9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3" w:customStyle="1">
    <w:name w:val="Grid Table 3"/>
    <w:basedOn w:val="9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4"/>
    <w:basedOn w:val="9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5 Dark"/>
    <w:basedOn w:val="9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6" w:customStyle="1">
    <w:name w:val="Grid Table 6 Colorful"/>
    <w:basedOn w:val="9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7" w:customStyle="1">
    <w:name w:val="Grid Table 7 Colorful"/>
    <w:basedOn w:val="9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List Table 1 Light"/>
    <w:basedOn w:val="9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customStyle="1">
    <w:name w:val="List Table 2"/>
    <w:basedOn w:val="9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3"/>
    <w:basedOn w:val="9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w:basedOn w:val="9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5 Dark"/>
    <w:basedOn w:val="9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6 Colorful"/>
    <w:basedOn w:val="9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7 Colorful"/>
    <w:basedOn w:val="9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5" w:customStyle="1">
    <w:name w:val="Endnote Text Char"/>
    <w:uiPriority w:val="99"/>
    <w:qFormat/>
    <w:rPr>
      <w:sz w:val="20"/>
    </w:rPr>
  </w:style>
  <w:style w:type="paragraph" w:styleId="976" w:customStyle="1">
    <w:name w:val="TOC Heading"/>
    <w:uiPriority w:val="39"/>
    <w:unhideWhenUsed/>
    <w:qFormat/>
    <w:rPr>
      <w:rFonts w:hint="default" w:ascii="等线" w:hAnsi="等线" w:eastAsia="等线" w:cs="Times New Roman"/>
    </w:rPr>
  </w:style>
  <w:style w:type="paragraph" w:styleId="97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78" w:customStyle="1">
    <w:name w:val="TOC Heading1"/>
    <w:next w:val="903"/>
    <w:uiPriority w:val="0"/>
    <w:qFormat/>
    <w:rPr>
      <w:rFonts w:hint="default" w:ascii="Times New Roman" w:hAnsi="Times New Roman" w:eastAsia="宋体" w:cs="Times New Roman"/>
      <w:sz w:val="32"/>
      <w:lang w:val="en-US" w:eastAsia="zh-CN" w:bidi="ar-SA"/>
    </w:rPr>
  </w:style>
  <w:style w:type="paragraph" w:styleId="979" w:customStyle="1">
    <w:name w:val="标题 31"/>
    <w:basedOn w:val="903"/>
    <w:next w:val="903"/>
    <w:link w:val="1129"/>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980" w:customStyle="1">
    <w:name w:val="标题 6 字符2"/>
    <w:link w:val="909"/>
    <w:uiPriority w:val="9"/>
    <w:qFormat/>
    <w:rPr>
      <w:rFonts w:ascii="Arial" w:hAnsi="Arial" w:eastAsia="Arial" w:cs="Arial"/>
      <w:b/>
      <w:bCs/>
      <w:sz w:val="22"/>
      <w:szCs w:val="22"/>
    </w:rPr>
  </w:style>
  <w:style w:type="character" w:styleId="981" w:customStyle="1">
    <w:name w:val="标题 7 字符2"/>
    <w:link w:val="910"/>
    <w:uiPriority w:val="9"/>
    <w:qFormat/>
    <w:rPr>
      <w:rFonts w:ascii="Arial" w:hAnsi="Arial" w:eastAsia="Arial" w:cs="Arial"/>
      <w:b/>
      <w:bCs/>
      <w:i/>
      <w:iCs/>
      <w:sz w:val="22"/>
      <w:szCs w:val="22"/>
    </w:rPr>
  </w:style>
  <w:style w:type="character" w:styleId="982" w:customStyle="1">
    <w:name w:val="标题 8 字符2"/>
    <w:link w:val="911"/>
    <w:uiPriority w:val="9"/>
    <w:qFormat/>
    <w:rPr>
      <w:rFonts w:ascii="Arial" w:hAnsi="Arial" w:eastAsia="Arial" w:cs="Arial"/>
      <w:i/>
      <w:iCs/>
      <w:sz w:val="22"/>
      <w:szCs w:val="22"/>
    </w:rPr>
  </w:style>
  <w:style w:type="character" w:styleId="983" w:customStyle="1">
    <w:name w:val="标题 9 字符2"/>
    <w:link w:val="912"/>
    <w:uiPriority w:val="9"/>
    <w:qFormat/>
    <w:rPr>
      <w:rFonts w:ascii="Arial" w:hAnsi="Arial" w:eastAsia="Arial" w:cs="Arial"/>
      <w:i/>
      <w:iCs/>
      <w:sz w:val="21"/>
      <w:szCs w:val="21"/>
    </w:rPr>
  </w:style>
  <w:style w:type="paragraph" w:styleId="984">
    <w:name w:val="No Spacing"/>
    <w:uiPriority w:val="1"/>
    <w:qFormat/>
    <w:rPr>
      <w:rFonts w:hint="default" w:ascii="等线" w:hAnsi="等线" w:eastAsia="等线" w:cs="Times New Roman"/>
      <w:lang w:val="en-US" w:eastAsia="zh-CN" w:bidi="ar-SA"/>
    </w:rPr>
  </w:style>
  <w:style w:type="character" w:styleId="985" w:customStyle="1">
    <w:name w:val="副标题 字符2"/>
    <w:link w:val="933"/>
    <w:uiPriority w:val="11"/>
    <w:qFormat/>
    <w:rPr>
      <w:sz w:val="24"/>
      <w:szCs w:val="24"/>
    </w:rPr>
  </w:style>
  <w:style w:type="paragraph" w:styleId="986">
    <w:name w:val="Quote"/>
    <w:basedOn w:val="903"/>
    <w:next w:val="903"/>
    <w:link w:val="987"/>
    <w:uiPriority w:val="29"/>
    <w:qFormat/>
    <w:pPr>
      <w:ind w:left="720" w:right="720"/>
    </w:pPr>
    <w:rPr>
      <w:i/>
    </w:rPr>
  </w:style>
  <w:style w:type="character" w:styleId="987" w:customStyle="1">
    <w:name w:val="引用 字符2"/>
    <w:link w:val="986"/>
    <w:uiPriority w:val="29"/>
    <w:qFormat/>
    <w:rPr>
      <w:i/>
    </w:rPr>
  </w:style>
  <w:style w:type="paragraph" w:styleId="988">
    <w:name w:val="Intense Quote"/>
    <w:basedOn w:val="903"/>
    <w:next w:val="903"/>
    <w:link w:val="9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9" w:customStyle="1">
    <w:name w:val="明显引用 字符2"/>
    <w:link w:val="988"/>
    <w:uiPriority w:val="30"/>
    <w:qFormat/>
    <w:rPr>
      <w:i/>
    </w:rPr>
  </w:style>
  <w:style w:type="character" w:styleId="990" w:customStyle="1">
    <w:name w:val="页脚 字符3"/>
    <w:link w:val="929"/>
    <w:uiPriority w:val="99"/>
    <w:qFormat/>
  </w:style>
  <w:style w:type="table" w:styleId="99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6" w:customStyle="1">
    <w:name w:val="尾注文本 字符"/>
    <w:link w:val="927"/>
    <w:uiPriority w:val="99"/>
    <w:qFormat/>
    <w:rPr>
      <w:sz w:val="20"/>
    </w:rPr>
  </w:style>
  <w:style w:type="paragraph" w:styleId="1117" w:customStyle="1">
    <w:name w:val="TOC 标题1"/>
    <w:uiPriority w:val="39"/>
    <w:unhideWhenUsed/>
    <w:qFormat/>
    <w:rPr>
      <w:rFonts w:hint="default" w:ascii="等线" w:hAnsi="等线" w:eastAsia="等线" w:cs="Times New Roman"/>
      <w:lang w:val="en-US" w:eastAsia="zh-CN" w:bidi="ar-SA"/>
    </w:rPr>
  </w:style>
  <w:style w:type="paragraph" w:styleId="1118" w:customStyle="1">
    <w:name w:val="标题 11"/>
    <w:basedOn w:val="903"/>
    <w:next w:val="903"/>
    <w:link w:val="1130"/>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119" w:customStyle="1">
    <w:name w:val="标题 21"/>
    <w:basedOn w:val="903"/>
    <w:next w:val="903"/>
    <w:link w:val="1131"/>
    <w:uiPriority w:val="9"/>
    <w:qFormat/>
    <w:pPr>
      <w:keepLines/>
      <w:keepNext/>
      <w:spacing w:before="260" w:after="260" w:line="413" w:lineRule="auto"/>
      <w:outlineLvl w:val="1"/>
    </w:pPr>
    <w:rPr>
      <w:rFonts w:ascii="Arial" w:hAnsi="Arial" w:eastAsia="黑体"/>
      <w:b/>
      <w:bCs/>
      <w:sz w:val="32"/>
      <w:szCs w:val="32"/>
    </w:rPr>
  </w:style>
  <w:style w:type="paragraph" w:styleId="1120" w:customStyle="1">
    <w:name w:val="标题 41"/>
    <w:basedOn w:val="903"/>
    <w:next w:val="1121"/>
    <w:link w:val="1132"/>
    <w:uiPriority w:val="0"/>
    <w:qFormat/>
    <w:pPr>
      <w:jc w:val="center"/>
      <w:keepLines/>
      <w:keepNext/>
      <w:spacing w:before="120" w:after="120" w:line="360" w:lineRule="auto"/>
      <w:widowControl/>
      <w:outlineLvl w:val="3"/>
    </w:pPr>
    <w:rPr>
      <w:rFonts w:ascii="Arial" w:hAnsi="Arial" w:eastAsia="黑体"/>
      <w:sz w:val="28"/>
      <w:szCs w:val="20"/>
    </w:rPr>
  </w:style>
  <w:style w:type="paragraph" w:styleId="1121" w:customStyle="1">
    <w:name w:val="正文缩进1"/>
    <w:basedOn w:val="903"/>
    <w:next w:val="903"/>
    <w:link w:val="1138"/>
    <w:uiPriority w:val="0"/>
    <w:qFormat/>
    <w:pPr>
      <w:ind w:firstLine="420"/>
    </w:pPr>
    <w:rPr>
      <w:rFonts w:ascii="Times New Roman" w:hAnsi="Times New Roman" w:eastAsia="宋体"/>
      <w:szCs w:val="20"/>
    </w:rPr>
  </w:style>
  <w:style w:type="paragraph" w:styleId="1122" w:customStyle="1">
    <w:name w:val="标题 51"/>
    <w:basedOn w:val="903"/>
    <w:next w:val="903"/>
    <w:link w:val="1133"/>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123" w:customStyle="1">
    <w:name w:val="标题 61"/>
    <w:basedOn w:val="903"/>
    <w:next w:val="903"/>
    <w:link w:val="1134"/>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124" w:customStyle="1">
    <w:name w:val="标题 71"/>
    <w:basedOn w:val="903"/>
    <w:next w:val="903"/>
    <w:link w:val="1135"/>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125" w:customStyle="1">
    <w:name w:val="标题 81"/>
    <w:basedOn w:val="903"/>
    <w:next w:val="903"/>
    <w:link w:val="1136"/>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126" w:customStyle="1">
    <w:name w:val="标题 91"/>
    <w:basedOn w:val="903"/>
    <w:next w:val="903"/>
    <w:link w:val="1137"/>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127" w:customStyle="1">
    <w:name w:val="默认段落字体1"/>
    <w:uiPriority w:val="1"/>
    <w:unhideWhenUsed/>
    <w:qFormat/>
  </w:style>
  <w:style w:type="table" w:styleId="1128" w:customStyle="1">
    <w:name w:val="普通表格1"/>
    <w:uiPriority w:val="99"/>
    <w:unhideWhenUsed/>
    <w:qFormat/>
    <w:tblPr>
      <w:tblCellMar>
        <w:left w:w="0" w:type="dxa"/>
        <w:top w:w="0" w:type="dxa"/>
        <w:right w:w="0" w:type="dxa"/>
        <w:bottom w:w="0" w:type="dxa"/>
      </w:tblCellMar>
    </w:tblPr>
  </w:style>
  <w:style w:type="character" w:styleId="1129" w:customStyle="1">
    <w:name w:val="标题 3 字符1"/>
    <w:link w:val="979"/>
    <w:uiPriority w:val="0"/>
    <w:qFormat/>
    <w:rPr>
      <w:rFonts w:ascii="Times New Roman" w:hAnsi="Times New Roman" w:eastAsia="宋体" w:cs="Times New Roman"/>
      <w:b/>
      <w:sz w:val="32"/>
      <w:szCs w:val="20"/>
    </w:rPr>
  </w:style>
  <w:style w:type="character" w:styleId="1130" w:customStyle="1">
    <w:name w:val="标题 1 字符1"/>
    <w:link w:val="1118"/>
    <w:uiPriority w:val="9"/>
    <w:qFormat/>
    <w:rPr>
      <w:rFonts w:ascii="黑体" w:hAnsi="Times New Roman" w:eastAsia="黑体" w:cs="Times New Roman"/>
      <w:sz w:val="52"/>
      <w:szCs w:val="20"/>
    </w:rPr>
  </w:style>
  <w:style w:type="character" w:styleId="1131" w:customStyle="1">
    <w:name w:val="标题 2 字符1"/>
    <w:link w:val="1119"/>
    <w:uiPriority w:val="9"/>
    <w:qFormat/>
    <w:rPr>
      <w:rFonts w:ascii="Arial" w:hAnsi="Arial" w:eastAsia="黑体" w:cs="Times New Roman"/>
      <w:b/>
      <w:bCs/>
      <w:sz w:val="32"/>
      <w:szCs w:val="32"/>
    </w:rPr>
  </w:style>
  <w:style w:type="character" w:styleId="1132" w:customStyle="1">
    <w:name w:val="标题 4 字符1"/>
    <w:link w:val="1120"/>
    <w:uiPriority w:val="0"/>
    <w:qFormat/>
    <w:rPr>
      <w:rFonts w:ascii="Arial" w:hAnsi="Arial" w:eastAsia="黑体" w:cs="Times New Roman"/>
      <w:sz w:val="28"/>
      <w:szCs w:val="20"/>
    </w:rPr>
  </w:style>
  <w:style w:type="character" w:styleId="1133" w:customStyle="1">
    <w:name w:val="标题 5 字符1"/>
    <w:link w:val="1122"/>
    <w:uiPriority w:val="9"/>
    <w:qFormat/>
    <w:rPr>
      <w:rFonts w:ascii="宋体" w:hAnsi="宋体" w:eastAsia="宋体" w:cs="Times New Roman"/>
      <w:b/>
      <w:sz w:val="24"/>
      <w:szCs w:val="20"/>
    </w:rPr>
  </w:style>
  <w:style w:type="character" w:styleId="1134" w:customStyle="1">
    <w:name w:val="标题 6 字符1"/>
    <w:link w:val="1123"/>
    <w:uiPriority w:val="9"/>
    <w:qFormat/>
    <w:rPr>
      <w:rFonts w:ascii="Arial" w:hAnsi="Arial" w:eastAsia="黑体" w:cs="Times New Roman"/>
      <w:b/>
      <w:bCs/>
      <w:sz w:val="24"/>
      <w:szCs w:val="24"/>
    </w:rPr>
  </w:style>
  <w:style w:type="character" w:styleId="1135" w:customStyle="1">
    <w:name w:val="标题 7 字符1"/>
    <w:link w:val="1124"/>
    <w:uiPriority w:val="9"/>
    <w:qFormat/>
    <w:rPr>
      <w:rFonts w:ascii="Times New Roman" w:hAnsi="Times New Roman" w:eastAsia="宋体" w:cs="Times New Roman"/>
      <w:b/>
      <w:bCs/>
      <w:sz w:val="24"/>
      <w:szCs w:val="24"/>
    </w:rPr>
  </w:style>
  <w:style w:type="character" w:styleId="1136" w:customStyle="1">
    <w:name w:val="标题 8 字符1"/>
    <w:link w:val="1125"/>
    <w:uiPriority w:val="9"/>
    <w:qFormat/>
    <w:rPr>
      <w:rFonts w:ascii="Arial" w:hAnsi="Arial" w:eastAsia="黑体" w:cs="Times New Roman"/>
      <w:sz w:val="24"/>
      <w:szCs w:val="24"/>
    </w:rPr>
  </w:style>
  <w:style w:type="character" w:styleId="1137" w:customStyle="1">
    <w:name w:val="标题 9 字符1"/>
    <w:link w:val="1126"/>
    <w:uiPriority w:val="0"/>
    <w:qFormat/>
    <w:rPr>
      <w:rFonts w:ascii="Arial" w:hAnsi="Arial" w:eastAsia="黑体" w:cs="Times New Roman"/>
      <w:szCs w:val="21"/>
    </w:rPr>
  </w:style>
  <w:style w:type="character" w:styleId="1138" w:customStyle="1">
    <w:name w:val="正文缩进 字符1"/>
    <w:link w:val="1121"/>
    <w:uiPriority w:val="0"/>
    <w:qFormat/>
    <w:rPr>
      <w:rFonts w:ascii="Times New Roman" w:hAnsi="Times New Roman" w:eastAsia="宋体" w:cs="Times New Roman"/>
      <w:szCs w:val="20"/>
    </w:rPr>
  </w:style>
  <w:style w:type="paragraph" w:styleId="1139" w:customStyle="1">
    <w:name w:val="题注1"/>
    <w:basedOn w:val="903"/>
    <w:next w:val="903"/>
    <w:uiPriority w:val="99"/>
    <w:qFormat/>
    <w:rPr>
      <w:rFonts w:ascii="Cambria" w:hAnsi="Cambria" w:eastAsia="黑体"/>
      <w:sz w:val="20"/>
      <w:szCs w:val="20"/>
    </w:rPr>
  </w:style>
  <w:style w:type="paragraph" w:styleId="1140" w:customStyle="1">
    <w:name w:val="文档结构图1"/>
    <w:basedOn w:val="903"/>
    <w:link w:val="1141"/>
    <w:uiPriority w:val="99"/>
    <w:qFormat/>
    <w:pPr>
      <w:shd w:val="clear" w:color="auto" w:fill="000080"/>
    </w:pPr>
    <w:rPr>
      <w:rFonts w:ascii="Times New Roman" w:hAnsi="Times New Roman" w:eastAsia="宋体"/>
      <w:szCs w:val="20"/>
    </w:rPr>
  </w:style>
  <w:style w:type="character" w:styleId="1141" w:customStyle="1">
    <w:name w:val="文档结构图 字符2"/>
    <w:link w:val="1140"/>
    <w:uiPriority w:val="99"/>
    <w:qFormat/>
    <w:rPr>
      <w:rFonts w:ascii="Times New Roman" w:hAnsi="Times New Roman" w:eastAsia="宋体" w:cs="Times New Roman"/>
      <w:szCs w:val="20"/>
      <w:shd w:val="clear" w:color="auto" w:fill="000080"/>
    </w:rPr>
  </w:style>
  <w:style w:type="paragraph" w:styleId="1142" w:customStyle="1">
    <w:name w:val="批注文字1"/>
    <w:basedOn w:val="903"/>
    <w:link w:val="1143"/>
    <w:uiPriority w:val="99"/>
    <w:qFormat/>
    <w:pPr>
      <w:jc w:val="left"/>
      <w:spacing w:line="360" w:lineRule="atLeast"/>
    </w:pPr>
    <w:rPr>
      <w:rFonts w:ascii="Times New Roman" w:hAnsi="Times New Roman" w:eastAsia="宋体"/>
      <w:sz w:val="24"/>
      <w:szCs w:val="20"/>
    </w:rPr>
  </w:style>
  <w:style w:type="character" w:styleId="1143" w:customStyle="1">
    <w:name w:val="批注文字 字符2"/>
    <w:link w:val="1142"/>
    <w:uiPriority w:val="99"/>
    <w:qFormat/>
    <w:rPr>
      <w:rFonts w:ascii="Times New Roman" w:hAnsi="Times New Roman" w:eastAsia="宋体" w:cs="Times New Roman"/>
      <w:sz w:val="24"/>
      <w:szCs w:val="20"/>
    </w:rPr>
  </w:style>
  <w:style w:type="paragraph" w:styleId="1144" w:customStyle="1">
    <w:name w:val="正文文本 31"/>
    <w:basedOn w:val="903"/>
    <w:link w:val="1145"/>
    <w:uiPriority w:val="0"/>
    <w:qFormat/>
    <w:rPr>
      <w:rFonts w:ascii="宋体" w:hAnsi="Times New Roman" w:eastAsia="宋体"/>
      <w:sz w:val="24"/>
      <w:szCs w:val="20"/>
    </w:rPr>
  </w:style>
  <w:style w:type="character" w:styleId="1145" w:customStyle="1">
    <w:name w:val="正文文本 3 字符"/>
    <w:link w:val="1144"/>
    <w:uiPriority w:val="0"/>
    <w:qFormat/>
    <w:rPr>
      <w:rFonts w:ascii="宋体" w:hAnsi="Times New Roman" w:eastAsia="宋体" w:cs="Times New Roman"/>
      <w:sz w:val="24"/>
      <w:szCs w:val="20"/>
    </w:rPr>
  </w:style>
  <w:style w:type="paragraph" w:styleId="1146" w:customStyle="1">
    <w:name w:val="正文文本1"/>
    <w:basedOn w:val="903"/>
    <w:next w:val="1147"/>
    <w:link w:val="1148"/>
    <w:uiPriority w:val="0"/>
    <w:qFormat/>
    <w:rPr>
      <w:rFonts w:ascii="华文中宋" w:hAnsi="Times New Roman" w:eastAsia="华文中宋"/>
      <w:bCs/>
      <w:sz w:val="28"/>
      <w:szCs w:val="20"/>
    </w:rPr>
  </w:style>
  <w:style w:type="paragraph" w:styleId="1147" w:customStyle="1">
    <w:name w:val="正文首行缩进1"/>
    <w:basedOn w:val="1146"/>
    <w:link w:val="1194"/>
    <w:uiPriority w:val="99"/>
    <w:unhideWhenUsed/>
    <w:qFormat/>
    <w:pPr>
      <w:ind w:firstLine="420"/>
      <w:spacing w:after="120"/>
    </w:pPr>
    <w:rPr>
      <w:rFonts w:ascii="等线" w:hAnsi="等线" w:eastAsia="等线"/>
      <w:bCs w:val="0"/>
      <w:sz w:val="21"/>
      <w:szCs w:val="22"/>
    </w:rPr>
  </w:style>
  <w:style w:type="character" w:styleId="1148" w:customStyle="1">
    <w:name w:val="正文文本 字符2"/>
    <w:link w:val="1146"/>
    <w:uiPriority w:val="0"/>
    <w:qFormat/>
    <w:rPr>
      <w:rFonts w:ascii="华文中宋" w:hAnsi="Times New Roman" w:eastAsia="华文中宋" w:cs="Times New Roman"/>
      <w:bCs/>
      <w:sz w:val="28"/>
      <w:szCs w:val="20"/>
    </w:rPr>
  </w:style>
  <w:style w:type="character" w:styleId="1149" w:customStyle="1">
    <w:name w:val="正文首行缩进 字符"/>
    <w:uiPriority w:val="99"/>
    <w:semiHidden/>
    <w:qFormat/>
    <w:rPr>
      <w:rFonts w:ascii="华文中宋" w:hAnsi="Times New Roman" w:eastAsia="华文中宋" w:cs="Times New Roman"/>
      <w:sz w:val="28"/>
      <w:szCs w:val="20"/>
    </w:rPr>
  </w:style>
  <w:style w:type="paragraph" w:styleId="1150" w:customStyle="1">
    <w:name w:val="正文文本缩进1"/>
    <w:basedOn w:val="903"/>
    <w:next w:val="1151"/>
    <w:link w:val="1152"/>
    <w:uiPriority w:val="0"/>
    <w:qFormat/>
    <w:pPr>
      <w:ind w:firstLine="540"/>
      <w:spacing w:line="360" w:lineRule="auto"/>
      <w:widowControl/>
    </w:pPr>
    <w:rPr>
      <w:rFonts w:ascii="宋体" w:hAnsi="MS Sans Serif" w:eastAsia="宋体"/>
      <w:spacing w:val="12"/>
      <w:sz w:val="24"/>
      <w:szCs w:val="20"/>
    </w:rPr>
  </w:style>
  <w:style w:type="paragraph" w:styleId="1151" w:customStyle="1">
    <w:name w:val="寄信人地址1"/>
    <w:basedOn w:val="903"/>
    <w:uiPriority w:val="0"/>
    <w:qFormat/>
    <w:rPr>
      <w:rFonts w:ascii="Arial" w:hAnsi="Arial" w:eastAsia="宋体"/>
      <w:szCs w:val="20"/>
    </w:rPr>
  </w:style>
  <w:style w:type="character" w:styleId="1152" w:customStyle="1">
    <w:name w:val="正文文本缩进 字符2"/>
    <w:link w:val="1150"/>
    <w:uiPriority w:val="0"/>
    <w:qFormat/>
    <w:rPr>
      <w:rFonts w:ascii="宋体" w:hAnsi="MS Sans Serif" w:eastAsia="宋体" w:cs="Times New Roman"/>
      <w:spacing w:val="12"/>
      <w:sz w:val="24"/>
      <w:szCs w:val="20"/>
    </w:rPr>
  </w:style>
  <w:style w:type="paragraph" w:styleId="1153" w:customStyle="1">
    <w:name w:val="文本块1"/>
    <w:basedOn w:val="903"/>
    <w:uiPriority w:val="99"/>
    <w:qFormat/>
    <w:pPr>
      <w:ind w:left="420" w:right="33"/>
      <w:jc w:val="left"/>
    </w:pPr>
    <w:rPr>
      <w:rFonts w:ascii="Times New Roman" w:hAnsi="Times New Roman" w:eastAsia="宋体"/>
      <w:sz w:val="24"/>
      <w:szCs w:val="20"/>
    </w:rPr>
  </w:style>
  <w:style w:type="paragraph" w:styleId="1154" w:customStyle="1">
    <w:name w:val="索引 41"/>
    <w:basedOn w:val="903"/>
    <w:next w:val="903"/>
    <w:uiPriority w:val="99"/>
    <w:qFormat/>
    <w:pPr>
      <w:ind w:left="600"/>
    </w:pPr>
    <w:rPr>
      <w:rFonts w:ascii="Times New Roman" w:hAnsi="Times New Roman" w:eastAsia="宋体"/>
      <w:szCs w:val="24"/>
    </w:rPr>
  </w:style>
  <w:style w:type="paragraph" w:styleId="1155" w:customStyle="1">
    <w:name w:val="纯文本1"/>
    <w:basedOn w:val="903"/>
    <w:next w:val="1156"/>
    <w:link w:val="1157"/>
    <w:uiPriority w:val="0"/>
    <w:qFormat/>
    <w:rPr>
      <w:rFonts w:ascii="宋体" w:hAnsi="Courier New" w:eastAsia="宋体"/>
      <w:szCs w:val="20"/>
    </w:rPr>
  </w:style>
  <w:style w:type="paragraph" w:styleId="1156" w:customStyle="1">
    <w:name w:val="目录 21"/>
    <w:basedOn w:val="903"/>
    <w:next w:val="903"/>
    <w:uiPriority w:val="39"/>
    <w:unhideWhenUsed/>
    <w:qFormat/>
    <w:pPr>
      <w:ind w:left="420"/>
    </w:pPr>
  </w:style>
  <w:style w:type="character" w:styleId="1157" w:customStyle="1">
    <w:name w:val="纯文本 字符2"/>
    <w:link w:val="1155"/>
    <w:uiPriority w:val="0"/>
    <w:qFormat/>
    <w:rPr>
      <w:rFonts w:ascii="宋体" w:hAnsi="Courier New" w:eastAsia="宋体" w:cs="Times New Roman"/>
      <w:szCs w:val="20"/>
    </w:rPr>
  </w:style>
  <w:style w:type="paragraph" w:styleId="1158" w:customStyle="1">
    <w:name w:val="日期1"/>
    <w:basedOn w:val="903"/>
    <w:next w:val="903"/>
    <w:link w:val="1159"/>
    <w:uiPriority w:val="99"/>
    <w:qFormat/>
    <w:rPr>
      <w:rFonts w:ascii="Times New Roman" w:hAnsi="Times New Roman" w:eastAsia="宋体"/>
      <w:sz w:val="24"/>
      <w:szCs w:val="20"/>
    </w:rPr>
  </w:style>
  <w:style w:type="character" w:styleId="1159" w:customStyle="1">
    <w:name w:val="日期 字符2"/>
    <w:link w:val="1158"/>
    <w:uiPriority w:val="99"/>
    <w:qFormat/>
    <w:rPr>
      <w:rFonts w:ascii="Times New Roman" w:hAnsi="Times New Roman" w:eastAsia="宋体" w:cs="Times New Roman"/>
      <w:sz w:val="24"/>
      <w:szCs w:val="20"/>
    </w:rPr>
  </w:style>
  <w:style w:type="paragraph" w:styleId="1160" w:customStyle="1">
    <w:name w:val="正文文本缩进 21"/>
    <w:basedOn w:val="903"/>
    <w:link w:val="1161"/>
    <w:uiPriority w:val="99"/>
    <w:qFormat/>
    <w:pPr>
      <w:ind w:left="420"/>
      <w:spacing w:after="120" w:line="480" w:lineRule="auto"/>
    </w:pPr>
    <w:rPr>
      <w:rFonts w:ascii="Times New Roman" w:hAnsi="Times New Roman" w:eastAsia="宋体"/>
      <w:szCs w:val="24"/>
    </w:rPr>
  </w:style>
  <w:style w:type="character" w:styleId="1161" w:customStyle="1">
    <w:name w:val="正文文本缩进 2 字符2"/>
    <w:link w:val="1160"/>
    <w:uiPriority w:val="99"/>
    <w:qFormat/>
    <w:rPr>
      <w:rFonts w:ascii="Times New Roman" w:hAnsi="Times New Roman" w:eastAsia="宋体" w:cs="Times New Roman"/>
      <w:szCs w:val="24"/>
    </w:rPr>
  </w:style>
  <w:style w:type="paragraph" w:styleId="1162" w:customStyle="1">
    <w:name w:val="批注框文本1"/>
    <w:basedOn w:val="903"/>
    <w:link w:val="1163"/>
    <w:uiPriority w:val="99"/>
    <w:qFormat/>
    <w:rPr>
      <w:rFonts w:ascii="Times New Roman" w:hAnsi="Times New Roman" w:eastAsia="宋体"/>
      <w:sz w:val="18"/>
      <w:szCs w:val="18"/>
    </w:rPr>
  </w:style>
  <w:style w:type="character" w:styleId="1163" w:customStyle="1">
    <w:name w:val="批注框文本 字符2"/>
    <w:link w:val="1162"/>
    <w:uiPriority w:val="99"/>
    <w:qFormat/>
    <w:rPr>
      <w:rFonts w:ascii="Times New Roman" w:hAnsi="Times New Roman" w:eastAsia="宋体" w:cs="Times New Roman"/>
      <w:sz w:val="18"/>
      <w:szCs w:val="18"/>
    </w:rPr>
  </w:style>
  <w:style w:type="paragraph" w:styleId="1164" w:customStyle="1">
    <w:name w:val="页脚1"/>
    <w:basedOn w:val="903"/>
    <w:next w:val="978"/>
    <w:link w:val="1165"/>
    <w:uiPriority w:val="99"/>
    <w:unhideWhenUsed/>
    <w:qFormat/>
    <w:pPr>
      <w:jc w:val="left"/>
      <w:tabs>
        <w:tab w:val="center" w:pos="4153" w:leader="none"/>
        <w:tab w:val="right" w:pos="8306" w:leader="none"/>
      </w:tabs>
    </w:pPr>
    <w:rPr>
      <w:sz w:val="18"/>
      <w:szCs w:val="18"/>
    </w:rPr>
  </w:style>
  <w:style w:type="character" w:styleId="1165" w:customStyle="1">
    <w:name w:val="页脚 字符"/>
    <w:link w:val="1164"/>
    <w:uiPriority w:val="0"/>
    <w:qFormat/>
    <w:rPr>
      <w:sz w:val="18"/>
      <w:szCs w:val="18"/>
    </w:rPr>
  </w:style>
  <w:style w:type="paragraph" w:styleId="1166" w:customStyle="1">
    <w:name w:val="页眉1"/>
    <w:basedOn w:val="903"/>
    <w:link w:val="116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67" w:customStyle="1">
    <w:name w:val="页眉 字符"/>
    <w:link w:val="1166"/>
    <w:uiPriority w:val="99"/>
    <w:qFormat/>
    <w:rPr>
      <w:sz w:val="18"/>
      <w:szCs w:val="18"/>
    </w:rPr>
  </w:style>
  <w:style w:type="paragraph" w:styleId="1168" w:customStyle="1">
    <w:name w:val="目录 11"/>
    <w:basedOn w:val="903"/>
    <w:next w:val="903"/>
    <w:uiPriority w:val="39"/>
    <w:qFormat/>
    <w:pPr>
      <w:jc w:val="center"/>
      <w:spacing w:before="120" w:after="120"/>
      <w:tabs>
        <w:tab w:val="right" w:pos="9170" w:leader="dot"/>
      </w:tabs>
    </w:pPr>
    <w:rPr>
      <w:rFonts w:eastAsia="文鼎小标宋简"/>
      <w:caps/>
      <w:sz w:val="32"/>
      <w:szCs w:val="32"/>
    </w:rPr>
  </w:style>
  <w:style w:type="paragraph" w:styleId="1169" w:customStyle="1">
    <w:name w:val="副标题1"/>
    <w:basedOn w:val="903"/>
    <w:next w:val="903"/>
    <w:link w:val="1170"/>
    <w:uiPriority w:val="0"/>
    <w:qFormat/>
    <w:pPr>
      <w:jc w:val="center"/>
      <w:spacing w:before="240" w:after="60" w:line="312" w:lineRule="auto"/>
      <w:outlineLvl w:val="1"/>
    </w:pPr>
    <w:rPr>
      <w:rFonts w:ascii="Cambria" w:hAnsi="Cambria" w:eastAsia="宋体"/>
      <w:b/>
      <w:bCs/>
      <w:sz w:val="32"/>
      <w:szCs w:val="32"/>
    </w:rPr>
  </w:style>
  <w:style w:type="character" w:styleId="1170" w:customStyle="1">
    <w:name w:val="副标题 字符"/>
    <w:link w:val="1169"/>
    <w:uiPriority w:val="0"/>
    <w:qFormat/>
    <w:rPr>
      <w:rFonts w:ascii="Cambria" w:hAnsi="Cambria" w:eastAsia="宋体" w:cs="Times New Roman"/>
      <w:b/>
      <w:bCs/>
      <w:sz w:val="32"/>
      <w:szCs w:val="32"/>
    </w:rPr>
  </w:style>
  <w:style w:type="paragraph" w:styleId="1171" w:customStyle="1">
    <w:name w:val="列表1"/>
    <w:basedOn w:val="903"/>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172" w:customStyle="1">
    <w:name w:val="脚注文本1"/>
    <w:basedOn w:val="903"/>
    <w:link w:val="1173"/>
    <w:uiPriority w:val="0"/>
    <w:qFormat/>
    <w:pPr>
      <w:jc w:val="left"/>
      <w:spacing w:line="312" w:lineRule="atLeast"/>
    </w:pPr>
    <w:rPr>
      <w:rFonts w:ascii="Times New Roman" w:hAnsi="Times New Roman" w:eastAsia="宋体"/>
      <w:sz w:val="18"/>
      <w:szCs w:val="20"/>
    </w:rPr>
  </w:style>
  <w:style w:type="character" w:styleId="1173" w:customStyle="1">
    <w:name w:val="脚注文本 字符"/>
    <w:link w:val="1172"/>
    <w:uiPriority w:val="0"/>
    <w:qFormat/>
    <w:rPr>
      <w:rFonts w:ascii="Times New Roman" w:hAnsi="Times New Roman" w:eastAsia="宋体" w:cs="Times New Roman"/>
      <w:sz w:val="18"/>
      <w:szCs w:val="20"/>
    </w:rPr>
  </w:style>
  <w:style w:type="paragraph" w:styleId="1174" w:customStyle="1">
    <w:name w:val="正文文本缩进 31"/>
    <w:basedOn w:val="903"/>
    <w:link w:val="1175"/>
    <w:uiPriority w:val="99"/>
    <w:qFormat/>
    <w:pPr>
      <w:ind w:firstLine="540"/>
      <w:spacing w:line="360" w:lineRule="auto"/>
      <w:widowControl/>
    </w:pPr>
    <w:rPr>
      <w:rFonts w:ascii="宋体" w:hAnsi="MS Sans Serif" w:eastAsia="宋体"/>
      <w:color w:val="000000"/>
      <w:sz w:val="24"/>
      <w:szCs w:val="20"/>
    </w:rPr>
  </w:style>
  <w:style w:type="character" w:styleId="1175" w:customStyle="1">
    <w:name w:val="正文文本缩进 3 字符2"/>
    <w:link w:val="1174"/>
    <w:uiPriority w:val="99"/>
    <w:qFormat/>
    <w:rPr>
      <w:rFonts w:ascii="宋体" w:hAnsi="MS Sans Serif" w:eastAsia="宋体" w:cs="Times New Roman"/>
      <w:color w:val="000000"/>
      <w:sz w:val="24"/>
      <w:szCs w:val="20"/>
    </w:rPr>
  </w:style>
  <w:style w:type="paragraph" w:styleId="1176" w:customStyle="1">
    <w:name w:val="正文文本 21"/>
    <w:basedOn w:val="903"/>
    <w:link w:val="1177"/>
    <w:uiPriority w:val="0"/>
    <w:qFormat/>
    <w:pPr>
      <w:spacing w:line="360" w:lineRule="auto"/>
      <w:tabs>
        <w:tab w:val="left" w:pos="540" w:leader="none"/>
      </w:tabs>
    </w:pPr>
    <w:rPr>
      <w:rFonts w:ascii="宋体" w:eastAsia="宋体"/>
      <w:color w:val="000000"/>
      <w:sz w:val="28"/>
      <w:szCs w:val="20"/>
    </w:rPr>
  </w:style>
  <w:style w:type="character" w:styleId="1177" w:customStyle="1">
    <w:name w:val="正文文本 2 字符"/>
    <w:link w:val="1176"/>
    <w:uiPriority w:val="0"/>
    <w:qFormat/>
    <w:rPr>
      <w:rFonts w:ascii="宋体" w:eastAsia="宋体" w:cs="Times New Roman"/>
      <w:color w:val="000000"/>
      <w:sz w:val="28"/>
      <w:szCs w:val="20"/>
    </w:rPr>
  </w:style>
  <w:style w:type="paragraph" w:styleId="1178" w:customStyle="1">
    <w:name w:val="普通(网站)1"/>
    <w:basedOn w:val="903"/>
    <w:uiPriority w:val="99"/>
    <w:qFormat/>
    <w:pPr>
      <w:jc w:val="left"/>
      <w:spacing w:before="100" w:beforeAutospacing="1" w:after="100" w:afterAutospacing="1"/>
      <w:widowControl/>
    </w:pPr>
    <w:rPr>
      <w:rFonts w:ascii="宋体" w:hAnsi="宋体" w:eastAsia="宋体" w:cs="宋体"/>
      <w:sz w:val="24"/>
      <w:szCs w:val="24"/>
    </w:rPr>
  </w:style>
  <w:style w:type="paragraph" w:styleId="1179" w:customStyle="1">
    <w:name w:val="标题1"/>
    <w:basedOn w:val="903"/>
    <w:next w:val="903"/>
    <w:link w:val="1180"/>
    <w:uiPriority w:val="10"/>
    <w:qFormat/>
    <w:pPr>
      <w:jc w:val="center"/>
      <w:spacing w:before="240" w:after="60"/>
      <w:outlineLvl w:val="0"/>
    </w:pPr>
    <w:rPr>
      <w:rFonts w:ascii="Cambria" w:hAnsi="Cambria" w:eastAsia="宋体"/>
      <w:b/>
      <w:bCs/>
      <w:sz w:val="32"/>
      <w:szCs w:val="32"/>
    </w:rPr>
  </w:style>
  <w:style w:type="character" w:styleId="1180" w:customStyle="1">
    <w:name w:val="标题 字符"/>
    <w:link w:val="1179"/>
    <w:uiPriority w:val="10"/>
    <w:qFormat/>
    <w:rPr>
      <w:rFonts w:ascii="Cambria" w:hAnsi="Cambria" w:eastAsia="宋体" w:cs="Times New Roman"/>
      <w:b/>
      <w:bCs/>
      <w:sz w:val="32"/>
      <w:szCs w:val="32"/>
    </w:rPr>
  </w:style>
  <w:style w:type="paragraph" w:styleId="1181" w:customStyle="1">
    <w:name w:val="批注主题1"/>
    <w:basedOn w:val="1142"/>
    <w:next w:val="1142"/>
    <w:link w:val="1182"/>
    <w:uiPriority w:val="99"/>
    <w:qFormat/>
    <w:pPr>
      <w:spacing w:line="240" w:lineRule="auto"/>
    </w:pPr>
    <w:rPr>
      <w:b/>
      <w:bCs/>
      <w:sz w:val="21"/>
    </w:rPr>
  </w:style>
  <w:style w:type="character" w:styleId="1182" w:customStyle="1">
    <w:name w:val="批注主题 字符2"/>
    <w:link w:val="1181"/>
    <w:uiPriority w:val="99"/>
    <w:qFormat/>
    <w:rPr>
      <w:rFonts w:ascii="Times New Roman" w:hAnsi="Times New Roman" w:eastAsia="宋体" w:cs="Times New Roman"/>
      <w:b/>
      <w:bCs/>
      <w:szCs w:val="20"/>
    </w:rPr>
  </w:style>
  <w:style w:type="paragraph" w:styleId="1183" w:customStyle="1">
    <w:name w:val="正文首行缩进 21"/>
    <w:basedOn w:val="1150"/>
    <w:link w:val="1184"/>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184" w:customStyle="1">
    <w:name w:val="正文首行缩进 2 字符"/>
    <w:basedOn w:val="1152"/>
    <w:link w:val="1183"/>
    <w:uiPriority w:val="99"/>
    <w:semiHidden/>
    <w:qFormat/>
    <w:rPr>
      <w:rFonts w:ascii="宋体" w:hAnsi="MS Sans Serif" w:eastAsia="宋体" w:cs="Times New Roman"/>
      <w:spacing w:val="12"/>
      <w:sz w:val="24"/>
      <w:szCs w:val="20"/>
    </w:rPr>
  </w:style>
  <w:style w:type="table" w:styleId="1185" w:customStyle="1">
    <w:name w:val="网格型11"/>
    <w:basedOn w:val="1128"/>
    <w:uiPriority w:val="99"/>
    <w:unhideWhenUsed/>
    <w:qFormat/>
    <w:rPr>
      <w:rFonts w:ascii="Times New Roman" w:hAnsi="Times New Roman" w:eastAsia="宋体"/>
    </w:rPr>
    <w:tblPr/>
  </w:style>
  <w:style w:type="character" w:styleId="1186" w:customStyle="1">
    <w:name w:val="要点1"/>
    <w:uiPriority w:val="0"/>
    <w:qFormat/>
    <w:rPr>
      <w:b/>
      <w:bCs/>
    </w:rPr>
  </w:style>
  <w:style w:type="character" w:styleId="1187" w:customStyle="1">
    <w:name w:val="页码1"/>
    <w:uiPriority w:val="0"/>
    <w:qFormat/>
  </w:style>
  <w:style w:type="character" w:styleId="1188" w:customStyle="1">
    <w:name w:val="已访问的超链接1"/>
    <w:uiPriority w:val="99"/>
    <w:qFormat/>
    <w:rPr>
      <w:color w:val="000000"/>
      <w:u w:val="none"/>
    </w:rPr>
  </w:style>
  <w:style w:type="character" w:styleId="1189" w:customStyle="1">
    <w:name w:val="强调1"/>
    <w:uiPriority w:val="0"/>
    <w:qFormat/>
  </w:style>
  <w:style w:type="character" w:styleId="1190" w:customStyle="1">
    <w:name w:val="HTML 打字机1"/>
    <w:uiPriority w:val="0"/>
    <w:qFormat/>
    <w:rPr>
      <w:rFonts w:ascii="宋体" w:hAnsi="宋体" w:eastAsia="宋体" w:cs="宋体"/>
      <w:sz w:val="24"/>
      <w:szCs w:val="24"/>
    </w:rPr>
  </w:style>
  <w:style w:type="character" w:styleId="1191" w:customStyle="1">
    <w:name w:val="超链接1"/>
    <w:uiPriority w:val="99"/>
    <w:qFormat/>
    <w:rPr>
      <w:color w:val="000000"/>
      <w:u w:val="none"/>
    </w:rPr>
  </w:style>
  <w:style w:type="character" w:styleId="1192" w:customStyle="1">
    <w:name w:val="HTML 代码1"/>
    <w:uiPriority w:val="0"/>
    <w:qFormat/>
    <w:rPr>
      <w:rFonts w:ascii="Courier New" w:hAnsi="Courier New"/>
      <w:sz w:val="20"/>
    </w:rPr>
  </w:style>
  <w:style w:type="character" w:styleId="1193" w:customStyle="1">
    <w:name w:val="批注引用1"/>
    <w:uiPriority w:val="99"/>
    <w:qFormat/>
    <w:rPr>
      <w:sz w:val="21"/>
      <w:szCs w:val="21"/>
    </w:rPr>
  </w:style>
  <w:style w:type="character" w:styleId="1194" w:customStyle="1">
    <w:name w:val="正文首行缩进 Char"/>
    <w:link w:val="1147"/>
    <w:uiPriority w:val="99"/>
    <w:semiHidden/>
    <w:qFormat/>
    <w:rPr>
      <w:rFonts w:ascii="Times New Roman" w:hAnsi="Times New Roman" w:eastAsia="华文中宋" w:cs="Times New Roman"/>
      <w:sz w:val="21"/>
      <w:szCs w:val="20"/>
    </w:rPr>
  </w:style>
  <w:style w:type="paragraph" w:styleId="1195" w:customStyle="1">
    <w:name w:val="列出段落1"/>
    <w:basedOn w:val="903"/>
    <w:uiPriority w:val="0"/>
    <w:qFormat/>
    <w:pPr>
      <w:ind w:firstLine="420"/>
    </w:pPr>
    <w:rPr>
      <w:rFonts w:ascii="Calibri" w:hAnsi="Calibri" w:eastAsia="宋体"/>
    </w:rPr>
  </w:style>
  <w:style w:type="character" w:styleId="1196" w:customStyle="1">
    <w:name w:val="标题 1 字符"/>
    <w:uiPriority w:val="0"/>
    <w:qFormat/>
    <w:rPr>
      <w:b/>
      <w:bCs/>
      <w:sz w:val="44"/>
      <w:szCs w:val="44"/>
    </w:rPr>
  </w:style>
  <w:style w:type="character" w:styleId="1197" w:customStyle="1">
    <w:name w:val="标题 2 字符"/>
    <w:uiPriority w:val="0"/>
    <w:qFormat/>
    <w:rPr>
      <w:rFonts w:ascii="等线 Light" w:hAnsi="等线 Light" w:eastAsia="等线 Light" w:cs="Times New Roman"/>
      <w:b/>
      <w:bCs/>
      <w:sz w:val="32"/>
      <w:szCs w:val="32"/>
    </w:rPr>
  </w:style>
  <w:style w:type="character" w:styleId="1198" w:customStyle="1">
    <w:name w:val="标题 3 字符"/>
    <w:uiPriority w:val="0"/>
    <w:qFormat/>
    <w:rPr>
      <w:b/>
      <w:bCs/>
      <w:sz w:val="32"/>
      <w:szCs w:val="32"/>
    </w:rPr>
  </w:style>
  <w:style w:type="character" w:styleId="1199" w:customStyle="1">
    <w:name w:val="标题 4 字符"/>
    <w:uiPriority w:val="0"/>
    <w:qFormat/>
    <w:rPr>
      <w:rFonts w:ascii="等线 Light" w:hAnsi="等线 Light" w:eastAsia="等线 Light" w:cs="Times New Roman"/>
      <w:b/>
      <w:bCs/>
      <w:sz w:val="28"/>
      <w:szCs w:val="28"/>
    </w:rPr>
  </w:style>
  <w:style w:type="character" w:styleId="1200" w:customStyle="1">
    <w:name w:val="标题 5 字符"/>
    <w:uiPriority w:val="0"/>
    <w:qFormat/>
    <w:rPr>
      <w:b/>
      <w:bCs/>
      <w:sz w:val="28"/>
      <w:szCs w:val="28"/>
    </w:rPr>
  </w:style>
  <w:style w:type="character" w:styleId="1201" w:customStyle="1">
    <w:name w:val="标题 6 字符"/>
    <w:uiPriority w:val="0"/>
    <w:qFormat/>
    <w:rPr>
      <w:rFonts w:ascii="等线 Light" w:hAnsi="等线 Light" w:eastAsia="等线 Light" w:cs="Times New Roman"/>
      <w:b/>
      <w:bCs/>
      <w:sz w:val="24"/>
      <w:szCs w:val="24"/>
    </w:rPr>
  </w:style>
  <w:style w:type="character" w:styleId="1202" w:customStyle="1">
    <w:name w:val="标题 7 字符"/>
    <w:uiPriority w:val="0"/>
    <w:qFormat/>
    <w:rPr>
      <w:b/>
      <w:bCs/>
      <w:sz w:val="24"/>
      <w:szCs w:val="24"/>
    </w:rPr>
  </w:style>
  <w:style w:type="character" w:styleId="1203" w:customStyle="1">
    <w:name w:val="标题 8 字符"/>
    <w:uiPriority w:val="0"/>
    <w:qFormat/>
    <w:rPr>
      <w:rFonts w:ascii="等线 Light" w:hAnsi="等线 Light" w:eastAsia="等线 Light" w:cs="Times New Roman"/>
      <w:sz w:val="24"/>
      <w:szCs w:val="24"/>
    </w:rPr>
  </w:style>
  <w:style w:type="character" w:styleId="1204" w:customStyle="1">
    <w:name w:val="标题 9 字符"/>
    <w:uiPriority w:val="0"/>
    <w:qFormat/>
    <w:rPr>
      <w:rFonts w:ascii="等线 Light" w:hAnsi="等线 Light" w:eastAsia="等线 Light" w:cs="Times New Roman"/>
      <w:szCs w:val="21"/>
    </w:rPr>
  </w:style>
  <w:style w:type="paragraph" w:styleId="1205" w:customStyle="1">
    <w:name w:val="_Style 39"/>
    <w:basedOn w:val="903"/>
    <w:next w:val="1206"/>
    <w:uiPriority w:val="34"/>
    <w:qFormat/>
    <w:pPr>
      <w:ind w:firstLine="420"/>
    </w:pPr>
    <w:rPr>
      <w:rFonts w:ascii="Times New Roman" w:hAnsi="Times New Roman" w:eastAsia="宋体"/>
      <w:szCs w:val="24"/>
    </w:rPr>
  </w:style>
  <w:style w:type="paragraph" w:styleId="1206" w:customStyle="1">
    <w:name w:val="列出段落2"/>
    <w:basedOn w:val="903"/>
    <w:link w:val="1207"/>
    <w:uiPriority w:val="34"/>
    <w:qFormat/>
    <w:pPr>
      <w:ind w:firstLine="420"/>
    </w:pPr>
    <w:rPr>
      <w:szCs w:val="24"/>
    </w:rPr>
  </w:style>
  <w:style w:type="character" w:styleId="1207" w:customStyle="1">
    <w:name w:val="列表段落 字符"/>
    <w:link w:val="1206"/>
    <w:uiPriority w:val="34"/>
    <w:qFormat/>
    <w:rPr>
      <w:sz w:val="21"/>
      <w:szCs w:val="24"/>
    </w:rPr>
  </w:style>
  <w:style w:type="character" w:styleId="1208" w:customStyle="1">
    <w:name w:val="文档结构图 字符"/>
    <w:uiPriority w:val="0"/>
    <w:qFormat/>
    <w:rPr>
      <w:rFonts w:ascii="Microsoft YaHei UI" w:eastAsia="Microsoft YaHei UI"/>
      <w:sz w:val="18"/>
      <w:szCs w:val="18"/>
    </w:rPr>
  </w:style>
  <w:style w:type="character" w:styleId="1209" w:customStyle="1">
    <w:name w:val="批注文字 字符"/>
    <w:basedOn w:val="1127"/>
    <w:uiPriority w:val="0"/>
    <w:qFormat/>
  </w:style>
  <w:style w:type="character" w:styleId="1210" w:customStyle="1">
    <w:name w:val="正文文本 字符"/>
    <w:basedOn w:val="1127"/>
    <w:uiPriority w:val="0"/>
    <w:qFormat/>
  </w:style>
  <w:style w:type="character" w:styleId="1211" w:customStyle="1">
    <w:name w:val="正文文本缩进 字符"/>
    <w:basedOn w:val="1127"/>
    <w:uiPriority w:val="0"/>
    <w:qFormat/>
  </w:style>
  <w:style w:type="paragraph" w:styleId="121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13" w:customStyle="1">
    <w:name w:val="纯文本 字符"/>
    <w:uiPriority w:val="0"/>
    <w:qFormat/>
    <w:rPr>
      <w:rFonts w:ascii="等线" w:hAnsi="Courier New" w:cs="Courier New"/>
    </w:rPr>
  </w:style>
  <w:style w:type="character" w:styleId="1214" w:customStyle="1">
    <w:name w:val="日期 字符"/>
    <w:basedOn w:val="1127"/>
    <w:uiPriority w:val="0"/>
    <w:qFormat/>
  </w:style>
  <w:style w:type="character" w:styleId="1215" w:customStyle="1">
    <w:name w:val="正文文本缩进 2 字符"/>
    <w:basedOn w:val="1127"/>
    <w:uiPriority w:val="0"/>
    <w:qFormat/>
  </w:style>
  <w:style w:type="character" w:styleId="1216" w:customStyle="1">
    <w:name w:val="批注框文本 字符"/>
    <w:uiPriority w:val="0"/>
    <w:qFormat/>
    <w:rPr>
      <w:sz w:val="18"/>
      <w:szCs w:val="18"/>
    </w:rPr>
  </w:style>
  <w:style w:type="character" w:styleId="1217" w:customStyle="1">
    <w:name w:val="页脚 字符2"/>
    <w:uiPriority w:val="99"/>
    <w:qFormat/>
    <w:rPr>
      <w:sz w:val="18"/>
      <w:szCs w:val="18"/>
    </w:rPr>
  </w:style>
  <w:style w:type="character" w:styleId="1218" w:customStyle="1">
    <w:name w:val="页眉 字符2"/>
    <w:uiPriority w:val="99"/>
    <w:qFormat/>
    <w:rPr>
      <w:sz w:val="18"/>
      <w:szCs w:val="18"/>
    </w:rPr>
  </w:style>
  <w:style w:type="character" w:styleId="1219" w:customStyle="1">
    <w:name w:val="正文文本缩进 3 字符"/>
    <w:uiPriority w:val="0"/>
    <w:qFormat/>
    <w:rPr>
      <w:sz w:val="16"/>
      <w:szCs w:val="16"/>
    </w:rPr>
  </w:style>
  <w:style w:type="character" w:styleId="1220" w:customStyle="1">
    <w:name w:val="批注主题 字符"/>
    <w:uiPriority w:val="0"/>
    <w:qFormat/>
    <w:rPr>
      <w:b/>
      <w:bCs/>
    </w:rPr>
  </w:style>
  <w:style w:type="character" w:styleId="1221" w:customStyle="1">
    <w:name w:val="正文文本首行缩进 字符1"/>
    <w:uiPriority w:val="0"/>
    <w:qFormat/>
    <w:rPr>
      <w:sz w:val="21"/>
    </w:rPr>
  </w:style>
  <w:style w:type="character" w:styleId="1222" w:customStyle="1">
    <w:name w:val="正文文本首行缩进 2 字符"/>
    <w:uiPriority w:val="0"/>
    <w:qFormat/>
  </w:style>
  <w:style w:type="character" w:styleId="1223" w:customStyle="1">
    <w:name w:val="Comment Text Char1"/>
    <w:uiPriority w:val="0"/>
    <w:qFormat/>
    <w:rPr>
      <w:sz w:val="24"/>
      <w:lang w:bidi="ar-SA"/>
    </w:rPr>
  </w:style>
  <w:style w:type="character" w:styleId="1224" w:customStyle="1">
    <w:name w:val="Footnote Text Char"/>
    <w:uiPriority w:val="0"/>
    <w:qFormat/>
    <w:rPr>
      <w:rFonts w:eastAsia="宋体"/>
      <w:sz w:val="18"/>
      <w:lang w:val="en-US" w:eastAsia="zh-CN" w:bidi="ar-SA"/>
    </w:rPr>
  </w:style>
  <w:style w:type="character" w:styleId="1225" w:customStyle="1">
    <w:name w:val="font131"/>
    <w:uiPriority w:val="0"/>
    <w:qFormat/>
    <w:rPr>
      <w:rFonts w:ascii="Times New Roman" w:hAnsi="Times New Roman" w:cs="Times New Roman"/>
      <w:color w:val="000000"/>
      <w:sz w:val="20"/>
      <w:szCs w:val="20"/>
      <w:u w:val="none"/>
      <w:vertAlign w:val="superscript"/>
    </w:rPr>
  </w:style>
  <w:style w:type="character" w:styleId="1226" w:customStyle="1">
    <w:name w:val="Plain Text Char"/>
    <w:uiPriority w:val="0"/>
    <w:qFormat/>
    <w:rPr>
      <w:rFonts w:ascii="宋体" w:hAnsi="Courier New" w:eastAsia="宋体"/>
      <w:sz w:val="24"/>
      <w:lang w:bidi="ar-SA"/>
    </w:rPr>
  </w:style>
  <w:style w:type="character" w:styleId="1227" w:customStyle="1">
    <w:name w:val="正文文本 (5) Exact"/>
    <w:link w:val="1228"/>
    <w:uiPriority w:val="0"/>
    <w:qFormat/>
    <w:rPr>
      <w:rFonts w:ascii="仿宋" w:eastAsia="仿宋"/>
      <w:sz w:val="19"/>
      <w:szCs w:val="19"/>
      <w:shd w:val="clear" w:color="auto" w:fill="ffffff"/>
      <w:lang w:eastAsia="en-US"/>
    </w:rPr>
  </w:style>
  <w:style w:type="paragraph" w:styleId="1228" w:customStyle="1">
    <w:name w:val="正文文本 (5)"/>
    <w:basedOn w:val="903"/>
    <w:link w:val="1227"/>
    <w:uiPriority w:val="0"/>
    <w:qFormat/>
    <w:pPr>
      <w:jc w:val="left"/>
      <w:spacing w:line="240" w:lineRule="atLeast"/>
      <w:shd w:val="clear" w:color="auto" w:fill="ffffff"/>
    </w:pPr>
    <w:rPr>
      <w:rFonts w:ascii="仿宋" w:eastAsia="仿宋"/>
      <w:sz w:val="19"/>
      <w:szCs w:val="19"/>
      <w:lang w:eastAsia="en-US"/>
    </w:rPr>
  </w:style>
  <w:style w:type="character" w:styleId="1229" w:customStyle="1">
    <w:name w:val="页眉 Char"/>
    <w:uiPriority w:val="99"/>
    <w:qFormat/>
    <w:rPr>
      <w:sz w:val="18"/>
      <w:szCs w:val="18"/>
    </w:rPr>
  </w:style>
  <w:style w:type="character" w:styleId="1230" w:customStyle="1">
    <w:name w:val="标题 1 Char1"/>
    <w:uiPriority w:val="0"/>
    <w:qFormat/>
    <w:rPr>
      <w:rFonts w:ascii="Calibri" w:hAnsi="Calibri" w:eastAsia="宋体" w:cs="Arial"/>
      <w:b/>
      <w:sz w:val="44"/>
      <w:szCs w:val="20"/>
    </w:rPr>
  </w:style>
  <w:style w:type="character" w:styleId="1231" w:customStyle="1">
    <w:name w:val="明显强调1"/>
    <w:uiPriority w:val="0"/>
    <w:qFormat/>
    <w:rPr>
      <w:b/>
      <w:bCs/>
      <w:i/>
      <w:iCs/>
      <w:color w:val="4f81bd"/>
    </w:rPr>
  </w:style>
  <w:style w:type="character" w:styleId="1232" w:customStyle="1">
    <w:name w:val="纯文本 Char1"/>
    <w:uiPriority w:val="0"/>
    <w:qFormat/>
    <w:rPr>
      <w:rFonts w:ascii="宋体" w:hAnsi="Courier New"/>
      <w:sz w:val="21"/>
    </w:rPr>
  </w:style>
  <w:style w:type="character" w:styleId="1233" w:customStyle="1">
    <w:name w:val="yf00正文 字符"/>
    <w:link w:val="1234"/>
    <w:uiPriority w:val="0"/>
    <w:qFormat/>
    <w:rPr>
      <w:rFonts w:ascii="宋体" w:hAnsi="宋体"/>
      <w:sz w:val="24"/>
      <w:szCs w:val="21"/>
    </w:rPr>
  </w:style>
  <w:style w:type="paragraph" w:styleId="1234" w:customStyle="1">
    <w:name w:val="yf00正文"/>
    <w:basedOn w:val="903"/>
    <w:link w:val="1233"/>
    <w:uiPriority w:val="0"/>
    <w:qFormat/>
    <w:pPr>
      <w:ind w:firstLine="480"/>
      <w:spacing w:after="160" w:line="360" w:lineRule="auto"/>
    </w:pPr>
    <w:rPr>
      <w:rFonts w:ascii="宋体" w:hAnsi="宋体"/>
      <w:sz w:val="24"/>
      <w:szCs w:val="21"/>
    </w:rPr>
  </w:style>
  <w:style w:type="character" w:styleId="1235" w:customStyle="1">
    <w:name w:val="font101"/>
    <w:uiPriority w:val="0"/>
    <w:qFormat/>
    <w:rPr>
      <w:rFonts w:hint="eastAsia" w:ascii="宋体" w:hAnsi="宋体" w:eastAsia="宋体" w:cs="宋体"/>
      <w:color w:val="000000"/>
      <w:sz w:val="18"/>
      <w:szCs w:val="18"/>
      <w:u w:val="none"/>
    </w:rPr>
  </w:style>
  <w:style w:type="character" w:styleId="1236" w:customStyle="1">
    <w:name w:val="Header Char"/>
    <w:uiPriority w:val="0"/>
    <w:qFormat/>
    <w:rPr>
      <w:rFonts w:eastAsia="宋体"/>
      <w:sz w:val="18"/>
      <w:szCs w:val="18"/>
      <w:lang w:val="en-US" w:eastAsia="zh-CN" w:bidi="ar-SA"/>
    </w:rPr>
  </w:style>
  <w:style w:type="character" w:styleId="1237" w:customStyle="1">
    <w:name w:val="批注文字 Char Char"/>
    <w:uiPriority w:val="0"/>
    <w:qFormat/>
    <w:rPr>
      <w:rFonts w:ascii="宋体" w:hAnsi="Times New Roman" w:eastAsia="宋体" w:cs="Times New Roman"/>
      <w:sz w:val="28"/>
      <w:szCs w:val="20"/>
    </w:rPr>
  </w:style>
  <w:style w:type="character" w:styleId="1238" w:customStyle="1">
    <w:name w:val="fontstyle01"/>
    <w:uiPriority w:val="0"/>
    <w:qFormat/>
    <w:rPr>
      <w:rFonts w:ascii="MicrosoftYaHei-Identity-H" w:hAnsi="MicrosoftYaHei-Identity-H"/>
      <w:color w:val="231916"/>
      <w:sz w:val="22"/>
      <w:szCs w:val="22"/>
    </w:rPr>
  </w:style>
  <w:style w:type="character" w:styleId="1239" w:customStyle="1">
    <w:name w:val="font91"/>
    <w:uiPriority w:val="0"/>
    <w:qFormat/>
    <w:rPr>
      <w:rFonts w:hint="eastAsia" w:ascii="宋体" w:hAnsi="宋体" w:eastAsia="宋体" w:cs="宋体"/>
      <w:b/>
      <w:bCs/>
      <w:color w:val="000000"/>
      <w:sz w:val="24"/>
      <w:szCs w:val="24"/>
      <w:u w:val="none"/>
    </w:rPr>
  </w:style>
  <w:style w:type="character" w:styleId="1240" w:customStyle="1">
    <w:name w:val="font111"/>
    <w:uiPriority w:val="0"/>
    <w:qFormat/>
    <w:rPr>
      <w:rFonts w:hint="eastAsia" w:ascii="宋体" w:hAnsi="宋体" w:eastAsia="宋体" w:cs="宋体"/>
      <w:color w:val="000000"/>
      <w:sz w:val="20"/>
      <w:szCs w:val="20"/>
      <w:u w:val="none"/>
    </w:rPr>
  </w:style>
  <w:style w:type="character" w:styleId="1241" w:customStyle="1">
    <w:name w:val="tit12"/>
    <w:uiPriority w:val="0"/>
    <w:qFormat/>
    <w:rPr>
      <w:color w:val="db2200"/>
    </w:rPr>
  </w:style>
  <w:style w:type="character" w:styleId="1242" w:customStyle="1">
    <w:name w:val="批注文字 Char1"/>
    <w:uiPriority w:val="0"/>
    <w:qFormat/>
    <w:rPr>
      <w:rFonts w:ascii="Times New Roman" w:hAnsi="Times New Roman" w:eastAsia="宋体" w:cs="Times New Roman"/>
      <w:sz w:val="20"/>
      <w:szCs w:val="20"/>
    </w:rPr>
  </w:style>
  <w:style w:type="character" w:styleId="1243" w:customStyle="1">
    <w:name w:val="CITE"/>
    <w:uiPriority w:val="0"/>
    <w:qFormat/>
    <w:rPr>
      <w:i/>
    </w:rPr>
  </w:style>
  <w:style w:type="character" w:styleId="1244" w:customStyle="1">
    <w:name w:val="标题5 Char Char"/>
    <w:link w:val="1245"/>
    <w:uiPriority w:val="0"/>
    <w:qFormat/>
    <w:rPr>
      <w:rFonts w:ascii="Arial" w:hAnsi="Arial"/>
      <w:b/>
      <w:bCs/>
      <w:sz w:val="24"/>
      <w:szCs w:val="32"/>
    </w:rPr>
  </w:style>
  <w:style w:type="paragraph" w:styleId="1245" w:customStyle="1">
    <w:name w:val="标题5"/>
    <w:basedOn w:val="979"/>
    <w:link w:val="1244"/>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246" w:customStyle="1">
    <w:name w:val="Variable"/>
    <w:uiPriority w:val="0"/>
    <w:qFormat/>
    <w:rPr>
      <w:i/>
    </w:rPr>
  </w:style>
  <w:style w:type="character" w:styleId="1247" w:customStyle="1">
    <w:name w:val="超链接_0"/>
    <w:uiPriority w:val="99"/>
    <w:qFormat/>
    <w:rPr>
      <w:rFonts w:ascii="Calibri" w:hAnsi="Calibri" w:cs="Times New Roman"/>
      <w:color w:val="0000ff"/>
      <w:u w:val="single"/>
    </w:rPr>
  </w:style>
  <w:style w:type="character" w:styleId="1248" w:customStyle="1">
    <w:name w:val="15"/>
    <w:uiPriority w:val="0"/>
    <w:qFormat/>
    <w:rPr>
      <w:rFonts w:ascii="Arial" w:hAnsi="Arial" w:cs="Arial"/>
      <w:b/>
      <w:bCs/>
      <w:sz w:val="32"/>
      <w:szCs w:val="32"/>
    </w:rPr>
  </w:style>
  <w:style w:type="character" w:styleId="1249" w:customStyle="1">
    <w:name w:val="Char Char91"/>
    <w:uiPriority w:val="0"/>
    <w:qFormat/>
    <w:rPr>
      <w:rFonts w:eastAsia="宋体"/>
      <w:b/>
      <w:bCs/>
      <w:sz w:val="32"/>
      <w:szCs w:val="44"/>
      <w:lang w:val="en-US" w:eastAsia="zh-CN" w:bidi="ar-SA"/>
    </w:rPr>
  </w:style>
  <w:style w:type="character" w:styleId="1250" w:customStyle="1">
    <w:name w:val="正文缩进 字符"/>
    <w:uiPriority w:val="0"/>
    <w:qFormat/>
    <w:rPr>
      <w:szCs w:val="24"/>
    </w:rPr>
  </w:style>
  <w:style w:type="character" w:styleId="1251" w:customStyle="1">
    <w:name w:val="日期 Char1"/>
    <w:uiPriority w:val="0"/>
    <w:qFormat/>
    <w:rPr>
      <w:rFonts w:ascii="Times New Roman" w:hAnsi="Times New Roman" w:eastAsia="宋体" w:cs="Times New Roman"/>
      <w:szCs w:val="24"/>
    </w:rPr>
  </w:style>
  <w:style w:type="character" w:styleId="1252" w:customStyle="1">
    <w:name w:val="正文文本缩进 2 字符1"/>
    <w:uiPriority w:val="99"/>
    <w:semiHidden/>
    <w:qFormat/>
    <w:rPr>
      <w:sz w:val="21"/>
      <w:szCs w:val="24"/>
    </w:rPr>
  </w:style>
  <w:style w:type="character" w:styleId="1253" w:customStyle="1">
    <w:name w:val="正文文本首行缩进 2 字符1"/>
    <w:uiPriority w:val="99"/>
    <w:qFormat/>
    <w:rPr>
      <w:rFonts w:ascii="宋体" w:hAnsi="MS Sans Serif"/>
      <w:spacing w:val="12"/>
      <w:sz w:val="21"/>
    </w:rPr>
  </w:style>
  <w:style w:type="character" w:styleId="1254" w:customStyle="1">
    <w:name w:val="正文文本缩进 3 字符1"/>
    <w:uiPriority w:val="99"/>
    <w:semiHidden/>
    <w:qFormat/>
    <w:rPr>
      <w:sz w:val="16"/>
      <w:szCs w:val="16"/>
    </w:rPr>
  </w:style>
  <w:style w:type="character" w:styleId="1255" w:customStyle="1">
    <w:name w:val="more6"/>
    <w:uiPriority w:val="0"/>
    <w:qFormat/>
  </w:style>
  <w:style w:type="character" w:styleId="1256" w:customStyle="1">
    <w:name w:val="HTML Markup"/>
    <w:uiPriority w:val="0"/>
    <w:qFormat/>
    <w:rPr>
      <w:vanish/>
      <w:color w:val="ff0000"/>
    </w:rPr>
  </w:style>
  <w:style w:type="character" w:styleId="1257" w:customStyle="1">
    <w:name w:val="不明显参考1"/>
    <w:uiPriority w:val="0"/>
    <w:qFormat/>
    <w:rPr>
      <w:smallCaps/>
      <w:color w:val="c0504d"/>
      <w:u w:val="single"/>
    </w:rPr>
  </w:style>
  <w:style w:type="character" w:styleId="1258" w:customStyle="1">
    <w:name w:val="font151"/>
    <w:uiPriority w:val="0"/>
    <w:qFormat/>
    <w:rPr>
      <w:rFonts w:ascii="Wingdings 2" w:hAnsi="Wingdings 2" w:eastAsia="Wingdings 2" w:cs="Wingdings 2"/>
      <w:color w:val="000000"/>
      <w:sz w:val="20"/>
      <w:szCs w:val="20"/>
      <w:u w:val="none"/>
    </w:rPr>
  </w:style>
  <w:style w:type="character" w:styleId="1259" w:customStyle="1">
    <w:name w:val="样式 Char"/>
    <w:link w:val="1260"/>
    <w:uiPriority w:val="0"/>
    <w:qFormat/>
    <w:rPr>
      <w:rFonts w:ascii="宋体" w:hAnsi="宋体" w:cs="宋体"/>
      <w:sz w:val="24"/>
      <w:szCs w:val="24"/>
    </w:rPr>
  </w:style>
  <w:style w:type="paragraph" w:styleId="1260" w:customStyle="1">
    <w:name w:val="样式"/>
    <w:link w:val="1259"/>
    <w:uiPriority w:val="0"/>
    <w:qFormat/>
    <w:pPr>
      <w:widowControl w:val="off"/>
    </w:pPr>
    <w:rPr>
      <w:rFonts w:hint="default" w:ascii="宋体" w:hAnsi="宋体" w:eastAsia="等线" w:cs="宋体"/>
      <w:sz w:val="24"/>
      <w:szCs w:val="24"/>
      <w:lang w:val="en-US" w:eastAsia="zh-CN" w:bidi="ar-SA"/>
    </w:rPr>
  </w:style>
  <w:style w:type="character" w:styleId="1261" w:customStyle="1">
    <w:name w:val="明显引用 Char1"/>
    <w:uiPriority w:val="30"/>
    <w:qFormat/>
    <w:rPr>
      <w:rFonts w:ascii="Times New Roman" w:hAnsi="Times New Roman" w:eastAsia="宋体" w:cs="Times New Roman"/>
      <w:b/>
      <w:bCs/>
      <w:i/>
      <w:iCs/>
      <w:color w:val="4f81bd"/>
      <w:szCs w:val="24"/>
    </w:rPr>
  </w:style>
  <w:style w:type="character" w:styleId="1262" w:customStyle="1">
    <w:name w:val="Document Map Char"/>
    <w:uiPriority w:val="0"/>
    <w:qFormat/>
    <w:rPr>
      <w:rFonts w:eastAsia="宋体"/>
      <w:sz w:val="21"/>
      <w:szCs w:val="24"/>
      <w:lang w:val="en-US" w:eastAsia="zh-CN" w:bidi="ar-SA"/>
    </w:rPr>
  </w:style>
  <w:style w:type="character" w:styleId="1263" w:customStyle="1">
    <w:name w:val="副标题 Char1"/>
    <w:uiPriority w:val="0"/>
    <w:qFormat/>
    <w:rPr>
      <w:rFonts w:ascii="Cambria" w:hAnsi="Cambria" w:cs="Times New Roman"/>
      <w:b/>
      <w:bCs/>
      <w:sz w:val="32"/>
      <w:szCs w:val="32"/>
    </w:rPr>
  </w:style>
  <w:style w:type="character" w:styleId="1264" w:customStyle="1">
    <w:name w:val="正文文本首行缩进 字符"/>
    <w:uiPriority w:val="0"/>
    <w:qFormat/>
    <w:rPr>
      <w:rFonts w:ascii="华文中宋" w:eastAsia="华文中宋"/>
      <w:sz w:val="21"/>
    </w:rPr>
  </w:style>
  <w:style w:type="character" w:styleId="1265" w:customStyle="1">
    <w:name w:val="正文文本缩进 字符1"/>
    <w:uiPriority w:val="99"/>
    <w:semiHidden/>
    <w:qFormat/>
    <w:rPr>
      <w:sz w:val="21"/>
      <w:szCs w:val="24"/>
    </w:rPr>
  </w:style>
  <w:style w:type="character" w:styleId="1266" w:customStyle="1">
    <w:name w:val="CODE"/>
    <w:uiPriority w:val="0"/>
    <w:qFormat/>
    <w:rPr>
      <w:rFonts w:ascii="Courier New" w:hAnsi="Courier New"/>
      <w:sz w:val="20"/>
    </w:rPr>
  </w:style>
  <w:style w:type="character" w:styleId="1267" w:customStyle="1">
    <w:name w:val="正文文本缩进 Char1"/>
    <w:uiPriority w:val="0"/>
    <w:qFormat/>
    <w:rPr>
      <w:sz w:val="21"/>
      <w:szCs w:val="24"/>
    </w:rPr>
  </w:style>
  <w:style w:type="character" w:styleId="1268" w:customStyle="1">
    <w:name w:val="文档结构图 Char1"/>
    <w:uiPriority w:val="0"/>
    <w:qFormat/>
    <w:rPr>
      <w:rFonts w:ascii="宋体" w:hAnsi="Times New Roman" w:eastAsia="宋体" w:cs="Times New Roman"/>
      <w:sz w:val="18"/>
      <w:szCs w:val="18"/>
    </w:rPr>
  </w:style>
  <w:style w:type="character" w:styleId="1269" w:customStyle="1">
    <w:name w:val="明显参考1"/>
    <w:uiPriority w:val="0"/>
    <w:qFormat/>
    <w:rPr>
      <w:b/>
      <w:bCs/>
      <w:smallCaps/>
      <w:color w:val="c0504d"/>
      <w:spacing w:val="5"/>
      <w:u w:val="single"/>
    </w:rPr>
  </w:style>
  <w:style w:type="character" w:styleId="1270" w:customStyle="1">
    <w:name w:val="Body Text Indent 2 Char"/>
    <w:uiPriority w:val="0"/>
    <w:qFormat/>
    <w:rPr>
      <w:rFonts w:eastAsia="宋体"/>
      <w:sz w:val="21"/>
      <w:szCs w:val="24"/>
      <w:lang w:val="en-US" w:eastAsia="zh-CN" w:bidi="ar-SA"/>
    </w:rPr>
  </w:style>
  <w:style w:type="character" w:styleId="1271" w:customStyle="1">
    <w:name w:val="Comment Text Char"/>
    <w:uiPriority w:val="0"/>
    <w:qFormat/>
    <w:rPr>
      <w:rFonts w:cs="Times New Roman"/>
      <w:sz w:val="24"/>
      <w:szCs w:val="24"/>
    </w:rPr>
  </w:style>
  <w:style w:type="character" w:styleId="1272" w:customStyle="1">
    <w:name w:val="标题 Char1"/>
    <w:uiPriority w:val="10"/>
    <w:qFormat/>
    <w:rPr>
      <w:rFonts w:ascii="Cambria" w:hAnsi="Cambria" w:eastAsia="宋体" w:cs="Times New Roman"/>
      <w:b/>
      <w:bCs/>
      <w:sz w:val="32"/>
      <w:szCs w:val="32"/>
    </w:rPr>
  </w:style>
  <w:style w:type="character" w:styleId="1273" w:customStyle="1">
    <w:name w:val="批注框文本 字符1"/>
    <w:uiPriority w:val="99"/>
    <w:semiHidden/>
    <w:qFormat/>
    <w:rPr>
      <w:sz w:val="18"/>
      <w:szCs w:val="18"/>
    </w:rPr>
  </w:style>
  <w:style w:type="character" w:styleId="1274" w:customStyle="1">
    <w:name w:val="Footer Char"/>
    <w:uiPriority w:val="0"/>
    <w:qFormat/>
    <w:rPr>
      <w:rFonts w:eastAsia="宋体"/>
      <w:sz w:val="18"/>
      <w:szCs w:val="18"/>
      <w:lang w:val="en-US" w:eastAsia="zh-CN" w:bidi="ar-SA"/>
    </w:rPr>
  </w:style>
  <w:style w:type="character" w:styleId="1275" w:customStyle="1">
    <w:name w:val="正文文本 Char1"/>
    <w:uiPriority w:val="0"/>
    <w:qFormat/>
    <w:rPr>
      <w:sz w:val="21"/>
      <w:szCs w:val="22"/>
    </w:rPr>
  </w:style>
  <w:style w:type="character" w:styleId="1276" w:customStyle="1">
    <w:name w:val="font341"/>
    <w:uiPriority w:val="0"/>
    <w:qFormat/>
    <w:rPr>
      <w:rFonts w:ascii="Times New Roman" w:hAnsi="Times New Roman" w:cs="Times New Roman"/>
      <w:color w:val="000000"/>
      <w:sz w:val="20"/>
      <w:szCs w:val="20"/>
      <w:u w:val="none"/>
    </w:rPr>
  </w:style>
  <w:style w:type="character" w:styleId="1277" w:customStyle="1">
    <w:name w:val="Char Char21"/>
    <w:uiPriority w:val="0"/>
    <w:qFormat/>
    <w:rPr>
      <w:rFonts w:ascii="Arial" w:hAnsi="Arial" w:eastAsia="黑体" w:cs="Times New Roman"/>
      <w:b/>
      <w:bCs/>
      <w:sz w:val="32"/>
      <w:szCs w:val="32"/>
    </w:rPr>
  </w:style>
  <w:style w:type="character" w:styleId="1278" w:customStyle="1">
    <w:name w:val="Balloon Text Char"/>
    <w:uiPriority w:val="0"/>
    <w:qFormat/>
    <w:rPr>
      <w:sz w:val="18"/>
      <w:lang w:bidi="ar-SA"/>
    </w:rPr>
  </w:style>
  <w:style w:type="character" w:styleId="1279" w:customStyle="1">
    <w:name w:val="正文非缩进 Char1"/>
    <w:uiPriority w:val="0"/>
    <w:qFormat/>
  </w:style>
  <w:style w:type="character" w:styleId="1280" w:customStyle="1">
    <w:name w:val="标题 2 Char1"/>
    <w:uiPriority w:val="0"/>
    <w:qFormat/>
    <w:rPr>
      <w:rFonts w:ascii="Arial" w:hAnsi="Arial" w:eastAsia="黑体" w:cs="Calibri"/>
      <w:b/>
      <w:sz w:val="32"/>
      <w:szCs w:val="20"/>
    </w:rPr>
  </w:style>
  <w:style w:type="character" w:styleId="1281" w:customStyle="1">
    <w:name w:val="Heading 2 Char"/>
    <w:uiPriority w:val="0"/>
    <w:qFormat/>
    <w:rPr>
      <w:rFonts w:ascii="Arial" w:hAnsi="Arial" w:eastAsia="黑体"/>
      <w:b/>
      <w:bCs/>
      <w:sz w:val="32"/>
      <w:szCs w:val="32"/>
      <w:lang w:val="en-US" w:eastAsia="zh-CN" w:bidi="ar-SA"/>
    </w:rPr>
  </w:style>
  <w:style w:type="character" w:styleId="1282" w:customStyle="1">
    <w:name w:val="font141"/>
    <w:uiPriority w:val="0"/>
    <w:qFormat/>
    <w:rPr>
      <w:rFonts w:ascii="Times New Roman" w:hAnsi="Times New Roman" w:cs="Times New Roman"/>
      <w:color w:val="000000"/>
      <w:sz w:val="18"/>
      <w:szCs w:val="18"/>
      <w:u w:val="none"/>
    </w:rPr>
  </w:style>
  <w:style w:type="character" w:styleId="1283" w:customStyle="1">
    <w:name w:val="Char Char3"/>
    <w:uiPriority w:val="0"/>
    <w:qFormat/>
    <w:rPr>
      <w:rFonts w:ascii="黑体" w:hAnsi="宋体" w:eastAsia="黑体" w:cs="Arial"/>
      <w:b/>
      <w:bCs/>
      <w:sz w:val="24"/>
      <w:szCs w:val="24"/>
      <w:lang w:val="en-US" w:eastAsia="zh-CN" w:bidi="ar-SA"/>
    </w:rPr>
  </w:style>
  <w:style w:type="character" w:styleId="1284" w:customStyle="1">
    <w:name w:val="引用 字符"/>
    <w:link w:val="1285"/>
    <w:uiPriority w:val="0"/>
    <w:qFormat/>
    <w:rPr>
      <w:i/>
      <w:iCs/>
      <w:color w:val="000000"/>
    </w:rPr>
  </w:style>
  <w:style w:type="paragraph" w:styleId="1285" w:customStyle="1">
    <w:name w:val="引用1"/>
    <w:basedOn w:val="903"/>
    <w:next w:val="903"/>
    <w:link w:val="1284"/>
    <w:uiPriority w:val="0"/>
    <w:qFormat/>
    <w:rPr>
      <w:i/>
      <w:iCs/>
      <w:color w:val="000000"/>
    </w:rPr>
  </w:style>
  <w:style w:type="character" w:styleId="1286" w:customStyle="1">
    <w:name w:val="引用 字符1"/>
    <w:uiPriority w:val="29"/>
    <w:qFormat/>
    <w:rPr>
      <w:i/>
      <w:iCs/>
      <w:color w:val="404040"/>
    </w:rPr>
  </w:style>
  <w:style w:type="character" w:styleId="1287" w:customStyle="1">
    <w:name w:val="Date Char"/>
    <w:uiPriority w:val="0"/>
    <w:qFormat/>
    <w:rPr>
      <w:rFonts w:eastAsia="宋体"/>
      <w:sz w:val="21"/>
      <w:szCs w:val="24"/>
      <w:lang w:val="en-US" w:eastAsia="zh-CN" w:bidi="ar-SA"/>
    </w:rPr>
  </w:style>
  <w:style w:type="character" w:styleId="1288" w:customStyle="1">
    <w:name w:val="Char Char9"/>
    <w:uiPriority w:val="0"/>
    <w:qFormat/>
    <w:rPr>
      <w:rFonts w:eastAsia="宋体"/>
      <w:b/>
      <w:bCs/>
      <w:sz w:val="32"/>
      <w:szCs w:val="44"/>
      <w:lang w:val="en-US" w:eastAsia="zh-CN" w:bidi="ar-SA"/>
    </w:rPr>
  </w:style>
  <w:style w:type="character" w:styleId="1289" w:customStyle="1">
    <w:name w:val="font122"/>
    <w:uiPriority w:val="0"/>
    <w:qFormat/>
    <w:rPr>
      <w:rFonts w:hint="eastAsia" w:ascii="宋体" w:hAnsi="宋体" w:eastAsia="宋体" w:cs="宋体"/>
      <w:color w:val="000000"/>
      <w:sz w:val="20"/>
      <w:szCs w:val="20"/>
      <w:u w:val="none"/>
      <w:vertAlign w:val="superscript"/>
    </w:rPr>
  </w:style>
  <w:style w:type="character" w:styleId="1290" w:customStyle="1">
    <w:name w:val="页眉 字符1"/>
    <w:uiPriority w:val="99"/>
    <w:semiHidden/>
    <w:qFormat/>
    <w:rPr>
      <w:sz w:val="18"/>
      <w:szCs w:val="18"/>
    </w:rPr>
  </w:style>
  <w:style w:type="character" w:styleId="1291" w:customStyle="1">
    <w:name w:val="页脚 字符1"/>
    <w:uiPriority w:val="99"/>
    <w:semiHidden/>
    <w:qFormat/>
    <w:rPr>
      <w:sz w:val="18"/>
      <w:szCs w:val="18"/>
    </w:rPr>
  </w:style>
  <w:style w:type="character" w:styleId="1292" w:customStyle="1">
    <w:name w:val="Comment"/>
    <w:uiPriority w:val="0"/>
    <w:qFormat/>
    <w:rPr>
      <w:vanish/>
    </w:rPr>
  </w:style>
  <w:style w:type="character" w:styleId="1293" w:customStyle="1">
    <w:name w:val="font81"/>
    <w:uiPriority w:val="0"/>
    <w:qFormat/>
    <w:rPr>
      <w:rFonts w:hint="eastAsia" w:ascii="宋体" w:hAnsi="宋体" w:eastAsia="宋体" w:cs="宋体"/>
      <w:color w:val="000000"/>
      <w:sz w:val="22"/>
      <w:szCs w:val="22"/>
      <w:u w:val="single"/>
    </w:rPr>
  </w:style>
  <w:style w:type="character" w:styleId="1294" w:customStyle="1">
    <w:name w:val="明显引用 字符"/>
    <w:link w:val="1295"/>
    <w:uiPriority w:val="0"/>
    <w:qFormat/>
    <w:rPr>
      <w:b/>
      <w:bCs/>
      <w:i/>
      <w:iCs/>
      <w:color w:val="4f81bd"/>
    </w:rPr>
  </w:style>
  <w:style w:type="paragraph" w:styleId="1295" w:customStyle="1">
    <w:name w:val="明显引用1"/>
    <w:basedOn w:val="903"/>
    <w:next w:val="903"/>
    <w:link w:val="1294"/>
    <w:uiPriority w:val="0"/>
    <w:qFormat/>
    <w:pPr>
      <w:ind w:left="936" w:right="936"/>
      <w:spacing w:before="200" w:after="280"/>
      <w:pBdr>
        <w:bottom w:val="single" w:color="4F81BD" w:sz="4" w:space="4"/>
      </w:pBdr>
    </w:pPr>
    <w:rPr>
      <w:b/>
      <w:bCs/>
      <w:i/>
      <w:iCs/>
      <w:color w:val="4f81bd"/>
    </w:rPr>
  </w:style>
  <w:style w:type="character" w:styleId="1296" w:customStyle="1">
    <w:name w:val="明显引用 字符1"/>
    <w:uiPriority w:val="30"/>
    <w:qFormat/>
    <w:rPr>
      <w:i/>
      <w:iCs/>
      <w:color w:val="4472c4"/>
    </w:rPr>
  </w:style>
  <w:style w:type="character" w:styleId="1297" w:customStyle="1">
    <w:name w:val="Char Char181"/>
    <w:uiPriority w:val="0"/>
    <w:qFormat/>
    <w:rPr>
      <w:b/>
      <w:bCs/>
      <w:sz w:val="44"/>
      <w:szCs w:val="44"/>
    </w:rPr>
  </w:style>
  <w:style w:type="character" w:styleId="1298" w:customStyle="1">
    <w:name w:val="Definition"/>
    <w:uiPriority w:val="0"/>
    <w:qFormat/>
    <w:rPr>
      <w:i/>
    </w:rPr>
  </w:style>
  <w:style w:type="character" w:styleId="1299" w:customStyle="1">
    <w:name w:val="Char Char23"/>
    <w:uiPriority w:val="0"/>
    <w:qFormat/>
    <w:rPr>
      <w:rFonts w:eastAsia="宋体"/>
      <w:b/>
      <w:bCs/>
      <w:sz w:val="32"/>
      <w:szCs w:val="44"/>
      <w:lang w:val="en-US" w:eastAsia="zh-CN" w:bidi="ar-SA"/>
    </w:rPr>
  </w:style>
  <w:style w:type="character" w:styleId="1300" w:customStyle="1">
    <w:name w:val="Para head"/>
    <w:uiPriority w:val="0"/>
    <w:qFormat/>
    <w:rPr>
      <w:rFonts w:ascii="Arial" w:hAnsi="Arial" w:eastAsia="Times New Roman"/>
      <w:sz w:val="20"/>
    </w:rPr>
  </w:style>
  <w:style w:type="character" w:styleId="1301" w:customStyle="1">
    <w:name w:val="【正文】 Char"/>
    <w:link w:val="1302"/>
    <w:uiPriority w:val="0"/>
    <w:qFormat/>
    <w:rPr>
      <w:rFonts w:ascii="宋体" w:hAnsi="宋体" w:cs="宋体"/>
      <w:sz w:val="24"/>
      <w:szCs w:val="24"/>
      <w:lang w:val="zh-CN"/>
    </w:rPr>
  </w:style>
  <w:style w:type="paragraph" w:styleId="1302" w:customStyle="1">
    <w:name w:val="【正文】"/>
    <w:basedOn w:val="1176"/>
    <w:link w:val="1301"/>
    <w:uiPriority w:val="0"/>
    <w:qFormat/>
    <w:pPr>
      <w:ind w:firstLine="480"/>
      <w:tabs>
        <w:tab w:val="clear" w:pos="540" w:leader="none"/>
      </w:tabs>
    </w:pPr>
    <w:rPr>
      <w:rFonts w:hAnsi="宋体" w:eastAsia="等线" w:cs="宋体"/>
      <w:sz w:val="24"/>
      <w:szCs w:val="24"/>
      <w:lang w:val="zh-CN"/>
    </w:rPr>
  </w:style>
  <w:style w:type="character" w:styleId="1303" w:customStyle="1">
    <w:name w:val="Char Char6"/>
    <w:uiPriority w:val="0"/>
    <w:qFormat/>
    <w:rPr>
      <w:rFonts w:eastAsia="宋体"/>
      <w:b/>
      <w:bCs/>
      <w:sz w:val="32"/>
      <w:szCs w:val="44"/>
      <w:lang w:val="en-US" w:eastAsia="zh-CN" w:bidi="ar-SA"/>
    </w:rPr>
  </w:style>
  <w:style w:type="character" w:styleId="1304" w:customStyle="1">
    <w:name w:val="标题 Char2"/>
    <w:uiPriority w:val="0"/>
    <w:qFormat/>
    <w:rPr>
      <w:rFonts w:ascii="Cambria" w:hAnsi="Cambria" w:eastAsia="宋体" w:cs="Times New Roman"/>
      <w:b/>
      <w:bCs/>
      <w:sz w:val="32"/>
      <w:szCs w:val="32"/>
    </w:rPr>
  </w:style>
  <w:style w:type="character" w:styleId="1305" w:customStyle="1">
    <w:name w:val="Char Char22"/>
    <w:uiPriority w:val="0"/>
    <w:qFormat/>
    <w:rPr>
      <w:rFonts w:ascii="Times New Roman" w:hAnsi="Times New Roman" w:eastAsia="宋体" w:cs="Times New Roman"/>
      <w:b/>
      <w:bCs/>
      <w:sz w:val="32"/>
      <w:szCs w:val="44"/>
    </w:rPr>
  </w:style>
  <w:style w:type="character" w:styleId="1306" w:customStyle="1">
    <w:name w:val="样式3 字符"/>
    <w:link w:val="1307"/>
    <w:uiPriority w:val="0"/>
    <w:qFormat/>
    <w:rPr>
      <w:rFonts w:eastAsia="黑体"/>
      <w:b/>
      <w:bCs/>
      <w:sz w:val="32"/>
      <w:szCs w:val="44"/>
    </w:rPr>
  </w:style>
  <w:style w:type="paragraph" w:styleId="1307" w:customStyle="1">
    <w:name w:val="样式3"/>
    <w:basedOn w:val="1118"/>
    <w:link w:val="1306"/>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308" w:customStyle="1">
    <w:name w:val="font71"/>
    <w:uiPriority w:val="0"/>
    <w:qFormat/>
    <w:rPr>
      <w:rFonts w:hint="eastAsia" w:ascii="宋体" w:hAnsi="宋体" w:eastAsia="宋体" w:cs="宋体"/>
      <w:color w:val="000000"/>
      <w:sz w:val="18"/>
      <w:szCs w:val="18"/>
      <w:u w:val="none"/>
    </w:rPr>
  </w:style>
  <w:style w:type="character" w:styleId="1309" w:customStyle="1">
    <w:name w:val="批注框文本 Char1"/>
    <w:uiPriority w:val="0"/>
    <w:qFormat/>
    <w:rPr>
      <w:rFonts w:ascii="Times New Roman" w:hAnsi="Times New Roman" w:eastAsia="宋体" w:cs="Times New Roman"/>
      <w:sz w:val="18"/>
      <w:szCs w:val="18"/>
    </w:rPr>
  </w:style>
  <w:style w:type="character" w:styleId="1310" w:customStyle="1">
    <w:name w:val="font291"/>
    <w:uiPriority w:val="0"/>
    <w:qFormat/>
    <w:rPr>
      <w:rFonts w:hint="eastAsia" w:ascii="宋体" w:hAnsi="宋体" w:eastAsia="宋体" w:cs="宋体"/>
      <w:color w:val="000000"/>
      <w:sz w:val="20"/>
      <w:szCs w:val="20"/>
      <w:u w:val="none"/>
    </w:rPr>
  </w:style>
  <w:style w:type="character" w:styleId="1311" w:customStyle="1">
    <w:name w:val="Char Char18"/>
    <w:uiPriority w:val="0"/>
    <w:qFormat/>
    <w:rPr>
      <w:rFonts w:ascii="Times New Roman" w:hAnsi="Times New Roman" w:eastAsia="宋体" w:cs="Times New Roman"/>
      <w:b/>
      <w:bCs/>
      <w:sz w:val="28"/>
      <w:szCs w:val="28"/>
    </w:rPr>
  </w:style>
  <w:style w:type="character" w:styleId="1312" w:customStyle="1">
    <w:name w:val="表格正文样式 字符"/>
    <w:link w:val="1313"/>
    <w:uiPriority w:val="0"/>
    <w:qFormat/>
    <w:rPr>
      <w:rFonts w:ascii="宋体" w:hAnsi="宋体" w:cs="宋体"/>
      <w:color w:val="000000"/>
      <w:sz w:val="24"/>
      <w:szCs w:val="24"/>
    </w:rPr>
  </w:style>
  <w:style w:type="paragraph" w:styleId="1313" w:customStyle="1">
    <w:name w:val="表格正文样式"/>
    <w:basedOn w:val="903"/>
    <w:link w:val="1312"/>
    <w:uiPriority w:val="0"/>
    <w:qFormat/>
    <w:pPr>
      <w:widowControl/>
    </w:pPr>
    <w:rPr>
      <w:rFonts w:ascii="宋体" w:hAnsi="宋体" w:cs="宋体"/>
      <w:color w:val="000000"/>
      <w:sz w:val="24"/>
      <w:szCs w:val="24"/>
    </w:rPr>
  </w:style>
  <w:style w:type="character" w:styleId="1314" w:customStyle="1">
    <w:name w:val="font31"/>
    <w:uiPriority w:val="0"/>
    <w:qFormat/>
    <w:rPr>
      <w:rFonts w:hint="eastAsia" w:ascii="宋体" w:hAnsi="宋体" w:eastAsia="宋体" w:cs="宋体"/>
      <w:color w:val="000000"/>
      <w:sz w:val="22"/>
      <w:szCs w:val="22"/>
      <w:u w:val="none"/>
    </w:rPr>
  </w:style>
  <w:style w:type="character" w:styleId="1315" w:customStyle="1">
    <w:name w:val="标题 字符1"/>
    <w:uiPriority w:val="10"/>
    <w:qFormat/>
    <w:rPr>
      <w:rFonts w:ascii="等线 Light" w:hAnsi="等线 Light" w:cs="Times New Roman"/>
      <w:b/>
      <w:bCs/>
      <w:sz w:val="32"/>
      <w:szCs w:val="32"/>
    </w:rPr>
  </w:style>
  <w:style w:type="character" w:styleId="1316" w:customStyle="1">
    <w:name w:val="正文文本 字符1"/>
    <w:uiPriority w:val="99"/>
    <w:semiHidden/>
    <w:qFormat/>
    <w:rPr>
      <w:sz w:val="21"/>
      <w:szCs w:val="24"/>
    </w:rPr>
  </w:style>
  <w:style w:type="character" w:styleId="1317" w:customStyle="1">
    <w:name w:val="标题 3 Char"/>
    <w:uiPriority w:val="9"/>
    <w:qFormat/>
    <w:rPr>
      <w:rFonts w:eastAsia="宋体"/>
      <w:b/>
      <w:sz w:val="32"/>
      <w:lang w:val="en-US" w:eastAsia="zh-CN" w:bidi="ar-SA"/>
    </w:rPr>
  </w:style>
  <w:style w:type="character" w:styleId="1318" w:customStyle="1">
    <w:name w:val="Heading 4 Char"/>
    <w:uiPriority w:val="0"/>
    <w:qFormat/>
    <w:rPr>
      <w:rFonts w:ascii="Arial" w:hAnsi="Arial" w:eastAsia="宋体"/>
      <w:b/>
      <w:bCs/>
      <w:sz w:val="21"/>
      <w:szCs w:val="28"/>
      <w:lang w:val="en-US" w:eastAsia="zh-CN" w:bidi="ar-SA"/>
    </w:rPr>
  </w:style>
  <w:style w:type="character" w:styleId="1319" w:customStyle="1">
    <w:name w:val="副标题 字符1"/>
    <w:uiPriority w:val="11"/>
    <w:qFormat/>
    <w:rPr>
      <w:rFonts w:ascii="等线 Light" w:hAnsi="等线 Light" w:cs="Times New Roman"/>
      <w:b/>
      <w:bCs/>
      <w:sz w:val="32"/>
      <w:szCs w:val="32"/>
    </w:rPr>
  </w:style>
  <w:style w:type="character" w:styleId="1320" w:customStyle="1">
    <w:name w:val="2 级标题 Char"/>
    <w:link w:val="1321"/>
    <w:uiPriority w:val="0"/>
    <w:qFormat/>
    <w:rPr>
      <w:bCs/>
      <w:sz w:val="24"/>
      <w:szCs w:val="32"/>
    </w:rPr>
  </w:style>
  <w:style w:type="paragraph" w:styleId="1321" w:customStyle="1">
    <w:name w:val="2 级标题"/>
    <w:basedOn w:val="1119"/>
    <w:link w:val="1320"/>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322" w:customStyle="1">
    <w:name w:val="font322"/>
    <w:uiPriority w:val="0"/>
    <w:qFormat/>
    <w:rPr>
      <w:rFonts w:hint="eastAsia" w:ascii="宋体" w:hAnsi="宋体" w:eastAsia="宋体" w:cs="宋体"/>
      <w:color w:val="000000"/>
      <w:sz w:val="20"/>
      <w:szCs w:val="20"/>
      <w:u w:val="none"/>
    </w:rPr>
  </w:style>
  <w:style w:type="character" w:styleId="1323" w:customStyle="1">
    <w:name w:val="Heading 1 Char"/>
    <w:uiPriority w:val="0"/>
    <w:qFormat/>
    <w:rPr>
      <w:rFonts w:eastAsia="宋体"/>
      <w:b/>
      <w:bCs/>
      <w:sz w:val="32"/>
      <w:szCs w:val="44"/>
      <w:lang w:val="en-US" w:eastAsia="zh-CN" w:bidi="ar-SA"/>
    </w:rPr>
  </w:style>
  <w:style w:type="character" w:styleId="1324" w:customStyle="1">
    <w:name w:val="Char Char4"/>
    <w:uiPriority w:val="0"/>
    <w:qFormat/>
    <w:rPr>
      <w:rFonts w:ascii="宋体" w:hAnsi="宋体" w:eastAsia="黑体" w:cs="Arial"/>
      <w:b/>
      <w:sz w:val="28"/>
      <w:szCs w:val="32"/>
      <w:lang w:val="en-US" w:eastAsia="zh-CN" w:bidi="ar-SA"/>
    </w:rPr>
  </w:style>
  <w:style w:type="character" w:styleId="1325" w:customStyle="1">
    <w:name w:val="Body Text Indent Char"/>
    <w:uiPriority w:val="0"/>
    <w:qFormat/>
    <w:rPr>
      <w:rFonts w:ascii="宋体" w:hAnsi="宋体" w:eastAsia="宋体"/>
      <w:sz w:val="21"/>
      <w:lang w:val="en-US" w:eastAsia="zh-CN" w:bidi="ar-SA"/>
    </w:rPr>
  </w:style>
  <w:style w:type="character" w:styleId="1326" w:customStyle="1">
    <w:name w:val="日期 字符1"/>
    <w:uiPriority w:val="99"/>
    <w:semiHidden/>
    <w:qFormat/>
    <w:rPr>
      <w:sz w:val="21"/>
      <w:szCs w:val="24"/>
    </w:rPr>
  </w:style>
  <w:style w:type="character" w:styleId="1327" w:customStyle="1">
    <w:name w:val="font361"/>
    <w:uiPriority w:val="0"/>
    <w:qFormat/>
    <w:rPr>
      <w:rFonts w:hint="eastAsia" w:ascii="宋体" w:hAnsi="宋体" w:eastAsia="宋体" w:cs="宋体"/>
      <w:b/>
      <w:color w:val="000000"/>
      <w:sz w:val="20"/>
      <w:szCs w:val="20"/>
      <w:u w:val="none"/>
    </w:rPr>
  </w:style>
  <w:style w:type="character" w:styleId="1328" w:customStyle="1">
    <w:name w:val="脚注文本 字符1"/>
    <w:uiPriority w:val="99"/>
    <w:qFormat/>
    <w:rPr>
      <w:sz w:val="18"/>
      <w:szCs w:val="18"/>
    </w:rPr>
  </w:style>
  <w:style w:type="character" w:styleId="1329" w:customStyle="1">
    <w:name w:val="textcontents"/>
    <w:uiPriority w:val="0"/>
    <w:qFormat/>
    <w:rPr>
      <w:rFonts w:cs="Times New Roman"/>
    </w:rPr>
  </w:style>
  <w:style w:type="character" w:styleId="1330" w:customStyle="1">
    <w:name w:val="纯文本 Char"/>
    <w:uiPriority w:val="99"/>
    <w:qFormat/>
    <w:rPr>
      <w:rFonts w:ascii="宋体" w:hAnsi="Courier New" w:eastAsia="宋体"/>
      <w:sz w:val="21"/>
      <w:lang w:val="en-US" w:eastAsia="zh-CN" w:bidi="ar-SA"/>
    </w:rPr>
  </w:style>
  <w:style w:type="character" w:styleId="1331" w:customStyle="1">
    <w:name w:val="引用 Char1"/>
    <w:uiPriority w:val="29"/>
    <w:qFormat/>
    <w:rPr>
      <w:rFonts w:ascii="Times New Roman" w:hAnsi="Times New Roman" w:eastAsia="宋体" w:cs="Times New Roman"/>
      <w:i/>
      <w:iCs/>
      <w:color w:val="000000"/>
      <w:szCs w:val="24"/>
    </w:rPr>
  </w:style>
  <w:style w:type="character" w:styleId="1332" w:customStyle="1">
    <w:name w:val="正文文本 3 字符1"/>
    <w:uiPriority w:val="99"/>
    <w:qFormat/>
    <w:rPr>
      <w:sz w:val="16"/>
      <w:szCs w:val="16"/>
    </w:rPr>
  </w:style>
  <w:style w:type="character" w:styleId="1333" w:customStyle="1">
    <w:name w:val="Char Char1"/>
    <w:uiPriority w:val="0"/>
    <w:qFormat/>
    <w:rPr>
      <w:rFonts w:ascii="黑体" w:hAnsi="Arial" w:eastAsia="黑体" w:cs="Arial"/>
      <w:b/>
      <w:bCs/>
      <w:sz w:val="32"/>
      <w:szCs w:val="32"/>
      <w:lang w:val="en-US" w:eastAsia="zh-CN" w:bidi="ar-SA"/>
    </w:rPr>
  </w:style>
  <w:style w:type="character" w:styleId="1334" w:customStyle="1">
    <w:name w:val="font381"/>
    <w:uiPriority w:val="0"/>
    <w:qFormat/>
    <w:rPr>
      <w:rFonts w:hint="eastAsia" w:ascii="宋体" w:hAnsi="宋体" w:eastAsia="宋体" w:cs="宋体"/>
      <w:color w:val="000000"/>
      <w:sz w:val="20"/>
      <w:szCs w:val="20"/>
      <w:u w:val="none"/>
    </w:rPr>
  </w:style>
  <w:style w:type="character" w:styleId="1335" w:customStyle="1">
    <w:name w:val="font61"/>
    <w:uiPriority w:val="0"/>
    <w:qFormat/>
    <w:rPr>
      <w:rFonts w:ascii="Times New Roman" w:hAnsi="Times New Roman" w:cs="Times New Roman"/>
      <w:color w:val="000000"/>
      <w:sz w:val="24"/>
      <w:szCs w:val="24"/>
      <w:u w:val="none"/>
    </w:rPr>
  </w:style>
  <w:style w:type="character" w:styleId="1336" w:customStyle="1">
    <w:name w:val="font01"/>
    <w:uiPriority w:val="0"/>
    <w:qFormat/>
    <w:rPr>
      <w:rFonts w:ascii="Times New Roman" w:hAnsi="Times New Roman" w:cs="Times New Roman"/>
      <w:color w:val="000000"/>
      <w:sz w:val="24"/>
      <w:szCs w:val="24"/>
      <w:u w:val="none"/>
    </w:rPr>
  </w:style>
  <w:style w:type="character" w:styleId="1337" w:customStyle="1">
    <w:name w:val="正文文本 2 字符1"/>
    <w:uiPriority w:val="99"/>
    <w:qFormat/>
    <w:rPr>
      <w:sz w:val="21"/>
    </w:rPr>
  </w:style>
  <w:style w:type="character" w:styleId="1338" w:customStyle="1">
    <w:name w:val="批注文字 字符1"/>
    <w:uiPriority w:val="99"/>
    <w:semiHidden/>
    <w:qFormat/>
    <w:rPr>
      <w:sz w:val="21"/>
      <w:szCs w:val="24"/>
    </w:rPr>
  </w:style>
  <w:style w:type="character" w:styleId="1339" w:customStyle="1">
    <w:name w:val="文档结构图 字符1"/>
    <w:uiPriority w:val="99"/>
    <w:semiHidden/>
    <w:qFormat/>
    <w:rPr>
      <w:rFonts w:ascii="Microsoft YaHei UI" w:eastAsia="Microsoft YaHei UI"/>
      <w:sz w:val="18"/>
      <w:szCs w:val="18"/>
    </w:rPr>
  </w:style>
  <w:style w:type="character" w:styleId="1340" w:customStyle="1">
    <w:name w:val="Heading 3 Char"/>
    <w:uiPriority w:val="0"/>
    <w:qFormat/>
    <w:rPr>
      <w:rFonts w:cs="Times New Roman"/>
      <w:b/>
      <w:bCs/>
      <w:sz w:val="32"/>
      <w:szCs w:val="32"/>
    </w:rPr>
  </w:style>
  <w:style w:type="character" w:styleId="1341" w:customStyle="1">
    <w:name w:val="Sample"/>
    <w:uiPriority w:val="0"/>
    <w:qFormat/>
    <w:rPr>
      <w:rFonts w:ascii="Courier New" w:hAnsi="Courier New"/>
    </w:rPr>
  </w:style>
  <w:style w:type="character" w:styleId="1342" w:customStyle="1">
    <w:name w:val="Char Char"/>
    <w:uiPriority w:val="0"/>
    <w:qFormat/>
    <w:rPr>
      <w:rFonts w:eastAsia="宋体"/>
      <w:b/>
      <w:sz w:val="21"/>
      <w:szCs w:val="24"/>
      <w:lang w:val="en-US" w:eastAsia="zh-CN" w:bidi="ar-SA"/>
    </w:rPr>
  </w:style>
  <w:style w:type="character" w:styleId="1343" w:customStyle="1">
    <w:name w:val="Heading 5 Char"/>
    <w:uiPriority w:val="0"/>
    <w:qFormat/>
    <w:rPr>
      <w:rFonts w:eastAsia="宋体"/>
      <w:b/>
      <w:bCs/>
      <w:sz w:val="28"/>
      <w:szCs w:val="28"/>
      <w:lang w:val="en-US" w:eastAsia="zh-CN" w:bidi="ar-SA"/>
    </w:rPr>
  </w:style>
  <w:style w:type="character" w:styleId="1344" w:customStyle="1">
    <w:name w:val="font21"/>
    <w:uiPriority w:val="0"/>
    <w:qFormat/>
    <w:rPr>
      <w:rFonts w:hint="eastAsia" w:ascii="宋体" w:hAnsi="宋体" w:eastAsia="宋体" w:cs="宋体"/>
      <w:b/>
      <w:color w:val="000000"/>
      <w:sz w:val="24"/>
      <w:szCs w:val="24"/>
      <w:u w:val="none"/>
    </w:rPr>
  </w:style>
  <w:style w:type="character" w:styleId="1345" w:customStyle="1">
    <w:name w:val="Char Char19"/>
    <w:uiPriority w:val="0"/>
    <w:qFormat/>
    <w:rPr>
      <w:rFonts w:ascii="Arial" w:hAnsi="Arial" w:eastAsia="宋体" w:cs="Times New Roman"/>
      <w:b/>
      <w:bCs/>
      <w:szCs w:val="28"/>
    </w:rPr>
  </w:style>
  <w:style w:type="character" w:styleId="1346" w:customStyle="1">
    <w:name w:val="font41"/>
    <w:uiPriority w:val="0"/>
    <w:qFormat/>
    <w:rPr>
      <w:rFonts w:hint="eastAsia" w:ascii="宋体" w:hAnsi="宋体" w:eastAsia="宋体" w:cs="宋体"/>
      <w:color w:val="000000"/>
      <w:sz w:val="24"/>
      <w:szCs w:val="24"/>
      <w:u w:val="none"/>
    </w:rPr>
  </w:style>
  <w:style w:type="character" w:styleId="1347" w:customStyle="1">
    <w:name w:val="Typewriter"/>
    <w:uiPriority w:val="0"/>
    <w:qFormat/>
    <w:rPr>
      <w:rFonts w:ascii="Courier New" w:hAnsi="Courier New"/>
      <w:sz w:val="20"/>
    </w:rPr>
  </w:style>
  <w:style w:type="character" w:styleId="1348" w:customStyle="1">
    <w:name w:val="Comment Subject Char"/>
    <w:uiPriority w:val="0"/>
    <w:qFormat/>
    <w:rPr>
      <w:b/>
      <w:sz w:val="24"/>
      <w:lang w:bidi="ar-SA"/>
    </w:rPr>
  </w:style>
  <w:style w:type="character" w:styleId="1349" w:customStyle="1">
    <w:name w:val="纯文本 字符1"/>
    <w:uiPriority w:val="99"/>
    <w:semiHidden/>
    <w:qFormat/>
    <w:rPr>
      <w:rFonts w:ascii="等线" w:hAnsi="Courier New" w:eastAsia="等线" w:cs="Courier New"/>
      <w:sz w:val="21"/>
      <w:szCs w:val="24"/>
    </w:rPr>
  </w:style>
  <w:style w:type="character" w:styleId="1350" w:customStyle="1">
    <w:name w:val="标题4 Char Char"/>
    <w:link w:val="1351"/>
    <w:uiPriority w:val="0"/>
    <w:qFormat/>
    <w:rPr>
      <w:rFonts w:ascii="Arial" w:hAnsi="Arial"/>
      <w:b/>
      <w:bCs/>
      <w:sz w:val="24"/>
      <w:szCs w:val="32"/>
    </w:rPr>
  </w:style>
  <w:style w:type="paragraph" w:styleId="1351" w:customStyle="1">
    <w:name w:val="标题4"/>
    <w:basedOn w:val="1119"/>
    <w:next w:val="1154"/>
    <w:link w:val="1350"/>
    <w:uiPriority w:val="0"/>
    <w:qFormat/>
    <w:pPr>
      <w:jc w:val="center"/>
      <w:spacing w:before="60" w:after="60"/>
    </w:pPr>
    <w:rPr>
      <w:rFonts w:eastAsia="等线"/>
      <w:sz w:val="24"/>
    </w:rPr>
  </w:style>
  <w:style w:type="character" w:styleId="1352" w:customStyle="1">
    <w:name w:val="Heading 3 Char1"/>
    <w:uiPriority w:val="0"/>
    <w:qFormat/>
    <w:rPr>
      <w:rFonts w:eastAsia="宋体"/>
      <w:b/>
      <w:bCs/>
      <w:sz w:val="24"/>
      <w:szCs w:val="32"/>
      <w:lang w:val="en-US" w:eastAsia="zh-CN" w:bidi="ar-SA"/>
    </w:rPr>
  </w:style>
  <w:style w:type="character" w:styleId="1353"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354" w:customStyle="1">
    <w:name w:val="font51"/>
    <w:uiPriority w:val="0"/>
    <w:qFormat/>
    <w:rPr>
      <w:rFonts w:ascii="Calibri" w:hAnsi="Calibri" w:cs="Calibri"/>
      <w:color w:val="000000"/>
      <w:sz w:val="24"/>
      <w:szCs w:val="24"/>
      <w:u w:val="none"/>
    </w:rPr>
  </w:style>
  <w:style w:type="character" w:styleId="1355" w:customStyle="1">
    <w:name w:val="不明显强调1"/>
    <w:uiPriority w:val="0"/>
    <w:qFormat/>
    <w:rPr>
      <w:i/>
      <w:iCs/>
      <w:color w:val="808080"/>
    </w:rPr>
  </w:style>
  <w:style w:type="character" w:styleId="1356" w:customStyle="1">
    <w:name w:val="批注主题 Char1"/>
    <w:uiPriority w:val="0"/>
    <w:qFormat/>
    <w:rPr>
      <w:rFonts w:ascii="Times New Roman" w:hAnsi="Times New Roman" w:eastAsia="宋体" w:cs="Times New Roman"/>
      <w:b/>
      <w:bCs/>
      <w:sz w:val="20"/>
      <w:szCs w:val="20"/>
    </w:rPr>
  </w:style>
  <w:style w:type="character" w:styleId="1357" w:customStyle="1">
    <w:name w:val="Char Char24"/>
    <w:uiPriority w:val="0"/>
    <w:qFormat/>
    <w:rPr>
      <w:rFonts w:eastAsia="宋体"/>
      <w:b/>
      <w:bCs/>
      <w:sz w:val="32"/>
      <w:szCs w:val="44"/>
      <w:lang w:val="en-US" w:eastAsia="zh-CN" w:bidi="ar-SA"/>
    </w:rPr>
  </w:style>
  <w:style w:type="character" w:styleId="1358" w:customStyle="1">
    <w:name w:val="Char Char20"/>
    <w:uiPriority w:val="0"/>
    <w:qFormat/>
    <w:rPr>
      <w:rFonts w:ascii="Times New Roman" w:hAnsi="Times New Roman" w:eastAsia="宋体" w:cs="Times New Roman"/>
      <w:b/>
      <w:bCs/>
      <w:sz w:val="24"/>
      <w:szCs w:val="32"/>
    </w:rPr>
  </w:style>
  <w:style w:type="character" w:styleId="1359" w:customStyle="1">
    <w:name w:val="书籍标题1"/>
    <w:uiPriority w:val="0"/>
    <w:qFormat/>
    <w:rPr>
      <w:b/>
      <w:bCs/>
      <w:smallCaps/>
      <w:spacing w:val="5"/>
    </w:rPr>
  </w:style>
  <w:style w:type="character" w:styleId="1360" w:customStyle="1">
    <w:name w:val="Keyboard"/>
    <w:uiPriority w:val="0"/>
    <w:qFormat/>
    <w:rPr>
      <w:rFonts w:ascii="Courier New" w:hAnsi="Courier New"/>
      <w:b/>
      <w:sz w:val="20"/>
    </w:rPr>
  </w:style>
  <w:style w:type="character" w:styleId="1361" w:customStyle="1">
    <w:name w:val="批注主题 字符1"/>
    <w:uiPriority w:val="99"/>
    <w:semiHidden/>
    <w:qFormat/>
    <w:rPr>
      <w:b/>
      <w:bCs/>
      <w:sz w:val="21"/>
      <w:szCs w:val="24"/>
    </w:rPr>
  </w:style>
  <w:style w:type="character" w:styleId="1362" w:customStyle="1">
    <w:name w:val="页脚 Char"/>
    <w:uiPriority w:val="99"/>
    <w:qFormat/>
    <w:rPr>
      <w:sz w:val="18"/>
      <w:szCs w:val="18"/>
    </w:rPr>
  </w:style>
  <w:style w:type="character" w:styleId="1363" w:customStyle="1">
    <w:name w:val="Title Char"/>
    <w:uiPriority w:val="0"/>
    <w:qFormat/>
    <w:rPr>
      <w:rFonts w:ascii="Cambria" w:hAnsi="Cambria"/>
      <w:b/>
      <w:sz w:val="32"/>
      <w:lang w:bidi="ar-SA"/>
    </w:rPr>
  </w:style>
  <w:style w:type="paragraph" w:styleId="1364" w:customStyle="1">
    <w:name w:val="三级标题"/>
    <w:basedOn w:val="979"/>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365" w:customStyle="1">
    <w:name w:val="表格正文"/>
    <w:basedOn w:val="903"/>
    <w:uiPriority w:val="0"/>
    <w:qFormat/>
    <w:pPr>
      <w:ind w:firstLine="200"/>
      <w:spacing w:line="360" w:lineRule="auto"/>
    </w:pPr>
    <w:rPr>
      <w:rFonts w:ascii="宋体" w:hAnsi="Times New Roman" w:eastAsia="宋体"/>
      <w:sz w:val="24"/>
      <w:szCs w:val="20"/>
    </w:rPr>
  </w:style>
  <w:style w:type="paragraph" w:styleId="1366" w:customStyle="1">
    <w:name w:val="标题 H5"/>
    <w:basedOn w:val="903"/>
    <w:next w:val="903"/>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367" w:customStyle="1">
    <w:name w:val="段"/>
    <w:basedOn w:val="903"/>
    <w:uiPriority w:val="0"/>
    <w:qFormat/>
    <w:pPr>
      <w:ind w:firstLine="200"/>
      <w:spacing w:line="360" w:lineRule="auto"/>
      <w:widowControl/>
    </w:pPr>
    <w:rPr>
      <w:rFonts w:ascii="宋体" w:hAnsi="宋体" w:eastAsia="宋体" w:cs="宋体"/>
      <w:szCs w:val="21"/>
    </w:rPr>
  </w:style>
  <w:style w:type="paragraph" w:styleId="1368"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69" w:customStyle="1">
    <w:name w:val="标题 H4"/>
    <w:basedOn w:val="903"/>
    <w:next w:val="903"/>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370" w:customStyle="1">
    <w:name w:val="表格标题"/>
    <w:basedOn w:val="903"/>
    <w:next w:val="903"/>
    <w:uiPriority w:val="0"/>
    <w:qFormat/>
    <w:pPr>
      <w:jc w:val="left"/>
      <w:spacing w:after="160"/>
    </w:pPr>
    <w:rPr>
      <w:rFonts w:ascii="仿宋" w:hAnsi="仿宋" w:eastAsia="仿宋"/>
      <w:b/>
      <w:bCs/>
      <w:sz w:val="22"/>
      <w:szCs w:val="21"/>
    </w:rPr>
  </w:style>
  <w:style w:type="paragraph" w:styleId="1371" w:customStyle="1">
    <w:name w:val="xl46"/>
    <w:basedOn w:val="9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372"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73" w:customStyle="1">
    <w:name w:val="xl370"/>
    <w:basedOn w:val="90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74" w:customStyle="1">
    <w:name w:val="k 正文"/>
    <w:basedOn w:val="903"/>
    <w:uiPriority w:val="0"/>
    <w:qFormat/>
    <w:pPr>
      <w:ind w:firstLine="200"/>
      <w:spacing w:line="360" w:lineRule="auto"/>
    </w:pPr>
    <w:rPr>
      <w:rFonts w:ascii="Times New Roman" w:hAnsi="Times New Roman" w:eastAsia="宋体"/>
    </w:rPr>
  </w:style>
  <w:style w:type="paragraph" w:styleId="1375" w:customStyle="1">
    <w:name w:val="font17"/>
    <w:basedOn w:val="903"/>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376" w:customStyle="1">
    <w:name w:val="H1"/>
    <w:basedOn w:val="903"/>
    <w:next w:val="903"/>
    <w:uiPriority w:val="0"/>
    <w:qFormat/>
    <w:pPr>
      <w:jc w:val="left"/>
      <w:keepNext/>
      <w:spacing w:before="100" w:after="100"/>
      <w:outlineLvl w:val="1"/>
    </w:pPr>
    <w:rPr>
      <w:rFonts w:ascii="Times New Roman" w:hAnsi="Times New Roman" w:eastAsia="宋体"/>
      <w:b/>
      <w:sz w:val="48"/>
      <w:szCs w:val="20"/>
    </w:rPr>
  </w:style>
  <w:style w:type="paragraph" w:styleId="1377" w:customStyle="1">
    <w:name w:val="Char"/>
    <w:basedOn w:val="903"/>
    <w:uiPriority w:val="0"/>
    <w:qFormat/>
    <w:pPr>
      <w:jc w:val="left"/>
      <w:spacing w:after="160" w:line="240" w:lineRule="exact"/>
      <w:widowControl/>
    </w:pPr>
    <w:rPr>
      <w:rFonts w:ascii="Times New Roman" w:hAnsi="Times New Roman" w:eastAsia="宋体"/>
      <w:szCs w:val="24"/>
    </w:rPr>
  </w:style>
  <w:style w:type="paragraph" w:styleId="1378" w:customStyle="1">
    <w:name w:val="reader-word-layer"/>
    <w:basedOn w:val="903"/>
    <w:uiPriority w:val="0"/>
    <w:qFormat/>
    <w:pPr>
      <w:jc w:val="left"/>
      <w:spacing w:before="100" w:beforeAutospacing="1" w:after="100" w:afterAutospacing="1"/>
      <w:widowControl/>
    </w:pPr>
    <w:rPr>
      <w:rFonts w:ascii="宋体" w:hAnsi="宋体" w:eastAsia="宋体" w:cs="宋体"/>
      <w:sz w:val="24"/>
      <w:szCs w:val="24"/>
    </w:rPr>
  </w:style>
  <w:style w:type="paragraph" w:styleId="1379" w:customStyle="1">
    <w:name w:val="xl66"/>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80" w:customStyle="1">
    <w:name w:val="xl78"/>
    <w:basedOn w:val="90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381" w:customStyle="1">
    <w:name w:val="xl36"/>
    <w:basedOn w:val="9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382" w:customStyle="1">
    <w:name w:val="xl25"/>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383" w:customStyle="1">
    <w:name w:val="目录文字"/>
    <w:basedOn w:val="903"/>
    <w:uiPriority w:val="0"/>
    <w:qFormat/>
    <w:pPr>
      <w:jc w:val="left"/>
      <w:spacing w:line="480" w:lineRule="auto"/>
      <w:widowControl/>
    </w:pPr>
    <w:rPr>
      <w:rFonts w:ascii="宋体" w:hAnsi="宋体" w:eastAsia="宋体"/>
      <w:sz w:val="24"/>
      <w:szCs w:val="20"/>
    </w:rPr>
  </w:style>
  <w:style w:type="paragraph" w:styleId="1384" w:customStyle="1">
    <w:name w:val="列表段落2"/>
    <w:basedOn w:val="903"/>
    <w:uiPriority w:val="0"/>
    <w:qFormat/>
    <w:pPr>
      <w:ind w:firstLine="420"/>
    </w:pPr>
    <w:rPr>
      <w:rFonts w:ascii="Times New Roman" w:hAnsi="Times New Roman" w:eastAsia="宋体"/>
      <w:szCs w:val="21"/>
    </w:rPr>
  </w:style>
  <w:style w:type="paragraph" w:styleId="1385" w:customStyle="1">
    <w:name w:val="空半行"/>
    <w:basedOn w:val="903"/>
    <w:uiPriority w:val="0"/>
    <w:qFormat/>
    <w:pPr>
      <w:spacing w:line="120" w:lineRule="exact"/>
    </w:pPr>
    <w:rPr>
      <w:rFonts w:ascii="Times New Roman" w:hAnsi="Times New Roman" w:eastAsia="仿宋_GB2312"/>
      <w:color w:val="ffffff"/>
      <w:sz w:val="30"/>
      <w:szCs w:val="20"/>
    </w:rPr>
  </w:style>
  <w:style w:type="paragraph" w:styleId="1386" w:customStyle="1">
    <w:name w:val="xl42"/>
    <w:basedOn w:val="9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387" w:customStyle="1">
    <w:name w:val="xl45"/>
    <w:basedOn w:val="9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388" w:customStyle="1">
    <w:name w:val="内容文本"/>
    <w:basedOn w:val="1206"/>
    <w:uiPriority w:val="0"/>
    <w:qFormat/>
    <w:pPr>
      <w:contextualSpacing/>
      <w:ind w:firstLine="200"/>
      <w:jc w:val="left"/>
      <w:spacing w:line="360" w:lineRule="auto"/>
    </w:pPr>
    <w:rPr>
      <w:rFonts w:ascii="宋体" w:hAnsi="宋体" w:eastAsia="宋体"/>
      <w:sz w:val="24"/>
      <w:lang w:eastAsia="en-US" w:bidi="en-US"/>
    </w:rPr>
  </w:style>
  <w:style w:type="paragraph" w:styleId="1389" w:customStyle="1">
    <w:name w:val="font12"/>
    <w:basedOn w:val="903"/>
    <w:uiPriority w:val="0"/>
    <w:qFormat/>
    <w:pPr>
      <w:jc w:val="left"/>
      <w:spacing w:before="100" w:beforeAutospacing="1" w:after="100" w:afterAutospacing="1"/>
      <w:widowControl/>
    </w:pPr>
    <w:rPr>
      <w:rFonts w:ascii="宋体" w:hAnsi="宋体" w:eastAsia="宋体" w:cs="宋体"/>
      <w:b/>
      <w:bCs/>
      <w:sz w:val="22"/>
    </w:rPr>
  </w:style>
  <w:style w:type="paragraph" w:styleId="1390" w:customStyle="1">
    <w:name w:val="1"/>
    <w:basedOn w:val="903"/>
    <w:next w:val="903"/>
    <w:uiPriority w:val="0"/>
    <w:qFormat/>
    <w:rPr>
      <w:rFonts w:ascii="Times New Roman" w:hAnsi="Times New Roman" w:eastAsia="宋体"/>
      <w:szCs w:val="24"/>
    </w:rPr>
  </w:style>
  <w:style w:type="paragraph" w:styleId="1391" w:customStyle="1">
    <w:name w:val="_Style 1"/>
    <w:basedOn w:val="903"/>
    <w:uiPriority w:val="0"/>
    <w:qFormat/>
    <w:pPr>
      <w:ind w:firstLine="420"/>
    </w:pPr>
    <w:rPr>
      <w:rFonts w:ascii="Times New Roman" w:hAnsi="Times New Roman" w:eastAsia="宋体"/>
      <w:sz w:val="20"/>
      <w:szCs w:val="20"/>
    </w:rPr>
  </w:style>
  <w:style w:type="paragraph" w:styleId="1392" w:customStyle="1">
    <w:name w:val="xl67"/>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93" w:customStyle="1">
    <w:name w:val="xl39"/>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394" w:customStyle="1">
    <w:name w:val="xl102"/>
    <w:basedOn w:val="90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95" w:customStyle="1">
    <w:name w:val="font7"/>
    <w:basedOn w:val="903"/>
    <w:uiPriority w:val="0"/>
    <w:qFormat/>
    <w:pPr>
      <w:jc w:val="left"/>
      <w:spacing w:before="100" w:beforeAutospacing="1" w:after="100" w:afterAutospacing="1"/>
      <w:widowControl/>
    </w:pPr>
    <w:rPr>
      <w:rFonts w:ascii="宋体" w:hAnsi="宋体" w:eastAsia="宋体" w:cs="宋体"/>
      <w:sz w:val="16"/>
      <w:szCs w:val="16"/>
    </w:rPr>
  </w:style>
  <w:style w:type="paragraph" w:styleId="1396" w:customStyle="1">
    <w:name w:val="xl108"/>
    <w:basedOn w:val="903"/>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97" w:customStyle="1">
    <w:name w:val="TOC 标题_0"/>
    <w:basedOn w:val="1398"/>
    <w:next w:val="1212"/>
    <w:uiPriority w:val="0"/>
    <w:qFormat/>
    <w:pPr>
      <w:outlineLvl w:val="9"/>
    </w:pPr>
    <w:rPr>
      <w:rFonts w:ascii="Calibri" w:hAnsi="Calibri"/>
    </w:rPr>
  </w:style>
  <w:style w:type="paragraph" w:styleId="1398" w:customStyle="1">
    <w:name w:val="标题 1_0"/>
    <w:basedOn w:val="1212"/>
    <w:next w:val="1212"/>
    <w:uiPriority w:val="0"/>
    <w:qFormat/>
    <w:pPr>
      <w:keepLines/>
      <w:keepNext/>
      <w:spacing w:before="340" w:after="330" w:line="576" w:lineRule="auto"/>
      <w:outlineLvl w:val="0"/>
    </w:pPr>
    <w:rPr>
      <w:b/>
      <w:bCs/>
      <w:sz w:val="44"/>
      <w:szCs w:val="44"/>
    </w:rPr>
  </w:style>
  <w:style w:type="paragraph" w:styleId="1399" w:customStyle="1">
    <w:name w:val="xl95"/>
    <w:basedOn w:val="90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400" w:customStyle="1">
    <w:name w:val="xl35"/>
    <w:basedOn w:val="9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401" w:customStyle="1">
    <w:name w:val="标题 3_0"/>
    <w:basedOn w:val="1212"/>
    <w:next w:val="1212"/>
    <w:uiPriority w:val="0"/>
    <w:qFormat/>
    <w:pPr>
      <w:keepLines/>
      <w:keepNext/>
      <w:spacing w:before="260" w:after="260" w:line="413" w:lineRule="auto"/>
      <w:outlineLvl w:val="2"/>
    </w:pPr>
    <w:rPr>
      <w:b/>
      <w:bCs/>
      <w:sz w:val="32"/>
      <w:szCs w:val="32"/>
    </w:rPr>
  </w:style>
  <w:style w:type="paragraph" w:styleId="1402" w:customStyle="1">
    <w:name w:val="xl37"/>
    <w:basedOn w:val="9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03" w:customStyle="1">
    <w:name w:val="xl23"/>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04" w:customStyle="1">
    <w:name w:val="Char Char6 Char Char Char Char"/>
    <w:basedOn w:val="903"/>
    <w:uiPriority w:val="0"/>
    <w:qFormat/>
    <w:pPr>
      <w:jc w:val="left"/>
      <w:spacing w:after="160" w:line="240" w:lineRule="exact"/>
      <w:widowControl/>
    </w:pPr>
    <w:rPr>
      <w:rFonts w:ascii="仿宋_GB2312" w:hAnsi="Times New Roman" w:eastAsia="仿宋_GB2312"/>
      <w:sz w:val="32"/>
      <w:szCs w:val="32"/>
    </w:rPr>
  </w:style>
  <w:style w:type="paragraph" w:styleId="1405"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06" w:customStyle="1">
    <w:name w:val="列出段落21"/>
    <w:basedOn w:val="903"/>
    <w:uiPriority w:val="34"/>
    <w:qFormat/>
    <w:pPr>
      <w:ind w:firstLine="420"/>
    </w:pPr>
    <w:rPr>
      <w:rFonts w:ascii="Times New Roman" w:hAnsi="Times New Roman" w:eastAsia="宋体"/>
      <w:szCs w:val="20"/>
    </w:rPr>
  </w:style>
  <w:style w:type="paragraph" w:styleId="1407" w:customStyle="1">
    <w:name w:val="xl70"/>
    <w:basedOn w:val="9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08" w:customStyle="1">
    <w:name w:val="msonormal"/>
    <w:basedOn w:val="903"/>
    <w:uiPriority w:val="0"/>
    <w:qFormat/>
    <w:pPr>
      <w:jc w:val="left"/>
      <w:spacing w:before="100" w:beforeAutospacing="1" w:after="100" w:afterAutospacing="1"/>
      <w:widowControl/>
    </w:pPr>
    <w:rPr>
      <w:rFonts w:ascii="宋体" w:hAnsi="宋体" w:eastAsia="宋体" w:cs="宋体"/>
      <w:sz w:val="24"/>
      <w:szCs w:val="24"/>
    </w:rPr>
  </w:style>
  <w:style w:type="paragraph" w:styleId="1409" w:customStyle="1">
    <w:name w:val="xl82"/>
    <w:basedOn w:val="9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10" w:customStyle="1">
    <w:name w:val="xl101"/>
    <w:basedOn w:val="903"/>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11" w:customStyle="1">
    <w:name w:val="xl91"/>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12" w:customStyle="1">
    <w:name w:val="xl110"/>
    <w:basedOn w:val="90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13" w:customStyle="1">
    <w:name w:val="flNote"/>
    <w:basedOn w:val="903"/>
    <w:uiPriority w:val="0"/>
    <w:qFormat/>
    <w:pPr>
      <w:jc w:val="center"/>
      <w:spacing w:before="320" w:after="160" w:line="360" w:lineRule="atLeast"/>
    </w:pPr>
    <w:rPr>
      <w:rFonts w:ascii="Arial" w:hAnsi="Times New Roman" w:eastAsia="黑体"/>
      <w:sz w:val="30"/>
      <w:szCs w:val="20"/>
    </w:rPr>
  </w:style>
  <w:style w:type="paragraph" w:styleId="1414" w:customStyle="1">
    <w:name w:val="xl98"/>
    <w:basedOn w:val="90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15" w:customStyle="1">
    <w:name w:val="Char Char Char Char"/>
    <w:basedOn w:val="1140"/>
    <w:uiPriority w:val="0"/>
    <w:qFormat/>
    <w:pPr>
      <w:spacing w:line="360" w:lineRule="auto"/>
    </w:pPr>
    <w:rPr>
      <w:rFonts w:ascii="Tahoma" w:hAnsi="Tahoma"/>
      <w:sz w:val="24"/>
      <w:szCs w:val="24"/>
    </w:rPr>
  </w:style>
  <w:style w:type="paragraph" w:styleId="1416" w:customStyle="1">
    <w:name w:val="xl71"/>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17" w:customStyle="1">
    <w:name w:val="样式 (西文) 仿宋_GB2312 居中 行距: 1.5 倍行距"/>
    <w:basedOn w:val="903"/>
    <w:uiPriority w:val="0"/>
    <w:qFormat/>
    <w:pPr>
      <w:jc w:val="center"/>
      <w:spacing w:line="360" w:lineRule="auto"/>
    </w:pPr>
    <w:rPr>
      <w:rFonts w:ascii="宋体" w:hAnsi="宋体" w:eastAsia="宋体" w:cs="宋体"/>
      <w:szCs w:val="20"/>
    </w:rPr>
  </w:style>
  <w:style w:type="paragraph" w:styleId="1418" w:customStyle="1">
    <w:name w:val="xl80"/>
    <w:basedOn w:val="9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19" w:customStyle="1">
    <w:name w:val="H6"/>
    <w:basedOn w:val="903"/>
    <w:next w:val="903"/>
    <w:uiPriority w:val="0"/>
    <w:qFormat/>
    <w:pPr>
      <w:jc w:val="left"/>
      <w:keepNext/>
      <w:spacing w:before="100" w:after="100"/>
      <w:outlineLvl w:val="6"/>
    </w:pPr>
    <w:rPr>
      <w:rFonts w:ascii="Times New Roman" w:hAnsi="Times New Roman" w:eastAsia="宋体"/>
      <w:b/>
      <w:sz w:val="16"/>
      <w:szCs w:val="20"/>
    </w:rPr>
  </w:style>
  <w:style w:type="paragraph" w:styleId="1420" w:customStyle="1">
    <w:name w:val="菲页(卷)"/>
    <w:basedOn w:val="1118"/>
    <w:next w:val="1372"/>
    <w:uiPriority w:val="0"/>
    <w:qFormat/>
    <w:pPr>
      <w:ind w:left="1380" w:hanging="855"/>
      <w:tabs>
        <w:tab w:val="left" w:pos="1380" w:leader="none"/>
      </w:tabs>
      <w:outlineLvl w:val="1"/>
    </w:pPr>
  </w:style>
  <w:style w:type="paragraph" w:styleId="1421" w:customStyle="1">
    <w:name w:val="xl49"/>
    <w:basedOn w:val="9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22" w:customStyle="1">
    <w:name w:val="font18"/>
    <w:basedOn w:val="903"/>
    <w:uiPriority w:val="0"/>
    <w:qFormat/>
    <w:pPr>
      <w:jc w:val="left"/>
      <w:spacing w:before="100" w:beforeAutospacing="1" w:after="100" w:afterAutospacing="1"/>
      <w:widowControl/>
    </w:pPr>
    <w:rPr>
      <w:rFonts w:ascii="Times New Roman" w:hAnsi="Times New Roman" w:eastAsia="宋体"/>
      <w:sz w:val="22"/>
    </w:rPr>
  </w:style>
  <w:style w:type="paragraph" w:styleId="1423" w:customStyle="1">
    <w:name w:val="样式 小四 段前: 5 磅 段后: 5 磅 首行缩进:  2 字符"/>
    <w:basedOn w:val="903"/>
    <w:uiPriority w:val="0"/>
    <w:qFormat/>
    <w:pPr>
      <w:spacing w:line="360" w:lineRule="auto"/>
    </w:pPr>
    <w:rPr>
      <w:rFonts w:ascii="宋体" w:hAnsi="宋体" w:eastAsia="宋体"/>
      <w:szCs w:val="21"/>
    </w:rPr>
  </w:style>
  <w:style w:type="paragraph" w:styleId="1424" w:customStyle="1">
    <w:name w:val="xl81"/>
    <w:basedOn w:val="903"/>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425" w:customStyle="1">
    <w:name w:val="font10"/>
    <w:basedOn w:val="903"/>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426" w:customStyle="1">
    <w:name w:val="彩色列表1"/>
    <w:basedOn w:val="903"/>
    <w:uiPriority w:val="99"/>
    <w:qFormat/>
    <w:pPr>
      <w:ind w:firstLine="420"/>
    </w:pPr>
    <w:rPr>
      <w:rFonts w:ascii="Calibri" w:hAnsi="Calibri" w:eastAsia="宋体"/>
    </w:rPr>
  </w:style>
  <w:style w:type="paragraph" w:styleId="1427" w:customStyle="1">
    <w:name w:val="xl104"/>
    <w:basedOn w:val="90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28" w:customStyle="1">
    <w:name w:val="_Style 9"/>
    <w:basedOn w:val="903"/>
    <w:uiPriority w:val="0"/>
    <w:qFormat/>
    <w:pPr>
      <w:ind w:firstLine="420"/>
    </w:pPr>
    <w:rPr>
      <w:rFonts w:ascii="Calibri" w:hAnsi="Calibri" w:eastAsia="宋体"/>
      <w:szCs w:val="24"/>
    </w:rPr>
  </w:style>
  <w:style w:type="paragraph" w:styleId="1429">
    <w:name w:val="List Paragraph"/>
    <w:basedOn w:val="903"/>
    <w:uiPriority w:val="0"/>
    <w:qFormat/>
    <w:pPr>
      <w:ind w:firstLine="420"/>
    </w:pPr>
    <w:rPr>
      <w:rFonts w:ascii="Times New Roman" w:hAnsi="Times New Roman" w:eastAsia="宋体"/>
      <w:szCs w:val="21"/>
    </w:rPr>
  </w:style>
  <w:style w:type="paragraph" w:styleId="1430" w:customStyle="1">
    <w:name w:val="xl43"/>
    <w:basedOn w:val="9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431" w:customStyle="1">
    <w:name w:val="xl51"/>
    <w:basedOn w:val="9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32" w:customStyle="1">
    <w:name w:val="xl31"/>
    <w:basedOn w:val="9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33" w:customStyle="1">
    <w:name w:val="标题_0"/>
    <w:basedOn w:val="1434"/>
    <w:uiPriority w:val="0"/>
    <w:qFormat/>
    <w:pPr>
      <w:jc w:val="center"/>
      <w:spacing w:before="120" w:after="120" w:line="360" w:lineRule="auto"/>
      <w:outlineLvl w:val="0"/>
    </w:pPr>
    <w:rPr>
      <w:rFonts w:ascii="黑体" w:hAnsi="Arial" w:eastAsia="黑体"/>
      <w:b/>
      <w:bCs/>
      <w:sz w:val="32"/>
      <w:szCs w:val="32"/>
    </w:rPr>
  </w:style>
  <w:style w:type="paragraph" w:styleId="1434" w:customStyle="1">
    <w:name w:val="正文_1"/>
    <w:uiPriority w:val="0"/>
    <w:qFormat/>
    <w:rPr>
      <w:rFonts w:hint="default" w:ascii="Times New Roman" w:hAnsi="Times New Roman" w:eastAsia="宋体" w:cs="Times New Roman"/>
      <w:sz w:val="21"/>
      <w:szCs w:val="22"/>
      <w:lang w:val="en-US" w:eastAsia="zh-CN" w:bidi="ar-SA"/>
    </w:rPr>
  </w:style>
  <w:style w:type="paragraph" w:styleId="1435" w:customStyle="1">
    <w:name w:val="Address"/>
    <w:basedOn w:val="903"/>
    <w:next w:val="903"/>
    <w:uiPriority w:val="0"/>
    <w:qFormat/>
    <w:pPr>
      <w:jc w:val="left"/>
    </w:pPr>
    <w:rPr>
      <w:rFonts w:ascii="Times New Roman" w:hAnsi="Times New Roman" w:eastAsia="宋体"/>
      <w:i/>
      <w:sz w:val="24"/>
      <w:szCs w:val="20"/>
    </w:rPr>
  </w:style>
  <w:style w:type="paragraph" w:styleId="1436" w:customStyle="1">
    <w:name w:val="xl367"/>
    <w:basedOn w:val="903"/>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437" w:customStyle="1">
    <w:name w:val="Char11"/>
    <w:basedOn w:val="903"/>
    <w:uiPriority w:val="0"/>
    <w:qFormat/>
    <w:rPr>
      <w:rFonts w:ascii="Times New Roman" w:hAnsi="Times New Roman" w:eastAsia="宋体"/>
      <w:szCs w:val="24"/>
    </w:rPr>
  </w:style>
  <w:style w:type="paragraph" w:styleId="1438" w:customStyle="1">
    <w:name w:val="xl38"/>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439" w:customStyle="1">
    <w:name w:val="Definition List"/>
    <w:basedOn w:val="903"/>
    <w:next w:val="1440"/>
    <w:uiPriority w:val="0"/>
    <w:qFormat/>
    <w:pPr>
      <w:ind w:left="360"/>
      <w:jc w:val="left"/>
    </w:pPr>
    <w:rPr>
      <w:rFonts w:ascii="Times New Roman" w:hAnsi="Times New Roman" w:eastAsia="宋体"/>
      <w:sz w:val="24"/>
      <w:szCs w:val="20"/>
    </w:rPr>
  </w:style>
  <w:style w:type="paragraph" w:styleId="1440" w:customStyle="1">
    <w:name w:val="Definition Term"/>
    <w:basedOn w:val="903"/>
    <w:next w:val="1439"/>
    <w:uiPriority w:val="0"/>
    <w:qFormat/>
    <w:pPr>
      <w:jc w:val="left"/>
    </w:pPr>
    <w:rPr>
      <w:rFonts w:ascii="Times New Roman" w:hAnsi="Times New Roman" w:eastAsia="宋体"/>
      <w:sz w:val="24"/>
      <w:szCs w:val="20"/>
    </w:rPr>
  </w:style>
  <w:style w:type="paragraph" w:styleId="1441" w:customStyle="1">
    <w:name w:val="font16"/>
    <w:basedOn w:val="903"/>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442" w:customStyle="1">
    <w:name w:val="xl48"/>
    <w:basedOn w:val="9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443"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4" w:customStyle="1">
    <w:name w:val="xl96"/>
    <w:basedOn w:val="9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445" w:customStyle="1">
    <w:name w:val="Char Char Char Char1"/>
    <w:basedOn w:val="903"/>
    <w:uiPriority w:val="0"/>
    <w:qFormat/>
    <w:pPr>
      <w:jc w:val="left"/>
      <w:spacing w:after="160" w:line="240" w:lineRule="exact"/>
      <w:widowControl/>
    </w:pPr>
    <w:rPr>
      <w:rFonts w:ascii="Verdana" w:hAnsi="Verdana" w:eastAsia="宋体"/>
      <w:sz w:val="20"/>
      <w:szCs w:val="20"/>
      <w:lang w:eastAsia="en-US"/>
    </w:rPr>
  </w:style>
  <w:style w:type="paragraph" w:styleId="1446" w:customStyle="1">
    <w:name w:val="xl76"/>
    <w:basedOn w:val="9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47" w:customStyle="1">
    <w:name w:val="H5"/>
    <w:basedOn w:val="903"/>
    <w:next w:val="903"/>
    <w:uiPriority w:val="0"/>
    <w:qFormat/>
    <w:pPr>
      <w:jc w:val="left"/>
      <w:keepNext/>
      <w:spacing w:before="100" w:after="100"/>
      <w:outlineLvl w:val="5"/>
    </w:pPr>
    <w:rPr>
      <w:rFonts w:ascii="Times New Roman" w:hAnsi="Times New Roman" w:eastAsia="宋体"/>
      <w:b/>
      <w:sz w:val="20"/>
      <w:szCs w:val="20"/>
    </w:rPr>
  </w:style>
  <w:style w:type="paragraph" w:styleId="1448" w:customStyle="1">
    <w:name w:val="H4"/>
    <w:basedOn w:val="903"/>
    <w:next w:val="903"/>
    <w:uiPriority w:val="0"/>
    <w:qFormat/>
    <w:pPr>
      <w:jc w:val="left"/>
      <w:keepNext/>
      <w:spacing w:before="100" w:after="100"/>
      <w:outlineLvl w:val="4"/>
    </w:pPr>
    <w:rPr>
      <w:rFonts w:ascii="Times New Roman" w:hAnsi="Times New Roman" w:eastAsia="宋体"/>
      <w:b/>
      <w:sz w:val="24"/>
      <w:szCs w:val="20"/>
    </w:rPr>
  </w:style>
  <w:style w:type="paragraph" w:styleId="1449" w:customStyle="1">
    <w:name w:val="xl369"/>
    <w:basedOn w:val="90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50" w:customStyle="1">
    <w:name w:val="xl109"/>
    <w:basedOn w:val="90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51" w:customStyle="1">
    <w:name w:val="标题 4_0"/>
    <w:basedOn w:val="1212"/>
    <w:next w:val="1212"/>
    <w:uiPriority w:val="0"/>
    <w:qFormat/>
    <w:pPr>
      <w:keepLines/>
      <w:keepNext/>
      <w:spacing w:before="280" w:after="290" w:line="372" w:lineRule="auto"/>
      <w:outlineLvl w:val="3"/>
    </w:pPr>
    <w:rPr>
      <w:rFonts w:ascii="Cambria" w:hAnsi="Cambria"/>
      <w:b/>
      <w:bCs/>
      <w:sz w:val="28"/>
      <w:szCs w:val="28"/>
    </w:rPr>
  </w:style>
  <w:style w:type="paragraph" w:styleId="1452" w:customStyle="1">
    <w:name w:val="xl79"/>
    <w:basedOn w:val="9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53" w:customStyle="1">
    <w:name w:val="p0"/>
    <w:basedOn w:val="903"/>
    <w:uiPriority w:val="0"/>
    <w:qFormat/>
    <w:pPr>
      <w:widowControl/>
    </w:pPr>
    <w:rPr>
      <w:rFonts w:ascii="Calibri" w:hAnsi="Calibri" w:eastAsia="宋体" w:cs="宋体"/>
      <w:szCs w:val="21"/>
    </w:rPr>
  </w:style>
  <w:style w:type="paragraph" w:styleId="1454" w:customStyle="1">
    <w:name w:val="font0"/>
    <w:basedOn w:val="903"/>
    <w:uiPriority w:val="0"/>
    <w:qFormat/>
    <w:pPr>
      <w:jc w:val="left"/>
      <w:spacing w:before="100" w:beforeAutospacing="1" w:after="100" w:afterAutospacing="1"/>
      <w:widowControl/>
    </w:pPr>
    <w:rPr>
      <w:rFonts w:ascii="宋体" w:hAnsi="宋体" w:eastAsia="宋体" w:cs="宋体"/>
      <w:color w:val="000000"/>
      <w:sz w:val="22"/>
    </w:rPr>
  </w:style>
  <w:style w:type="paragraph" w:styleId="1455" w:customStyle="1">
    <w:name w:val="xl73"/>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56" w:customStyle="1">
    <w:name w:val="font14"/>
    <w:basedOn w:val="903"/>
    <w:uiPriority w:val="0"/>
    <w:qFormat/>
    <w:pPr>
      <w:jc w:val="left"/>
      <w:spacing w:before="100" w:beforeAutospacing="1" w:after="100" w:afterAutospacing="1"/>
      <w:widowControl/>
    </w:pPr>
    <w:rPr>
      <w:rFonts w:ascii="宋体" w:hAnsi="宋体" w:eastAsia="宋体" w:cs="宋体"/>
      <w:sz w:val="12"/>
      <w:szCs w:val="12"/>
    </w:rPr>
  </w:style>
  <w:style w:type="paragraph" w:styleId="1457" w:customStyle="1">
    <w:name w:val="项目编号3"/>
    <w:basedOn w:val="903"/>
    <w:next w:val="903"/>
    <w:uiPriority w:val="0"/>
    <w:qFormat/>
    <w:pPr>
      <w:ind w:firstLine="200"/>
      <w:jc w:val="left"/>
      <w:spacing w:line="360" w:lineRule="auto"/>
      <w:tabs>
        <w:tab w:val="left" w:pos="855" w:leader="none"/>
      </w:tabs>
    </w:pPr>
    <w:rPr>
      <w:rFonts w:ascii="宋体" w:hAnsi="Times New Roman" w:eastAsia="宋体"/>
      <w:sz w:val="24"/>
      <w:szCs w:val="24"/>
    </w:rPr>
  </w:style>
  <w:style w:type="paragraph" w:styleId="1458" w:customStyle="1">
    <w:name w:val="xl40"/>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459"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460" w:customStyle="1">
    <w:name w:val="菲页2"/>
    <w:basedOn w:val="979"/>
    <w:uiPriority w:val="0"/>
    <w:qFormat/>
    <w:pPr>
      <w:ind w:left="2265" w:hanging="900"/>
      <w:tabs>
        <w:tab w:val="left" w:pos="2265" w:leader="none"/>
      </w:tabs>
    </w:pPr>
    <w:rPr>
      <w:rFonts w:ascii="黑体" w:hAnsi="宋体" w:eastAsia="黑体"/>
      <w:b w:val="0"/>
      <w:sz w:val="44"/>
    </w:rPr>
  </w:style>
  <w:style w:type="paragraph" w:styleId="1461" w:customStyle="1">
    <w:name w:val="xl83"/>
    <w:basedOn w:val="9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62" w:customStyle="1">
    <w:name w:val="xl111"/>
    <w:basedOn w:val="90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63" w:customStyle="1">
    <w:name w:val="Char Char1 Char"/>
    <w:basedOn w:val="903"/>
    <w:uiPriority w:val="0"/>
    <w:qFormat/>
    <w:pPr>
      <w:jc w:val="left"/>
      <w:spacing w:after="160" w:line="240" w:lineRule="exact"/>
      <w:widowControl/>
    </w:pPr>
    <w:rPr>
      <w:rFonts w:ascii="仿宋_GB2312" w:hAnsi="Times New Roman" w:eastAsia="仿宋_GB2312"/>
      <w:sz w:val="32"/>
      <w:szCs w:val="32"/>
    </w:rPr>
  </w:style>
  <w:style w:type="paragraph" w:styleId="1464" w:customStyle="1">
    <w:name w:val="样式 标题 2 + Times New Roman 四号 非加粗 段前: 5 磅 段后: 0 磅 行距: 固定值 20..."/>
    <w:basedOn w:val="1119"/>
    <w:uiPriority w:val="0"/>
    <w:qFormat/>
    <w:pPr>
      <w:jc w:val="center"/>
      <w:spacing w:before="100" w:after="0" w:line="400" w:lineRule="exact"/>
    </w:pPr>
    <w:rPr>
      <w:rFonts w:ascii="Times New Roman" w:hAnsi="Times New Roman" w:cs="宋体"/>
      <w:b w:val="0"/>
      <w:bCs w:val="0"/>
      <w:sz w:val="28"/>
      <w:szCs w:val="20"/>
    </w:rPr>
  </w:style>
  <w:style w:type="paragraph" w:styleId="1465" w:customStyle="1">
    <w:name w:val="font13"/>
    <w:basedOn w:val="903"/>
    <w:uiPriority w:val="0"/>
    <w:qFormat/>
    <w:pPr>
      <w:jc w:val="left"/>
      <w:spacing w:before="100" w:beforeAutospacing="1" w:after="100" w:afterAutospacing="1"/>
      <w:widowControl/>
    </w:pPr>
    <w:rPr>
      <w:rFonts w:ascii="Times New Roman" w:hAnsi="Times New Roman" w:eastAsia="宋体"/>
      <w:b/>
      <w:bCs/>
      <w:sz w:val="22"/>
    </w:rPr>
  </w:style>
  <w:style w:type="paragraph" w:styleId="1466" w:customStyle="1">
    <w:name w:val="H3"/>
    <w:basedOn w:val="903"/>
    <w:next w:val="903"/>
    <w:uiPriority w:val="0"/>
    <w:qFormat/>
    <w:pPr>
      <w:jc w:val="left"/>
      <w:keepNext/>
      <w:spacing w:before="100" w:after="100"/>
      <w:outlineLvl w:val="3"/>
    </w:pPr>
    <w:rPr>
      <w:rFonts w:ascii="Times New Roman" w:hAnsi="Times New Roman" w:eastAsia="宋体"/>
      <w:b/>
      <w:sz w:val="28"/>
      <w:szCs w:val="20"/>
    </w:rPr>
  </w:style>
  <w:style w:type="paragraph" w:styleId="1467" w:customStyle="1">
    <w:name w:val="xl100"/>
    <w:basedOn w:val="903"/>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68" w:customStyle="1">
    <w:name w:val="Char Char Char Char Char Char Char"/>
    <w:basedOn w:val="903"/>
    <w:uiPriority w:val="0"/>
    <w:qFormat/>
    <w:pPr>
      <w:jc w:val="left"/>
      <w:spacing w:after="160" w:line="240" w:lineRule="exact"/>
      <w:widowControl/>
    </w:pPr>
    <w:rPr>
      <w:rFonts w:ascii="Times New Roman" w:hAnsi="Times New Roman" w:eastAsia="宋体"/>
      <w:szCs w:val="24"/>
    </w:rPr>
  </w:style>
  <w:style w:type="paragraph" w:styleId="1469" w:customStyle="1">
    <w:name w:val="xl90"/>
    <w:basedOn w:val="9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70" w:customStyle="1">
    <w:name w:val="xl365"/>
    <w:basedOn w:val="903"/>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471" w:customStyle="1">
    <w:name w:val="正文文本_0"/>
    <w:basedOn w:val="1212"/>
    <w:uiPriority w:val="0"/>
    <w:qFormat/>
    <w:pPr>
      <w:ind w:left="72" w:right="30"/>
      <w:jc w:val="center"/>
      <w:spacing w:after="60" w:line="360" w:lineRule="atLeast"/>
    </w:pPr>
    <w:rPr>
      <w:sz w:val="20"/>
      <w:szCs w:val="20"/>
    </w:rPr>
  </w:style>
  <w:style w:type="paragraph" w:styleId="1472" w:customStyle="1">
    <w:name w:val="font11"/>
    <w:basedOn w:val="903"/>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473" w:customStyle="1">
    <w:name w:val="修订1"/>
    <w:uiPriority w:val="0"/>
    <w:unhideWhenUsed/>
    <w:qFormat/>
    <w:rPr>
      <w:rFonts w:hint="default" w:ascii="Times New Roman" w:hAnsi="Times New Roman" w:eastAsia="宋体" w:cs="Times New Roman"/>
      <w:sz w:val="21"/>
      <w:lang w:val="en-US" w:eastAsia="zh-CN" w:bidi="ar-SA"/>
    </w:rPr>
  </w:style>
  <w:style w:type="paragraph" w:styleId="1474" w:customStyle="1">
    <w:name w:val="xl105"/>
    <w:basedOn w:val="9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475" w:customStyle="1">
    <w:name w:val="font6"/>
    <w:basedOn w:val="903"/>
    <w:uiPriority w:val="0"/>
    <w:qFormat/>
    <w:pPr>
      <w:jc w:val="left"/>
      <w:spacing w:before="100" w:beforeAutospacing="1" w:after="100" w:afterAutospacing="1"/>
      <w:widowControl/>
    </w:pPr>
    <w:rPr>
      <w:rFonts w:ascii="宋体" w:hAnsi="宋体" w:eastAsia="宋体" w:cs="宋体"/>
      <w:sz w:val="22"/>
    </w:rPr>
  </w:style>
  <w:style w:type="paragraph" w:styleId="1476" w:customStyle="1">
    <w:name w:val="xl87"/>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77" w:customStyle="1">
    <w:name w:val="默认段落字体 Para Char"/>
    <w:basedOn w:val="903"/>
    <w:uiPriority w:val="0"/>
    <w:qFormat/>
    <w:pPr>
      <w:ind w:firstLine="200"/>
      <w:spacing w:line="360" w:lineRule="auto"/>
    </w:pPr>
    <w:rPr>
      <w:rFonts w:ascii="宋体" w:hAnsi="宋体" w:eastAsia="宋体" w:cs="宋体"/>
      <w:sz w:val="24"/>
      <w:szCs w:val="24"/>
    </w:rPr>
  </w:style>
  <w:style w:type="paragraph" w:styleId="1478" w:customStyle="1">
    <w:name w:val="纯文本3"/>
    <w:basedOn w:val="903"/>
    <w:uiPriority w:val="0"/>
    <w:qFormat/>
    <w:rPr>
      <w:rFonts w:ascii="宋体" w:hAnsi="Courier New" w:eastAsia="楷体_GB2312"/>
      <w:sz w:val="26"/>
      <w:szCs w:val="20"/>
    </w:rPr>
  </w:style>
  <w:style w:type="paragraph" w:styleId="1479" w:customStyle="1">
    <w:name w:val="Char Char Char Char Char Char1 Char"/>
    <w:basedOn w:val="903"/>
    <w:uiPriority w:val="0"/>
    <w:qFormat/>
    <w:pPr>
      <w:jc w:val="left"/>
      <w:spacing w:after="160" w:line="240" w:lineRule="exact"/>
      <w:widowControl/>
    </w:pPr>
    <w:rPr>
      <w:rFonts w:ascii="Verdana" w:hAnsi="Verdana" w:eastAsia="宋体"/>
      <w:szCs w:val="20"/>
      <w:lang w:eastAsia="en-US"/>
    </w:rPr>
  </w:style>
  <w:style w:type="paragraph" w:styleId="1480" w:customStyle="1">
    <w:name w:val="xl50"/>
    <w:basedOn w:val="9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481" w:customStyle="1">
    <w:name w:val="xl85"/>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482" w:customStyle="1">
    <w:name w:val="样式 标题 3 + (中文) 黑体 小四 非加粗 段前: 7.8 磅 段后: 0 磅 行距: 固定值 20 磅"/>
    <w:basedOn w:val="979"/>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483" w:customStyle="1">
    <w:name w:val="xl94"/>
    <w:basedOn w:val="903"/>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484" w:customStyle="1">
    <w:name w:val="表格"/>
    <w:basedOn w:val="903"/>
    <w:uiPriority w:val="0"/>
    <w:qFormat/>
    <w:pPr>
      <w:jc w:val="center"/>
    </w:pPr>
    <w:rPr>
      <w:rFonts w:ascii="华文细黑" w:hAnsi="华文细黑" w:eastAsia="宋体"/>
      <w:szCs w:val="20"/>
    </w:rPr>
  </w:style>
  <w:style w:type="paragraph" w:styleId="1485" w:customStyle="1">
    <w:name w:val="默认段落字体 Para Char Char Char Char Char Char Char"/>
    <w:basedOn w:val="903"/>
    <w:uiPriority w:val="0"/>
    <w:qFormat/>
    <w:rPr>
      <w:rFonts w:ascii="Tahoma" w:hAnsi="Tahoma" w:eastAsia="宋体"/>
      <w:sz w:val="24"/>
      <w:szCs w:val="20"/>
    </w:rPr>
  </w:style>
  <w:style w:type="paragraph" w:styleId="1486" w:customStyle="1">
    <w:name w:val="xl27"/>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487" w:customStyle="1">
    <w:name w:val="xl92"/>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488" w:customStyle="1">
    <w:name w:val="Char Char2"/>
    <w:basedOn w:val="903"/>
    <w:uiPriority w:val="0"/>
    <w:qFormat/>
    <w:pPr>
      <w:spacing w:line="240" w:lineRule="exact"/>
    </w:pPr>
    <w:rPr>
      <w:rFonts w:ascii="Times New Roman" w:hAnsi="Times New Roman" w:eastAsia="宋体"/>
      <w:szCs w:val="24"/>
    </w:rPr>
  </w:style>
  <w:style w:type="paragraph" w:styleId="1489" w:customStyle="1">
    <w:name w:val="Blockquote"/>
    <w:basedOn w:val="903"/>
    <w:uiPriority w:val="0"/>
    <w:qFormat/>
    <w:pPr>
      <w:ind w:left="360" w:right="360"/>
      <w:jc w:val="left"/>
      <w:spacing w:before="100" w:after="100"/>
    </w:pPr>
    <w:rPr>
      <w:rFonts w:ascii="Calibri" w:hAnsi="Calibri" w:eastAsia="宋体"/>
      <w:sz w:val="24"/>
      <w:szCs w:val="20"/>
    </w:rPr>
  </w:style>
  <w:style w:type="paragraph" w:styleId="1490" w:customStyle="1">
    <w:name w:val="xl371"/>
    <w:basedOn w:val="90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91" w:customStyle="1">
    <w:name w:val="Table Paragraph"/>
    <w:basedOn w:val="903"/>
    <w:uiPriority w:val="0"/>
    <w:qFormat/>
    <w:pPr>
      <w:jc w:val="left"/>
    </w:pPr>
    <w:rPr>
      <w:rFonts w:ascii="PMingLiU" w:hAnsi="PMingLiU" w:eastAsia="PMingLiU" w:cs="PMingLiU"/>
      <w:sz w:val="22"/>
      <w:lang w:val="zh-CN" w:bidi="zh-CN"/>
    </w:rPr>
  </w:style>
  <w:style w:type="paragraph" w:styleId="1492" w:customStyle="1">
    <w:name w:val="xl69"/>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93" w:customStyle="1">
    <w:name w:val="xl97"/>
    <w:basedOn w:val="9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494" w:customStyle="1">
    <w:name w:val="xl106"/>
    <w:basedOn w:val="9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495" w:customStyle="1">
    <w:name w:val="font19"/>
    <w:basedOn w:val="903"/>
    <w:uiPriority w:val="0"/>
    <w:qFormat/>
    <w:pPr>
      <w:jc w:val="left"/>
      <w:spacing w:before="100" w:beforeAutospacing="1" w:after="100" w:afterAutospacing="1"/>
      <w:widowControl/>
    </w:pPr>
    <w:rPr>
      <w:rFonts w:ascii="Times New Roman" w:hAnsi="Times New Roman" w:eastAsia="宋体"/>
      <w:sz w:val="12"/>
      <w:szCs w:val="12"/>
    </w:rPr>
  </w:style>
  <w:style w:type="paragraph" w:styleId="1496" w:customStyle="1">
    <w:name w:val="xl89"/>
    <w:basedOn w:val="90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97" w:customStyle="1">
    <w:name w:val="_Style 37"/>
    <w:basedOn w:val="903"/>
    <w:next w:val="903"/>
    <w:uiPriority w:val="0"/>
    <w:qFormat/>
    <w:rPr>
      <w:rFonts w:ascii="Times New Roman" w:hAnsi="Times New Roman" w:eastAsia="宋体"/>
      <w:szCs w:val="24"/>
    </w:rPr>
  </w:style>
  <w:style w:type="paragraph" w:styleId="1498" w:customStyle="1">
    <w:name w:val="font15"/>
    <w:basedOn w:val="903"/>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499" w:customStyle="1">
    <w:name w:val="目录"/>
    <w:basedOn w:val="903"/>
    <w:uiPriority w:val="0"/>
    <w:qFormat/>
    <w:pPr>
      <w:jc w:val="center"/>
      <w:widowControl/>
    </w:pPr>
    <w:rPr>
      <w:rFonts w:ascii="宋体" w:hAnsi="Times New Roman" w:eastAsia="宋体"/>
      <w:b/>
      <w:sz w:val="36"/>
      <w:szCs w:val="20"/>
    </w:rPr>
  </w:style>
  <w:style w:type="paragraph" w:styleId="1500" w:customStyle="1">
    <w:name w:val="2-2ji"/>
    <w:basedOn w:val="1119"/>
    <w:uiPriority w:val="0"/>
    <w:qFormat/>
    <w:pPr>
      <w:jc w:val="center"/>
      <w:spacing w:before="0" w:after="0" w:line="360" w:lineRule="auto"/>
    </w:pPr>
    <w:rPr>
      <w:rFonts w:ascii="宋体" w:hAnsi="宋体" w:eastAsia="宋体"/>
      <w:sz w:val="36"/>
      <w:szCs w:val="24"/>
    </w:rPr>
  </w:style>
  <w:style w:type="paragraph" w:styleId="1501" w:customStyle="1">
    <w:name w:val="xl77"/>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502" w:customStyle="1">
    <w:name w:val="List Paragraph1"/>
    <w:basedOn w:val="903"/>
    <w:uiPriority w:val="0"/>
    <w:qFormat/>
    <w:pPr>
      <w:ind w:firstLine="420"/>
    </w:pPr>
    <w:rPr>
      <w:rFonts w:ascii="Times New Roman" w:hAnsi="Times New Roman" w:eastAsia="宋体"/>
      <w:szCs w:val="21"/>
    </w:rPr>
  </w:style>
  <w:style w:type="paragraph" w:styleId="1503" w:customStyle="1">
    <w:name w:val="TOC 标题2"/>
    <w:basedOn w:val="1118"/>
    <w:next w:val="903"/>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504" w:customStyle="1">
    <w:name w:val="xl103"/>
    <w:basedOn w:val="90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05" w:customStyle="1">
    <w:name w:val="font9"/>
    <w:basedOn w:val="903"/>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506" w:customStyle="1">
    <w:name w:val="xl366"/>
    <w:basedOn w:val="903"/>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07" w:customStyle="1">
    <w:name w:val="样式 标题 1 + 黑体 三号 非加粗 居中 段前: 6 磅 段后: 6 磅 行距: 固定值 20 磅"/>
    <w:basedOn w:val="1118"/>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508" w:customStyle="1">
    <w:name w:val="xl107"/>
    <w:basedOn w:val="903"/>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09" w:customStyle="1">
    <w:name w:val="xl368"/>
    <w:basedOn w:val="90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10" w:customStyle="1">
    <w:name w:val="xl68"/>
    <w:basedOn w:val="903"/>
    <w:uiPriority w:val="0"/>
    <w:qFormat/>
    <w:pPr>
      <w:jc w:val="center"/>
      <w:spacing w:before="100" w:beforeAutospacing="1" w:after="100" w:afterAutospacing="1"/>
      <w:widowControl/>
    </w:pPr>
    <w:rPr>
      <w:rFonts w:ascii="宋体" w:hAnsi="宋体" w:eastAsia="宋体" w:cs="宋体"/>
      <w:sz w:val="20"/>
      <w:szCs w:val="20"/>
    </w:rPr>
  </w:style>
  <w:style w:type="paragraph" w:styleId="1511" w:customStyle="1">
    <w:name w:val="样式1"/>
    <w:basedOn w:val="903"/>
    <w:uiPriority w:val="0"/>
    <w:qFormat/>
    <w:pPr>
      <w:spacing w:before="120" w:after="120" w:line="300" w:lineRule="auto"/>
    </w:pPr>
    <w:rPr>
      <w:rFonts w:ascii="宋体" w:hAnsi="宋体" w:eastAsia="宋体"/>
      <w:b/>
      <w:sz w:val="24"/>
      <w:szCs w:val="20"/>
    </w:rPr>
  </w:style>
  <w:style w:type="paragraph" w:styleId="1512" w:customStyle="1">
    <w:name w:val="xl88"/>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513" w:customStyle="1">
    <w:name w:val="xl84"/>
    <w:basedOn w:val="903"/>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514"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515" w:customStyle="1">
    <w:name w:val="xl47"/>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16" w:customStyle="1">
    <w:name w:val="z-Bottom of Form"/>
    <w:next w:val="903"/>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517" w:customStyle="1">
    <w:name w:val="z-Top of Form"/>
    <w:next w:val="903"/>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518" w:customStyle="1">
    <w:name w:val="xl26"/>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19" w:customStyle="1">
    <w:name w:val="xl32"/>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520" w:customStyle="1">
    <w:name w:val="Char Char Char Char Char Char Char Char Char Char"/>
    <w:basedOn w:val="903"/>
    <w:uiPriority w:val="0"/>
    <w:qFormat/>
    <w:pPr>
      <w:ind w:left="432" w:hanging="432"/>
      <w:tabs>
        <w:tab w:val="left" w:pos="898" w:leader="none"/>
      </w:tabs>
    </w:pPr>
    <w:rPr>
      <w:rFonts w:ascii="Times New Roman" w:hAnsi="Times New Roman" w:eastAsia="宋体"/>
      <w:sz w:val="24"/>
      <w:szCs w:val="24"/>
    </w:rPr>
  </w:style>
  <w:style w:type="paragraph" w:styleId="1521" w:customStyle="1">
    <w:name w:val="xl41"/>
    <w:basedOn w:val="9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522" w:customStyle="1">
    <w:name w:val="xl29"/>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523" w:customStyle="1">
    <w:name w:val="菲页1"/>
    <w:basedOn w:val="1119"/>
    <w:uiPriority w:val="0"/>
    <w:qFormat/>
    <w:pPr>
      <w:jc w:val="center"/>
      <w:spacing w:before="312" w:after="312" w:line="360" w:lineRule="auto"/>
      <w:widowControl/>
    </w:pPr>
    <w:rPr>
      <w:rFonts w:ascii="黑体" w:hAnsi="宋体"/>
      <w:b w:val="0"/>
      <w:color w:val="000000"/>
      <w:sz w:val="52"/>
      <w:szCs w:val="20"/>
    </w:rPr>
  </w:style>
  <w:style w:type="paragraph" w:styleId="1524" w:customStyle="1">
    <w:name w:val="xl33"/>
    <w:basedOn w:val="9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525" w:customStyle="1">
    <w:name w:val="font8"/>
    <w:basedOn w:val="903"/>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526" w:customStyle="1">
    <w:name w:val="xl93"/>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527" w:customStyle="1">
    <w:name w:val="Char Char Char Char Char Char Char Char Char Char1"/>
    <w:basedOn w:val="903"/>
    <w:uiPriority w:val="0"/>
    <w:qFormat/>
    <w:pPr>
      <w:ind w:left="315" w:hanging="315"/>
      <w:tabs>
        <w:tab w:val="left" w:pos="315" w:leader="none"/>
      </w:tabs>
    </w:pPr>
    <w:rPr>
      <w:rFonts w:ascii="Times New Roman" w:hAnsi="Times New Roman" w:eastAsia="宋体"/>
      <w:sz w:val="24"/>
      <w:szCs w:val="24"/>
    </w:rPr>
  </w:style>
  <w:style w:type="paragraph" w:styleId="1528" w:customStyle="1">
    <w:name w:val="xl22"/>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529" w:customStyle="1">
    <w:name w:val="默认段落字体 Para Char Char Char"/>
    <w:basedOn w:val="903"/>
    <w:uiPriority w:val="0"/>
    <w:qFormat/>
    <w:rPr>
      <w:rFonts w:ascii="Times New Roman" w:hAnsi="Times New Roman" w:eastAsia="宋体"/>
      <w:szCs w:val="24"/>
    </w:rPr>
  </w:style>
  <w:style w:type="paragraph" w:styleId="1530"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31" w:customStyle="1">
    <w:name w:val="文档正文"/>
    <w:basedOn w:val="903"/>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532" w:customStyle="1">
    <w:name w:val="font5"/>
    <w:basedOn w:val="903"/>
    <w:uiPriority w:val="0"/>
    <w:qFormat/>
    <w:pPr>
      <w:jc w:val="left"/>
      <w:spacing w:before="100" w:beforeAutospacing="1" w:after="100" w:afterAutospacing="1"/>
      <w:widowControl/>
    </w:pPr>
    <w:rPr>
      <w:rFonts w:ascii="宋体" w:hAnsi="宋体" w:eastAsia="宋体" w:cs="宋体"/>
      <w:sz w:val="18"/>
      <w:szCs w:val="18"/>
    </w:rPr>
  </w:style>
  <w:style w:type="paragraph" w:styleId="1533" w:customStyle="1">
    <w:name w:val="xl44"/>
    <w:basedOn w:val="903"/>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534" w:customStyle="1">
    <w:name w:val="正文缩进_0"/>
    <w:basedOn w:val="1434"/>
    <w:uiPriority w:val="0"/>
    <w:qFormat/>
    <w:pPr>
      <w:ind w:firstLine="420"/>
      <w:jc w:val="both"/>
      <w:widowControl w:val="off"/>
    </w:pPr>
    <w:rPr>
      <w:u w:val="single"/>
    </w:rPr>
  </w:style>
  <w:style w:type="paragraph" w:styleId="1535" w:customStyle="1">
    <w:name w:val="xl364"/>
    <w:basedOn w:val="90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36" w:customStyle="1">
    <w:name w:val="Preformatted"/>
    <w:basedOn w:val="90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537" w:customStyle="1">
    <w:name w:val="xl112"/>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38" w:customStyle="1">
    <w:name w:val="H2"/>
    <w:basedOn w:val="903"/>
    <w:next w:val="903"/>
    <w:uiPriority w:val="0"/>
    <w:qFormat/>
    <w:pPr>
      <w:jc w:val="left"/>
      <w:keepNext/>
      <w:spacing w:before="100" w:after="100"/>
      <w:outlineLvl w:val="2"/>
    </w:pPr>
    <w:rPr>
      <w:rFonts w:ascii="Times New Roman" w:hAnsi="Times New Roman" w:eastAsia="宋体"/>
      <w:b/>
      <w:sz w:val="36"/>
      <w:szCs w:val="20"/>
    </w:rPr>
  </w:style>
  <w:style w:type="paragraph" w:styleId="1539" w:customStyle="1">
    <w:name w:val="xl74"/>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540" w:customStyle="1">
    <w:name w:val="xl86"/>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541" w:customStyle="1">
    <w:name w:val="xl72"/>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42" w:customStyle="1">
    <w:name w:val="xl24"/>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43" w:customStyle="1">
    <w:name w:val="xl75"/>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44" w:customStyle="1">
    <w:name w:val="xl362"/>
    <w:basedOn w:val="90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45" w:customStyle="1">
    <w:name w:val="xl30"/>
    <w:basedOn w:val="9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546" w:customStyle="1">
    <w:name w:val="xl34"/>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547" w:customStyle="1">
    <w:name w:val="xl99"/>
    <w:basedOn w:val="90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48" w:customStyle="1">
    <w:name w:val="xl363"/>
    <w:basedOn w:val="90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49" w:customStyle="1">
    <w:name w:val="Char1"/>
    <w:basedOn w:val="903"/>
    <w:uiPriority w:val="0"/>
    <w:qFormat/>
    <w:pPr>
      <w:jc w:val="left"/>
      <w:spacing w:after="160" w:line="240" w:lineRule="exact"/>
      <w:widowControl/>
    </w:pPr>
    <w:rPr>
      <w:rFonts w:ascii="Times New Roman" w:hAnsi="Times New Roman" w:eastAsia="宋体"/>
      <w:szCs w:val="24"/>
    </w:rPr>
  </w:style>
  <w:style w:type="paragraph" w:styleId="1550" w:customStyle="1">
    <w:name w:val="xl28"/>
    <w:basedOn w:val="9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551" w:customStyle="1">
    <w:name w:val="TOC 标题11"/>
    <w:basedOn w:val="903"/>
    <w:next w:val="903"/>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552" w:customStyle="1">
    <w:name w:val="标题 H3"/>
    <w:basedOn w:val="903"/>
    <w:next w:val="903"/>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553" w:customStyle="1">
    <w:name w:val="标题 H2"/>
    <w:basedOn w:val="903"/>
    <w:next w:val="903"/>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554" w:customStyle="1">
    <w:name w:val="_Style 16"/>
    <w:basedOn w:val="903"/>
    <w:next w:val="1206"/>
    <w:uiPriority w:val="99"/>
    <w:qFormat/>
    <w:pPr>
      <w:ind w:firstLine="420"/>
      <w:spacing w:line="360" w:lineRule="auto"/>
    </w:pPr>
    <w:rPr>
      <w:rFonts w:ascii="Calibri" w:hAnsi="Calibri" w:eastAsia="宋体"/>
      <w:sz w:val="24"/>
    </w:rPr>
  </w:style>
  <w:style w:type="table" w:styleId="1555" w:customStyle="1">
    <w:name w:val="网格型1"/>
    <w:basedOn w:val="1128"/>
    <w:uiPriority w:val="39"/>
    <w:qFormat/>
    <w:tblPr/>
  </w:style>
  <w:style w:type="table" w:styleId="1556" w:customStyle="1">
    <w:name w:val="自定网格1"/>
    <w:basedOn w:val="1128"/>
    <w:uiPriority w:val="39"/>
    <w:qFormat/>
    <w:pPr>
      <w:jc w:val="both"/>
      <w:widowControl w:val="off"/>
    </w:pPr>
    <w:rPr>
      <w:rFonts w:ascii="Times New Roman" w:hAnsi="Times New Roman" w:eastAsia="宋体"/>
    </w:rPr>
    <w:tblPr/>
  </w:style>
  <w:style w:type="table" w:styleId="1557" w:customStyle="1">
    <w:name w:val="网格型2"/>
    <w:basedOn w:val="1128"/>
    <w:uiPriority w:val="39"/>
    <w:qFormat/>
    <w:pPr>
      <w:jc w:val="both"/>
      <w:widowControl w:val="off"/>
    </w:pPr>
    <w:rPr>
      <w:rFonts w:ascii="Times New Roman" w:hAnsi="Times New Roman" w:eastAsia="宋体"/>
    </w:rPr>
    <w:tblPr/>
  </w:style>
  <w:style w:type="character" w:styleId="1558" w:customStyle="1">
    <w:name w:val="NormalCharacter1"/>
    <w:uiPriority w:val="0"/>
    <w:qFormat/>
  </w:style>
  <w:style w:type="character" w:styleId="1559" w:customStyle="1">
    <w:name w:val="列出段落 Char"/>
    <w:uiPriority w:val="34"/>
    <w:qFormat/>
    <w:rPr>
      <w:sz w:val="21"/>
      <w:szCs w:val="24"/>
    </w:rPr>
  </w:style>
  <w:style w:type="table" w:styleId="1560" w:customStyle="1">
    <w:name w:val="网格型3"/>
    <w:basedOn w:val="1128"/>
    <w:uiPriority w:val="39"/>
    <w:qFormat/>
    <w:rPr>
      <w:rFonts w:ascii="Calibri" w:hAnsi="Calibri" w:eastAsia="宋体"/>
    </w:rPr>
    <w:tblPr/>
  </w:style>
  <w:style w:type="table" w:styleId="1561" w:customStyle="1">
    <w:name w:val="网格型4"/>
    <w:basedOn w:val="1128"/>
    <w:uiPriority w:val="39"/>
    <w:qFormat/>
    <w:rPr>
      <w:rFonts w:ascii="Calibri" w:hAnsi="Calibri" w:eastAsia="宋体"/>
    </w:rPr>
    <w:tblPr/>
  </w:style>
  <w:style w:type="table" w:styleId="1562" w:customStyle="1">
    <w:name w:val="网格型5"/>
    <w:basedOn w:val="1128"/>
    <w:uiPriority w:val="39"/>
    <w:qFormat/>
    <w:rPr>
      <w:rFonts w:ascii="Calibri" w:hAnsi="Calibri" w:eastAsia="宋体"/>
    </w:rPr>
    <w:tblPr/>
  </w:style>
  <w:style w:type="table" w:styleId="1563" w:customStyle="1">
    <w:name w:val="网格型6"/>
    <w:basedOn w:val="1128"/>
    <w:uiPriority w:val="39"/>
    <w:qFormat/>
    <w:rPr>
      <w:rFonts w:ascii="Calibri" w:hAnsi="Calibri" w:eastAsia="宋体"/>
    </w:rPr>
    <w:tblPr/>
  </w:style>
  <w:style w:type="paragraph" w:styleId="1564" w:customStyle="1">
    <w:name w:val="引文目录1"/>
    <w:basedOn w:val="903"/>
    <w:next w:val="903"/>
    <w:uiPriority w:val="0"/>
    <w:qFormat/>
    <w:pPr>
      <w:ind w:left="420"/>
    </w:pPr>
  </w:style>
  <w:style w:type="paragraph" w:styleId="1565" w:customStyle="1">
    <w:name w:val="Table Text"/>
    <w:basedOn w:val="903"/>
    <w:uiPriority w:val="0"/>
    <w:semiHidden/>
    <w:qFormat/>
    <w:rPr>
      <w:rFonts w:ascii="宋体" w:hAnsi="宋体" w:eastAsia="宋体" w:cs="宋体"/>
      <w:sz w:val="19"/>
      <w:szCs w:val="19"/>
      <w:lang w:eastAsia="en-US"/>
    </w:rPr>
  </w:style>
  <w:style w:type="table" w:styleId="1566" w:customStyle="1">
    <w:name w:val="Table Normal"/>
    <w:uiPriority w:val="0"/>
    <w:semiHidden/>
    <w:unhideWhenUsed/>
    <w:qFormat/>
    <w:tblPr>
      <w:tblCellMar>
        <w:left w:w="0" w:type="dxa"/>
        <w:top w:w="0" w:type="dxa"/>
        <w:right w:w="0" w:type="dxa"/>
        <w:bottom w:w="0" w:type="dxa"/>
      </w:tblCellMar>
    </w:tblPr>
  </w:style>
  <w:style w:type="paragraph" w:styleId="1567" w:customStyle="1">
    <w:name w:val="列出段落5"/>
    <w:basedOn w:val="903"/>
    <w:uiPriority w:val="34"/>
    <w:qFormat/>
    <w:pPr>
      <w:ind w:firstLine="480"/>
      <w:spacing w:line="360" w:lineRule="auto"/>
    </w:pPr>
    <w:rPr>
      <w:rFonts w:ascii="宋体" w:hAnsi="宋体" w:cs="宋体"/>
      <w:color w:val="ff0000"/>
      <w:sz w:val="24"/>
      <w:szCs w:val="24"/>
    </w:rPr>
  </w:style>
  <w:style w:type="character" w:styleId="1568" w:customStyle="1">
    <w:name w:val="批注框文本 字符3"/>
    <w:basedOn w:val="913"/>
    <w:link w:val="928"/>
    <w:uiPriority w:val="99"/>
    <w:semiHidden/>
    <w:qFormat/>
    <w:rPr>
      <w:sz w:val="18"/>
      <w:szCs w:val="18"/>
    </w:rPr>
  </w:style>
  <w:style w:type="paragraph" w:styleId="1569" w:customStyle="1">
    <w:name w:val="02-标书-标题2"/>
    <w:uiPriority w:val="0"/>
    <w:qFormat/>
    <w:pPr>
      <w:numPr>
        <w:ilvl w:val="1"/>
        <w:numId w:val="2"/>
      </w:numPr>
      <w:spacing w:line="360" w:lineRule="auto"/>
      <w:outlineLvl w:val="1"/>
    </w:pPr>
    <w:rPr>
      <w:rFonts w:hint="default" w:ascii="黑体" w:hAnsi="宋体" w:eastAsia="黑体" w:cs="Calibri"/>
      <w:sz w:val="32"/>
      <w:szCs w:val="28"/>
      <w:lang w:val="en-US" w:eastAsia="zh-CN" w:bidi="ar-SA"/>
    </w:rPr>
  </w:style>
  <w:style w:type="paragraph" w:styleId="1570" w:customStyle="1">
    <w:name w:val="Body text|2"/>
    <w:basedOn w:val="903"/>
    <w:uiPriority w:val="0"/>
    <w:qFormat/>
    <w:pPr>
      <w:ind w:firstLine="540"/>
      <w:spacing w:line="487" w:lineRule="exact"/>
    </w:pPr>
    <w:rPr>
      <w:rFonts w:ascii="宋体" w:hAnsi="宋体" w:cs="宋体"/>
      <w:lang w:val="zh-TW" w:eastAsia="zh-TW" w:bidi="zh-TW"/>
    </w:rPr>
  </w:style>
  <w:style w:type="paragraph" w:styleId="1571" w:customStyle="1">
    <w:name w:val="正文首行缩进11"/>
    <w:basedOn w:val="1572"/>
    <w:uiPriority w:val="0"/>
    <w:qFormat/>
    <w:pPr>
      <w:ind w:firstLine="420"/>
      <w:spacing w:after="120"/>
    </w:pPr>
    <w:rPr>
      <w:rFonts w:ascii="Times New Roman"/>
      <w:sz w:val="21"/>
    </w:rPr>
  </w:style>
  <w:style w:type="paragraph" w:styleId="1572" w:customStyle="1">
    <w:name w:val="正文文本11"/>
    <w:basedOn w:val="903"/>
    <w:next w:val="1147"/>
    <w:uiPriority w:val="0"/>
    <w:semiHidden/>
    <w:qFormat/>
    <w:rPr>
      <w:rFonts w:ascii="宋体" w:hAnsi="宋体" w:eastAsia="宋体" w:cs="宋体"/>
      <w:sz w:val="24"/>
      <w:szCs w:val="24"/>
      <w:lang w:eastAsia="en-US"/>
    </w:rPr>
  </w:style>
  <w:style w:type="paragraph" w:styleId="1573" w:customStyle="1">
    <w:name w:val="列表11"/>
    <w:basedOn w:val="903"/>
    <w:uiPriority w:val="0"/>
    <w:qFormat/>
    <w:pPr>
      <w:ind w:left="420" w:hanging="420"/>
      <w:spacing w:after="20" w:line="288" w:lineRule="auto"/>
      <w:tabs>
        <w:tab w:val="left" w:pos="420" w:leader="none"/>
      </w:tabs>
    </w:pPr>
    <w:rPr>
      <w:szCs w:val="20"/>
      <w:lang w:val="en-GB"/>
    </w:rPr>
  </w:style>
  <w:style w:type="paragraph" w:styleId="1574" w:customStyle="1">
    <w:name w:val="索引 411"/>
    <w:basedOn w:val="903"/>
    <w:next w:val="903"/>
    <w:uiPriority w:val="99"/>
    <w:qFormat/>
    <w:pPr>
      <w:ind w:left="600"/>
    </w:pPr>
    <w:rPr>
      <w:szCs w:val="24"/>
    </w:rPr>
  </w:style>
  <w:style w:type="paragraph" w:styleId="1575" w:customStyle="1">
    <w:name w:val="WW-正文缩进"/>
    <w:basedOn w:val="903"/>
    <w:uiPriority w:val="0"/>
    <w:qFormat/>
    <w:pPr>
      <w:ind w:firstLine="420"/>
      <w:tabs>
        <w:tab w:val="center" w:pos="4153" w:leader="none"/>
      </w:tabs>
    </w:pPr>
    <w:rPr>
      <w:rFonts w:ascii="宋体" w:hAnsi="宋体" w:eastAsia="宋体"/>
      <w:lang w:eastAsia="zh-Hans"/>
    </w:rPr>
  </w:style>
  <w:style w:type="numbering" w:styleId="15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陈中飞</cp:lastModifiedBy>
  <cp:revision>27</cp:revision>
  <dcterms:created xsi:type="dcterms:W3CDTF">2023-06-12T02:47:00Z</dcterms:created>
  <dcterms:modified xsi:type="dcterms:W3CDTF">2026-01-05T03:54:38Z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36003A1E801A43E1AC2E0461A56D1EFB_13</vt:lpwstr>
  </property>
  <property fmtid="{D5CDD505-2E9C-101B-9397-08002B2CF9AE}" pid="4" name="KSOTemplateDocerSaveRecord">
    <vt:lpwstr>eyJoZGlkIjoiZGUyYTY1ZjhiZjc3ZTYzZWRkMjI3NWI3NzU4OTNkOTkiLCJ1c2VySWQiOiIxMzc5NjEyNDY0In0=</vt:lpwstr>
  </property>
</Properties>
</file>