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844"/>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int="eastAsia" w:ascii="宋体" w:hAnsi="宋体" w:eastAsia="宋体" w:cs="宋体"/>
                <w:b/>
                <w:bCs/>
                <w:color w:val="auto"/>
                <w:spacing w:val="16"/>
                <w:sz w:val="32"/>
                <w:szCs w:val="32"/>
                <w:highlight w:val="none"/>
              </w:rPr>
            </w:pPr>
            <w:r/>
            <w:bookmarkStart w:id="1" w:name="OLE_LINK17"/>
            <w:r/>
            <w:bookmarkStart w:id="2" w:name="OLE_LINK27"/>
            <w:r/>
            <w:bookmarkStart w:id="3" w:name="OLE_LINK13"/>
            <w:r/>
            <w:bookmarkStart w:id="4" w:name="OLE_LINK3"/>
            <w:r/>
            <w:bookmarkStart w:id="5" w:name="OLE_LINK14"/>
            <w:r/>
            <w:bookmarkStart w:id="6" w:name="OLE_LINK1"/>
            <w:r/>
            <w:bookmarkStart w:id="7" w:name="OLE_LINK24"/>
            <w:r/>
            <w:bookmarkStart w:id="8" w:name="OLE_LINK29"/>
            <w:r>
              <w:rPr>
                <w:rFonts w:hint="eastAsia" w:ascii="宋体" w:hAnsi="宋体" w:eastAsia="宋体" w:cs="宋体"/>
                <w:b/>
                <w:bCs/>
                <w:color w:val="auto"/>
                <w:spacing w:val="16"/>
                <w:sz w:val="32"/>
                <w:szCs w:val="32"/>
                <w:highlight w:val="none"/>
              </w:rPr>
              <w:t xml:space="preserve">项目</w:t>
            </w:r>
            <w:r/>
          </w:p>
          <w:p>
            <w:pPr>
              <w:ind w:firstLine="474"/>
              <w:spacing w:line="360" w:lineRule="auto"/>
              <w:rPr>
                <w:rFonts w:hint="eastAsia" w:ascii="宋体" w:hAnsi="宋体" w:eastAsia="宋体" w:cs="宋体"/>
                <w:b/>
                <w:color w:val="auto"/>
                <w:spacing w:val="40"/>
                <w:sz w:val="32"/>
                <w:szCs w:val="32"/>
                <w:highlight w:val="none"/>
              </w:rPr>
            </w:pPr>
            <w:r>
              <w:rPr>
                <w:rFonts w:hint="eastAsia" w:ascii="宋体" w:hAnsi="宋体" w:eastAsia="宋体" w:cs="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spacing w:line="800" w:lineRule="exact"/>
              <w:rPr>
                <w:rFonts w:hint="eastAsia" w:ascii="宋体" w:hAnsi="宋体" w:eastAsia="宋体" w:cs="宋体"/>
                <w:b/>
                <w:color w:val="auto"/>
                <w:spacing w:val="-20"/>
                <w:sz w:val="32"/>
                <w:szCs w:val="32"/>
                <w:highlight w:val="none"/>
                <w:lang w:eastAsia="zh-CN"/>
              </w:rPr>
            </w:pPr>
            <w:r>
              <w:rPr>
                <w:rFonts w:hint="eastAsia" w:ascii="宋体" w:hAnsi="宋体" w:eastAsia="宋体" w:cs="宋体"/>
                <w:b/>
                <w:color w:val="auto"/>
                <w:spacing w:val="0"/>
                <w:sz w:val="32"/>
                <w:szCs w:val="32"/>
                <w:highlight w:val="none"/>
                <w:lang w:val="zh-CN" w:eastAsia="zh-CN" w:bidi="ar-SA"/>
              </w:rPr>
              <w:t xml:space="preserve">2026年度北固山及胜利湖周边绿化管理服务</w:t>
            </w:r>
            <w:r/>
          </w:p>
        </w:tc>
      </w:tr>
      <w:tr>
        <w:trPr>
          <w:jc w:val="center"/>
        </w:trPr>
        <w:tc>
          <w:tcPr>
            <w:tcW w:w="2127" w:type="dxa"/>
            <w:vAlign w:val="center"/>
            <w:textDirection w:val="lrTb"/>
            <w:noWrap w:val="false"/>
          </w:tcPr>
          <w:p>
            <w:pPr>
              <w:ind w:firstLine="474"/>
              <w:spacing w:line="360" w:lineRule="auto"/>
              <w:rPr>
                <w:rFonts w:hint="eastAsia" w:ascii="宋体" w:hAnsi="宋体" w:eastAsia="宋体" w:cs="宋体"/>
                <w:b/>
                <w:bCs/>
                <w:color w:val="auto"/>
                <w:spacing w:val="16"/>
                <w:sz w:val="32"/>
                <w:szCs w:val="32"/>
                <w:highlight w:val="none"/>
              </w:rPr>
            </w:pPr>
            <w:r/>
            <w:bookmarkStart w:id="9" w:name="OLE_LINK5"/>
            <w:r/>
            <w:bookmarkStart w:id="10" w:name="OLE_LINK18"/>
            <w:r/>
            <w:bookmarkStart w:id="11" w:name="OLE_LINK25"/>
            <w:r/>
            <w:bookmarkStart w:id="12" w:name="OLE_LINK15"/>
            <w:r/>
            <w:bookmarkStart w:id="13" w:name="OLE_LINK30"/>
            <w:r/>
            <w:bookmarkStart w:id="14" w:name="OLE_LINK2"/>
            <w:r>
              <w:rPr>
                <w:rFonts w:hint="eastAsia" w:ascii="宋体" w:hAnsi="宋体" w:eastAsia="宋体" w:cs="宋体"/>
                <w:b/>
                <w:bCs/>
                <w:color w:val="auto"/>
                <w:spacing w:val="16"/>
                <w:sz w:val="32"/>
                <w:szCs w:val="32"/>
                <w:highlight w:val="none"/>
              </w:rPr>
              <w:t xml:space="preserve">项目</w:t>
            </w:r>
            <w:r/>
          </w:p>
          <w:p>
            <w:pPr>
              <w:ind w:firstLine="474"/>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spacing w:line="800" w:lineRule="exact"/>
              <w:rPr>
                <w:rFonts w:hint="eastAsia" w:ascii="宋体" w:hAnsi="宋体" w:eastAsia="宋体" w:cs="宋体"/>
                <w:b/>
                <w:color w:val="auto"/>
                <w:spacing w:val="0"/>
                <w:sz w:val="32"/>
                <w:szCs w:val="32"/>
                <w:highlight w:val="none"/>
                <w:lang w:val="zh-CN" w:eastAsia="zh-CN" w:bidi="ar-SA"/>
              </w:rPr>
            </w:pPr>
            <w:r>
              <w:rPr>
                <w:rFonts w:hint="eastAsia" w:ascii="宋体" w:hAnsi="宋体" w:eastAsia="宋体" w:cs="宋体"/>
                <w:b/>
                <w:color w:val="auto"/>
                <w:spacing w:val="0"/>
                <w:sz w:val="32"/>
                <w:szCs w:val="32"/>
                <w:highlight w:val="none"/>
                <w:lang w:val="zh-CN" w:eastAsia="zh-CN" w:bidi="ar-SA"/>
              </w:rPr>
              <w:t xml:space="preserve">JSZC-320703-SHGS-C2025-0024</w:t>
            </w:r>
            <w:r/>
          </w:p>
          <w:p>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tc>
      </w:tr>
    </w:tbl>
    <w:p>
      <w:pPr>
        <w:pStyle w:val="858"/>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858"/>
        <w:rPr>
          <w:rFonts w:ascii="Times New Roman"/>
          <w:b/>
          <w:bCs/>
          <w:color w:val="auto"/>
          <w:sz w:val="32"/>
          <w:highlight w:val="none"/>
        </w:rPr>
      </w:pPr>
      <w:r>
        <w:rPr>
          <w:rFonts w:ascii="Times New Roman"/>
          <w:b/>
          <w:bCs/>
          <w:color w:val="auto"/>
          <w:sz w:val="32"/>
          <w:highlight w:val="none"/>
        </w:rPr>
      </w:r>
      <w:r/>
    </w:p>
    <w:p>
      <w:pPr>
        <w:pStyle w:val="858"/>
        <w:rPr>
          <w:rFonts w:ascii="Times New Roman"/>
          <w:b/>
          <w:bCs/>
          <w:color w:val="auto"/>
          <w:sz w:val="32"/>
          <w:highlight w:val="none"/>
        </w:rPr>
      </w:pPr>
      <w:r>
        <w:rPr>
          <w:rFonts w:ascii="Times New Roman"/>
          <w:b/>
          <w:bCs/>
          <w:color w:val="auto"/>
          <w:sz w:val="32"/>
          <w:highlight w:val="none"/>
        </w:rPr>
      </w:r>
      <w:r/>
    </w:p>
    <w:p>
      <w:pPr>
        <w:pStyle w:val="858"/>
        <w:rPr>
          <w:rFonts w:ascii="Times New Roman"/>
          <w:b/>
          <w:bCs/>
          <w:color w:val="auto"/>
          <w:sz w:val="32"/>
          <w:highlight w:val="none"/>
        </w:rPr>
      </w:pPr>
      <w:r>
        <w:rPr>
          <w:rFonts w:ascii="Times New Roman"/>
          <w:b/>
          <w:bCs/>
          <w:color w:val="auto"/>
          <w:sz w:val="32"/>
          <w:highlight w:val="none"/>
        </w:rPr>
      </w:r>
      <w:r/>
    </w:p>
    <w:p>
      <w:pPr>
        <w:pStyle w:val="858"/>
        <w:rPr>
          <w:rFonts w:ascii="Times New Roman"/>
          <w:b/>
          <w:bCs/>
          <w:color w:val="auto"/>
          <w:sz w:val="32"/>
          <w:highlight w:val="none"/>
        </w:rPr>
      </w:pPr>
      <w:r>
        <w:rPr>
          <w:rFonts w:ascii="Times New Roman"/>
          <w:b/>
          <w:bCs/>
          <w:color w:val="auto"/>
          <w:sz w:val="32"/>
          <w:highlight w:val="none"/>
        </w:rPr>
      </w:r>
      <w:r/>
    </w:p>
    <w:tbl>
      <w:tblPr>
        <w:tblStyle w:val="844"/>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4"/>
            <w:r/>
            <w:bookmarkStart w:id="16" w:name="OLE_LINK31"/>
            <w:r/>
            <w:r/>
          </w:p>
        </w:tc>
        <w:tc>
          <w:tcPr>
            <w:tcW w:w="2520" w:type="dxa"/>
            <w:vAlign w:val="bottom"/>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连云区公用事业发展中心</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代</w:t>
            </w:r>
            <w:r>
              <w:rPr>
                <w:rFonts w:hint="eastAsia" w:ascii="Arial" w:hAnsi="宋体" w:cs="Times New Roman"/>
                <w:b/>
                <w:color w:val="auto"/>
                <w:spacing w:val="0"/>
                <w:sz w:val="32"/>
                <w:szCs w:val="32"/>
                <w:highlight w:val="none"/>
                <w:lang w:val="en-US" w:eastAsia="zh-CN" w:bidi="ar-SA"/>
              </w:rPr>
              <w:t xml:space="preserve"> </w:t>
            </w:r>
            <w:r>
              <w:rPr>
                <w:rFonts w:hint="eastAsia" w:ascii="Arial" w:hAnsi="宋体" w:cs="Times New Roman"/>
                <w:b/>
                <w:color w:val="auto"/>
                <w:spacing w:val="0"/>
                <w:sz w:val="32"/>
                <w:szCs w:val="32"/>
                <w:highlight w:val="none"/>
                <w:lang w:val="zh-CN" w:eastAsia="zh-CN" w:bidi="ar-SA"/>
              </w:rPr>
              <w:t xml:space="preserve">理</w:t>
            </w:r>
            <w:r>
              <w:rPr>
                <w:rFonts w:hint="eastAsia" w:ascii="Arial" w:hAnsi="宋体" w:cs="Times New Roman"/>
                <w:b/>
                <w:color w:val="auto"/>
                <w:spacing w:val="0"/>
                <w:sz w:val="32"/>
                <w:szCs w:val="32"/>
                <w:highlight w:val="none"/>
                <w:lang w:val="en-US" w:eastAsia="zh-CN" w:bidi="ar-SA"/>
              </w:rPr>
              <w:t xml:space="preserve"> </w:t>
            </w:r>
            <w:r>
              <w:rPr>
                <w:rFonts w:hint="eastAsia" w:ascii="Arial" w:hAnsi="宋体" w:cs="Times New Roman"/>
                <w:b/>
                <w:color w:val="auto"/>
                <w:spacing w:val="0"/>
                <w:sz w:val="32"/>
                <w:szCs w:val="32"/>
                <w:highlight w:val="none"/>
                <w:lang w:val="zh-CN" w:eastAsia="zh-CN" w:bidi="ar-SA"/>
              </w:rPr>
              <w:t xml:space="preserve">机</w:t>
            </w:r>
            <w:r>
              <w:rPr>
                <w:rFonts w:hint="eastAsia" w:ascii="Arial" w:hAnsi="宋体" w:cs="Times New Roman"/>
                <w:b/>
                <w:color w:val="auto"/>
                <w:spacing w:val="0"/>
                <w:sz w:val="32"/>
                <w:szCs w:val="32"/>
                <w:highlight w:val="none"/>
                <w:lang w:val="en-US" w:eastAsia="zh-CN" w:bidi="ar-SA"/>
              </w:rPr>
              <w:t xml:space="preserve"> </w:t>
            </w:r>
            <w:r>
              <w:rPr>
                <w:rFonts w:hint="eastAsia" w:ascii="Arial" w:hAnsi="宋体" w:cs="Times New Roman"/>
                <w:b/>
                <w:color w:val="auto"/>
                <w:spacing w:val="0"/>
                <w:sz w:val="32"/>
                <w:szCs w:val="32"/>
                <w:highlight w:val="none"/>
                <w:lang w:val="zh-CN" w:eastAsia="zh-CN" w:bidi="ar-SA"/>
              </w:rPr>
              <w:t xml:space="preserve">构</w:t>
            </w:r>
            <w:r>
              <w:rPr>
                <w:rFonts w:hint="eastAsia" w:ascii="Arial" w:hAnsi="宋体" w:eastAsia="宋体" w:cs="Times New Roman"/>
                <w:b/>
                <w:color w:val="auto"/>
                <w:spacing w:val="0"/>
                <w:sz w:val="32"/>
                <w:szCs w:val="32"/>
                <w:highlight w:val="none"/>
                <w:lang w:val="zh-CN" w:eastAsia="zh-CN" w:bidi="ar-SA"/>
              </w:rPr>
              <w:t xml:space="preserve">：</w:t>
            </w:r>
            <w:r/>
          </w:p>
        </w:tc>
        <w:tc>
          <w:tcPr>
            <w:tcW w:w="6687" w:type="dxa"/>
            <w:vAlign w:val="center"/>
            <w:textDirection w:val="lrTb"/>
            <w:noWrap w:val="false"/>
          </w:tcPr>
          <w:p>
            <w:pPr>
              <w:pStyle w:val="858"/>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连云港上和工程咨询有限公司</w:t>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844"/>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858"/>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407133253"/>
            <w:r/>
            <w:bookmarkEnd w:id="17"/>
            <w:r/>
            <w:bookmarkStart w:id="18" w:name="_1448089845"/>
            <w:r/>
            <w:bookmarkEnd w:id="18"/>
            <w:r/>
            <w:bookmarkStart w:id="19" w:name="_1298271315"/>
            <w:r/>
            <w:bookmarkEnd w:id="19"/>
            <w:r/>
            <w:bookmarkStart w:id="20" w:name="_1278423854"/>
            <w:r/>
            <w:bookmarkEnd w:id="20"/>
            <w:r/>
            <w:bookmarkStart w:id="21" w:name="_1372599208"/>
            <w:r/>
            <w:bookmarkEnd w:id="21"/>
            <w:r/>
            <w:bookmarkStart w:id="22" w:name="_1468217283"/>
            <w:r/>
            <w:bookmarkEnd w:id="22"/>
            <w:r/>
            <w:bookmarkStart w:id="23" w:name="_1297774439"/>
            <w:r/>
            <w:bookmarkEnd w:id="23"/>
            <w:r/>
            <w:bookmarkStart w:id="24" w:name="_1291116219"/>
            <w:r/>
            <w:bookmarkEnd w:id="24"/>
            <w:r/>
            <w:bookmarkStart w:id="25" w:name="_1479037598"/>
            <w:r/>
            <w:bookmarkEnd w:id="25"/>
            <w:r/>
            <w:bookmarkStart w:id="26" w:name="_1291189843"/>
            <w:r/>
            <w:bookmarkEnd w:id="26"/>
            <w:r/>
            <w:bookmarkStart w:id="27" w:name="_1336475279"/>
            <w:r/>
            <w:bookmarkEnd w:id="27"/>
            <w:r/>
            <w:bookmarkStart w:id="28" w:name="_1337000242"/>
            <w:r/>
            <w:bookmarkEnd w:id="28"/>
            <w:r/>
            <w:bookmarkStart w:id="29" w:name="_1279442339"/>
            <w:r/>
            <w:bookmarkEnd w:id="29"/>
            <w:r/>
            <w:bookmarkStart w:id="30" w:name="_1435759884"/>
            <w:r/>
            <w:bookmarkEnd w:id="30"/>
            <w:r/>
            <w:bookmarkStart w:id="31" w:name="_1471955348"/>
            <w:r/>
            <w:bookmarkEnd w:id="31"/>
            <w:r/>
            <w:bookmarkStart w:id="32" w:name="_1407051528"/>
            <w:r/>
            <w:bookmarkEnd w:id="32"/>
            <w:r/>
            <w:bookmarkStart w:id="33" w:name="_1407138770"/>
            <w:r/>
            <w:bookmarkEnd w:id="33"/>
            <w:r/>
            <w:bookmarkStart w:id="34" w:name="_1468245416"/>
            <w:r/>
            <w:bookmarkEnd w:id="34"/>
            <w:r/>
            <w:bookmarkStart w:id="35" w:name="_1407132958"/>
            <w:r/>
            <w:bookmarkEnd w:id="35"/>
            <w:r/>
            <w:bookmarkStart w:id="36" w:name="_1336909890"/>
            <w:r/>
            <w:bookmarkEnd w:id="36"/>
            <w:r/>
            <w:bookmarkStart w:id="37" w:name="_1407131003"/>
            <w:r/>
            <w:bookmarkEnd w:id="37"/>
            <w:r/>
            <w:bookmarkStart w:id="38" w:name="_1297771980"/>
            <w:r/>
            <w:bookmarkEnd w:id="38"/>
            <w:r/>
            <w:bookmarkStart w:id="39" w:name="_1297771658"/>
            <w:r/>
            <w:bookmarkEnd w:id="39"/>
            <w:r/>
            <w:bookmarkStart w:id="40" w:name="_1407138454"/>
            <w:r/>
            <w:bookmarkEnd w:id="40"/>
            <w:r/>
            <w:bookmarkStart w:id="41" w:name="_1486967582"/>
            <w:r/>
            <w:bookmarkEnd w:id="41"/>
            <w:r/>
            <w:bookmarkStart w:id="42" w:name="_1467808401"/>
            <w:r/>
            <w:bookmarkEnd w:id="42"/>
            <w:r/>
            <w:bookmarkStart w:id="43" w:name="_1298270684"/>
            <w:r/>
            <w:bookmarkEnd w:id="43"/>
            <w:r/>
            <w:bookmarkStart w:id="44" w:name="_1447850345"/>
            <w:r/>
            <w:bookmarkEnd w:id="44"/>
            <w:r/>
            <w:bookmarkStart w:id="45" w:name="_1407649454"/>
            <w:r/>
            <w:bookmarkEnd w:id="45"/>
            <w:r/>
            <w:bookmarkStart w:id="46" w:name="_1297752558"/>
            <w:r/>
            <w:bookmarkEnd w:id="46"/>
            <w:r/>
            <w:bookmarkStart w:id="47" w:name="_1407131738"/>
            <w:r/>
            <w:bookmarkEnd w:id="47"/>
            <w:r/>
            <w:bookmarkStart w:id="48" w:name="_1280844196"/>
            <w:r/>
            <w:bookmarkEnd w:id="48"/>
            <w:r/>
            <w:bookmarkStart w:id="49" w:name="_1486968668"/>
            <w:r/>
            <w:bookmarkEnd w:id="49"/>
            <w:r/>
            <w:bookmarkStart w:id="50" w:name="_1372599658"/>
            <w:r/>
            <w:bookmarkEnd w:id="50"/>
            <w:r/>
            <w:bookmarkStart w:id="51" w:name="_1372492890"/>
            <w:r/>
            <w:bookmarkEnd w:id="51"/>
            <w:r/>
            <w:bookmarkStart w:id="52" w:name="_1372492601"/>
            <w:r/>
            <w:bookmarkEnd w:id="52"/>
            <w:r/>
            <w:bookmarkStart w:id="53" w:name="_1278423018"/>
            <w:r/>
            <w:bookmarkEnd w:id="53"/>
            <w:r/>
            <w:bookmarkStart w:id="54" w:name="_1435736218"/>
            <w:r/>
            <w:bookmarkEnd w:id="54"/>
            <w:r/>
            <w:bookmarkStart w:id="55" w:name="_1291464772"/>
            <w:r/>
            <w:bookmarkEnd w:id="55"/>
            <w:r/>
            <w:bookmarkStart w:id="56" w:name="_1407154196"/>
            <w:r/>
            <w:bookmarkEnd w:id="56"/>
            <w:r/>
            <w:bookmarkStart w:id="57" w:name="_1297758037"/>
            <w:r/>
            <w:bookmarkEnd w:id="57"/>
            <w:r/>
            <w:bookmarkStart w:id="58" w:name="_1468218264"/>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eastAsia="宋体" w:cs="Times New Roman"/>
                <w:b/>
                <w:color w:val="auto"/>
                <w:spacing w:val="-20"/>
                <w:sz w:val="32"/>
                <w:szCs w:val="32"/>
                <w:highlight w:val="none"/>
                <w:lang w:val="en-US" w:eastAsia="zh-CN" w:bidi="ar-SA"/>
              </w:rPr>
              <w:t xml:space="preserve">5</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12</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858"/>
        <w:spacing w:line="360" w:lineRule="auto"/>
        <w:rPr>
          <w:rFonts w:ascii="Times New Roman"/>
          <w:b/>
          <w:color w:val="auto"/>
          <w:sz w:val="32"/>
          <w:szCs w:val="32"/>
          <w:highlight w:val="none"/>
        </w:rPr>
      </w:pPr>
      <w:r>
        <w:rPr>
          <w:rFonts w:ascii="Times New Roman"/>
          <w:b/>
          <w:color w:val="auto"/>
          <w:sz w:val="32"/>
          <w:szCs w:val="32"/>
          <w:highlight w:val="none"/>
        </w:rPr>
      </w:r>
      <w:r/>
    </w:p>
    <w:p>
      <w:r/>
      <w:r/>
    </w:p>
    <w:p>
      <w:r/>
      <w:r/>
    </w:p>
    <w:p>
      <w:r/>
      <w:r/>
    </w:p>
    <w:p>
      <w:r/>
      <w:r/>
    </w:p>
    <w:p>
      <w:pPr>
        <w:jc w:val="left"/>
        <w:tabs>
          <w:tab w:val="center" w:pos="4819" w:leader="none"/>
        </w:tabs>
        <w:rPr>
          <w:rFonts w:hint="eastAsia" w:eastAsia="宋体"/>
          <w:lang w:eastAsia="zh-CN"/>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lang w:eastAsia="zh-CN"/>
        </w:rPr>
        <w:tab/>
      </w:r>
      <w:bookmarkStart w:id="185" w:name="_GoBack"/>
      <w:r/>
      <w:bookmarkEnd w:id="185"/>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5244"/>
      <w:r/>
      <w:bookmarkStart w:id="60" w:name="_Toc99113318"/>
      <w:r/>
      <w:bookmarkStart w:id="61" w:name="_Toc5037035"/>
      <w:r/>
      <w:bookmarkStart w:id="62" w:name="_Toc49762231"/>
      <w:r/>
      <w:bookmarkStart w:id="63" w:name="_Toc523502640"/>
      <w:r/>
      <w:bookmarkStart w:id="64" w:name="_Toc5997"/>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66"/>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66"/>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黑体" w:hAnsi="黑体" w:eastAsia="黑体" w:cs="黑体"/>
          <w:color w:val="auto"/>
          <w:szCs w:val="28"/>
          <w:highlight w:val="none"/>
        </w:rPr>
        <w:fldChar w:fldCharType="end"/>
      </w:r>
      <w:r/>
    </w:p>
    <w:p>
      <w:pPr>
        <w:pStyle w:val="866"/>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16</w:t>
      </w:r>
      <w:r>
        <w:rPr>
          <w:color w:val="auto"/>
          <w:highlight w:val="none"/>
        </w:rPr>
        <w:fldChar w:fldCharType="end"/>
      </w:r>
      <w:r>
        <w:rPr>
          <w:rFonts w:hint="eastAsia" w:ascii="黑体" w:hAnsi="黑体" w:eastAsia="黑体" w:cs="黑体"/>
          <w:color w:val="auto"/>
          <w:szCs w:val="28"/>
          <w:highlight w:val="none"/>
        </w:rPr>
        <w:fldChar w:fldCharType="end"/>
      </w:r>
      <w:r/>
    </w:p>
    <w:p>
      <w:pPr>
        <w:pStyle w:val="866"/>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ascii="黑体" w:hAnsi="黑体" w:eastAsia="黑体" w:cs="黑体"/>
          <w:color w:val="auto"/>
          <w:szCs w:val="28"/>
          <w:highlight w:val="none"/>
        </w:rPr>
        <w:fldChar w:fldCharType="end"/>
      </w:r>
      <w:r/>
    </w:p>
    <w:p>
      <w:pPr>
        <w:pStyle w:val="866"/>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黑体" w:hAnsi="黑体" w:eastAsia="黑体" w:cs="黑体"/>
          <w:color w:val="auto"/>
          <w:szCs w:val="28"/>
          <w:highlight w:val="none"/>
        </w:rPr>
        <w:fldChar w:fldCharType="end"/>
      </w:r>
      <w:r/>
    </w:p>
    <w:p>
      <w:pPr>
        <w:pStyle w:val="866"/>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黑体" w:hAnsi="黑体" w:eastAsia="黑体" w:cs="黑体"/>
          <w:color w:val="auto"/>
          <w:szCs w:val="28"/>
          <w:highlight w:val="none"/>
        </w:rPr>
        <w:fldChar w:fldCharType="end"/>
      </w:r>
      <w:r/>
    </w:p>
    <w:p>
      <w:pPr>
        <w:pStyle w:val="873"/>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834"/>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834"/>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keepLines w:val="0"/>
        <w:keepNext w:val="0"/>
        <w:pageBreakBefore w:val="0"/>
        <w:spacing w:line="360" w:lineRule="auto"/>
        <w:rPr>
          <w:rFonts w:hint="eastAsia" w:ascii="宋体" w:hAnsi="宋体" w:eastAsia="宋体" w:cs="宋体"/>
          <w:color w:val="auto"/>
          <w:sz w:val="21"/>
          <w:szCs w:val="21"/>
          <w:highlight w:val="none"/>
        </w:rPr>
        <w:pBdr>
          <w:top w:val="single" w:color="auto" w:sz="4" w:space="1"/>
          <w:left w:val="single" w:color="auto" w:sz="4" w:space="4"/>
          <w:bottom w:val="single" w:color="auto" w:sz="4" w:space="1"/>
          <w:right w:val="single" w:color="auto" w:sz="4" w:space="3"/>
        </w:pBdr>
      </w:pPr>
      <w:r/>
      <w:bookmarkStart w:id="67" w:name="OLE_LINK8"/>
      <w:r/>
      <w:bookmarkStart w:id="68" w:name="OLE_LINK9"/>
      <w:r/>
      <w:bookmarkStart w:id="69" w:name="OLE_LINK32"/>
      <w:r/>
      <w:bookmarkStart w:id="70" w:name="OLE_LINK16"/>
      <w:r/>
      <w:bookmarkStart w:id="71" w:name="OLE_LINK35"/>
      <w:r/>
      <w:bookmarkStart w:id="72" w:name="OLE_LINK21"/>
      <w:r/>
      <w:bookmarkStart w:id="73" w:name="OLE_LINK7"/>
      <w:r/>
      <w:bookmarkStart w:id="74" w:name="OLE_LINK23"/>
      <w:r/>
      <w:bookmarkStart w:id="75" w:name="OLE_LINK10"/>
      <w:r/>
      <w:bookmarkStart w:id="76" w:name="OLE_LINK26"/>
      <w:r/>
      <w:bookmarkStart w:id="77" w:name="OLE_LINK19"/>
      <w:r/>
      <w:bookmarkStart w:id="78" w:name="OLE_LINK22"/>
      <w:r/>
      <w:bookmarkStart w:id="79" w:name="OLE_LINK36"/>
      <w:r/>
      <w:bookmarkStart w:id="80" w:name="OLE_LINK28"/>
      <w:r/>
      <w:bookmarkStart w:id="81" w:name="OLE_LINK12"/>
      <w:r/>
      <w:bookmarkStart w:id="82" w:name="OLE_LINK11"/>
      <w:r/>
      <w:bookmarkStart w:id="83" w:name="OLE_LINK34"/>
      <w:r/>
      <w:bookmarkStart w:id="84" w:name="OLE_LINK33"/>
      <w:r/>
      <w:bookmarkStart w:id="85" w:name="OLE_LINK20"/>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360" w:lineRule="auto"/>
        <w:rPr>
          <w:rFonts w:hint="eastAsia" w:ascii="宋体" w:hAnsi="宋体" w:eastAsia="宋体" w:cs="宋体"/>
          <w:b/>
          <w:color w:val="auto"/>
          <w:sz w:val="21"/>
          <w:szCs w:val="21"/>
          <w:highlight w:val="none"/>
        </w:rPr>
        <w:pBdr>
          <w:top w:val="single" w:color="auto" w:sz="4" w:space="1"/>
          <w:left w:val="single" w:color="auto" w:sz="4" w:space="4"/>
          <w:bottom w:val="single" w:color="auto" w:sz="4" w:space="1"/>
          <w:right w:val="single" w:color="auto" w:sz="4" w:space="3"/>
        </w:pBdr>
      </w:pPr>
      <w:r>
        <w:rPr>
          <w:rFonts w:hint="eastAsia" w:ascii="宋体" w:hAnsi="宋体" w:eastAsia="宋体" w:cs="宋体"/>
          <w:color w:val="auto"/>
          <w:sz w:val="21"/>
          <w:szCs w:val="21"/>
          <w:highlight w:val="none"/>
          <w:u w:val="single"/>
          <w:lang w:eastAsia="zh-CN"/>
        </w:rPr>
        <w:t xml:space="preserve">2026年度北固山及胜利湖周边绿化管理服务</w:t>
      </w:r>
      <w:r>
        <w:rPr>
          <w:rFonts w:hint="eastAsia" w:ascii="宋体" w:hAnsi="宋体" w:eastAsia="宋体" w:cs="宋体"/>
          <w:color w:val="auto"/>
          <w:sz w:val="21"/>
          <w:szCs w:val="21"/>
          <w:highlight w:val="none"/>
        </w:rPr>
        <w:t xml:space="preserve">采购项目的潜在供应商应在</w:t>
      </w:r>
      <w:r>
        <w:rPr>
          <w:rFonts w:hint="eastAsia" w:ascii="宋体" w:hAnsi="宋体" w:eastAsia="宋体" w:cs="宋体"/>
          <w:color w:val="auto"/>
          <w:sz w:val="21"/>
          <w:szCs w:val="21"/>
          <w:highlight w:val="none"/>
          <w:u w:val="single"/>
          <w:lang w:eastAsia="zh-CN"/>
        </w:rPr>
        <w:t xml:space="preserve">江苏政府采购网</w:t>
      </w:r>
      <w:r>
        <w:rPr>
          <w:rFonts w:hint="eastAsia" w:ascii="宋体" w:hAnsi="宋体" w:eastAsia="宋体" w:cs="宋体"/>
          <w:color w:val="auto"/>
          <w:sz w:val="21"/>
          <w:szCs w:val="21"/>
          <w:highlight w:val="none"/>
        </w:rPr>
        <w:t xml:space="preserve">获取采购文件，并于</w:t>
      </w:r>
      <w:r>
        <w:rPr>
          <w:rFonts w:hint="eastAsia" w:ascii="宋体" w:hAnsi="宋体" w:eastAsia="宋体" w:cs="宋体"/>
          <w:b/>
          <w:bCs/>
          <w:color w:val="auto"/>
          <w:sz w:val="21"/>
          <w:szCs w:val="21"/>
          <w:highlight w:val="none"/>
          <w:u w:val="single"/>
        </w:rPr>
        <w:t xml:space="preserve">202</w:t>
      </w:r>
      <w:r>
        <w:rPr>
          <w:rFonts w:hint="eastAsia" w:ascii="宋体" w:hAnsi="宋体" w:eastAsia="宋体" w:cs="宋体"/>
          <w:b/>
          <w:bCs/>
          <w:color w:val="auto"/>
          <w:sz w:val="21"/>
          <w:szCs w:val="21"/>
          <w:highlight w:val="none"/>
          <w:u w:val="single"/>
          <w:lang w:val="en-US" w:eastAsia="zh-CN"/>
        </w:rPr>
        <w:t xml:space="preserve">5</w:t>
      </w:r>
      <w:r>
        <w:rPr>
          <w:rFonts w:hint="eastAsia" w:ascii="宋体" w:hAnsi="宋体" w:eastAsia="宋体" w:cs="宋体"/>
          <w:b/>
          <w:bCs/>
          <w:color w:val="auto"/>
          <w:sz w:val="21"/>
          <w:szCs w:val="21"/>
          <w:highlight w:val="none"/>
          <w:u w:val="single"/>
        </w:rPr>
        <w:t xml:space="preserve">年</w:t>
      </w:r>
      <w:r>
        <w:rPr>
          <w:rFonts w:hint="eastAsia" w:ascii="宋体" w:hAnsi="宋体" w:cs="宋体"/>
          <w:b/>
          <w:bCs/>
          <w:color w:val="auto"/>
          <w:sz w:val="21"/>
          <w:szCs w:val="21"/>
          <w:highlight w:val="none"/>
          <w:u w:val="single"/>
          <w:lang w:val="en-US" w:eastAsia="zh-CN"/>
        </w:rPr>
        <w:t xml:space="preserve">12</w:t>
      </w:r>
      <w:r>
        <w:rPr>
          <w:rFonts w:hint="eastAsia" w:ascii="宋体" w:hAnsi="宋体" w:eastAsia="宋体" w:cs="宋体"/>
          <w:b/>
          <w:bCs/>
          <w:color w:val="auto"/>
          <w:sz w:val="21"/>
          <w:szCs w:val="21"/>
          <w:highlight w:val="none"/>
          <w:u w:val="single"/>
          <w:lang w:val="en-US" w:eastAsia="zh-CN"/>
        </w:rPr>
        <w:t xml:space="preserve">月</w:t>
      </w:r>
      <w:r>
        <w:rPr>
          <w:rFonts w:hint="eastAsia" w:ascii="宋体" w:hAnsi="宋体" w:cs="宋体"/>
          <w:b/>
          <w:bCs/>
          <w:color w:val="auto"/>
          <w:sz w:val="21"/>
          <w:szCs w:val="21"/>
          <w:highlight w:val="none"/>
          <w:u w:val="single"/>
          <w:lang w:val="en-US" w:eastAsia="zh-CN"/>
        </w:rPr>
        <w:t xml:space="preserve">11</w:t>
      </w:r>
      <w:r>
        <w:rPr>
          <w:rFonts w:hint="eastAsia" w:ascii="宋体" w:hAnsi="宋体" w:eastAsia="宋体" w:cs="宋体"/>
          <w:b/>
          <w:bCs/>
          <w:color w:val="auto"/>
          <w:sz w:val="21"/>
          <w:szCs w:val="21"/>
          <w:highlight w:val="none"/>
          <w:u w:val="single"/>
        </w:rPr>
        <w:t xml:space="preserve">日</w:t>
      </w:r>
      <w:r>
        <w:rPr>
          <w:rFonts w:hint="eastAsia" w:ascii="宋体" w:hAnsi="宋体" w:eastAsia="宋体" w:cs="宋体"/>
          <w:b/>
          <w:bCs/>
          <w:color w:val="auto"/>
          <w:sz w:val="21"/>
          <w:szCs w:val="21"/>
          <w:highlight w:val="none"/>
          <w:u w:val="single"/>
          <w:lang w:val="en-US" w:eastAsia="zh-CN"/>
        </w:rPr>
        <w:t xml:space="preserve">14</w:t>
      </w:r>
      <w:r>
        <w:rPr>
          <w:rFonts w:hint="eastAsia" w:ascii="宋体" w:hAnsi="宋体" w:eastAsia="宋体" w:cs="宋体"/>
          <w:b/>
          <w:bCs/>
          <w:color w:val="auto"/>
          <w:sz w:val="21"/>
          <w:szCs w:val="21"/>
          <w:highlight w:val="none"/>
          <w:u w:val="single"/>
        </w:rPr>
        <w:t xml:space="preserve">点</w:t>
      </w:r>
      <w:r>
        <w:rPr>
          <w:rFonts w:hint="eastAsia" w:ascii="宋体" w:hAnsi="宋体" w:eastAsia="宋体" w:cs="宋体"/>
          <w:b/>
          <w:bCs/>
          <w:color w:val="auto"/>
          <w:sz w:val="21"/>
          <w:szCs w:val="21"/>
          <w:highlight w:val="none"/>
          <w:u w:val="single"/>
          <w:lang w:val="en-US" w:eastAsia="zh-CN"/>
        </w:rPr>
        <w:t xml:space="preserve">30</w:t>
      </w:r>
      <w:r>
        <w:rPr>
          <w:rFonts w:hint="eastAsia" w:ascii="宋体" w:hAnsi="宋体" w:eastAsia="宋体" w:cs="宋体"/>
          <w:b/>
          <w:bCs/>
          <w:color w:val="auto"/>
          <w:sz w:val="21"/>
          <w:szCs w:val="21"/>
          <w:highlight w:val="none"/>
          <w:u w:val="single"/>
        </w:rPr>
        <w:t xml:space="preserve">分</w:t>
      </w:r>
      <w:r>
        <w:rPr>
          <w:rFonts w:hint="eastAsia" w:ascii="宋体" w:hAnsi="宋体" w:eastAsia="宋体" w:cs="宋体"/>
          <w:bCs/>
          <w:color w:val="auto"/>
          <w:sz w:val="21"/>
          <w:szCs w:val="21"/>
          <w:highlight w:val="none"/>
        </w:rPr>
        <w:t xml:space="preserve">（北京时间）</w:t>
      </w:r>
      <w:r>
        <w:rPr>
          <w:rFonts w:hint="eastAsia" w:ascii="宋体" w:hAnsi="宋体" w:eastAsia="宋体" w:cs="宋体"/>
          <w:b/>
          <w:color w:val="auto"/>
          <w:sz w:val="21"/>
          <w:szCs w:val="21"/>
          <w:highlight w:val="none"/>
        </w:rPr>
        <w:t xml:space="preserve">前提交响应文件。</w:t>
      </w:r>
      <w:r/>
    </w:p>
    <w:p>
      <w:pPr>
        <w:pStyle w:val="877"/>
        <w:numPr>
          <w:ilvl w:val="0"/>
          <w:numId w:val="1"/>
        </w:numPr>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项目基本情况</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项目编号：</w:t>
      </w:r>
      <w:r>
        <w:rPr>
          <w:rFonts w:hint="eastAsia" w:ascii="宋体" w:hAnsi="宋体" w:eastAsia="宋体" w:cs="宋体"/>
          <w:color w:val="auto"/>
          <w:sz w:val="21"/>
          <w:szCs w:val="21"/>
          <w:highlight w:val="none"/>
          <w:lang w:val="zh-CN" w:eastAsia="zh-CN"/>
        </w:rPr>
        <w:t xml:space="preserve">JSZC-320703-SHGS-C2025-0024</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项目名称：2026年度北固山及胜利湖周边绿化管理服务</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rPr>
          <w:rFonts w:hint="eastAsia" w:ascii="宋体" w:hAnsi="宋体" w:eastAsia="宋体" w:cs="宋体"/>
          <w:b/>
          <w:bCs/>
          <w:color w:val="auto"/>
          <w:sz w:val="21"/>
          <w:szCs w:val="21"/>
          <w:highlight w:val="none"/>
        </w:rPr>
        <w:t xml:space="preserve">人民币</w:t>
      </w:r>
      <w:r>
        <w:rPr>
          <w:rFonts w:hint="eastAsia" w:ascii="宋体" w:hAnsi="宋体" w:eastAsia="宋体" w:cs="宋体"/>
          <w:b/>
          <w:bCs/>
          <w:color w:val="333333"/>
          <w:sz w:val="21"/>
          <w:szCs w:val="21"/>
          <w:highlight w:val="none"/>
          <w:lang w:val="en-US" w:eastAsia="zh-CN"/>
        </w:rPr>
        <w:t xml:space="preserve">398</w:t>
      </w:r>
      <w:r>
        <w:rPr>
          <w:rFonts w:hint="eastAsia" w:ascii="宋体" w:hAnsi="宋体" w:eastAsia="宋体" w:cs="宋体"/>
          <w:b/>
          <w:bCs/>
          <w:color w:val="auto"/>
          <w:sz w:val="21"/>
          <w:szCs w:val="21"/>
          <w:highlight w:val="none"/>
        </w:rPr>
        <w:t xml:space="preserve">万元</w:t>
      </w:r>
      <w:r>
        <w:rPr>
          <w:rFonts w:hint="eastAsia" w:ascii="宋体" w:hAnsi="宋体" w:eastAsia="宋体" w:cs="宋体"/>
          <w:color w:val="auto"/>
          <w:sz w:val="21"/>
          <w:szCs w:val="21"/>
          <w:highlight w:val="none"/>
        </w:rPr>
        <w:t xml:space="preserve">。</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最高限价：</w:t>
      </w:r>
      <w:r>
        <w:rPr>
          <w:rFonts w:hint="eastAsia" w:ascii="宋体" w:hAnsi="宋体" w:eastAsia="宋体" w:cs="宋体"/>
          <w:b/>
          <w:bCs/>
          <w:color w:val="auto"/>
          <w:sz w:val="21"/>
          <w:szCs w:val="21"/>
          <w:highlight w:val="none"/>
        </w:rPr>
        <w:t xml:space="preserve">人民币</w:t>
      </w:r>
      <w:r>
        <w:rPr>
          <w:rFonts w:hint="eastAsia" w:ascii="宋体" w:hAnsi="宋体" w:eastAsia="宋体" w:cs="宋体"/>
          <w:b/>
          <w:bCs/>
          <w:color w:val="333333"/>
          <w:sz w:val="21"/>
          <w:szCs w:val="21"/>
          <w:highlight w:val="none"/>
          <w:lang w:val="en-US" w:eastAsia="zh-CN"/>
        </w:rPr>
        <w:t xml:space="preserve">398.00</w:t>
      </w:r>
      <w:r>
        <w:rPr>
          <w:rFonts w:hint="eastAsia" w:ascii="宋体" w:hAnsi="宋体" w:eastAsia="宋体" w:cs="宋体"/>
          <w:b/>
          <w:bCs/>
          <w:color w:val="auto"/>
          <w:sz w:val="21"/>
          <w:szCs w:val="21"/>
          <w:highlight w:val="none"/>
        </w:rPr>
        <w:t xml:space="preserve">万元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报价超过最高限价的按无效响应处理</w:t>
      </w:r>
      <w:r>
        <w:rPr>
          <w:rFonts w:hint="eastAsia" w:ascii="宋体" w:hAnsi="宋体" w:eastAsia="宋体" w:cs="宋体"/>
          <w:b/>
          <w:bCs/>
          <w:color w:val="auto"/>
          <w:sz w:val="21"/>
          <w:szCs w:val="21"/>
          <w:highlight w:val="none"/>
          <w:lang w:eastAsia="zh-CN"/>
        </w:rPr>
        <w:t xml:space="preserve">。</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采购需求：2026年度北固山及胜利湖周边绿化管理服务施工采购；包含但不限于：包括北固山生态公园、北固山大道、宋家花园等18处公园、游园、步道等总管理面积约78.8平方米（包括水域面积22.9万平方米）的绿化养护、设施维修及保洁保安秩序管理，北固山4300亩林地病死树防治和清理综合内容；</w:t>
      </w:r>
      <w:r>
        <w:rPr>
          <w:rFonts w:hint="eastAsia" w:ascii="宋体" w:hAnsi="宋体" w:eastAsia="宋体" w:cs="宋体"/>
          <w:b/>
          <w:bCs/>
          <w:color w:val="auto"/>
          <w:sz w:val="21"/>
          <w:szCs w:val="21"/>
          <w:highlight w:val="none"/>
          <w:lang w:val="zh-CN" w:eastAsia="zh-CN"/>
        </w:rPr>
        <w:t xml:space="preserve">详见第四章“项目需求”。</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对</w:t>
      </w:r>
      <w:r>
        <w:rPr>
          <w:rFonts w:hint="eastAsia" w:ascii="宋体" w:hAnsi="宋体" w:eastAsia="宋体" w:cs="宋体"/>
          <w:b/>
          <w:bCs/>
          <w:color w:val="auto"/>
          <w:sz w:val="21"/>
          <w:szCs w:val="21"/>
          <w:highlight w:val="none"/>
          <w:lang w:val="zh-CN" w:eastAsia="zh-CN"/>
        </w:rPr>
        <w:t xml:space="preserve">项目需求部分的询问、质疑请与采购人联系，由采购人负责答复。</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合同履行期限：</w:t>
      </w:r>
      <w:r>
        <w:rPr>
          <w:rFonts w:hint="eastAsia" w:ascii="宋体" w:hAnsi="宋体" w:eastAsia="宋体" w:cs="宋体"/>
          <w:b/>
          <w:bCs/>
          <w:color w:val="auto"/>
          <w:sz w:val="21"/>
          <w:szCs w:val="21"/>
          <w:highlight w:val="none"/>
          <w:lang w:val="en-US" w:eastAsia="zh-CN"/>
        </w:rPr>
        <w:t xml:space="preserve">12个月（自合同约定时间起算）。</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服务地点：采购人指定地点。</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服务质量：合格，满足采购人需求及相关规定。</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本项目（是/否）接受联合体</w:t>
      </w:r>
      <w:r>
        <w:rPr>
          <w:rFonts w:hint="eastAsia" w:ascii="宋体" w:hAnsi="宋体" w:eastAsia="宋体" w:cs="宋体"/>
          <w:b/>
          <w:bCs/>
          <w:color w:val="auto"/>
          <w:sz w:val="21"/>
          <w:szCs w:val="21"/>
          <w:highlight w:val="none"/>
          <w:lang w:val="zh-CN" w:eastAsia="zh-CN"/>
        </w:rPr>
        <w:t xml:space="preserve">：否</w:t>
      </w:r>
      <w:r>
        <w:rPr>
          <w:rFonts w:hint="eastAsia" w:ascii="宋体" w:hAnsi="宋体" w:eastAsia="宋体" w:cs="宋体"/>
          <w:color w:val="auto"/>
          <w:sz w:val="21"/>
          <w:szCs w:val="21"/>
          <w:highlight w:val="none"/>
          <w:lang w:val="zh-CN" w:eastAsia="zh-CN"/>
        </w:rPr>
        <w:t xml:space="preserve">。</w:t>
      </w:r>
      <w:r/>
    </w:p>
    <w:p>
      <w:pPr>
        <w:pStyle w:val="877"/>
        <w:numPr>
          <w:ilvl w:val="0"/>
          <w:numId w:val="1"/>
        </w:numPr>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供应商资质要求及相关要求</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（1）法人或者其他组织的营业执照等证明文件，自然人的身份证明；</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（2）上一年度的财务状况报告；（成立不满一年无需提供）</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（3）依法缴纳税收和社会保障资金的相关材料；</w:t>
      </w:r>
      <w:r/>
    </w:p>
    <w:p>
      <w:pPr>
        <w:pStyle w:val="877"/>
        <w:contextualSpacing/>
        <w:ind w:firstLine="632"/>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（4）具备履行合同所必需的设备和专业技术能力的声明（见磋商文件格式，按要求提供证明材料）；</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（5）参加政府采购活动前3年内在经营活动中没有重大违法记录的书面声明（详见磋商文件格式）；</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w:t>
      </w:r>
      <w:r>
        <w:rPr>
          <w:rFonts w:hint="eastAsia" w:ascii="宋体" w:hAnsi="宋体" w:eastAsia="宋体" w:cs="宋体"/>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77"/>
        <w:contextualSpacing/>
        <w:ind w:firstLine="42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3、本项目的特定资格</w:t>
      </w:r>
      <w:r>
        <w:rPr>
          <w:rFonts w:hint="eastAsia" w:ascii="宋体" w:hAnsi="宋体" w:eastAsia="宋体" w:cs="宋体"/>
          <w:color w:val="auto"/>
          <w:sz w:val="21"/>
          <w:szCs w:val="21"/>
          <w:highlight w:val="none"/>
          <w:lang w:val="en-US" w:eastAsia="zh-CN"/>
        </w:rPr>
        <w:t xml:space="preserve">要求：</w:t>
      </w:r>
      <w:r/>
    </w:p>
    <w:p>
      <w:pPr>
        <w:pStyle w:val="877"/>
        <w:contextualSpacing/>
        <w:ind w:firstLine="42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）项目负责人：本项目要求授权委托人必须为项目负责人，不接受项目负责人以外的人员作为委托人参与</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过程中各环节的活动。拟派项目负责人必须为供应商的员工，提供近202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月（含）至今中任意一个月由供应商为其缴纳的社保缴纳证明（加盖社保中心章或社保中心参保缴费证明电子专用章）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提供项目负责人社保缴纳证明扫描件</w:t>
      </w:r>
      <w:r>
        <w:rPr>
          <w:rFonts w:hint="eastAsia" w:ascii="宋体" w:hAnsi="宋体" w:eastAsia="宋体" w:cs="宋体"/>
          <w:color w:val="auto"/>
          <w:sz w:val="21"/>
          <w:szCs w:val="21"/>
          <w:highlight w:val="none"/>
          <w:lang w:eastAsia="zh-CN"/>
        </w:rPr>
        <w:t xml:space="preserve">）</w:t>
      </w:r>
      <w:bookmarkEnd w:id="66"/>
      <w:r/>
      <w:bookmarkEnd w:id="67"/>
      <w:r/>
      <w:bookmarkEnd w:id="68"/>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（2）提供有效的企业法人授权委托书（按磋商文件格式）、法定代表人身份证、被授权人身份证；</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（3）资格审查现场查询信用中国、中国政府采购网，</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对供应商信用记录情况进行</w:t>
      </w:r>
      <w:r>
        <w:rPr>
          <w:rFonts w:hint="eastAsia" w:ascii="宋体" w:hAnsi="宋体" w:eastAsia="宋体" w:cs="宋体"/>
          <w:sz w:val="21"/>
          <w:szCs w:val="21"/>
          <w:lang w:eastAsia="zh-CN"/>
        </w:rPr>
        <w:t xml:space="preserve">现场</w:t>
      </w:r>
      <w:r>
        <w:rPr>
          <w:rFonts w:hint="eastAsia" w:ascii="宋体" w:hAnsi="宋体" w:eastAsia="宋体" w:cs="宋体"/>
          <w:sz w:val="21"/>
          <w:szCs w:val="21"/>
        </w:rPr>
        <w:t xml:space="preserve">查询，</w:t>
      </w:r>
      <w:r>
        <w:rPr>
          <w:rFonts w:hint="eastAsia" w:ascii="宋体" w:hAnsi="宋体" w:eastAsia="宋体" w:cs="宋体"/>
          <w:sz w:val="21"/>
          <w:szCs w:val="21"/>
          <w:lang w:eastAsia="zh-CN"/>
        </w:rPr>
        <w:t xml:space="preserve">响应文件中无需提供证明材料</w:t>
      </w:r>
      <w:r>
        <w:rPr>
          <w:rFonts w:hint="eastAsia" w:ascii="宋体" w:hAnsi="宋体" w:eastAsia="宋体" w:cs="宋体"/>
          <w:sz w:val="21"/>
          <w:szCs w:val="21"/>
        </w:rPr>
        <w:t xml:space="preserve">）。</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）法律法规规定的其他条件。</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三、磋商文件的获取</w:t>
      </w:r>
      <w:r/>
    </w:p>
    <w:p>
      <w:pPr>
        <w:pStyle w:val="877"/>
        <w:contextualSpacing/>
        <w:ind w:firstLine="422"/>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时间：</w:t>
      </w:r>
      <w:r>
        <w:rPr>
          <w:rFonts w:hint="eastAsia" w:ascii="宋体" w:hAnsi="宋体" w:eastAsia="宋体" w:cs="宋体"/>
          <w:b/>
          <w:bCs/>
          <w:color w:val="auto"/>
          <w:sz w:val="21"/>
          <w:szCs w:val="21"/>
          <w:highlight w:val="none"/>
          <w:lang w:eastAsia="zh-CN"/>
        </w:rPr>
        <w:t xml:space="preserve">自磋商文件公告发布起</w:t>
      </w:r>
      <w:r>
        <w:rPr>
          <w:rFonts w:hint="eastAsia" w:ascii="宋体" w:hAnsi="宋体" w:eastAsia="宋体" w:cs="宋体"/>
          <w:b/>
          <w:bCs/>
          <w:color w:val="auto"/>
          <w:sz w:val="21"/>
          <w:szCs w:val="21"/>
          <w:highlight w:val="none"/>
          <w:lang w:val="en-US" w:eastAsia="zh-CN"/>
        </w:rPr>
        <w:t xml:space="preserve">5个工作日</w:t>
      </w:r>
      <w:r>
        <w:rPr>
          <w:rFonts w:hint="eastAsia" w:ascii="宋体" w:hAnsi="宋体" w:eastAsia="宋体" w:cs="宋体"/>
          <w:b/>
          <w:bCs/>
          <w:color w:val="auto"/>
          <w:sz w:val="21"/>
          <w:szCs w:val="21"/>
          <w:highlight w:val="none"/>
        </w:rPr>
        <w:t xml:space="preserve">；</w:t>
      </w:r>
      <w:r/>
    </w:p>
    <w:p>
      <w:pPr>
        <w:pStyle w:val="877"/>
        <w:contextualSpacing/>
        <w:ind w:firstLine="422"/>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方式：在“江苏政府采购网”自行免费下载</w:t>
      </w:r>
      <w:r>
        <w:rPr>
          <w:rFonts w:hint="eastAsia" w:ascii="宋体" w:hAnsi="宋体" w:eastAsia="宋体" w:cs="宋体"/>
          <w:b/>
          <w:bCs/>
          <w:color w:val="auto"/>
          <w:sz w:val="21"/>
          <w:szCs w:val="21"/>
          <w:highlight w:val="none"/>
          <w:lang w:eastAsia="zh-CN"/>
        </w:rPr>
        <w:t xml:space="preserve">磋商</w:t>
      </w:r>
      <w:r>
        <w:rPr>
          <w:rFonts w:hint="eastAsia" w:ascii="宋体" w:hAnsi="宋体" w:eastAsia="宋体" w:cs="宋体"/>
          <w:b/>
          <w:bCs/>
          <w:color w:val="auto"/>
          <w:sz w:val="21"/>
          <w:szCs w:val="21"/>
          <w:highlight w:val="none"/>
        </w:rPr>
        <w:t xml:space="preserve">文件。</w:t>
      </w:r>
      <w:r/>
    </w:p>
    <w:p>
      <w:pPr>
        <w:pStyle w:val="877"/>
        <w:contextualSpacing/>
        <w:ind w:firstLine="1054"/>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方法及步骤如下（可参考）：</w:t>
      </w:r>
      <w:r/>
    </w:p>
    <w:p>
      <w:pPr>
        <w:pStyle w:val="877"/>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登录http://jszfcg.jsczt.cn/ ，或进入江苏政府采购网，点击“苏采云”进入系统。</w:t>
      </w:r>
      <w:r/>
    </w:p>
    <w:p>
      <w:pPr>
        <w:pStyle w:val="877"/>
        <w:contextualSpacing/>
        <w:ind w:firstLine="84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具体见《江苏省政府采购管理交易系统(苏采云)供应商操作手册》。</w:t>
      </w:r>
      <w:r/>
    </w:p>
    <w:p>
      <w:pPr>
        <w:pStyle w:val="877"/>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潜在供应商访问“苏采云”系统的网络地址和方法:“苏采云”系统的网址:http://jszfcg.jsczt.cn/。</w:t>
      </w:r>
      <w:r/>
    </w:p>
    <w:p>
      <w:pPr>
        <w:pStyle w:val="877"/>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77"/>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77"/>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）采购代理机构</w:t>
      </w:r>
      <w:r>
        <w:rPr>
          <w:rFonts w:hint="eastAsia" w:ascii="宋体" w:hAnsi="宋体" w:eastAsia="宋体" w:cs="宋体"/>
          <w:color w:val="auto"/>
          <w:sz w:val="21"/>
          <w:szCs w:val="21"/>
          <w:highlight w:val="none"/>
        </w:rPr>
        <w:t xml:space="preserve">将数据电文形式的采购文件加载至“苏采云”系统，供潜在供应商下载或者查阅。</w:t>
      </w:r>
      <w:r/>
    </w:p>
    <w:p>
      <w:pPr>
        <w:pStyle w:val="877"/>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四、电子响应文件递交及开启</w:t>
      </w:r>
      <w:r/>
    </w:p>
    <w:p>
      <w:pPr>
        <w:contextualSpacing/>
        <w:ind w:firstLine="525"/>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1、电子响应文件递交截止时间与地点：</w:t>
      </w:r>
      <w:r/>
    </w:p>
    <w:p>
      <w:pPr>
        <w:contextualSpacing/>
        <w:ind w:firstLine="527"/>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时间：202</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年</w:t>
      </w:r>
      <w:r>
        <w:rPr>
          <w:rFonts w:hint="eastAsia" w:ascii="宋体" w:hAnsi="宋体" w:eastAsia="宋体" w:cs="宋体"/>
          <w:b/>
          <w:color w:val="auto"/>
          <w:sz w:val="21"/>
          <w:szCs w:val="21"/>
          <w:highlight w:val="none"/>
          <w:lang w:val="en-US" w:eastAsia="zh-CN"/>
        </w:rPr>
        <w:t xml:space="preserve"> </w:t>
      </w:r>
      <w:r>
        <w:rPr>
          <w:rFonts w:hint="eastAsia" w:ascii="宋体" w:hAnsi="宋体" w:cs="宋体"/>
          <w:b/>
          <w:color w:val="auto"/>
          <w:sz w:val="21"/>
          <w:szCs w:val="21"/>
          <w:highlight w:val="none"/>
          <w:lang w:val="en-US" w:eastAsia="zh-CN"/>
        </w:rPr>
        <w:t xml:space="preserve">12 </w:t>
      </w:r>
      <w:r>
        <w:rPr>
          <w:rFonts w:hint="eastAsia" w:ascii="宋体" w:hAnsi="宋体" w:eastAsia="宋体" w:cs="宋体"/>
          <w:b/>
          <w:color w:val="auto"/>
          <w:sz w:val="21"/>
          <w:szCs w:val="21"/>
          <w:highlight w:val="none"/>
        </w:rPr>
        <w:t xml:space="preserve">月</w:t>
      </w:r>
      <w:r>
        <w:rPr>
          <w:rFonts w:hint="eastAsia" w:ascii="宋体" w:hAnsi="宋体" w:cs="宋体"/>
          <w:b/>
          <w:color w:val="auto"/>
          <w:sz w:val="21"/>
          <w:szCs w:val="21"/>
          <w:highlight w:val="none"/>
          <w:lang w:val="en-US" w:eastAsia="zh-CN"/>
        </w:rPr>
        <w:t xml:space="preserve">11</w:t>
      </w:r>
      <w:r>
        <w:rPr>
          <w:rFonts w:hint="eastAsia" w:ascii="宋体" w:hAnsi="宋体" w:eastAsia="宋体" w:cs="宋体"/>
          <w:b/>
          <w:color w:val="auto"/>
          <w:sz w:val="21"/>
          <w:szCs w:val="21"/>
          <w:highlight w:val="none"/>
        </w:rPr>
        <w:t xml:space="preserve">日</w:t>
      </w:r>
      <w:r>
        <w:rPr>
          <w:rFonts w:hint="eastAsia" w:ascii="宋体" w:hAnsi="宋体" w:eastAsia="宋体" w:cs="宋体"/>
          <w:b/>
          <w:color w:val="auto"/>
          <w:sz w:val="21"/>
          <w:szCs w:val="21"/>
          <w:highlight w:val="none"/>
          <w:lang w:val="en-US" w:eastAsia="zh-CN"/>
        </w:rPr>
        <w:t xml:space="preserve">14</w:t>
      </w:r>
      <w:r>
        <w:rPr>
          <w:rFonts w:hint="eastAsia" w:ascii="宋体" w:hAnsi="宋体" w:eastAsia="宋体" w:cs="宋体"/>
          <w:b/>
          <w:color w:val="auto"/>
          <w:sz w:val="21"/>
          <w:szCs w:val="21"/>
          <w:highlight w:val="none"/>
        </w:rPr>
        <w:t xml:space="preserve">时</w:t>
      </w:r>
      <w:r>
        <w:rPr>
          <w:rFonts w:hint="eastAsia" w:ascii="宋体" w:hAnsi="宋体" w:eastAsia="宋体" w:cs="宋体"/>
          <w:b/>
          <w:color w:val="auto"/>
          <w:sz w:val="21"/>
          <w:szCs w:val="21"/>
          <w:highlight w:val="none"/>
          <w:lang w:val="en-US" w:eastAsia="zh-CN"/>
        </w:rPr>
        <w:t xml:space="preserve">30</w:t>
      </w:r>
      <w:r>
        <w:rPr>
          <w:rFonts w:hint="eastAsia" w:ascii="宋体" w:hAnsi="宋体" w:eastAsia="宋体" w:cs="宋体"/>
          <w:b/>
          <w:color w:val="auto"/>
          <w:sz w:val="21"/>
          <w:szCs w:val="21"/>
          <w:highlight w:val="none"/>
        </w:rPr>
        <w:t xml:space="preserve">分（北京时间）</w:t>
      </w:r>
      <w:r/>
    </w:p>
    <w:p>
      <w:pPr>
        <w:contextualSpacing/>
        <w:ind w:firstLine="527"/>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地址：</w:t>
      </w:r>
      <w:r>
        <w:rPr>
          <w:rFonts w:hint="eastAsia" w:ascii="宋体" w:hAnsi="宋体" w:eastAsia="宋体" w:cs="宋体"/>
          <w:b/>
          <w:color w:val="auto"/>
          <w:sz w:val="21"/>
          <w:szCs w:val="21"/>
          <w:highlight w:val="none"/>
          <w:lang w:eastAsia="zh-CN"/>
        </w:rPr>
        <w:t xml:space="preserve">江苏省政府采购管理交易系统(苏采云)</w:t>
      </w:r>
      <w:r>
        <w:rPr>
          <w:rFonts w:hint="eastAsia" w:ascii="宋体" w:hAnsi="宋体" w:eastAsia="宋体" w:cs="宋体"/>
          <w:b/>
          <w:color w:val="auto"/>
          <w:sz w:val="21"/>
          <w:szCs w:val="21"/>
          <w:highlight w:val="none"/>
        </w:rPr>
        <w:t xml:space="preserve">网上开标大厅。</w:t>
      </w:r>
      <w:r/>
    </w:p>
    <w:p>
      <w:pPr>
        <w:contextualSpacing/>
        <w:ind w:firstLine="525"/>
        <w:jc w:val="left"/>
        <w:keepLines w:val="0"/>
        <w:keepNext w:val="0"/>
        <w:pageBreakBefore w:val="0"/>
        <w:spacing w:line="360" w:lineRule="auto"/>
        <w:widowControl/>
        <w:tabs>
          <w:tab w:val="left" w:pos="27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2、开启时间与地点：</w:t>
      </w:r>
      <w:r>
        <w:tab/>
      </w:r>
      <w:r/>
    </w:p>
    <w:p>
      <w:pPr>
        <w:contextualSpacing/>
        <w:ind w:firstLine="527"/>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时间：202</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年</w:t>
      </w:r>
      <w:r>
        <w:rPr>
          <w:rFonts w:hint="eastAsia" w:ascii="宋体" w:hAnsi="宋体" w:eastAsia="宋体" w:cs="宋体"/>
          <w:b/>
          <w:color w:val="auto"/>
          <w:sz w:val="21"/>
          <w:szCs w:val="21"/>
          <w:highlight w:val="none"/>
          <w:lang w:val="en-US" w:eastAsia="zh-CN"/>
        </w:rPr>
        <w:t xml:space="preserve"> </w:t>
      </w:r>
      <w:r>
        <w:rPr>
          <w:rFonts w:hint="eastAsia" w:ascii="宋体" w:hAnsi="宋体" w:cs="宋体"/>
          <w:b/>
          <w:color w:val="auto"/>
          <w:sz w:val="21"/>
          <w:szCs w:val="21"/>
          <w:highlight w:val="none"/>
          <w:lang w:val="en-US" w:eastAsia="zh-CN"/>
        </w:rPr>
        <w:t xml:space="preserve">12</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月</w:t>
      </w:r>
      <w:r>
        <w:rPr>
          <w:rFonts w:hint="eastAsia" w:ascii="宋体" w:hAnsi="宋体" w:cs="宋体"/>
          <w:b/>
          <w:color w:val="auto"/>
          <w:sz w:val="21"/>
          <w:szCs w:val="21"/>
          <w:highlight w:val="none"/>
          <w:lang w:val="en-US" w:eastAsia="zh-CN"/>
        </w:rPr>
        <w:t xml:space="preserve">11</w:t>
      </w:r>
      <w:r>
        <w:rPr>
          <w:rFonts w:hint="eastAsia" w:ascii="宋体" w:hAnsi="宋体" w:eastAsia="宋体" w:cs="宋体"/>
          <w:b/>
          <w:color w:val="auto"/>
          <w:sz w:val="21"/>
          <w:szCs w:val="21"/>
          <w:highlight w:val="none"/>
        </w:rPr>
        <w:t xml:space="preserve">日</w:t>
      </w:r>
      <w:r>
        <w:rPr>
          <w:rFonts w:hint="eastAsia" w:ascii="宋体" w:hAnsi="宋体" w:eastAsia="宋体" w:cs="宋体"/>
          <w:b/>
          <w:color w:val="auto"/>
          <w:sz w:val="21"/>
          <w:szCs w:val="21"/>
          <w:highlight w:val="none"/>
          <w:lang w:val="en-US" w:eastAsia="zh-CN"/>
        </w:rPr>
        <w:t xml:space="preserve">14</w:t>
      </w:r>
      <w:r>
        <w:rPr>
          <w:rFonts w:hint="eastAsia" w:ascii="宋体" w:hAnsi="宋体" w:eastAsia="宋体" w:cs="宋体"/>
          <w:b/>
          <w:color w:val="auto"/>
          <w:sz w:val="21"/>
          <w:szCs w:val="21"/>
          <w:highlight w:val="none"/>
        </w:rPr>
        <w:t xml:space="preserve">时</w:t>
      </w:r>
      <w:r>
        <w:rPr>
          <w:rFonts w:hint="eastAsia" w:ascii="宋体" w:hAnsi="宋体" w:eastAsia="宋体" w:cs="宋体"/>
          <w:b/>
          <w:color w:val="auto"/>
          <w:sz w:val="21"/>
          <w:szCs w:val="21"/>
          <w:highlight w:val="none"/>
          <w:lang w:val="en-US" w:eastAsia="zh-CN"/>
        </w:rPr>
        <w:t xml:space="preserve">30</w:t>
      </w:r>
      <w:r>
        <w:rPr>
          <w:rFonts w:hint="eastAsia" w:ascii="宋体" w:hAnsi="宋体" w:eastAsia="宋体" w:cs="宋体"/>
          <w:b/>
          <w:color w:val="auto"/>
          <w:sz w:val="21"/>
          <w:szCs w:val="21"/>
          <w:highlight w:val="none"/>
        </w:rPr>
        <w:t xml:space="preserve">分（北京时间）</w:t>
      </w:r>
      <w:r/>
    </w:p>
    <w:p>
      <w:pPr>
        <w:contextualSpacing/>
        <w:ind w:firstLine="527"/>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地址：</w:t>
      </w:r>
      <w:r>
        <w:rPr>
          <w:rFonts w:hint="eastAsia" w:ascii="宋体" w:hAnsi="宋体" w:eastAsia="宋体" w:cs="宋体"/>
          <w:b/>
          <w:color w:val="auto"/>
          <w:sz w:val="21"/>
          <w:szCs w:val="21"/>
          <w:highlight w:val="none"/>
          <w:lang w:eastAsia="zh-CN"/>
        </w:rPr>
        <w:t xml:space="preserve">江苏省政府采购管理交易系统(苏采云)</w:t>
      </w:r>
      <w:r>
        <w:rPr>
          <w:rFonts w:hint="eastAsia" w:ascii="宋体" w:hAnsi="宋体" w:eastAsia="宋体" w:cs="宋体"/>
          <w:b/>
          <w:color w:val="auto"/>
          <w:sz w:val="21"/>
          <w:szCs w:val="21"/>
          <w:highlight w:val="none"/>
        </w:rPr>
        <w:t xml:space="preserve">网上开标大厅。</w:t>
      </w:r>
      <w:r/>
    </w:p>
    <w:p>
      <w:pPr>
        <w:pStyle w:val="877"/>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五、公告期限</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本项目公告期限时间为：自本公告发布之日起</w:t>
      </w:r>
      <w:r>
        <w:rPr>
          <w:rFonts w:hint="eastAsia" w:ascii="宋体" w:hAnsi="宋体" w:eastAsia="宋体" w:cs="宋体"/>
          <w:b/>
          <w:bCs/>
          <w:color w:val="auto"/>
          <w:sz w:val="21"/>
          <w:szCs w:val="21"/>
          <w:highlight w:val="none"/>
        </w:rPr>
        <w:t xml:space="preserve">3个</w:t>
      </w:r>
      <w:r>
        <w:rPr>
          <w:rFonts w:hint="eastAsia" w:ascii="宋体" w:hAnsi="宋体" w:eastAsia="宋体" w:cs="宋体"/>
          <w:color w:val="auto"/>
          <w:sz w:val="21"/>
          <w:szCs w:val="21"/>
          <w:highlight w:val="none"/>
        </w:rPr>
        <w:t xml:space="preserve">工作日。</w:t>
      </w:r>
      <w:r/>
    </w:p>
    <w:p>
      <w:pPr>
        <w:pStyle w:val="877"/>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1、本次磋商采购不收取磋商保证金。</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http://www.ccgp-jiangsu.gov.cn/jiangsu/zlxz/ee/ee3a4bc5a3454aa2b0d9312230633ce9.html</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77"/>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87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采购单位：连云区公用事业发展中心</w:t>
      </w:r>
      <w:r/>
    </w:p>
    <w:p>
      <w:pPr>
        <w:pStyle w:val="87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联系电话：15950755985</w:t>
      </w:r>
      <w:r>
        <w:rPr>
          <w:rFonts w:hint="eastAsia" w:ascii="宋体" w:hAnsi="宋体" w:eastAsia="宋体" w:cs="宋体"/>
          <w:color w:val="auto"/>
          <w:sz w:val="21"/>
          <w:szCs w:val="21"/>
          <w:highlight w:val="none"/>
          <w:lang w:val="en-US" w:eastAsia="zh-CN"/>
        </w:rPr>
        <w:t xml:space="preserve"> </w:t>
      </w:r>
      <w:r/>
    </w:p>
    <w:p>
      <w:pPr>
        <w:pStyle w:val="87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联系地址：</w:t>
      </w:r>
      <w:r>
        <w:rPr>
          <w:rFonts w:hint="eastAsia" w:ascii="宋体" w:hAnsi="宋体" w:eastAsia="宋体" w:cs="宋体"/>
          <w:color w:val="auto"/>
          <w:sz w:val="21"/>
          <w:szCs w:val="21"/>
          <w:highlight w:val="none"/>
          <w:lang w:val="en-US" w:eastAsia="zh-CN"/>
        </w:rPr>
        <w:t xml:space="preserve">连云区连云新城广州路88号</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87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单位名称：连云港上和工程咨询有限公司</w:t>
      </w:r>
      <w:r/>
    </w:p>
    <w:p>
      <w:pPr>
        <w:pStyle w:val="87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default" w:ascii="Times New Roman" w:hAnsi="Times New Roman" w:eastAsia="宋体" w:cs="Times New Roman"/>
          <w:sz w:val="21"/>
          <w:szCs w:val="21"/>
          <w:highlight w:val="none"/>
          <w:lang w:eastAsia="zh-CN"/>
        </w:rPr>
        <w:t xml:space="preserve">连云港市连云区连云新城广州路88号国际商务中心503室</w:t>
      </w:r>
      <w:r/>
    </w:p>
    <w:p>
      <w:pPr>
        <w:pStyle w:val="87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系</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lang w:val="en-US" w:eastAsia="zh-CN"/>
        </w:rPr>
        <w:t xml:space="preserve">张工</w:t>
      </w:r>
      <w:r/>
    </w:p>
    <w:p>
      <w:pPr>
        <w:ind w:firstLine="1050"/>
        <w:jc w:val="left"/>
        <w:spacing w:line="360" w:lineRule="auto"/>
        <w:rPr>
          <w:rFonts w:hint="eastAsia" w:ascii="宋体" w:hAnsi="宋体" w:cs="宋体"/>
          <w:szCs w:val="22"/>
          <w:highlight w:val="none"/>
        </w:rPr>
      </w:pPr>
      <w:r>
        <w:rPr>
          <w:rFonts w:hint="eastAsia" w:ascii="宋体" w:hAnsi="宋体" w:eastAsia="宋体" w:cs="宋体"/>
          <w:color w:val="auto"/>
          <w:sz w:val="21"/>
          <w:szCs w:val="21"/>
          <w:highlight w:val="none"/>
          <w:lang w:eastAsia="zh-CN"/>
        </w:rPr>
        <w:t xml:space="preserve">联系电话：</w:t>
      </w:r>
      <w:r>
        <w:rPr>
          <w:rFonts w:hint="eastAsia" w:ascii="宋体" w:hAnsi="宋体" w:cs="宋体"/>
          <w:szCs w:val="22"/>
          <w:highlight w:val="none"/>
        </w:rPr>
        <w:t xml:space="preserve">0518-85588595</w:t>
      </w:r>
      <w:r/>
    </w:p>
    <w:p>
      <w:pPr>
        <w:ind w:firstLine="1050"/>
        <w:jc w:val="left"/>
        <w:spacing w:line="360" w:lineRule="auto"/>
        <w:rPr>
          <w:rFonts w:hint="eastAsia" w:ascii="宋体" w:hAnsi="宋体" w:eastAsia="宋体" w:cs="宋体"/>
          <w:szCs w:val="22"/>
          <w:highlight w:val="none"/>
          <w:lang w:eastAsia="zh-CN"/>
        </w:rPr>
      </w:pPr>
      <w:r>
        <w:rPr>
          <w:rFonts w:hint="eastAsia" w:ascii="宋体" w:hAnsi="宋体" w:cs="宋体"/>
          <w:szCs w:val="22"/>
          <w:highlight w:val="none"/>
          <w:lang w:eastAsia="zh-CN"/>
        </w:rPr>
        <w:t xml:space="preserve">邮</w:t>
      </w:r>
      <w:r>
        <w:rPr>
          <w:rFonts w:hint="eastAsia" w:ascii="宋体" w:hAnsi="宋体" w:cs="宋体"/>
          <w:szCs w:val="22"/>
          <w:highlight w:val="none"/>
          <w:lang w:val="en-US" w:eastAsia="zh-CN"/>
        </w:rPr>
        <w:t xml:space="preserve">    </w:t>
      </w:r>
      <w:r>
        <w:rPr>
          <w:rFonts w:hint="eastAsia" w:ascii="宋体" w:hAnsi="宋体" w:cs="宋体"/>
          <w:szCs w:val="22"/>
          <w:highlight w:val="none"/>
          <w:lang w:eastAsia="zh-CN"/>
        </w:rPr>
        <w:t xml:space="preserve">箱：</w:t>
      </w:r>
      <w:r>
        <w:rPr>
          <w:rFonts w:hint="eastAsia" w:ascii="宋体" w:hAnsi="宋体" w:cs="宋体"/>
          <w:szCs w:val="22"/>
          <w:highlight w:val="none"/>
        </w:rPr>
        <w:t xml:space="preserve">shanghezhaobiao@126.com</w:t>
      </w:r>
      <w:r/>
    </w:p>
    <w:p>
      <w:pPr>
        <w:pStyle w:val="87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87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王先生  </w:t>
      </w:r>
      <w:r/>
    </w:p>
    <w:p>
      <w:pPr>
        <w:pStyle w:val="87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15950755985</w:t>
      </w:r>
      <w:r>
        <w:rPr>
          <w:rFonts w:hint="eastAsia" w:ascii="宋体" w:hAnsi="宋体" w:eastAsia="宋体" w:cs="宋体"/>
          <w:sz w:val="21"/>
          <w:szCs w:val="21"/>
          <w:highlight w:val="none"/>
          <w:lang w:val="en-US" w:eastAsia="zh-CN"/>
        </w:rPr>
        <w:t xml:space="preserve"> </w:t>
      </w:r>
      <w:r/>
    </w:p>
    <w:p>
      <w:pPr>
        <w:pStyle w:val="900"/>
        <w:keepLines w:val="0"/>
        <w:keepNext w:val="0"/>
        <w:pageBreakBefore w:val="0"/>
        <w:spacing w:line="360" w:lineRule="auto"/>
        <w:rPr>
          <w:rFonts w:hint="eastAsia" w:ascii="宋体" w:hAnsi="宋体" w:eastAsia="宋体" w:cs="宋体"/>
          <w:b/>
          <w:bCs/>
          <w:color w:val="auto"/>
          <w:sz w:val="21"/>
          <w:szCs w:val="21"/>
          <w:highlight w:val="none"/>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20</w:t>
      </w: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rPr>
        <w:t xml:space="preserve">01</w:t>
      </w:r>
      <w:r>
        <w:rPr>
          <w:rFonts w:hint="eastAsia" w:ascii="宋体" w:hAnsi="宋体" w:eastAsia="宋体" w:cs="宋体"/>
          <w:b/>
          <w:bCs/>
          <w:color w:val="auto"/>
          <w:sz w:val="21"/>
          <w:szCs w:val="21"/>
          <w:highlight w:val="none"/>
        </w:rPr>
        <w:t xml:space="preserve">日</w:t>
      </w:r>
      <w:r/>
    </w:p>
    <w:p>
      <w:pPr>
        <w:rPr>
          <w:color w:val="auto"/>
          <w:highlight w:val="none"/>
        </w:rPr>
      </w:pPr>
      <w:r/>
      <w:bookmarkStart w:id="86" w:name="_Toc61149549"/>
      <w:r/>
      <w:bookmarkStart w:id="87" w:name="_Toc513029209"/>
      <w:r/>
      <w:bookmarkStart w:id="88" w:name="_Toc14577347"/>
      <w:r/>
      <w:r/>
    </w:p>
    <w:p>
      <w:pPr>
        <w:pStyle w:val="834"/>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pageBreakBefore w:val="0"/>
        <w:spacing w:line="360" w:lineRule="auto"/>
        <w:rPr>
          <w:bCs/>
          <w:color w:val="auto"/>
          <w:szCs w:val="21"/>
          <w:highlight w:val="none"/>
        </w:rPr>
      </w:pPr>
      <w:r>
        <w:rPr>
          <w:bCs/>
          <w:color w:val="auto"/>
          <w:szCs w:val="21"/>
          <w:highlight w:val="none"/>
        </w:rPr>
      </w:r>
      <w:r/>
    </w:p>
    <w:p>
      <w:pPr>
        <w:ind w:firstLine="2520"/>
        <w:pageBreakBefore w:val="0"/>
        <w:spacing w:line="360" w:lineRule="auto"/>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pStyle w:val="835"/>
        <w:jc w:val="both"/>
        <w:pageBreakBefore w:val="0"/>
        <w:spacing w:before="0" w:after="0" w:line="440" w:lineRule="exact"/>
        <w:widowControl w:val="off"/>
        <w:rPr>
          <w:rFonts w:hint="eastAsia" w:ascii="宋体" w:hAnsi="宋体" w:eastAsia="宋体" w:cs="宋体"/>
          <w:b w:val="0"/>
          <w:sz w:val="21"/>
          <w:szCs w:val="21"/>
        </w:rPr>
      </w:pPr>
      <w:r/>
      <w:bookmarkStart w:id="90" w:name="_Toc11984"/>
      <w:r/>
      <w:bookmarkStart w:id="91" w:name="_Toc513622228"/>
      <w:r/>
      <w:bookmarkStart w:id="92" w:name="_Toc139966427"/>
      <w:r/>
      <w:bookmarkStart w:id="93" w:name="_Toc139967211"/>
      <w:r/>
      <w:bookmarkStart w:id="94" w:name="_Toc32045"/>
      <w:r>
        <w:rPr>
          <w:rFonts w:hint="eastAsia" w:ascii="宋体" w:hAnsi="宋体" w:eastAsia="宋体" w:cs="宋体"/>
          <w:b w:val="0"/>
          <w:sz w:val="21"/>
          <w:szCs w:val="21"/>
        </w:rPr>
        <w:t xml:space="preserve">一、总则</w:t>
      </w:r>
      <w:bookmarkEnd w:id="90"/>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95" w:name="_Toc32139"/>
      <w:r>
        <w:rPr>
          <w:rFonts w:hint="eastAsia" w:ascii="宋体" w:hAnsi="宋体" w:eastAsia="宋体" w:cs="宋体"/>
          <w:sz w:val="21"/>
          <w:szCs w:val="21"/>
        </w:rPr>
        <w:t xml:space="preserve">1、采购方式</w:t>
      </w:r>
      <w:bookmarkEnd w:id="95"/>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 本次政府采购活动采取竞争性磋商（以下简称磋商）方式，本磋商文件仅适用于磋商公告中所述项目。</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96" w:name="_Toc2615"/>
      <w:r>
        <w:rPr>
          <w:rFonts w:hint="eastAsia" w:ascii="宋体" w:hAnsi="宋体" w:eastAsia="宋体" w:cs="宋体"/>
          <w:sz w:val="21"/>
          <w:szCs w:val="21"/>
        </w:rPr>
        <w:t xml:space="preserve">2、合格的供应商</w:t>
      </w:r>
      <w:bookmarkEnd w:id="96"/>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 满足磋商公告中申请人的资格要求的规定。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 满足本磋商文件全部实质性要求和条件的规定。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 符合上述条件的供应商应承担参与磋商采购及履约过程应承担的全部责任与义务。</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97" w:name="_Toc23750"/>
      <w:r>
        <w:rPr>
          <w:rFonts w:hint="eastAsia" w:ascii="宋体" w:hAnsi="宋体" w:eastAsia="宋体" w:cs="宋体"/>
          <w:sz w:val="21"/>
          <w:szCs w:val="21"/>
        </w:rPr>
        <w:t xml:space="preserve">3、适用法律</w:t>
      </w:r>
      <w:bookmarkEnd w:id="97"/>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 本次磋商采购及由此产生的合同受中华人民共和国有关的法律法规制约和保护。</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98" w:name="_Toc4561"/>
      <w:r>
        <w:rPr>
          <w:rFonts w:hint="eastAsia" w:ascii="宋体" w:hAnsi="宋体" w:eastAsia="宋体" w:cs="宋体"/>
          <w:sz w:val="21"/>
          <w:szCs w:val="21"/>
        </w:rPr>
        <w:t xml:space="preserve">4、磋商费用</w:t>
      </w:r>
      <w:bookmarkEnd w:id="98"/>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供应商应自行承担所有与参与磋商采购活动有关的费用，无论磋商采购过程中的做法和结果如何，采购人和</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在任何情况下均无义务和责任承担这些费用。</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w:t>
      </w:r>
      <w:r>
        <w:rPr>
          <w:rFonts w:hint="eastAsia" w:ascii="宋体" w:hAnsi="宋体" w:eastAsia="宋体" w:cs="宋体"/>
          <w:sz w:val="21"/>
          <w:szCs w:val="21"/>
          <w:highlight w:val="none"/>
          <w:lang w:val="en-US" w:eastAsia="zh-CN"/>
        </w:rPr>
        <w:t xml:space="preserve">本次磋商</w:t>
      </w:r>
      <w:r>
        <w:rPr>
          <w:rFonts w:hint="eastAsia" w:ascii="宋体" w:hAnsi="宋体" w:eastAsia="宋体" w:cs="宋体"/>
          <w:sz w:val="21"/>
          <w:szCs w:val="21"/>
          <w:highlight w:val="none"/>
        </w:rPr>
        <w:t xml:space="preserve">招标代理费按</w:t>
      </w:r>
      <w:r>
        <w:rPr>
          <w:rFonts w:hint="eastAsia" w:ascii="宋体" w:hAnsi="宋体" w:eastAsia="宋体" w:cs="宋体"/>
          <w:sz w:val="21"/>
          <w:szCs w:val="21"/>
          <w:lang w:eastAsia="zh-CN"/>
        </w:rPr>
        <w:t xml:space="preserve">“苏招协</w:t>
      </w:r>
      <w:r>
        <w:rPr>
          <w:rFonts w:hint="eastAsia" w:ascii="宋体" w:hAnsi="宋体" w:eastAsia="宋体" w:cs="宋体"/>
          <w:sz w:val="21"/>
          <w:szCs w:val="21"/>
        </w:rPr>
        <w:t xml:space="preserve">【20</w:t>
      </w: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002</w:t>
      </w:r>
      <w:r>
        <w:rPr>
          <w:rFonts w:hint="eastAsia" w:ascii="宋体" w:hAnsi="宋体" w:eastAsia="宋体" w:cs="宋体"/>
          <w:sz w:val="21"/>
          <w:szCs w:val="21"/>
        </w:rPr>
        <w:t xml:space="preserve">号文”服务收费标准</w:t>
      </w:r>
      <w:r>
        <w:rPr>
          <w:rFonts w:hint="eastAsia" w:ascii="宋体" w:hAnsi="宋体" w:cs="宋体"/>
          <w:sz w:val="21"/>
          <w:szCs w:val="21"/>
          <w:lang w:val="en-US" w:eastAsia="zh-CN"/>
        </w:rPr>
        <w:t xml:space="preserve">55%</w:t>
      </w:r>
      <w:r>
        <w:rPr>
          <w:rFonts w:hint="eastAsia" w:ascii="宋体" w:hAnsi="宋体" w:eastAsia="宋体" w:cs="宋体"/>
          <w:sz w:val="21"/>
          <w:szCs w:val="21"/>
        </w:rPr>
        <w:t xml:space="preserve">收取</w:t>
      </w:r>
      <w:r>
        <w:rPr>
          <w:rFonts w:hint="eastAsia" w:ascii="宋体" w:hAnsi="宋体" w:eastAsia="宋体" w:cs="宋体"/>
          <w:sz w:val="21"/>
          <w:szCs w:val="21"/>
          <w:highlight w:val="none"/>
        </w:rPr>
        <w:t xml:space="preserve">。</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注：上述费用成交供应商领取成交通知书时须缴纳，</w:t>
      </w:r>
      <w:r>
        <w:rPr>
          <w:rFonts w:hint="eastAsia" w:ascii="宋体" w:hAnsi="宋体" w:cs="宋体"/>
          <w:b/>
          <w:bCs/>
          <w:sz w:val="21"/>
          <w:szCs w:val="21"/>
          <w:lang w:eastAsia="zh-CN"/>
        </w:rPr>
        <w:t xml:space="preserve">供应商</w:t>
      </w:r>
      <w:r>
        <w:rPr>
          <w:rFonts w:hint="eastAsia" w:ascii="宋体" w:hAnsi="宋体" w:eastAsia="宋体" w:cs="宋体"/>
          <w:b/>
          <w:bCs/>
          <w:sz w:val="21"/>
          <w:szCs w:val="21"/>
        </w:rPr>
        <w:t xml:space="preserve">将此费用综合考虑在报价中，采购人不</w:t>
      </w:r>
      <w:r>
        <w:rPr>
          <w:rFonts w:hint="eastAsia" w:ascii="宋体" w:hAnsi="宋体" w:cs="宋体"/>
          <w:b/>
          <w:bCs/>
          <w:sz w:val="21"/>
          <w:szCs w:val="21"/>
          <w:lang w:eastAsia="zh-CN"/>
        </w:rPr>
        <w:t xml:space="preserve">再</w:t>
      </w:r>
      <w:r>
        <w:rPr>
          <w:rFonts w:hint="eastAsia" w:ascii="宋体" w:hAnsi="宋体" w:eastAsia="宋体" w:cs="宋体"/>
          <w:b/>
          <w:bCs/>
          <w:sz w:val="21"/>
          <w:szCs w:val="21"/>
        </w:rPr>
        <w:t xml:space="preserve">另行支付。</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99" w:name="_Toc26940"/>
      <w:r>
        <w:rPr>
          <w:rFonts w:hint="eastAsia" w:ascii="宋体" w:hAnsi="宋体" w:eastAsia="宋体" w:cs="宋体"/>
          <w:sz w:val="21"/>
          <w:szCs w:val="21"/>
        </w:rPr>
        <w:t xml:space="preserve">5、磋商文件的约束力</w:t>
      </w:r>
      <w:bookmarkEnd w:id="99"/>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 供应商一旦参与本项目采购活动，即被认为接受了本磋商文件的规定和约束。</w:t>
      </w:r>
      <w:r/>
    </w:p>
    <w:p>
      <w:pPr>
        <w:pStyle w:val="835"/>
        <w:jc w:val="both"/>
        <w:pageBreakBefore w:val="0"/>
        <w:spacing w:before="0" w:after="0" w:line="440" w:lineRule="exact"/>
        <w:widowControl w:val="off"/>
        <w:rPr>
          <w:rFonts w:hint="eastAsia" w:ascii="宋体" w:hAnsi="宋体" w:eastAsia="宋体" w:cs="宋体"/>
          <w:b w:val="0"/>
          <w:sz w:val="21"/>
          <w:szCs w:val="21"/>
        </w:rPr>
      </w:pPr>
      <w:r/>
      <w:bookmarkStart w:id="100" w:name="_Toc18765"/>
      <w:r>
        <w:rPr>
          <w:rFonts w:hint="eastAsia" w:ascii="宋体" w:hAnsi="宋体" w:eastAsia="宋体" w:cs="宋体"/>
          <w:b w:val="0"/>
          <w:sz w:val="21"/>
          <w:szCs w:val="21"/>
        </w:rPr>
        <w:t xml:space="preserve">二、磋商文件</w:t>
      </w:r>
      <w:bookmarkEnd w:id="100"/>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01" w:name="_Toc22607"/>
      <w:r>
        <w:rPr>
          <w:rFonts w:hint="eastAsia" w:ascii="宋体" w:hAnsi="宋体" w:eastAsia="宋体" w:cs="宋体"/>
          <w:sz w:val="21"/>
          <w:szCs w:val="21"/>
        </w:rPr>
        <w:t xml:space="preserve">6、磋商文件的构成</w:t>
      </w:r>
      <w:bookmarkEnd w:id="101"/>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6.1 磋商文件由以下部分构成：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（1）磋商邀请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（2）供应商须知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（3）合同文本</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（4）采购需求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（5）评审方法与评审标准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（6）响应文件格式</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请仔细检查磋商文件是否齐全，如有缺漏请立即与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联系解决。</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02" w:name="_Toc14098"/>
      <w:r>
        <w:rPr>
          <w:rFonts w:hint="eastAsia" w:ascii="宋体" w:hAnsi="宋体" w:eastAsia="宋体" w:cs="宋体"/>
          <w:sz w:val="21"/>
          <w:szCs w:val="21"/>
        </w:rPr>
        <w:t xml:space="preserve">7、磋商文件的澄清</w:t>
      </w:r>
      <w:bookmarkEnd w:id="102"/>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任何要求对磋商文件进行澄清的供应商，应在提交响应文件截止时间五日前按磋商公告中的通讯地址，以书面形式通知采购人或者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03" w:name="_Toc27423"/>
      <w:r>
        <w:rPr>
          <w:rFonts w:hint="eastAsia" w:ascii="宋体" w:hAnsi="宋体" w:eastAsia="宋体" w:cs="宋体"/>
          <w:sz w:val="21"/>
          <w:szCs w:val="21"/>
        </w:rPr>
        <w:t xml:space="preserve">8、磋商文件的修改</w:t>
      </w:r>
      <w:bookmarkEnd w:id="103"/>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8.1 在响应文件提交截止时间前，采购人和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可以对磋商文件进行修改。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 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有权按照法定的要求推迟提交响应文件截止时间和开启时间。</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8.3 磋商文件的修改将在江苏政府采购网公布，补充文件将作为磋商文件的组成部分，并对供应商具有约束力。</w:t>
      </w:r>
      <w:r/>
    </w:p>
    <w:p>
      <w:pPr>
        <w:pStyle w:val="835"/>
        <w:jc w:val="both"/>
        <w:pageBreakBefore w:val="0"/>
        <w:spacing w:before="0" w:after="0" w:line="440" w:lineRule="exact"/>
        <w:widowControl w:val="off"/>
        <w:rPr>
          <w:rFonts w:hint="eastAsia" w:ascii="宋体" w:hAnsi="宋体" w:eastAsia="宋体" w:cs="宋体"/>
          <w:b w:val="0"/>
          <w:sz w:val="21"/>
          <w:szCs w:val="21"/>
        </w:rPr>
      </w:pPr>
      <w:r/>
      <w:bookmarkStart w:id="104" w:name="_Toc17132"/>
      <w:r>
        <w:rPr>
          <w:rFonts w:hint="eastAsia" w:ascii="宋体" w:hAnsi="宋体" w:eastAsia="宋体" w:cs="宋体"/>
          <w:b w:val="0"/>
          <w:sz w:val="21"/>
          <w:szCs w:val="21"/>
        </w:rPr>
        <w:t xml:space="preserve">三、响应文件编制</w:t>
      </w:r>
      <w:bookmarkEnd w:id="104"/>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05" w:name="_Toc28892"/>
      <w:r>
        <w:rPr>
          <w:rFonts w:hint="eastAsia" w:ascii="宋体" w:hAnsi="宋体" w:eastAsia="宋体" w:cs="宋体"/>
          <w:sz w:val="21"/>
          <w:szCs w:val="21"/>
        </w:rPr>
        <w:t xml:space="preserve">9、响应文件编写注意事项</w:t>
      </w:r>
      <w:bookmarkEnd w:id="105"/>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06" w:name="_Toc21362"/>
      <w:r>
        <w:rPr>
          <w:rFonts w:hint="eastAsia" w:ascii="宋体" w:hAnsi="宋体" w:eastAsia="宋体" w:cs="宋体"/>
          <w:sz w:val="21"/>
          <w:szCs w:val="21"/>
        </w:rPr>
        <w:t xml:space="preserve">10、响应文件的语言及度量衡单位</w:t>
      </w:r>
      <w:bookmarkEnd w:id="106"/>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10.1 除专用术语外，供应商提交的响应文件以及供应商与采购人和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10.2 除技术性能另有规定外，响应文件所使用的度量衡单位，均须采用国家法定计量单位。</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07" w:name="_Toc299"/>
      <w:r>
        <w:rPr>
          <w:rFonts w:hint="eastAsia" w:ascii="宋体" w:hAnsi="宋体" w:eastAsia="宋体" w:cs="宋体"/>
          <w:sz w:val="21"/>
          <w:szCs w:val="21"/>
        </w:rPr>
        <w:t xml:space="preserve">11、响应文件的构成</w:t>
      </w:r>
      <w:bookmarkEnd w:id="107"/>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 供应商编写的响应文件应包括资格证明文件、符合性证明文件、分项报价表、技术要求响应及偏离表、商务要求响应及偏离表、其他证明文件、磋商响应函等部分。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 如响应文件制作工具中格式和内容与江苏政府采购网发布的磋商文件不一致，请以江苏政府采购网发布的磋商文件为准。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 特别提醒供应商，混乱的编排导致响应文件被误读或竞争性磋商小组（以下简称磋商小组）查找不到有效文件是供应商的风险。</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08" w:name="_Toc26496"/>
      <w:r>
        <w:rPr>
          <w:rFonts w:hint="eastAsia" w:ascii="宋体" w:hAnsi="宋体" w:eastAsia="宋体" w:cs="宋体"/>
          <w:sz w:val="21"/>
          <w:szCs w:val="21"/>
        </w:rPr>
        <w:t xml:space="preserve">12、证明供应商及响应标的符合磋商文件规定的文件</w:t>
      </w:r>
      <w:bookmarkEnd w:id="108"/>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12.1 供应商应按照磋商文件要求提交证明文件，证明其及响应标的符合磋商文件规定。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12.2 磋商文件对证明文件无明确形式要求的，证明文件可以以文字资料、图纸和数据等形式提交。</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 供应商委托代理时应当提交授权委托书，请按磋商文件第六章给定格式及要求填写并附法定代表人（单位负责人）与委托代理人身份证明。</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09" w:name="_Toc22069"/>
      <w:r>
        <w:rPr>
          <w:rFonts w:hint="eastAsia" w:ascii="宋体" w:hAnsi="宋体" w:eastAsia="宋体" w:cs="宋体"/>
          <w:sz w:val="21"/>
          <w:szCs w:val="21"/>
        </w:rPr>
        <w:t xml:space="preserve">13、分项报价表</w:t>
      </w:r>
      <w:bookmarkEnd w:id="109"/>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13.1 供应商应根据响应报价要求在分项报价表中列明各项单价、总价等，未全部列示的作无效响应处理。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 响应文件中的单价和总价无特殊规定的采用人民币报价，以元为单位标注。磋商文件中另有规定的按规定执行。</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10" w:name="_Toc5223"/>
      <w:r>
        <w:rPr>
          <w:rFonts w:hint="eastAsia" w:ascii="宋体" w:hAnsi="宋体" w:eastAsia="宋体" w:cs="宋体"/>
          <w:sz w:val="21"/>
          <w:szCs w:val="21"/>
        </w:rPr>
        <w:t xml:space="preserve">14、技术要求响应及偏离表、商务要求响应及偏离表</w:t>
      </w:r>
      <w:bookmarkEnd w:id="110"/>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14.2 供应商可在响应文件中提供认为需要的其他技术文件或说明。</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11" w:name="_Toc11409"/>
      <w:r>
        <w:rPr>
          <w:rFonts w:hint="eastAsia" w:ascii="宋体" w:hAnsi="宋体" w:eastAsia="宋体" w:cs="宋体"/>
          <w:sz w:val="21"/>
          <w:szCs w:val="21"/>
        </w:rPr>
        <w:t xml:space="preserve">15、服务承诺、培训计划、人员安排及其他</w:t>
      </w:r>
      <w:bookmarkEnd w:id="111"/>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15.1 供应商应根据磋商文件要求提供有关售后服务的管理制度，售后服务机构的分布情况，售后服务人员的数量、素质、技术水平及售后服务的反应能力等。</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15.2 供应商应根据磋商文件要求提供培训计划、人员安排等。</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15.3 供应商应根据磋商文件要求提供响应标的的主要组成部分、功能设计、实现思路及关键技术等。</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12" w:name="_Toc22216"/>
      <w:r>
        <w:rPr>
          <w:rFonts w:hint="eastAsia" w:ascii="宋体" w:hAnsi="宋体" w:eastAsia="宋体" w:cs="宋体"/>
          <w:sz w:val="21"/>
          <w:szCs w:val="21"/>
        </w:rPr>
        <w:t xml:space="preserve">16、磋商响应函</w:t>
      </w:r>
      <w:bookmarkEnd w:id="112"/>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16.1 供应商应按照磋商文件提供的格式完整、正确填写磋商响应函。</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13" w:name="_Toc32560"/>
      <w:r>
        <w:rPr>
          <w:rFonts w:hint="eastAsia" w:ascii="宋体" w:hAnsi="宋体" w:eastAsia="宋体" w:cs="宋体"/>
          <w:sz w:val="21"/>
          <w:szCs w:val="21"/>
        </w:rPr>
        <w:t xml:space="preserve">17、磋商有效期</w:t>
      </w:r>
      <w:bookmarkEnd w:id="113"/>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17.1 磋商有效期为磋商文件规定的开启之日后六十（60）天。磋商有效期比规定短的将被视为未实质性响应磋商文件而予以拒绝。</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17.2 在特殊情况下，</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于原磋商有效期满之前，可向供应商提出延长磋商有效期的要求。这种要求与答复均应采用书面形式。供应商可以拒绝</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的这一要求而放弃磋商响应，同意延长磋商有效期的供应商既不能要求也不允许修改其响应文件。受磋商有效期约束的所有权利与义务均延长至新的有效期。</w:t>
      </w:r>
      <w:r/>
    </w:p>
    <w:p>
      <w:pPr>
        <w:pStyle w:val="835"/>
        <w:jc w:val="both"/>
        <w:pageBreakBefore w:val="0"/>
        <w:spacing w:before="0" w:after="0" w:line="440" w:lineRule="exact"/>
        <w:widowControl w:val="off"/>
        <w:rPr>
          <w:rFonts w:hint="eastAsia" w:ascii="宋体" w:hAnsi="宋体" w:eastAsia="宋体" w:cs="宋体"/>
          <w:b w:val="0"/>
          <w:sz w:val="21"/>
          <w:szCs w:val="21"/>
        </w:rPr>
      </w:pPr>
      <w:r/>
      <w:bookmarkStart w:id="114" w:name="_Toc21311"/>
      <w:r>
        <w:rPr>
          <w:rFonts w:hint="eastAsia" w:ascii="宋体" w:hAnsi="宋体" w:eastAsia="宋体" w:cs="宋体"/>
          <w:b w:val="0"/>
          <w:sz w:val="21"/>
          <w:szCs w:val="21"/>
        </w:rPr>
        <w:t xml:space="preserve">四、响应文件提交</w:t>
      </w:r>
      <w:bookmarkEnd w:id="114"/>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15" w:name="_Toc26607"/>
      <w:r>
        <w:rPr>
          <w:rFonts w:hint="eastAsia" w:ascii="宋体" w:hAnsi="宋体" w:eastAsia="宋体" w:cs="宋体"/>
          <w:sz w:val="21"/>
          <w:szCs w:val="21"/>
        </w:rPr>
        <w:t xml:space="preserve">18、电子响应文件的提交</w:t>
      </w:r>
      <w:bookmarkEnd w:id="115"/>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18.1 供应商应当按照《操作手册》规定，在响应文件提交截止时间前制作并提交（上传）电子响应文件。</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16" w:name="_Toc19767"/>
      <w:r>
        <w:rPr>
          <w:rFonts w:hint="eastAsia" w:ascii="宋体" w:hAnsi="宋体" w:eastAsia="宋体" w:cs="宋体"/>
          <w:sz w:val="21"/>
          <w:szCs w:val="21"/>
        </w:rPr>
        <w:t xml:space="preserve">19、提交响应文件截止时间</w:t>
      </w:r>
      <w:bookmarkEnd w:id="116"/>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19.1 供应商提交（上传）电子响应文件的时间不得迟于磋商公告中规定的截止时间。</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供应商应充分考虑计算机硬件、软件及网络环境等风险因素，如因供应商自身原因造成电子响应文件提交（上传）不成功的按照本磋商文件第二章第29.1条规定作无效响应处理。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19.2 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可以按照规定，通过修改磋商文件酌情延长响应文件提交截止时间，在此情况下，供应商的所有权利和义务以及供应商受制的截止时间均应以延长后新的截止时间为准。</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17" w:name="_Toc29058"/>
      <w:r>
        <w:rPr>
          <w:rFonts w:hint="eastAsia" w:ascii="宋体" w:hAnsi="宋体" w:eastAsia="宋体" w:cs="宋体"/>
          <w:sz w:val="21"/>
          <w:szCs w:val="21"/>
        </w:rPr>
        <w:t xml:space="preserve">20、响应文件的拒收</w:t>
      </w:r>
      <w:bookmarkEnd w:id="117"/>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拒绝接收在磋商文件规定的截止时间后提交（上传）的任何响应文件。</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18" w:name="_Toc3499"/>
      <w:r>
        <w:rPr>
          <w:rFonts w:hint="eastAsia" w:ascii="宋体" w:hAnsi="宋体" w:eastAsia="宋体" w:cs="宋体"/>
          <w:sz w:val="21"/>
          <w:szCs w:val="21"/>
        </w:rPr>
        <w:t xml:space="preserve">21、响应文件的撤回和修改</w:t>
      </w:r>
      <w:bookmarkEnd w:id="118"/>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21.1 供应商可在提交（上传）响应文件截止时间前，撤回其电子响应文件，具体操作方法见《操作手册》。供应商撤回电子响应文件的，则认为其不再参与本项目采购活动。</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21.3 在提交（上传）响应文件截止时间至磋商文件规定的磋商有效期满之间的这段时间内，供应商不得撤回其电子响应文件。</w:t>
      </w:r>
      <w:r/>
    </w:p>
    <w:p>
      <w:pPr>
        <w:pStyle w:val="835"/>
        <w:jc w:val="both"/>
        <w:pageBreakBefore w:val="0"/>
        <w:spacing w:before="0" w:after="0" w:line="440" w:lineRule="exact"/>
        <w:widowControl w:val="off"/>
        <w:rPr>
          <w:rFonts w:hint="eastAsia" w:ascii="宋体" w:hAnsi="宋体" w:eastAsia="宋体" w:cs="宋体"/>
          <w:b w:val="0"/>
          <w:sz w:val="21"/>
          <w:szCs w:val="21"/>
        </w:rPr>
      </w:pPr>
      <w:r/>
      <w:bookmarkStart w:id="119" w:name="_Toc19911"/>
      <w:r>
        <w:rPr>
          <w:rFonts w:hint="eastAsia" w:ascii="宋体" w:hAnsi="宋体" w:eastAsia="宋体" w:cs="宋体"/>
          <w:b w:val="0"/>
          <w:sz w:val="21"/>
          <w:szCs w:val="21"/>
        </w:rPr>
        <w:t xml:space="preserve">五、响应文件开启（解密）与评审</w:t>
      </w:r>
      <w:bookmarkEnd w:id="119"/>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20" w:name="_Toc155"/>
      <w:r>
        <w:rPr>
          <w:rFonts w:hint="eastAsia" w:ascii="宋体" w:hAnsi="宋体" w:eastAsia="宋体" w:cs="宋体"/>
          <w:sz w:val="21"/>
          <w:szCs w:val="21"/>
        </w:rPr>
        <w:t xml:space="preserve">22、响应文件开启（解密）</w:t>
      </w:r>
      <w:bookmarkEnd w:id="120"/>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将在磋商公告中规定的时间和地点组织响应文件开启。供应商应当按时参加，并在“苏采云”系统规定的时间内对其电子响应文件进行解密。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22.2 供应商在开启（解密）过程中涉及到的响应文件解密、开启结果确认等工作，应当按照《操作手册》规定执行。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 供应商未参加开启（解密）的，视同认可开启（解密）结果。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 供应商在开启（解密）、澄清、磋商、最后报价、评审全过程中应保持通讯畅通，及时登录“苏采云”系统查阅、答复相关信息，并安排专人与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及磋商小组联系。</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21" w:name="_Toc15316"/>
      <w:r>
        <w:rPr>
          <w:rFonts w:hint="eastAsia" w:ascii="宋体" w:hAnsi="宋体" w:eastAsia="宋体" w:cs="宋体"/>
          <w:sz w:val="21"/>
          <w:szCs w:val="21"/>
        </w:rPr>
        <w:t xml:space="preserve">23、磋商小组</w:t>
      </w:r>
      <w:bookmarkEnd w:id="121"/>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23.1 响应文件开启（解密）后，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将组织磋商小组进行评审。</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23.2 磋商小组由采购人代表和有关技术、经济等方面的评审专家组成，且人员构成符合政府采购有关规定。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23.3 磋商小组按照磋商文件规定的评审程序、评审方法和评审标准进行独立评审并确定成交候选人。</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22" w:name="_Toc18301"/>
      <w:r>
        <w:rPr>
          <w:rFonts w:hint="eastAsia" w:ascii="宋体" w:hAnsi="宋体" w:eastAsia="宋体" w:cs="宋体"/>
          <w:sz w:val="21"/>
          <w:szCs w:val="21"/>
        </w:rPr>
        <w:t xml:space="preserve">24、评审过程的保密与公正</w:t>
      </w:r>
      <w:bookmarkEnd w:id="122"/>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24.1 凡是与审查、澄清、评价和比较有关的资料以及成交建议等，采购人、评审专家、</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均不得向供应商或与评审无关的其他人员透露。</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24.2 在评审过程中，供应商不得以任何行为影响评审过程，否则其响应文件将被作为无效响应文件。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24.3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和磋商小组不向未成交的供应商解释未成交原因，也不公布评审过程中的相关细节。</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23" w:name="_Toc817"/>
      <w:r>
        <w:rPr>
          <w:rFonts w:hint="eastAsia" w:ascii="宋体" w:hAnsi="宋体" w:eastAsia="宋体" w:cs="宋体"/>
          <w:sz w:val="21"/>
          <w:szCs w:val="21"/>
        </w:rPr>
        <w:t xml:space="preserve">25、响应文件的澄清</w:t>
      </w:r>
      <w:bookmarkEnd w:id="123"/>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25.1 评审期间，磋商小组对响应文件中含义不明确、同类问题表述不一致或者有明显文字和计算错误的内容，有权要求供应商作出必要的澄清、说明或者补正。</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磋商小组并非对每个供应商都提出澄清、说明或者补正要求。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25.3 接到磋商小组澄清、说明或者补正要求的供应商如未按要求响应，其风险由供应商自行承担。</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24" w:name="_Toc12284"/>
      <w:r>
        <w:rPr>
          <w:rFonts w:hint="eastAsia" w:ascii="宋体" w:hAnsi="宋体" w:eastAsia="宋体" w:cs="宋体"/>
          <w:sz w:val="21"/>
          <w:szCs w:val="21"/>
        </w:rPr>
        <w:t xml:space="preserve">26、对响应文件的审查</w:t>
      </w:r>
      <w:bookmarkEnd w:id="124"/>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 响应文件审查分为资格审查和符合性审查。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（1）资格审查：磋商小组依据法律法规和磋商文件的规定，对响应文件中的资格证明文件进行审查，以确定供应商是否具备参加磋商采购的资格。</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（2）符合性审查：磋商小组依据磋商文件的规定，从响应文件的有效性、完整性和对磋商文件的响应程度进行审查，以确定其是否对磋商文件的全部实质性要求作出响应。</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未通过资格审查或符合性审查的供应商，将通过“苏采云”系统中告知其未通过的原因，评审结束后，将不再告知。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26.3 如果响应文件实质上没有响应磋商文件的要求，磋商小组将予以拒绝，供应商不得通过修改或撤销不符合要求的偏离或保留而使其成为实质性响应。</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25" w:name="_Toc22042"/>
      <w:r>
        <w:rPr>
          <w:rFonts w:hint="eastAsia" w:ascii="宋体" w:hAnsi="宋体" w:eastAsia="宋体" w:cs="宋体"/>
          <w:sz w:val="21"/>
          <w:szCs w:val="21"/>
        </w:rPr>
        <w:t xml:space="preserve">27、磋商程序</w:t>
      </w:r>
      <w:bookmarkEnd w:id="125"/>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27.1 对于通过资格审查和符合性审查的供应商，磋商小组将集中与单一供应商分别进行磋商。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已提交响应文件的供应商，在提交最后报价之前，可以根据磋商情况退出磋商采购，应在“苏采云”系统中提交“退出磋商函”，并加盖CA电子公章。</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供应商未在磋商小组规定的时间内在“苏采云”系统中提交最后报价的视为放弃磋商，其响应文件按无效响应处理。</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26" w:name="_Toc14769"/>
      <w:r>
        <w:rPr>
          <w:rFonts w:hint="eastAsia" w:ascii="宋体" w:hAnsi="宋体" w:eastAsia="宋体" w:cs="宋体"/>
          <w:sz w:val="21"/>
          <w:szCs w:val="21"/>
        </w:rPr>
        <w:t xml:space="preserve">28、评审方法与评审标准</w:t>
      </w:r>
      <w:bookmarkEnd w:id="126"/>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28.1 评审方法。详见本磋商文件第五章。</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28.2 评审标准。详见本磋商文件第五章。</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27" w:name="_Toc15052"/>
      <w:r>
        <w:rPr>
          <w:rFonts w:hint="eastAsia" w:ascii="宋体" w:hAnsi="宋体" w:eastAsia="宋体" w:cs="宋体"/>
          <w:sz w:val="21"/>
          <w:szCs w:val="21"/>
        </w:rPr>
        <w:t xml:space="preserve">29、未实质性响应磋商文件的情形和采购活动终止</w:t>
      </w:r>
      <w:bookmarkEnd w:id="127"/>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29.1 未实质性响应磋商文件的情形：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（1）供应商未按照磋商文件要求提交（上传）电子响应文件的。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（2）供应商在“苏采云”系统规定的时间内未成功解密电子响应文件的。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（3）供应商不具备磋商文件中规定的资格要求的。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（5）不符合磋商文件规定的实质性要求和条件的。（本磋商文件中斜体且有下划线部分为实质性要求和条件）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（7）供应商未通过符合性审查的。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（8）供应商未按照要求对磋商或者最后报价作出响应的。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（9）供应商提交两个（含两个）以上不同的最后报价的。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（10）供应商的最后报价超过了采购预算或者最高限价的。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（12）响应文件含有采购人不能接受的附加条件的。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（13）响应文件未按照磋商文件要求加盖公章（CA电子公章）的。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（14）其他法律、法规及本磋商文件规定的属于未实质性响应磋商文件的情形。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29.2 有下列情形之一的，视为供应商串通，响应无效：</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（1）不同供应商的响应文件由同一单位或者个人编制。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（2）不同供应商委托同一单位或者个人办理磋商事宜。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（3）不同供应商的响应文件载明的项目管理成员或者联系人员为同一人。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（4）不同供应商的响应文件异常一致或者最后报价呈规律性差异。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（5）不同供应商的响应文件相互混装。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29.3 采购活动终止的情形：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（1）因“苏采云”系统故障原因造成开启（解密）不成功的，或者至磋商文件规定的截止时间成功解密电子响应文件的供应商不足三家的。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（2）磋商小组认定磋商文件存在歧义、重大缺陷导致评审工作无法进行，或者磋商文件内容违反国家有关强制性规定的。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（3）除本磋商文件第二章第27.2条第三款规定的情形外，符合专业条件的供应商或者对磋商文件作实质响应的供应商不足三家的。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（4）出现影响采购公正的违法、违规行为的。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（5）因重大变故，采购任务取消的。</w:t>
      </w:r>
      <w:r/>
    </w:p>
    <w:p>
      <w:pPr>
        <w:pStyle w:val="835"/>
        <w:jc w:val="both"/>
        <w:pageBreakBefore w:val="0"/>
        <w:spacing w:before="0" w:after="0" w:line="440" w:lineRule="exact"/>
        <w:widowControl w:val="off"/>
        <w:rPr>
          <w:rFonts w:hint="eastAsia" w:ascii="宋体" w:hAnsi="宋体" w:eastAsia="宋体" w:cs="宋体"/>
          <w:b w:val="0"/>
          <w:sz w:val="21"/>
          <w:szCs w:val="21"/>
        </w:rPr>
      </w:pPr>
      <w:r/>
      <w:bookmarkStart w:id="128" w:name="_Toc27335"/>
      <w:r>
        <w:rPr>
          <w:rFonts w:hint="eastAsia" w:ascii="宋体" w:hAnsi="宋体" w:eastAsia="宋体" w:cs="宋体"/>
          <w:b w:val="0"/>
          <w:sz w:val="21"/>
          <w:szCs w:val="21"/>
        </w:rPr>
        <w:t xml:space="preserve">六、成交</w:t>
      </w:r>
      <w:bookmarkEnd w:id="128"/>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29" w:name="_Toc23584"/>
      <w:r>
        <w:rPr>
          <w:rFonts w:hint="eastAsia" w:ascii="宋体" w:hAnsi="宋体" w:eastAsia="宋体" w:cs="宋体"/>
          <w:sz w:val="21"/>
          <w:szCs w:val="21"/>
        </w:rPr>
        <w:t xml:space="preserve">30、确定成交单位</w:t>
      </w:r>
      <w:bookmarkEnd w:id="129"/>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30.2 采购人从评审报告提出的成交候选供应商中，按照排序由高到低的原则确定成交供应商。采购人确定成交供应商后，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将在江苏政府采购网发布成交结果公告，公告期限为1个工作日。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30.3 若有充分证据证明，成交供应商存在下列情形之一的，一经查实，将被取消成交资格：</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（1）提供虚假材料谋取中标、成交的。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（2）采取不正当手段诋毁、排挤其他供应商的。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（3）与采购人、其他供应商或者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恶意串通的。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行贿或者提供其他不正当利益的。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（5）属于本磋商文件规定的无效情形，但在评审过程中又未被磋商小组发现的。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（6）成交后无正当理由拒不与采购人签订政府采购合同或者未按照磋商文件确定的事项签订政府采购合同的。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（7）将政府采购合同转包的。</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30" w:name="_Toc29354"/>
      <w:r>
        <w:rPr>
          <w:rFonts w:hint="eastAsia" w:ascii="宋体" w:hAnsi="宋体" w:eastAsia="宋体" w:cs="宋体"/>
          <w:sz w:val="21"/>
          <w:szCs w:val="21"/>
        </w:rPr>
        <w:t xml:space="preserve">31、成交通知书</w:t>
      </w:r>
      <w:bookmarkEnd w:id="130"/>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31.1 成交结果确定后，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20"/>
        <w:jc w:val="left"/>
        <w:pageBreakBefore w:val="0"/>
        <w:spacing w:line="440" w:lineRule="exact"/>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31.3 </w:t>
      </w:r>
      <w:r>
        <w:rPr>
          <w:rFonts w:hint="eastAsia" w:ascii="宋体" w:hAnsi="宋体" w:eastAsia="宋体" w:cs="宋体"/>
          <w:b/>
          <w:color w:val="auto"/>
          <w:sz w:val="21"/>
          <w:szCs w:val="21"/>
          <w:highlight w:val="none"/>
        </w:rPr>
        <w:t xml:space="preserve">成交供应商在领取成交通知书时，按要求提供与电子响应文件一致的纸质打印文件（一正三幅）</w:t>
      </w:r>
      <w:r>
        <w:rPr>
          <w:rFonts w:hint="eastAsia" w:ascii="宋体" w:hAnsi="宋体" w:eastAsia="宋体" w:cs="宋体"/>
          <w:sz w:val="21"/>
          <w:szCs w:val="21"/>
        </w:rPr>
        <w:t xml:space="preserve">，封面、骑缝需加盖公章</w:t>
      </w:r>
      <w:r>
        <w:rPr>
          <w:rFonts w:hint="eastAsia" w:ascii="宋体" w:hAnsi="宋体" w:eastAsia="宋体" w:cs="宋体"/>
          <w:b/>
          <w:color w:val="auto"/>
          <w:sz w:val="21"/>
          <w:szCs w:val="21"/>
          <w:highlight w:val="none"/>
        </w:rPr>
        <w:t xml:space="preserve">。</w:t>
      </w:r>
      <w:r/>
    </w:p>
    <w:p>
      <w:pPr>
        <w:pStyle w:val="835"/>
        <w:jc w:val="both"/>
        <w:pageBreakBefore w:val="0"/>
        <w:spacing w:before="0" w:after="0" w:line="440" w:lineRule="exact"/>
        <w:widowControl w:val="off"/>
        <w:rPr>
          <w:rFonts w:hint="eastAsia" w:ascii="宋体" w:hAnsi="宋体" w:eastAsia="宋体" w:cs="宋体"/>
          <w:b w:val="0"/>
          <w:sz w:val="21"/>
          <w:szCs w:val="21"/>
        </w:rPr>
      </w:pPr>
      <w:r/>
      <w:bookmarkStart w:id="131" w:name="_Toc25594"/>
      <w:r>
        <w:rPr>
          <w:rFonts w:hint="eastAsia" w:ascii="宋体" w:hAnsi="宋体" w:eastAsia="宋体" w:cs="宋体"/>
          <w:b w:val="0"/>
          <w:sz w:val="21"/>
          <w:szCs w:val="21"/>
        </w:rPr>
        <w:t xml:space="preserve">七、授予合同</w:t>
      </w:r>
      <w:bookmarkEnd w:id="131"/>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32" w:name="_Toc21292"/>
      <w:r>
        <w:rPr>
          <w:rFonts w:hint="eastAsia" w:ascii="宋体" w:hAnsi="宋体" w:eastAsia="宋体" w:cs="宋体"/>
          <w:sz w:val="21"/>
          <w:szCs w:val="21"/>
        </w:rPr>
        <w:t xml:space="preserve">32、签订合同</w:t>
      </w:r>
      <w:bookmarkEnd w:id="132"/>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32.1 成交供应商应当在成交通知书发出之日起三十日内，按照磋商文件和成交供应商响应文件的规定，与采购人签订政府采购合同。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32.2 磋商文件、成交供应商的响应文件及磋商采购过程中有关澄清、承诺、磋商响应等文件均应作为合同附件。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32.4采购人应当在合同签订后2日内上传合同至苏采云公示。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32.5履约保证金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32.5.2 成交供应商违约的，采购人将按照合同约定扣除其全部或部分履约保证金。如成交供应商违约给采购人造成的损失超过履约保证金的，应当依法赔偿超过部分的损失。</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32.5.3 履约保证金自合同生效之日起至合同约定的成交供应商主要义务履行完毕止，采购人应当按合同约定及时退还履约保证金。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32.5.4 逾期退还履约保证金的采购人承担违约责任，按照中国人民银行同期贷款基准利率向成交供应商支付超期资金占用费。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32.5.5 本项目履约保证金要求详见招标文件第四章 采购需求。</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33" w:name="_Toc22117"/>
      <w:r>
        <w:rPr>
          <w:rFonts w:hint="eastAsia" w:ascii="宋体" w:hAnsi="宋体" w:eastAsia="宋体" w:cs="宋体"/>
          <w:sz w:val="21"/>
          <w:szCs w:val="21"/>
        </w:rPr>
        <w:t xml:space="preserve">33、合同标的的追加</w:t>
      </w:r>
      <w:bookmarkEnd w:id="133"/>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34" w:name="_Toc19391"/>
      <w:r>
        <w:rPr>
          <w:rFonts w:hint="eastAsia" w:ascii="宋体" w:hAnsi="宋体" w:eastAsia="宋体" w:cs="宋体"/>
          <w:sz w:val="21"/>
          <w:szCs w:val="21"/>
        </w:rPr>
        <w:t xml:space="preserve">34、政府采购履约资金扶持政策</w:t>
      </w:r>
      <w:bookmarkEnd w:id="134"/>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34.1 成交供应商可凭政府采购合同办理融资贷款，详情请见江苏政府采购网“政采贷”专栏。</w:t>
      </w:r>
      <w:r/>
    </w:p>
    <w:p>
      <w:pPr>
        <w:pStyle w:val="835"/>
        <w:jc w:val="both"/>
        <w:pageBreakBefore w:val="0"/>
        <w:spacing w:before="0" w:after="0" w:line="440" w:lineRule="exact"/>
        <w:widowControl w:val="off"/>
        <w:rPr>
          <w:rFonts w:hint="eastAsia" w:ascii="宋体" w:hAnsi="宋体" w:eastAsia="宋体" w:cs="宋体"/>
          <w:b w:val="0"/>
          <w:sz w:val="21"/>
          <w:szCs w:val="21"/>
        </w:rPr>
      </w:pPr>
      <w:r/>
      <w:bookmarkStart w:id="135" w:name="_Toc23117"/>
      <w:r>
        <w:rPr>
          <w:rFonts w:hint="eastAsia" w:ascii="宋体" w:hAnsi="宋体" w:eastAsia="宋体" w:cs="宋体"/>
          <w:b w:val="0"/>
          <w:sz w:val="21"/>
          <w:szCs w:val="21"/>
        </w:rPr>
        <w:t xml:space="preserve">八、询问与质疑</w:t>
      </w:r>
      <w:bookmarkEnd w:id="135"/>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36" w:name="_Toc24516"/>
      <w:r>
        <w:rPr>
          <w:rFonts w:hint="eastAsia" w:ascii="宋体" w:hAnsi="宋体" w:eastAsia="宋体" w:cs="宋体"/>
          <w:sz w:val="21"/>
          <w:szCs w:val="21"/>
        </w:rPr>
        <w:t xml:space="preserve">35、询问</w:t>
      </w:r>
      <w:bookmarkEnd w:id="136"/>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35.1 供应商对政府采购活动事项有疑问的，可以提出询问，采购人或者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应当在3个工作日内对供应商依法提出的询问作出答复，但答复的内容不得涉及商业秘密。供应商提出的询问超出采购人对</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应当告知其向采购人提出。</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37" w:name="_Toc1325"/>
      <w:r>
        <w:rPr>
          <w:rFonts w:hint="eastAsia" w:ascii="宋体" w:hAnsi="宋体" w:eastAsia="宋体" w:cs="宋体"/>
          <w:sz w:val="21"/>
          <w:szCs w:val="21"/>
        </w:rPr>
        <w:t xml:space="preserve">36、质疑提出</w:t>
      </w:r>
      <w:bookmarkEnd w:id="137"/>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36.1 提出质疑的供应商应当是参与所质疑项目采购活动的供应商。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提出质疑。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将只对供应商第一次质疑作出答复。</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不具有法定调查、认定权限。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36.4 质疑函的接收方式为供应商书面原件提交。联系部门、联系电话和通讯地址详见磋商文件第一章。质疑实行实名制，不得进行虚假、恶意质疑。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36.5 质疑函应当使用范本，详见磋商文件第六章。供应商提出质疑应当提交质疑函和必要的证明材料，应当包括下列内容：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（1）供应商的姓名或者名称、地址、邮编、联系人及联系电话；</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（4）事实依据；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（7）必要的证明材料；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（8）营业执照复印件及授权委托书原件、法定代表人（单位负责人）身份证复印件、委托代理人身份证复印件。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38" w:name="_Toc22518"/>
      <w:r>
        <w:rPr>
          <w:rFonts w:hint="eastAsia" w:ascii="宋体" w:hAnsi="宋体" w:eastAsia="宋体" w:cs="宋体"/>
          <w:sz w:val="21"/>
          <w:szCs w:val="21"/>
        </w:rPr>
        <w:t xml:space="preserve">37、质疑函的受理和答复</w:t>
      </w:r>
      <w:bookmarkEnd w:id="138"/>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不负责搜集必要的证明材料等工作。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37.2 对符合法定要求的质疑，采购人、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37.3 对不符合质疑要求的，采购人、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有权要求其补充必要的证明材料，质疑供应商未在法定时间内补充必要的证明材料的，视同放弃质疑。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37.4 以下情形的质疑依法不予受理：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（1）内容不符合《政府采购质疑和投诉办法》第十二条规定的质疑。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（2）超出政府采购法定期限的质疑。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（3）以传真、电子邮件等方式提交的非原件形式的质疑。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（4）未参与采购活动或在采购活动中自身权益未受到损害的供应商提出的质疑。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（5）供应商组成联合体，联合体中任何一方或多方未按要求签字（盖章）、加盖公章的质疑。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37.5 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依法受理的质疑，将按照政府采购有关规定，在法定期限内作出答复。</w:t>
      </w:r>
      <w:r/>
    </w:p>
    <w:p>
      <w:pPr>
        <w:pStyle w:val="836"/>
        <w:ind w:firstLine="422"/>
        <w:jc w:val="left"/>
        <w:pageBreakBefore w:val="0"/>
        <w:spacing w:before="0" w:after="0" w:line="440" w:lineRule="exact"/>
        <w:widowControl w:val="off"/>
        <w:rPr>
          <w:rFonts w:hint="eastAsia" w:ascii="宋体" w:hAnsi="宋体" w:eastAsia="宋体" w:cs="宋体"/>
          <w:sz w:val="21"/>
          <w:szCs w:val="21"/>
        </w:rPr>
      </w:pPr>
      <w:r/>
      <w:bookmarkStart w:id="139" w:name="_Toc10556"/>
      <w:r>
        <w:rPr>
          <w:rFonts w:hint="eastAsia" w:ascii="宋体" w:hAnsi="宋体" w:eastAsia="宋体" w:cs="宋体"/>
          <w:sz w:val="21"/>
          <w:szCs w:val="21"/>
        </w:rPr>
        <w:t xml:space="preserve">38、质疑处理</w:t>
      </w:r>
      <w:bookmarkEnd w:id="139"/>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38.1 质疑供应商未按照法定程序进行质疑投诉的，视为一般失信行为。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38.2 质疑供应商不配合或者采取不正当手段干扰政府采购质疑、投诉处理工作的，视为一般失信行为。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38.3 质疑供应商投诉受理期间，就同一事项多头举报，干扰财政部门投诉处理的，视为一般失信行为。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38.4 质疑供应商在全国范围12个月内三次以上质疑查无实据的，视为一般失信行为。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38.6 质疑供应商在全国范围12个月内三次以上投诉查无实据的，视为严重失信行为。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38.7 未尽事宜，依照有关法律、法规执行。</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lang w:val="en-US" w:eastAsia="zh-CN"/>
        </w:rPr>
        <w:t xml:space="preserve">九</w:t>
      </w:r>
      <w:r>
        <w:rPr>
          <w:rFonts w:hint="eastAsia" w:ascii="黑体" w:hAnsi="黑体" w:eastAsia="黑体" w:cs="宋体"/>
          <w:bCs/>
          <w:color w:val="auto"/>
          <w:szCs w:val="21"/>
          <w:highlight w:val="none"/>
        </w:rPr>
        <w:t xml:space="preserve">、政策功能</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rPr>
        <w:t xml:space="preserve"> </w:t>
      </w:r>
      <w:r>
        <w:rPr>
          <w:rFonts w:hint="eastAsia" w:ascii="宋体" w:hAnsi="宋体" w:cs="Times New Roman"/>
          <w:color w:val="auto"/>
          <w:szCs w:val="21"/>
          <w:highlight w:val="none"/>
          <w:lang w:val="en-US" w:eastAsia="zh-CN"/>
        </w:rPr>
        <w:t xml:space="preserve">促进</w:t>
      </w:r>
      <w:r>
        <w:rPr>
          <w:rFonts w:hint="eastAsia" w:ascii="宋体" w:hAnsi="宋体" w:eastAsia="宋体" w:cs="Times New Roman"/>
          <w:color w:val="auto"/>
          <w:szCs w:val="21"/>
          <w:highlight w:val="none"/>
        </w:rPr>
        <w:t xml:space="preserve">中小企业发展</w:t>
      </w:r>
      <w:r/>
    </w:p>
    <w:p>
      <w:pPr>
        <w:ind w:firstLine="420"/>
        <w:jc w:val="left"/>
        <w:spacing w:line="360" w:lineRule="auto"/>
        <w:tabs>
          <w:tab w:val="left" w:pos="900" w:leader="none"/>
        </w:tabs>
        <w:rPr>
          <w:rFonts w:hint="eastAsia" w:ascii="宋体" w:hAnsi="宋体" w:eastAsia="宋体" w:cs="Times New Roman"/>
          <w:b/>
          <w:bCs/>
          <w:color w:val="auto"/>
          <w:szCs w:val="21"/>
          <w:highlight w:val="none"/>
        </w:rPr>
      </w:pPr>
      <w:r>
        <w:rPr>
          <w:rFonts w:hint="eastAsia" w:ascii="宋体" w:hAnsi="宋体" w:cs="Times New Roman"/>
          <w:color w:val="auto"/>
          <w:szCs w:val="21"/>
          <w:highlight w:val="none"/>
          <w:lang w:val="en-US" w:eastAsia="zh-CN"/>
        </w:rPr>
        <w:t xml:space="preserve">39.1</w:t>
      </w:r>
      <w:r>
        <w:rPr>
          <w:rFonts w:hint="eastAsia" w:ascii="宋体" w:hAnsi="宋体" w:eastAsia="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b/>
          <w:bCs/>
          <w:color w:val="auto"/>
          <w:szCs w:val="21"/>
          <w:highlight w:val="none"/>
        </w:rPr>
        <w:t xml:space="preserve">专门面向中型企业、小型企业、微型企业、残疾人福利性单位、监狱企业采购。</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投标文件格式）。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 </w:t>
      </w:r>
      <w:r>
        <w:rPr>
          <w:rFonts w:hint="eastAsia" w:ascii="宋体" w:hAnsi="宋体" w:eastAsia="宋体" w:cs="Times New Roman"/>
          <w:color w:val="auto"/>
          <w:szCs w:val="21"/>
          <w:highlight w:val="none"/>
        </w:rPr>
        <w:t xml:space="preserve">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41</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849"/>
        <w:rPr>
          <w:color w:val="auto"/>
          <w:highlight w:val="none"/>
        </w:rPr>
      </w:pPr>
      <w:r>
        <w:rPr>
          <w:color w:val="auto"/>
          <w:highlight w:val="none"/>
        </w:rPr>
      </w:r>
      <w:r/>
    </w:p>
    <w:p>
      <w:pPr>
        <w:jc w:val="center"/>
        <w:keepLines/>
        <w:keepNext/>
        <w:spacing w:line="360" w:lineRule="auto"/>
        <w:rPr>
          <w:rFonts w:hint="eastAsia"/>
          <w:b/>
          <w:color w:val="auto"/>
          <w:sz w:val="36"/>
          <w:szCs w:val="36"/>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outlineLvl w:val="0"/>
      </w:pPr>
      <w:r/>
      <w:bookmarkStart w:id="140" w:name="_Toc15893"/>
      <w:r/>
      <w:r/>
    </w:p>
    <w:p>
      <w:pPr>
        <w:jc w:val="center"/>
        <w:keepLines/>
        <w:keepNext/>
        <w:spacing w:line="360" w:lineRule="auto"/>
        <w:rPr>
          <w:rFonts w:hint="eastAsia"/>
          <w:b/>
          <w:color w:val="auto"/>
          <w:sz w:val="36"/>
          <w:szCs w:val="36"/>
          <w:highlight w:val="none"/>
        </w:rPr>
        <w:outlineLvl w:val="0"/>
      </w:pPr>
      <w:r>
        <w:rPr>
          <w:rFonts w:hint="eastAsia"/>
          <w:b/>
          <w:color w:val="auto"/>
          <w:sz w:val="36"/>
          <w:szCs w:val="36"/>
          <w:highlight w:val="none"/>
        </w:rPr>
      </w:r>
      <w:r/>
    </w:p>
    <w:p>
      <w:pPr>
        <w:jc w:val="center"/>
        <w:keepLines/>
        <w:keepNext/>
        <w:spacing w:line="360" w:lineRule="auto"/>
        <w:rPr>
          <w:b/>
          <w:color w:val="auto"/>
          <w:sz w:val="36"/>
          <w:szCs w:val="36"/>
          <w:highlight w:val="none"/>
        </w:rPr>
        <w:outlineLvl w:val="0"/>
      </w:pPr>
      <w:r>
        <w:rPr>
          <w:rFonts w:hint="eastAsia"/>
          <w:b/>
          <w:color w:val="auto"/>
          <w:sz w:val="36"/>
          <w:szCs w:val="36"/>
          <w:highlight w:val="none"/>
        </w:rPr>
        <w:t xml:space="preserve">第三章  政府采购合同格式</w:t>
      </w:r>
      <w:bookmarkEnd w:id="91"/>
      <w:r/>
      <w:bookmarkEnd w:id="92"/>
      <w:r/>
      <w:bookmarkEnd w:id="93"/>
      <w:r/>
      <w:bookmarkEnd w:id="94"/>
      <w:r/>
      <w:bookmarkEnd w:id="140"/>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00" w:lineRule="exact"/>
        <w:rPr>
          <w:rFonts w:ascii="宋体" w:hAnsi="宋体" w:cs="仿宋"/>
          <w:b/>
          <w:color w:val="000000"/>
          <w:sz w:val="24"/>
        </w:rPr>
      </w:pPr>
      <w:r>
        <w:rPr>
          <w:rFonts w:hint="eastAsia" w:ascii="宋体" w:hAnsi="宋体" w:cs="仿宋"/>
          <w:b/>
          <w:color w:val="000000"/>
          <w:sz w:val="24"/>
        </w:rPr>
        <w:t xml:space="preserve">政府采购合同</w:t>
      </w:r>
      <w:r/>
    </w:p>
    <w:p>
      <w:pPr>
        <w:pStyle w:val="1145"/>
        <w:ind w:firstLine="420"/>
        <w:rPr>
          <w:rFonts w:hAnsi="宋体" w:cs="宋体"/>
          <w:color w:val="auto"/>
          <w:sz w:val="24"/>
          <w:szCs w:val="24"/>
          <w:highlight w:val="none"/>
        </w:rPr>
      </w:pPr>
      <w:r>
        <w:rPr>
          <w:rFonts w:hAnsi="宋体" w:cs="宋体"/>
          <w:color w:val="auto"/>
          <w:sz w:val="24"/>
          <w:szCs w:val="24"/>
          <w:highlight w:val="none"/>
        </w:rPr>
      </w:r>
      <w:r/>
    </w:p>
    <w:p>
      <w:pPr>
        <w:pStyle w:val="877"/>
        <w:ind w:firstLine="105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141" w:name="_Toc20823315"/>
      <w:r/>
      <w:bookmarkStart w:id="142" w:name="_Toc513029243"/>
      <w:r/>
      <w:bookmarkStart w:id="143" w:name="_Toc16938559"/>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以下为成交后签定本项目合同的通用条款，成交供应商不得提出实质性的修改</w:t>
      </w:r>
      <w:bookmarkEnd w:id="141"/>
      <w:r/>
      <w:bookmarkEnd w:id="142"/>
      <w:r/>
      <w:bookmarkEnd w:id="143"/>
      <w:r>
        <w:rPr>
          <w:rFonts w:hint="eastAsia" w:ascii="宋体" w:hAnsi="宋体" w:eastAsia="宋体" w:cs="宋体"/>
          <w:color w:val="000000"/>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连云区公用事业发展中心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numPr>
          <w:ilvl w:val="0"/>
          <w:numId w:val="2"/>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乙双方根据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项目（标段编号：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）招标的结果，签订本合同。</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一、合同内容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 服务内容：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 服务期限：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 补充条款：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二、合同金额</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元</w:t>
      </w:r>
      <w:r>
        <w:rPr>
          <w:rFonts w:hint="eastAsia" w:ascii="宋体" w:hAnsi="宋体" w:eastAsia="宋体" w:cs="宋体"/>
          <w:color w:val="auto"/>
          <w:sz w:val="21"/>
          <w:szCs w:val="21"/>
          <w:highlight w:val="none"/>
        </w:rPr>
        <w:t xml:space="preserve">）人民币。</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三、技术资料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乙方应按采购文件规定的时间向甲方提供有关技术资料。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四、知识产权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乙方应保证甲方在使用、接受本合同中服务或其任何一部分时不受第三方提出侵犯其专利权、版权、商标权和工业设计权等知识产权的起诉。一旦出现侵权，由乙方负全部责任。</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五、产权担保</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乙方保证所交付标的的所有权完全属于乙方且无任何抵押、查封等产权瑕疵。</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本项目不收取履约保证金。</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七、转包或分包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该服务项目严禁转包或分包，如发现乙方有此情况，甲方可立即终止合同，并扣除当季度发生的养护费用。 </w:t>
      </w:r>
      <w:r/>
    </w:p>
    <w:p>
      <w:pPr>
        <w:ind w:firstLine="42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八、服务期、服务方式及服务地点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8.1 服 务 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8.2 服务方式：</w:t>
      </w:r>
      <w:r>
        <w:rPr>
          <w:rFonts w:hint="eastAsia" w:ascii="宋体" w:hAnsi="宋体" w:eastAsia="宋体" w:cs="宋体"/>
          <w:color w:val="auto"/>
          <w:sz w:val="21"/>
          <w:szCs w:val="21"/>
          <w:highlight w:val="none"/>
          <w:u w:val="single"/>
        </w:rPr>
        <w:t xml:space="preserve">采购人指定。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服务地点：</w:t>
      </w:r>
      <w:r>
        <w:rPr>
          <w:rFonts w:hint="eastAsia" w:ascii="宋体" w:hAnsi="宋体" w:eastAsia="宋体" w:cs="宋体"/>
          <w:color w:val="auto"/>
          <w:sz w:val="21"/>
          <w:szCs w:val="21"/>
          <w:highlight w:val="none"/>
          <w:u w:val="single"/>
        </w:rPr>
        <w:t xml:space="preserve">采购人指定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九、项目服务需求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eastAsia="zh-CN"/>
        </w:rPr>
        <w:t xml:space="preserve">2026年度北固山及胜利湖周边绿化管理服务施工采购；包含但不限于：包括北固山生态公园、北固山大道、宋家花园等18处公园、游园、步道等总管理面积约78.8平方米（包括水域面积22.9万平方米）的绿化养护、设施维修及保洁保安秩序管理，北固山4300亩林地病死树防治和清理综合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s="宋体"/>
          <w:color w:val="auto"/>
          <w:sz w:val="21"/>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服务范围包含但不限于下表：</w:t>
      </w:r>
      <w:r/>
    </w:p>
    <w:tbl>
      <w:tblPr>
        <w:tblStyle w:val="844"/>
        <w:tblW w:w="148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4"/>
        <w:gridCol w:w="1635"/>
        <w:gridCol w:w="849"/>
        <w:gridCol w:w="1169"/>
        <w:gridCol w:w="1063"/>
        <w:gridCol w:w="1169"/>
        <w:gridCol w:w="1169"/>
        <w:gridCol w:w="849"/>
        <w:gridCol w:w="849"/>
        <w:gridCol w:w="851"/>
        <w:gridCol w:w="1169"/>
        <w:gridCol w:w="853"/>
        <w:gridCol w:w="1002"/>
        <w:gridCol w:w="1699"/>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vMerge w:val="restart"/>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vMerge w:val="restart"/>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绿地所在位置</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路线</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长度</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绿化</w:t>
            </w:r>
            <w:r/>
          </w:p>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铺装</w:t>
            </w:r>
            <w:r/>
          </w:p>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绿化及铺装面积</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水域</w:t>
            </w:r>
            <w:r/>
          </w:p>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森林</w:t>
            </w:r>
            <w:r/>
          </w:p>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树池行道树</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树池</w:t>
            </w:r>
            <w:r/>
          </w:p>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合计养护</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按平方</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报价</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养护</w:t>
            </w:r>
            <w:r/>
          </w:p>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等级</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vMerge w:val="restart"/>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说明</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vMerge w:val="continue"/>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vMerge w:val="continue"/>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57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vMerge w:val="continue"/>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vMerge w:val="continue"/>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第一部分：按平方报价</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山海景观轴绿地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23329.18</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7033.89</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30363.07</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30363.07</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自贸区绿地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26618.8</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26618.8</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26618.8</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海棠湖及国控点绿化</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53165.76</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10917.75</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64083.51</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27774.55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91858.06</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绿化养护、绿地内水域管理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神州宾馆北侧绿地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2319.20 </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2319.20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2319.2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五连造型黑松苗圃</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4323.61</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4323.61</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4323.61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北固山大道中间及两边绿地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36068.01</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36068.01</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454.96</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36522.97</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西墅路（环胜利湖）</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17002.34</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17002.34</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17002.34</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永昌锅炉房西侧绿化</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8012.81</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8012.81</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8012.81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西墅花园东侧苗圃</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37726.10 </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37726.10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3442.40 </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41168.5</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绿化养护、绿地内水域管理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东哨水库苗圃</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14383.66 </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14383.66</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14383.66</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连云区宪法公园综合养护管理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5538.07</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1508.61</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7046.68</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636.22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7682.9</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绿化养护、铺装养护、绿地内水域管理、设施维修、秩序管理及卫生保洁等综合管理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宋家花园综合养护管理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15580</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15580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15580</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绿化养护、铺装养护、绿地内水域管理、设施维修、秩序管理及卫生保洁等综合管理</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第一部小计</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第二部分：按单项报价</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按单项</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报价</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北固山生态公园综合养护管理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67408.22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14979.65</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82387.87</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1896.13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84284</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绿化养护、铺装养护、绿地内水域管理、设施维修、秩序管理及卫生保洁等综合管理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北固山健康步道综合养护管理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29800</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50800</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绿化养护、铺装养护、绿地内水域管理、设施维修、秩序管理及卫生保洁等综合管理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西小山环山步道综合养护管理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18497.74</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4350.63</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22848.37</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22848.37</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绿化养护、铺装养护、设施维修、秩序管理及卫生保洁等综合管理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区政府周边、区政府东侧山体绿地及胜利湖（扩建前范围）景观绿地综合养护管理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124535.72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140035.72</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194141.28 </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334177</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绿化养护、铺装养护、绿地内水域管理、设施维修、秩序管理及卫生保洁等综合管理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北固山森林公园林区</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4300亩</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林区</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北固山4300亩林区病死树防治和清理</w:t>
            </w:r>
            <w:r/>
          </w:p>
        </w:tc>
      </w:tr>
      <w:tr>
        <w:trPr>
          <w:trHeight w:val="700"/>
        </w:trPr>
        <w:tc>
          <w:tcPr>
            <w:shd w:val="clear" w:color="auto" w:fill="auto"/>
            <w:tcBorders>
              <w:top w:val="non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第二部小计</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总合计</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23630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484309.22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74290.53</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558599.75</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228890.58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4300亩</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454.96</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787945.29</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bl>
    <w:p>
      <w:pPr>
        <w:pStyle w:val="1147"/>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147"/>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47"/>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47"/>
        <w:ind w:left="0" w:firstLine="0"/>
        <w:spacing w:line="360" w:lineRule="auto"/>
        <w:rPr>
          <w:rFonts w:ascii="宋体" w:hAnsi="宋体" w:cs="宋体"/>
          <w:bCs/>
          <w:color w:val="auto"/>
          <w:highlight w:val="none"/>
        </w:rPr>
        <w:sectPr>
          <w:footnotePr/>
          <w:endnotePr/>
          <w:type w:val="nextPage"/>
          <w:pgSz w:w="16838" w:h="11906" w:orient="landscape"/>
          <w:pgMar w:top="1134" w:right="1134" w:bottom="1134" w:left="1134" w:header="851" w:footer="828" w:gutter="0"/>
          <w:cols w:num="1" w:sep="0" w:space="720" w:equalWidth="1"/>
          <w:docGrid w:linePitch="360"/>
        </w:sectPr>
      </w:pPr>
      <w:r>
        <w:rPr>
          <w:rFonts w:ascii="宋体" w:hAnsi="宋体" w:cs="宋体"/>
          <w:bCs/>
          <w:color w:val="auto"/>
          <w:highlight w:val="none"/>
        </w:rPr>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9.1绿化养护现场服务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按合同约定的工作内容及范围为甲方提供绿化养护服务，现场主要包括项目负责人、技术负责人、带工班长、绿化技工、车辆驾驶员、安全员、材料员等养护所需的各种人员，具体人员数量根据养护工作量及季节变化，报甲方同意后安排进场和调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甲方提供主要大件养护耗材有涂白剂、彩色覆盖物、防寒布、批量肥料（零星不计）、批量苗木补植（零星不计）、批量药剂（零星不计），其他支架、铁丝、铁锹手套等日常劳动工具及劳保用品等由乙方自理。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甲方提供的耗材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药剂</w:t>
      </w:r>
      <w:r>
        <w:rPr>
          <w:rFonts w:hint="eastAsia" w:ascii="宋体" w:hAnsi="宋体" w:eastAsia="宋体" w:cs="宋体"/>
          <w:color w:val="auto"/>
          <w:sz w:val="21"/>
          <w:szCs w:val="21"/>
          <w:highlight w:val="none"/>
        </w:rPr>
        <w:t xml:space="preserve">等仅能用于甲方指定范围内的养护工作，不能用于其他事项，如乙方私自使用，须按市场价格赔付甲方损失，如造成其他伤害，由乙方承担具体相应的全部责任。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乙方使用机械、车辆、药剂等应按规范操作使用，如出现安全事故，均由乙方负责处理。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乙方养护所需用水费用由乙方承担。</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9.2绿化养护办公辅助服务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本合同管养片区大、线路长、特殊情况多、工作任务情况较为复杂，除现场必须的养护人员外，必须配备至少</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名办公人员，全职配合甲方处置日常养护管理过程中的各种办公事宜，包括但不限于12345平台、城市管理平台、安全生产平台案件处置，养护考核打分，评优评比，各种日常及应急信息填报、事项手续办理等。由甲方提供办公地点，服从甲方的工作安排调度。</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9.3绿化养护应急处置服务</w:t>
      </w:r>
      <w:r/>
    </w:p>
    <w:p>
      <w:pPr>
        <w:ind w:firstLine="42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如遇有重大节日、外事活动、创建检查等，甲方有权要求乙方组织加班、突击工作，乙方需无条件服从，并高质量完成甲方布置的任务；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遇特殊天气，包括但不限于强风强雨雪、火情火灾等，乙方须第一时间自行组织采取必须的处置措施，同时，甲方有权利要求乙方参加上级部署的统一的防灾抢险行动，乙方需无条件服从，并高质量完成甲方布置的任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乙方须为所有提供项目使用的养护人员购买意外伤害保险，开展养护生产的同时，承担响应的安全生产责任。</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十、合同款支付</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10.1 付款方式：按养护服务考核结果，每季度支付服务费用。</w:t>
      </w:r>
      <w:r>
        <w:rPr>
          <w:rFonts w:hint="eastAsia" w:ascii="宋体" w:hAnsi="宋体" w:eastAsia="宋体" w:cs="宋体"/>
          <w:color w:val="auto"/>
          <w:sz w:val="21"/>
          <w:szCs w:val="21"/>
          <w:highlight w:val="none"/>
        </w:rPr>
        <w:t xml:space="preserve">（合同约定养护范围内，如遇上级经费拨付时间延迟情况，则顺应延迟支付本合的养护护费用）。</w:t>
      </w:r>
      <w:r/>
    </w:p>
    <w:p>
      <w:pPr>
        <w:pStyle w:val="849"/>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乙方账户名称：</w:t>
      </w:r>
      <w:r>
        <w:rPr>
          <w:rFonts w:hint="eastAsia" w:ascii="宋体" w:hAnsi="宋体" w:eastAsia="宋体" w:cs="宋体"/>
          <w:color w:val="auto"/>
          <w:sz w:val="21"/>
          <w:szCs w:val="21"/>
          <w:highlight w:val="none"/>
          <w:lang w:val="en-US" w:eastAsia="zh-CN"/>
        </w:rPr>
        <w:t xml:space="preserve"> </w:t>
      </w:r>
      <w:r/>
    </w:p>
    <w:p>
      <w:pPr>
        <w:pStyle w:val="849"/>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lang w:val="en-US" w:eastAsia="zh-CN"/>
        </w:rPr>
        <w:t xml:space="preserve"> </w:t>
      </w:r>
      <w:r/>
    </w:p>
    <w:p>
      <w:pPr>
        <w:pStyle w:val="849"/>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银行账号：</w:t>
      </w:r>
      <w:r>
        <w:rPr>
          <w:rFonts w:hint="eastAsia" w:ascii="宋体" w:hAnsi="宋体" w:eastAsia="宋体" w:cs="宋体"/>
          <w:color w:val="auto"/>
          <w:sz w:val="21"/>
          <w:szCs w:val="21"/>
          <w:highlight w:val="none"/>
          <w:lang w:val="en-US" w:eastAsia="zh-CN"/>
        </w:rPr>
        <w:t xml:space="preserve"> </w:t>
      </w:r>
      <w:r/>
    </w:p>
    <w:p>
      <w:pPr>
        <w:pStyle w:val="849"/>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10.2当采购服务需求与实际服务需求不一致时，乙方根据实际服务需求提供服务，合同的最终结算金额按实际服务需求进行计算。</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十一、甲方权利和义务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11.1根据甲方绿化养护要求及乙方投标文件中的承诺，对乙方提供的服务及履行本合同情况实行验收考核。</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11.2按照附件约定的考核规定，甲方对乙方养护管理工作进行检查考核打分，并根据考核结果支付养护费用。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11.3甲方有义务在适当的范围内公开考核结果。</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十二、乙方权利和义务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12.1乙方根据绿地养护技术规范、绿化养护质量标准和有关要求，积极主动保质保量地完成绿化养护工作。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12.2乙方要充分调动本单位职工工作积极性、主动性、创造性，合理安排用工。养护范围之外的突击性、突发性工作，乙方须服从甲方的安排，不得无故拖延。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12.3乙方必须遵守甲方所有管理规定，服从甲方管理。接受并主动配合甲方及行业管理部门的检查。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12.4乙方必须加强工作人员管理，制定应急预案，定期演练，应建立专项制度，制度上墙，安排专职责任人做好自查考核管理工作，做好养护记录和工作台账，确保绿化养护管理工作正常；</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12.5因乙方养护管理不善而损坏的植物、设施应负责及时补植和修复，或照价赔偿。</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12.6乙方必须做好各类物资、工具使用的保养及管护工作，存放有序，节约用水用电，无铺张浪费现象。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12.7乙方必须加强安全生产管理，安全生产管理措施落实到位、防微杜渐、责任到人。作为承揽管养工作的主体，落实管养第一主体责任。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12.8乙方日常养护产生的绿化垃圾如清理修剪的落花、落叶、枯枝、枯叶、草屑、清理的砖头石块等做到日产日清；绿化养护工具、器械等不得在区域内隔夜存放，非工作时间养护车辆不得在区域内停放。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12.9乙方必须做好详细的养护台账，建立养护档案，要按月制订管理计划，每月28日前由项目负责人将自查结果及下月养护工作计划报送至我中心对应业务科室。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12.10乙方应严格遵守《保障农民工工资支付条例》，以及国家和地方关于农民工工资的其他有关规定，如果发生违反规定拖欠或克扣农民工工资行为，造成农民工上访，乙方无条件接受发包人采取的经济等处罚，同时愿意接受行政主管部门依照有关规定作出的其它处罚决定。 </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十三、安全生产条款：本合同内涉及的工作过程中发生的一切事故，均由乙方全权负责，包括但不限于事故善后处理、赔偿等事宜。</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十四、 不可抗力事件处理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在合同有效期内，任何一方因不可抗力事件导致不能履行合同，则合同履行期延长，其延长期与不可抗力影响期相同。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不可抗力事件发生后，应立即通知对方，并寄送有关权威机构出具的证明。</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不可抗力事件延续120天以上，双方应通过友好协商，确定是否继续履行合同。</w:t>
      </w:r>
      <w:r/>
    </w:p>
    <w:p>
      <w:pPr>
        <w:ind w:firstLine="211"/>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十五、合同的生效</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15.1合同经双方法定代表人或委托代理人签名并加盖单位公章后生效。</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十六、质量保证及售后服务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乙方应按采购文件规定和响应文件承诺的性能、技术要求、质量标准向甲方提供服务。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乙方提供的服务因其本身出现质量问题，根据实际情况，可按以下办法处理：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（1）返工处理：由乙方承担所发生的全部费用。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（2）一个年度超过三次出现返工处理，则甲方有权终止合同，乙方退还甲方已支付的合同款，并承担已支付款项20%的违约金。</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十七、违约责任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甲方无正当理由拒绝乙方提供正常养护的，甲方向乙方偿付拒收服务等值金额的百分之五违约金。乙方无正当理由拒绝向甲方提供正常养护要求的，乙方向甲方偿付拒绝服务等值金额的百分之五违约金。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乙方向甲方提供的服务不符合项目需求要求、乙方投标文件承诺及国家有关质量标准的，甲方有权拒收；乙方愿意整改重新提供服务但逾期完成的，按乙方逾期完成处理；乙方拒绝整改的，甲方可单方面解除合同，并由乙方赔偿由此造成的甲方全部损失。</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十八、争议解决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双方在执行合同中所发生的一切争议，应通过协商解决。如协商不成，则向连云区法院提起诉讼。</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十九、附则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19.1合同份数：本合同正本一式陆份，具有同等法律效力，甲方执两份、乙方执两份、见证方及财政监管部门各执一份。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19.2未尽事宜：本合同未尽事宜，遵照《中华人民共和国民法典》有关条文执行。</w:t>
      </w:r>
      <w:r/>
    </w:p>
    <w:p>
      <w:pPr>
        <w:ind w:firstLine="42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 xml:space="preserve">二十、附件：</w:t>
      </w:r>
      <w:r>
        <w:rPr>
          <w:rFonts w:hint="eastAsia" w:ascii="宋体" w:hAnsi="宋体" w:eastAsia="宋体" w:cs="宋体"/>
          <w:color w:val="auto"/>
          <w:sz w:val="21"/>
          <w:szCs w:val="21"/>
          <w:highlight w:val="none"/>
        </w:rPr>
        <w:t xml:space="preserve">《连云区公用事业发展中心公园及绿化养护管理考核办法（试行）》，附件条款与合同正文具有同等法律效力。</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896"/>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  方：                                乙 方：                    </w:t>
      </w:r>
      <w:r/>
    </w:p>
    <w:p>
      <w:pPr>
        <w:ind w:firstLine="84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（盖章）                               （盖章） </w:t>
      </w:r>
      <w:r/>
    </w:p>
    <w:p>
      <w:pPr>
        <w:ind w:firstLine="896"/>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                                  地址：                     </w:t>
      </w:r>
      <w:r/>
    </w:p>
    <w:p>
      <w:pPr>
        <w:ind w:firstLine="896"/>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                            法定代表人：               </w:t>
      </w:r>
      <w:r/>
    </w:p>
    <w:p>
      <w:pPr>
        <w:ind w:firstLine="896"/>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委托代理人：                            委托代理人：           </w:t>
      </w:r>
      <w:r/>
    </w:p>
    <w:p>
      <w:pPr>
        <w:ind w:firstLine="896"/>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                                  电话：                     </w:t>
      </w:r>
      <w:r/>
    </w:p>
    <w:p>
      <w:pPr>
        <w:ind w:firstLine="48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896"/>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签订日期：   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日</w:t>
      </w:r>
      <w:r/>
    </w:p>
    <w:p>
      <w:pPr>
        <w:pStyle w:val="900"/>
        <w:shd w:val="clear" w:color="auto"/>
        <w:rPr>
          <w:rFonts w:hint="eastAsia"/>
          <w:sz w:val="24"/>
          <w:szCs w:val="24"/>
          <w:highlight w:val="none"/>
          <w:lang w:eastAsia="zh-CN"/>
        </w:rPr>
      </w:pPr>
      <w:r>
        <w:rPr>
          <w:rFonts w:hint="eastAsia" w:ascii="宋体" w:hAnsi="宋体" w:eastAsia="宋体" w:cs="Times New Roman"/>
          <w:sz w:val="24"/>
          <w:szCs w:val="24"/>
          <w:highlight w:val="none"/>
        </w:rPr>
        <w:t xml:space="preserve">   </w:t>
      </w:r>
      <w:r/>
    </w:p>
    <w:p>
      <w:pPr>
        <w:pStyle w:val="1147"/>
        <w:ind w:left="0" w:right="0" w:firstLine="482"/>
        <w:keepLines w:val="0"/>
        <w:keepNext w:val="0"/>
        <w:pageBreakBefore w:val="0"/>
        <w:spacing w:line="2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ascii="宋体" w:hAnsi="宋体"/>
          <w:b/>
          <w:color w:val="000000"/>
          <w:sz w:val="21"/>
          <w:szCs w:val="21"/>
        </w:rPr>
        <w:sectPr>
          <w:headerReference w:type="default" r:id="rId11"/>
          <w:footerReference w:type="default" r:id="rId16"/>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b/>
          <w:color w:val="000000"/>
          <w:sz w:val="21"/>
          <w:szCs w:val="21"/>
        </w:rPr>
      </w:r>
      <w:r/>
    </w:p>
    <w:p>
      <w:pPr>
        <w:spacing w:line="440" w:lineRule="exact"/>
        <w:rPr>
          <w:rFonts w:ascii="宋体" w:hAnsi="宋体"/>
          <w:b/>
          <w:color w:val="000000"/>
          <w:sz w:val="21"/>
          <w:szCs w:val="21"/>
        </w:rPr>
      </w:pPr>
      <w:r>
        <w:rPr>
          <w:rFonts w:ascii="宋体" w:hAnsi="宋体"/>
          <w:b/>
          <w:color w:val="000000"/>
          <w:sz w:val="21"/>
          <w:szCs w:val="21"/>
        </w:rPr>
        <w:t xml:space="preserve">附件：</w:t>
      </w:r>
      <w:r/>
    </w:p>
    <w:p>
      <w:pPr>
        <w:ind w:firstLine="1320"/>
        <w:jc w:val="both"/>
        <w:spacing w:line="560" w:lineRule="exact"/>
        <w:widowControl w:val="off"/>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 xml:space="preserve">连云区公用事业发展中心公园及绿化养护管理考核办法（试行）</w:t>
      </w:r>
      <w:r/>
    </w:p>
    <w:p>
      <w:pPr>
        <w:keepLines w:val="0"/>
        <w:keepNext w:val="0"/>
        <w:pageBreakBefore w:val="0"/>
        <w:spacing w:line="360" w:lineRule="auto"/>
        <w:widowControl w:val="off"/>
        <w:rPr>
          <w:rFonts w:hint="default" w:ascii="Times New Roman" w:hAnsi="Times New Roman" w:eastAsia="方正小标宋简体" w:cs="Times New Roman"/>
          <w:color w:val="auto"/>
          <w:lang w:val="en-US" w:eastAsia="zh-CN"/>
        </w:rPr>
      </w:pPr>
      <w:r>
        <w:rPr>
          <w:rFonts w:hint="default" w:ascii="Times New Roman" w:hAnsi="Times New Roman" w:eastAsia="方正小标宋简体" w:cs="Times New Roman"/>
          <w:color w:val="auto"/>
          <w:lang w:val="en-US" w:eastAsia="zh-CN"/>
        </w:rPr>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为促进我中心公园及绿化养护管理工作规范化、制度化，进一步强化考核工作，提高养护管理水平，参照《连云港市城区市政及绿地养护管理检查考核办法（2015修订）》（连建绿〔2015〕114号）、《连云港公园养护管理考核办法（试行）》（连建园〔2016〕380号）、《连云港市绿化养护管理检查考核办法（试行）》连建发〔2022〕353号等相关文件，制定本办法。</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一、适用范围</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本办法适用于我中心管养范围的公共绿地空间，主要包括北固山公园、西园游园、中华路绿化、西小山绿道等公园、游园、道路绿化以及绿廊绿道等养护管理工作的日常考核，其他类似公园及绿化养护管理工作考核可参照本办法执行。</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二、实施主体</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连云区公用事业发展中心公园林业科、绿化管理科对各自承担的管理范围进行检查考核。</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三、考核对象及范围</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各养护标段养护承包单位及其合同约定的养护范围和内容。</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四、考核标准</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1、主要标准文件。</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连云港市城区市政及绿地养护管理检查考核办法（2015修订）》（连建绿〔2015〕114号）、《连云港公园养护管理考核办法（试行）》（连建园〔2016〕380号）、《连云港市绿化养护管理检查考核办法（试行）》连建发〔2022〕353号以及本考核办法等相关文件规定。</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2、绿化实行分级养护管理。</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一级养护绿化：一般包括城区中具有较大影响的公园、游园、河滨绿化、街旁绿化和广场绿化、城市主干道及重要次干道绿化、城市主要出入口绿化等。</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二级养护绿化：一般包括城区中具有一定影响的公园、游园、河滨绿化、街旁绿化和广场绿化、城市次干道附属绿化等。</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三级养护绿化：除一级、二级以外的其他河滨绿化、道路附属绿化、防护绿化、苗圃等。</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具体各绿化范围及养护等级要求以各发包合同为准。</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五、考核形式</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（一）养护单位自查上报</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各养护单位制定内部考核标准及评分办法，每月28日前由项目负责人将自查结果及下月养护工作计划报送至我中心对应业务科室。每年12月31日前，由项目负责人将当年养护工作总结及下一年度养护工作计划报送至我中心对应业务科室。</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（二）月度考核</w:t>
      </w:r>
      <w:r/>
    </w:p>
    <w:p>
      <w:pPr>
        <w:ind w:left="0" w:firstLine="420"/>
        <w:jc w:val="both"/>
        <w:keepLines w:val="0"/>
        <w:keepNext w:val="0"/>
        <w:pageBreakBefore w:val="0"/>
        <w:spacing w:line="360" w:lineRule="auto"/>
        <w:widowControl w:val="off"/>
        <w:rPr>
          <w:rFonts w:hint="eastAsia" w:ascii="宋体" w:eastAsia="宋体" w:cs="宋体"/>
          <w:bCs/>
          <w:color w:val="auto"/>
          <w:sz w:val="21"/>
          <w:szCs w:val="21"/>
          <w:lang w:val="en-US" w:eastAsia="zh-CN" w:bidi="ar-SA"/>
        </w:rPr>
      </w:pPr>
      <w:r>
        <w:rPr>
          <w:rFonts w:hint="eastAsia" w:ascii="宋体" w:eastAsia="宋体" w:cs="宋体"/>
          <w:bCs/>
          <w:color w:val="auto"/>
          <w:sz w:val="21"/>
          <w:szCs w:val="21"/>
          <w:lang w:val="en-US" w:eastAsia="zh-CN" w:bidi="ar-SA"/>
        </w:rPr>
        <w:t xml:space="preserve">日常管理过程中，甲方对划片养护标段进行不定期检查，以及根据季节特点制定公园及绿化养护工作重点进行专项检查，并于每月下旬对各划片养护标段进行当月考核，专项检查情况纳入所在月度考核。</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（三）季度考核</w:t>
      </w:r>
      <w:r/>
    </w:p>
    <w:p>
      <w:pPr>
        <w:ind w:left="0" w:firstLine="420"/>
        <w:jc w:val="both"/>
        <w:keepLines w:val="0"/>
        <w:keepNext w:val="0"/>
        <w:pageBreakBefore w:val="0"/>
        <w:spacing w:line="360" w:lineRule="auto"/>
        <w:widowControl w:val="off"/>
        <w:rPr>
          <w:rFonts w:hint="eastAsia" w:ascii="宋体" w:eastAsia="宋体" w:cs="宋体"/>
          <w:bCs/>
          <w:color w:val="auto"/>
          <w:sz w:val="21"/>
          <w:szCs w:val="21"/>
          <w:lang w:val="en-US" w:eastAsia="zh-CN" w:bidi="ar-SA"/>
        </w:rPr>
      </w:pPr>
      <w:r>
        <w:rPr>
          <w:rFonts w:hint="eastAsia" w:ascii="宋体" w:eastAsia="宋体" w:cs="宋体"/>
          <w:bCs/>
          <w:color w:val="auto"/>
          <w:sz w:val="21"/>
          <w:szCs w:val="21"/>
          <w:lang w:val="en-US" w:eastAsia="zh-CN" w:bidi="ar-SA"/>
        </w:rPr>
        <w:t xml:space="preserve">甲方对各养护单位自查结果及月度考核情况进行抽查考核，每季度考核一次。</w:t>
      </w:r>
      <w:r/>
    </w:p>
    <w:p>
      <w:pPr>
        <w:numPr>
          <w:ilvl w:val="0"/>
          <w:numId w:val="3"/>
        </w:num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年度考核</w:t>
      </w:r>
      <w:r/>
    </w:p>
    <w:p>
      <w:pPr>
        <w:ind w:left="0" w:firstLine="420"/>
        <w:jc w:val="both"/>
        <w:keepLines w:val="0"/>
        <w:keepNext w:val="0"/>
        <w:pageBreakBefore w:val="0"/>
        <w:spacing w:line="360" w:lineRule="auto"/>
        <w:widowControl w:val="off"/>
        <w:rPr>
          <w:rFonts w:hint="eastAsia" w:ascii="宋体" w:eastAsia="宋体" w:cs="宋体"/>
          <w:bCs/>
          <w:color w:val="auto"/>
          <w:sz w:val="21"/>
          <w:szCs w:val="21"/>
          <w:lang w:val="en-US" w:eastAsia="zh-CN" w:bidi="ar-SA"/>
        </w:rPr>
      </w:pPr>
      <w:r>
        <w:rPr>
          <w:rFonts w:hint="eastAsia" w:ascii="宋体" w:eastAsia="宋体" w:cs="宋体"/>
          <w:bCs/>
          <w:color w:val="auto"/>
          <w:sz w:val="21"/>
          <w:szCs w:val="21"/>
          <w:lang w:val="en-US" w:eastAsia="zh-CN" w:bidi="ar-SA"/>
        </w:rPr>
        <w:t xml:space="preserve">根据日常巡查、月度考核、季度考核及年度绿化养护管理相关台帐等情况综合考核。</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五、例会制度</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1、月度例会：我中心对应业务科室的划片考评员组织所考评养护范围内的养护单位项目负责人召开月度例会。会议通报上月考核情况并安排下月工作重点。</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2、季度例会：我中心对应业务科室相关负责人组织召开季度例会，会议通报季度考核结果。</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3、年度总结大会：我中心对应业务分管领导组织召开年度大会，会议通报年度综合结果。</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六、考核结果通报范围</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月度考核结果由我中心对应业务科室的划片考评员在养护工作交流群内公布；季度考核结果我中心对应业务科室以信息形式通报至中心分管领导阅处；年度总结综合结果由我中心对应业务科室以信息形式通报至中心办公室并呈分管领导、主要领导阅处。</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七、考核评分</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1、考核实行百分制，评分依据详见本办法附件表格。</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2、每月考核由日常巡查、月度考核（季度考核）构成。日常巡查得分占综合得分的40%，月度考核得分占月度考核综合得分的60%。（当月月度考核综合得分=当月日常巡查得分*40%+当月月度考核得分*60%）</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3、若某月发生季度考核，则当月日常巡查得分占综合得分的30%，月度考核得分占综合得分的40%，季度考核得分占综合得分的30%。（当月月度考核综合得分=当月日常巡查得分*30%+当月月度考核得分*40%+当季季度考核得分*30%）</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4、年度结束，根据巡查、月度、季度等综合情况进行考核，每年12月底需提供年度绿化养护管理考核台帐，包括但不限于资金保障、养护力量、日常管理等相关方面材料 内容，并报送当年养护工作总结及下一年度养护工作计划至我中心对应业务科室。当年年度考核综合得分=资金保障（25分）+养护力量（15分）+日常管理（60分：各月度综合得分的算术平均分）。</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月度考核综合得分与当月养护经费挂钩，考核分数95（含）分以上，全额拨付养护经费；90（含）～95分，94分扣减经费的1%；</w:t>
      </w:r>
      <w:r>
        <w:rPr>
          <w:rFonts w:hint="eastAsia" w:ascii="宋体" w:hAnsi="宋体" w:eastAsia="宋体" w:cs="宋体"/>
          <w:b/>
          <w:bCs w:val="0"/>
          <w:color w:val="auto"/>
          <w:sz w:val="21"/>
          <w:szCs w:val="21"/>
          <w:lang w:val="en-US" w:eastAsia="zh-CN" w:bidi="ar-SA"/>
        </w:rPr>
        <w:t xml:space="preserve">93分扣减经费的2%；92分扣减经费的3%；91分扣减经费的4%；90分扣减经费的5%；85（含）～90分，89分扣减经费的7%；88分扣减经费的9%；87分扣减经费的11%；86分扣减经费的13%；85分扣减经费的15%；80（含）～85（不含）分，84分扣减经费的19%，83分扣减经费的23%，82分扣减经费的27%，81分扣减经费的31%，80分扣减经费的35%；80分（不含）以下为不合格，扣除当月养护经费。按照奖惩平衡的原则，被扣减的经费原则上用于奖励成绩优异的养护单位，并对现场负责人给予一定奖励。</w:t>
      </w:r>
      <w:r/>
    </w:p>
    <w:p>
      <w:pPr>
        <w:ind w:left="0" w:firstLine="422"/>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连续2次考核不合格或一年中累计有3次考核不合格单位，我中心可解除相关的承包合同，对考核打分有较大异议且协商后任存在较大意见分歧的，可申请第三方专家评定，相关费用由申请方承担。</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八、奖惩办法</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1、未按时上报工作计划的扣当月考核综合得分2分，不上报工作计划的扣当月考核综合得分5分。</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2、项目负责人必须参加月度及季度工作会议，养护承包单位法人必须参加年度工作会议，如有特殊情况不能按时参加者，必须由单位分管养护工作领导或法人参加会议，否者视为养护单位未参加会议，管理单位有权直接在当月养护经费中扣除1000元。</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3、如遇创建检查、重大节日、外事活动，养护单位需无条件服从管理单位的要求，突击安排人员或加班，涉及的相关费用由养护单位自行负责。如组织不力，未能达到相关要求并造成不良后果，每发生一次，最低扣款2000元。</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4、及时完成12345、城市综合管理、安全生产平台、媒体曝光及市民投诉需办理的案件，不能及时处理的一次扣5分，并直接在当月养护经费中扣除5000元。</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5、养护工人应统一着装上岗；绿化养护工人、保安保洁人员、机械设备按养护合同要求配备，每次检查、抽查，少一人扣1000元养护经费，少2人扣2000元养护经费，以此类推。此项与养护考核打分不相冲突。</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6、养护单位项目负责人须保持通讯24小时畅通，如遇到紧急情况联系不到项目负责人的，扣除2000元养护经费。项目负责人遇不可抗因素无法完成工作的，应由单位分管养护领导及时接管工作。</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九、其他</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如已签养护合同内容与本考核办法有冲突，以本考核办法为准。</w:t>
      </w:r>
      <w:r/>
    </w:p>
    <w:p>
      <w:pPr>
        <w:keepLines w:val="0"/>
        <w:keepNext w:val="0"/>
        <w:pageBreakBefore w:val="0"/>
        <w:spacing w:line="360" w:lineRule="auto"/>
        <w:widowControl w:val="off"/>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rPr>
        <w:t xml:space="preserve">附件</w:t>
      </w:r>
      <w:r>
        <w:rPr>
          <w:rFonts w:hint="eastAsia" w:ascii="宋体" w:hAnsi="宋体" w:eastAsia="宋体" w:cs="宋体"/>
          <w:b/>
          <w:bCs w:val="0"/>
          <w:color w:val="auto"/>
          <w:sz w:val="21"/>
          <w:szCs w:val="21"/>
          <w:lang w:val="en-US" w:eastAsia="zh-CN"/>
        </w:rPr>
        <w:t xml:space="preserve">一 :</w:t>
      </w:r>
      <w:r/>
    </w:p>
    <w:p>
      <w:pPr>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1.公园（月/季度）秩序设施考核评分表</w:t>
      </w:r>
      <w:r/>
    </w:p>
    <w:p>
      <w:pPr>
        <w:ind w:left="0" w:firstLine="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2.公园（月/季度）卫生保洁考核评分表</w:t>
      </w:r>
      <w:r/>
    </w:p>
    <w:p>
      <w:pPr>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3.公园（月/季度）水电亮化管理考核打分表</w:t>
      </w:r>
      <w:r/>
    </w:p>
    <w:p>
      <w:pPr>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4.公园/绿化（月/季度）草花/花境养护考核评分表</w:t>
      </w:r>
      <w:r/>
    </w:p>
    <w:p>
      <w:pPr>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5.绿化（月/季度）养护现场分级考核评分表（一级养护）</w:t>
      </w:r>
      <w:r/>
    </w:p>
    <w:p>
      <w:pPr>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6.绿化（月/季度）养护现场分级考核评分表（二级养护）</w:t>
      </w:r>
      <w:r/>
    </w:p>
    <w:p>
      <w:pPr>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7.绿化（月/季度）养护现场分级考核评分表（三级养护）</w:t>
      </w:r>
      <w:r/>
    </w:p>
    <w:p>
      <w:pPr>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p>
      <w:pPr>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
          <w:bCs w:val="0"/>
          <w:color w:val="auto"/>
          <w:sz w:val="21"/>
          <w:szCs w:val="21"/>
          <w:lang w:val="en-US" w:eastAsia="zh-CN"/>
        </w:rPr>
        <w:t xml:space="preserve">附件二</w:t>
      </w:r>
      <w:r>
        <w:rPr>
          <w:rFonts w:hint="eastAsia" w:ascii="宋体" w:hAnsi="宋体" w:eastAsia="宋体" w:cs="宋体"/>
          <w:b/>
          <w:bCs w:val="0"/>
          <w:color w:val="auto"/>
          <w:sz w:val="21"/>
          <w:szCs w:val="21"/>
          <w:lang w:val="en-US" w:eastAsia="zh-CN" w:bidi="ar-SA"/>
        </w:rPr>
        <w:t xml:space="preserve">：</w:t>
      </w:r>
      <w:r>
        <w:rPr>
          <w:rFonts w:hint="eastAsia" w:ascii="宋体" w:hAnsi="宋体" w:eastAsia="宋体" w:cs="宋体"/>
          <w:bCs/>
          <w:color w:val="auto"/>
          <w:sz w:val="21"/>
          <w:szCs w:val="21"/>
          <w:lang w:val="en-US" w:eastAsia="zh-CN" w:bidi="ar-SA"/>
        </w:rPr>
        <w:t xml:space="preserve">连云港市绿化养护管理分级标准</w:t>
      </w:r>
      <w:r/>
    </w:p>
    <w:p>
      <w:pPr>
        <w:keepLines w:val="0"/>
        <w:keepNext w:val="0"/>
        <w:pageBreakBefore w:val="0"/>
        <w:spacing w:line="360" w:lineRule="auto"/>
        <w:widowControl w:val="off"/>
        <w:rPr>
          <w:rFonts w:hint="default" w:ascii="Calibri" w:hAnsi="Calibri" w:eastAsia="仿宋_GB2312" w:cs="Times New Roman"/>
          <w:bCs/>
          <w:color w:val="auto"/>
          <w:sz w:val="32"/>
          <w:szCs w:val="32"/>
          <w:lang w:val="en-US" w:eastAsia="zh-CN" w:bidi="ar-SA"/>
        </w:rPr>
      </w:pPr>
      <w:r>
        <w:rPr>
          <w:rFonts w:hint="eastAsia" w:ascii="宋体" w:hAnsi="宋体" w:eastAsia="宋体" w:cs="宋体"/>
          <w:b/>
          <w:bCs w:val="0"/>
          <w:color w:val="auto"/>
          <w:sz w:val="21"/>
          <w:szCs w:val="21"/>
          <w:lang w:val="en-US" w:eastAsia="zh-CN" w:bidi="ar-SA"/>
        </w:rPr>
        <w:t xml:space="preserve">说明：</w:t>
      </w:r>
      <w:r>
        <w:rPr>
          <w:rFonts w:hint="eastAsia" w:ascii="宋体" w:hAnsi="宋体" w:eastAsia="宋体" w:cs="宋体"/>
          <w:bCs/>
          <w:color w:val="auto"/>
          <w:sz w:val="21"/>
          <w:szCs w:val="21"/>
          <w:lang w:val="en-US" w:eastAsia="zh-CN" w:bidi="ar-SA"/>
        </w:rPr>
        <w:t xml:space="preserve">一个养护标段如有多个考核项目同时发生考核，则取各考核项目累加后的平均分作为综合结果</w:t>
      </w:r>
      <w:r>
        <w:rPr>
          <w:rFonts w:hint="eastAsia" w:ascii="Times New Roman" w:hAnsi="Times New Roman" w:eastAsia="仿宋_GB2312" w:cs="Times New Roman"/>
          <w:bCs/>
          <w:color w:val="auto"/>
          <w:sz w:val="32"/>
          <w:szCs w:val="32"/>
          <w:lang w:val="en-US" w:eastAsia="zh-CN" w:bidi="ar-SA"/>
        </w:rPr>
        <w:t xml:space="preserve">。</w:t>
      </w:r>
      <w:r/>
    </w:p>
    <w:p>
      <w:pPr>
        <w:ind w:left="2530" w:hanging="2530"/>
        <w:jc w:val="left"/>
        <w:pageBreakBefore/>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附件一：考核评分表   </w:t>
      </w:r>
      <w:r>
        <w:rPr>
          <w:rFonts w:hint="eastAsia" w:ascii="宋体" w:hAnsi="宋体" w:eastAsia="宋体" w:cs="宋体"/>
          <w:bCs/>
          <w:color w:val="auto"/>
          <w:sz w:val="21"/>
          <w:szCs w:val="21"/>
          <w:lang w:val="en-US" w:eastAsia="zh-CN" w:bidi="ar-SA"/>
        </w:rPr>
        <w:t xml:space="preserve">                                                                       1.公园（月/季度）秩序设施考核评分表</w:t>
      </w:r>
      <w:r/>
    </w:p>
    <w:tbl>
      <w:tblPr>
        <w:tblStyle w:val="844"/>
        <w:tblW w:w="9546" w:type="dxa"/>
        <w:tblCellSpacing w:w="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95"/>
        <w:gridCol w:w="6116"/>
        <w:gridCol w:w="675"/>
        <w:gridCol w:w="675"/>
        <w:gridCol w:w="585"/>
      </w:tblGrid>
      <w:tr>
        <w:trPr>
          <w:tblCellSpacing w:w="0" w:type="dxa"/>
          <w:trHeight w:val="543"/>
        </w:trPr>
        <w:tc>
          <w:tcPr>
            <w:tcW w:w="149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考评</w:t>
            </w:r>
            <w:r/>
          </w:p>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项目</w:t>
            </w:r>
            <w:r/>
          </w:p>
        </w:tc>
        <w:tc>
          <w:tcPr>
            <w:tcW w:w="6116"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项目扣分标准</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单位</w:t>
            </w:r>
            <w:r/>
          </w:p>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分值</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项目</w:t>
            </w:r>
            <w:r/>
          </w:p>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得分</w:t>
            </w:r>
            <w:r/>
          </w:p>
        </w:tc>
        <w:tc>
          <w:tcPr>
            <w:tcW w:w="58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存在</w:t>
            </w:r>
            <w:r/>
          </w:p>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问题</w:t>
            </w:r>
            <w:r/>
          </w:p>
        </w:tc>
      </w:tr>
      <w:tr>
        <w:trPr>
          <w:tblCellSpacing w:w="0" w:type="dxa"/>
          <w:trHeight w:val="231"/>
        </w:trPr>
        <w:tc>
          <w:tcPr>
            <w:tcW w:w="1495" w:type="dxa"/>
            <w:vAlign w:val="center"/>
            <w:vMerge w:val="restart"/>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劳动纪律</w:t>
            </w:r>
            <w:r/>
          </w:p>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(35分)</w:t>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1、遵守公园园内规章制度，养护单位有安全生产制度，制定严格的安全措施和操作流程，政令畅通，服从管理。</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1-5</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2、礼待游客，说话和蔼，不与游客发生争吵。</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1-5</w:t>
            </w:r>
            <w:r/>
          </w:p>
        </w:tc>
        <w:tc>
          <w:tcPr>
            <w:tcW w:w="67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3、遵守劳动纪律，上班不打牌、不赌博、不酗酒、不戏闹、不睡觉、不迟到、不早退、不无故旷工。</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1-5</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4、各个岗位不脱岗、漏岗，定时巡园。</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1-5</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5、巡逻或值班时不得有吸烟、吃食、依靠、卧、看报纸行为。</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1-5</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6、无焚烧垃圾、无私自乱接拉电现象。</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1-5</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81"/>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7、上班时间统一着装，着装整洁、佩戴胸卡、装备配备齐全。</w:t>
            </w:r>
            <w:r/>
          </w:p>
        </w:tc>
        <w:tc>
          <w:tcPr>
            <w:tcW w:w="675" w:type="dxa"/>
            <w:vAlign w:val="center"/>
            <w:textDirection w:val="lrTb"/>
            <w:noWrap w:val="false"/>
          </w:tcPr>
          <w:p>
            <w:pPr>
              <w:jc w:val="cente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1-5</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238"/>
        </w:trPr>
        <w:tc>
          <w:tcPr>
            <w:tcW w:w="1495" w:type="dxa"/>
            <w:vAlign w:val="center"/>
            <w:vMerge w:val="restart"/>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安全秩序</w:t>
            </w:r>
            <w:r/>
          </w:p>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(40分)</w:t>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1、未按巡视路线按时巡视的。</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23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2、人员或车辆出入，未及时提供开门、关门服务。</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23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3、门卫室不整洁，记录存放杂乱，记录不及时。</w:t>
            </w:r>
            <w:r/>
          </w:p>
        </w:tc>
        <w:tc>
          <w:tcPr>
            <w:tcW w:w="675" w:type="dxa"/>
            <w:vAlign w:val="center"/>
            <w:textDirection w:val="lrTb"/>
            <w:noWrap w:val="false"/>
          </w:tcPr>
          <w:p>
            <w:pPr>
              <w:jc w:val="cente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23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4、工作人员或访客需要帮助，未主动及时提供服务。</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5、无卖艺、乞讨、拾荒及摊贩、聚众传销进入。</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6、在广场中投掷物体。园内溜旱冰。</w:t>
            </w:r>
            <w:r/>
          </w:p>
        </w:tc>
        <w:tc>
          <w:tcPr>
            <w:tcW w:w="675" w:type="dxa"/>
            <w:vAlign w:val="center"/>
            <w:textDirection w:val="lrTb"/>
            <w:noWrap w:val="false"/>
          </w:tcPr>
          <w:p>
            <w:pPr>
              <w:jc w:val="cente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7、触碰或试图打开园内配电设施。</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8、举行迷信活动和贩卖迷信物品。</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9、随地躺卧、露宿、明火野炊、搭帐篷。</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10、车辆乱停乱放、违规行驶。</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11、攀折采摘花草树木未及时发现制止。</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12、携带犬只,宠物</w:t>
            </w:r>
            <w:r>
              <w:rPr>
                <w:rFonts w:hint="eastAsia" w:ascii="宋体" w:hAnsi="宋体" w:eastAsia="宋体" w:cs="宋体"/>
                <w:b w:val="0"/>
                <w:bCs/>
                <w:color w:val="auto"/>
                <w:sz w:val="18"/>
                <w:szCs w:val="18"/>
                <w:lang w:eastAsia="zh-CN"/>
              </w:rPr>
              <w:t xml:space="preserve">（</w:t>
            </w:r>
            <w:r>
              <w:rPr>
                <w:rFonts w:hint="eastAsia" w:ascii="宋体" w:hAnsi="宋体" w:eastAsia="宋体" w:cs="宋体"/>
                <w:b w:val="0"/>
                <w:bCs/>
                <w:color w:val="auto"/>
                <w:sz w:val="18"/>
                <w:szCs w:val="18"/>
                <w:lang w:val="en-US" w:eastAsia="zh-CN"/>
              </w:rPr>
              <w:t xml:space="preserve">不牵绳</w:t>
            </w:r>
            <w:r>
              <w:rPr>
                <w:rFonts w:hint="eastAsia" w:ascii="宋体" w:hAnsi="宋体" w:eastAsia="宋体" w:cs="宋体"/>
                <w:b w:val="0"/>
                <w:bCs/>
                <w:color w:val="auto"/>
                <w:sz w:val="18"/>
                <w:szCs w:val="18"/>
                <w:lang w:eastAsia="zh-CN"/>
              </w:rPr>
              <w:t xml:space="preserve">）</w:t>
            </w:r>
            <w:r>
              <w:rPr>
                <w:rFonts w:hint="eastAsia" w:ascii="宋体" w:hAnsi="宋体" w:eastAsia="宋体" w:cs="宋体"/>
                <w:b w:val="0"/>
                <w:bCs/>
                <w:color w:val="auto"/>
                <w:sz w:val="18"/>
                <w:szCs w:val="18"/>
              </w:rPr>
              <w:t xml:space="preserve">进园未及时发现制止并跟踪处理。</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13、乱扔垃圾、废弃物、倾倒污水未及时发现制止并跟踪处理。</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14、擅自占用、挖掘、破坏园路、铺装未及时发现制止并跟踪处理。</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15、草坪、</w:t>
            </w:r>
            <w:r>
              <w:rPr>
                <w:rFonts w:hint="eastAsia" w:ascii="宋体" w:hAnsi="宋体" w:eastAsia="宋体" w:cs="宋体"/>
                <w:b w:val="0"/>
                <w:bCs/>
                <w:color w:val="auto"/>
                <w:sz w:val="18"/>
                <w:szCs w:val="18"/>
                <w:lang w:eastAsia="zh-CN"/>
              </w:rPr>
              <w:t xml:space="preserve">绿化</w:t>
            </w:r>
            <w:r>
              <w:rPr>
                <w:rFonts w:hint="eastAsia" w:ascii="宋体" w:hAnsi="宋体" w:eastAsia="宋体" w:cs="宋体"/>
                <w:b w:val="0"/>
                <w:bCs/>
                <w:color w:val="auto"/>
                <w:sz w:val="18"/>
                <w:szCs w:val="18"/>
              </w:rPr>
              <w:t xml:space="preserve">内燃放烟花炮竹未及时发现制止并跟踪处理。</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16、冬季河面溜冰未及时发现制止并跟踪处理。</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17、电鱼、下网、钓鱼未及时发现制止并跟踪处理。</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18、公园内游客出现反常情况未及时发现制止并跟踪处理。</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19、公园内存在扰民超标广播噪音未及时制止并跟踪处理。</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20、公园内有游人存在不法行为未及时制止并跟踪处理。</w:t>
            </w:r>
            <w:r/>
          </w:p>
        </w:tc>
        <w:tc>
          <w:tcPr>
            <w:tcW w:w="675" w:type="dxa"/>
            <w:vAlign w:val="center"/>
            <w:textDirection w:val="lrTb"/>
            <w:noWrap w:val="false"/>
          </w:tcPr>
          <w:p>
            <w:pPr>
              <w:jc w:val="cente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76"/>
        </w:trPr>
        <w:tc>
          <w:tcPr>
            <w:tcW w:w="1495" w:type="dxa"/>
            <w:vAlign w:val="center"/>
            <w:vMerge w:val="restart"/>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设施看护等</w:t>
            </w:r>
            <w:r/>
          </w:p>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(10分)</w:t>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1、随意堆放工具、物料。</w:t>
            </w:r>
            <w:r/>
          </w:p>
        </w:tc>
        <w:tc>
          <w:tcPr>
            <w:tcW w:w="675" w:type="dxa"/>
            <w:vAlign w:val="center"/>
            <w:textDirection w:val="lrTb"/>
            <w:noWrap w:val="false"/>
          </w:tcPr>
          <w:p>
            <w:pPr>
              <w:jc w:val="cente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2、偷盗、损毁果皮箱、水篦、窨井盖、灯具、阀门、电缆等。</w:t>
            </w:r>
            <w:r/>
          </w:p>
        </w:tc>
        <w:tc>
          <w:tcPr>
            <w:tcW w:w="675" w:type="dxa"/>
            <w:vAlign w:val="center"/>
            <w:textDirection w:val="lrTb"/>
            <w:noWrap w:val="false"/>
          </w:tcPr>
          <w:p>
            <w:pPr>
              <w:jc w:val="cente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3、园内凉亭、椅凳受到人为损坏。</w:t>
            </w:r>
            <w:r/>
          </w:p>
        </w:tc>
        <w:tc>
          <w:tcPr>
            <w:tcW w:w="675" w:type="dxa"/>
            <w:vAlign w:val="center"/>
            <w:textDirection w:val="lrTb"/>
            <w:noWrap w:val="false"/>
          </w:tcPr>
          <w:p>
            <w:pPr>
              <w:jc w:val="cente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4、在公共设施上张贴宣传品以及其它公共设施上涂写、刻划。</w:t>
            </w:r>
            <w:r/>
          </w:p>
        </w:tc>
        <w:tc>
          <w:tcPr>
            <w:tcW w:w="675" w:type="dxa"/>
            <w:vAlign w:val="center"/>
            <w:textDirection w:val="lrTb"/>
            <w:noWrap w:val="false"/>
          </w:tcPr>
          <w:p>
            <w:pPr>
              <w:jc w:val="cente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118"/>
        </w:trPr>
        <w:tc>
          <w:tcPr>
            <w:tcW w:w="1495" w:type="dxa"/>
            <w:vAlign w:val="center"/>
            <w:vMerge w:val="continue"/>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5、巡逻时注意用电设备运行情况及园内设施是否完好。</w:t>
            </w:r>
            <w:r/>
          </w:p>
        </w:tc>
        <w:tc>
          <w:tcPr>
            <w:tcW w:w="675" w:type="dxa"/>
            <w:vAlign w:val="center"/>
            <w:textDirection w:val="lrTb"/>
            <w:noWrap w:val="false"/>
          </w:tcPr>
          <w:p>
            <w:pPr>
              <w:jc w:val="center"/>
              <w:keepLines w:val="0"/>
              <w:keepNext w:val="0"/>
              <w:pageBreakBefore w:val="0"/>
              <w:spacing w:line="220" w:lineRule="exact"/>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392"/>
        </w:trPr>
        <w:tc>
          <w:tcPr>
            <w:tcW w:w="149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秩序管理日志及计划（2分）</w:t>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监控设备运行记录、监控室人员出入记录、工作交接班记录，报警记录等各项记录不完整，不及时，管理日志及计划不按时上交，日志、计划不整齐、不全面。</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392"/>
        </w:trPr>
        <w:tc>
          <w:tcPr>
            <w:tcW w:w="149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12345平台信息处理、媒体曝光、市民投诉、受上级领导批评（5分）</w:t>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12345平台信息及市民投诉处理不及时、受上级领导批评或媒体曝光。</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1-5</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388"/>
        </w:trPr>
        <w:tc>
          <w:tcPr>
            <w:tcW w:w="149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上岗人员</w:t>
            </w:r>
            <w:r/>
          </w:p>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（6分）</w:t>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未按《人员及机械设备配置要求表》表配备养护人员；有突击任务未按采购单位要求增加人员。</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2分/人</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400"/>
        </w:trPr>
        <w:tc>
          <w:tcPr>
            <w:tcW w:w="149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其他工作</w:t>
            </w:r>
            <w:r/>
          </w:p>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（2分）</w:t>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没有按时完成合同约定或甲方要求的其他工作视情况扣分。</w:t>
            </w:r>
            <w:r/>
          </w:p>
        </w:tc>
        <w:tc>
          <w:tcPr>
            <w:tcW w:w="67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1-2</w:t>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r>
        <w:trPr>
          <w:tblCellSpacing w:w="0" w:type="dxa"/>
          <w:trHeight w:val="64"/>
        </w:trPr>
        <w:tc>
          <w:tcPr>
            <w:tcW w:w="1495" w:type="dxa"/>
            <w:vAlign w:val="center"/>
            <w:textDirection w:val="lrTb"/>
            <w:noWrap w:val="false"/>
          </w:tcPr>
          <w:p>
            <w:pPr>
              <w:jc w:val="cente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t xml:space="preserve">合计</w:t>
            </w:r>
            <w:r/>
          </w:p>
        </w:tc>
        <w:tc>
          <w:tcPr>
            <w:tcW w:w="6116"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67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W w:w="585" w:type="dxa"/>
            <w:vAlign w:val="center"/>
            <w:textDirection w:val="lrTb"/>
            <w:noWrap w:val="false"/>
          </w:tcPr>
          <w:p>
            <w:pPr>
              <w:keepLines w:val="0"/>
              <w:keepNext w:val="0"/>
              <w:pageBreakBefore w:val="0"/>
              <w:spacing w:line="220" w:lineRule="exact"/>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r>
    </w:tbl>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ascii="宋体" w:hAnsi="宋体" w:eastAsia="宋体" w:cs="宋体"/>
          <w:color w:val="auto"/>
          <w:sz w:val="18"/>
          <w:szCs w:val="18"/>
        </w:rPr>
      </w:pPr>
      <w:r>
        <w:rPr>
          <w:rFonts w:hint="eastAsia" w:ascii="宋体" w:hAnsi="宋体" w:eastAsia="宋体" w:cs="Times New Roman"/>
          <w:color w:val="auto"/>
        </w:rPr>
        <w:t xml:space="preserve">扣分</w:t>
      </w:r>
      <w:r>
        <w:rPr>
          <w:rFonts w:hint="eastAsia" w:ascii="宋体" w:hAnsi="宋体" w:eastAsia="宋体" w:cs="Times New Roman"/>
          <w:color w:val="auto"/>
          <w:u w:val="single"/>
        </w:rPr>
        <w:t xml:space="preserve">  </w:t>
      </w:r>
      <w:r>
        <w:rPr>
          <w:rFonts w:hint="eastAsia" w:ascii="宋体" w:hAnsi="宋体" w:eastAsia="宋体" w:cs="Times New Roman"/>
          <w:color w:val="auto"/>
          <w:u w:val="single"/>
          <w:lang w:val="en-US" w:eastAsia="zh-CN"/>
        </w:rPr>
        <w:t xml:space="preserve"> </w:t>
      </w:r>
      <w:r>
        <w:rPr>
          <w:rFonts w:hint="eastAsia" w:ascii="宋体" w:hAnsi="宋体" w:eastAsia="宋体" w:cs="Times New Roman"/>
          <w:color w:val="auto"/>
          <w:u w:val="single"/>
        </w:rPr>
        <w:t xml:space="preserve"> </w:t>
      </w:r>
      <w:r>
        <w:rPr>
          <w:rFonts w:hint="eastAsia" w:ascii="宋体" w:hAnsi="宋体" w:eastAsia="宋体" w:cs="Times New Roman"/>
          <w:color w:val="auto"/>
        </w:rPr>
        <w:t xml:space="preserve">实得分</w:t>
      </w:r>
      <w:r>
        <w:rPr>
          <w:rFonts w:hint="eastAsia" w:ascii="宋体" w:hAnsi="宋体" w:eastAsia="宋体" w:cs="Times New Roman"/>
          <w:color w:val="auto"/>
          <w:u w:val="single"/>
        </w:rPr>
        <w:t xml:space="preserve">   </w:t>
      </w:r>
      <w:r>
        <w:rPr>
          <w:rFonts w:hint="eastAsia" w:ascii="宋体" w:hAnsi="宋体" w:eastAsia="宋体" w:cs="Times New Roman"/>
          <w:color w:val="auto"/>
          <w:u w:val="single"/>
          <w:lang w:val="en-US" w:eastAsia="zh-CN"/>
        </w:rPr>
        <w:t xml:space="preserve"> </w:t>
      </w:r>
      <w:r>
        <w:rPr>
          <w:rFonts w:hint="eastAsia" w:ascii="宋体" w:hAnsi="宋体" w:eastAsia="宋体" w:cs="Times New Roman"/>
          <w:color w:val="auto"/>
          <w:u w:val="single"/>
        </w:rPr>
        <w:t xml:space="preserve"> </w:t>
      </w:r>
      <w:r>
        <w:rPr>
          <w:rFonts w:hint="eastAsia" w:ascii="宋体" w:hAnsi="宋体" w:eastAsia="宋体" w:cs="Times New Roman"/>
          <w:color w:val="auto"/>
        </w:rPr>
        <w:t xml:space="preserve">     考核人签字</w:t>
      </w:r>
      <w:r>
        <w:rPr>
          <w:rFonts w:hint="eastAsia" w:ascii="宋体" w:hAnsi="宋体" w:eastAsia="宋体" w:cs="Times New Roman"/>
          <w:color w:val="auto"/>
          <w:u w:val="single"/>
        </w:rPr>
        <w:t xml:space="preserve">               </w:t>
      </w:r>
      <w:r>
        <w:rPr>
          <w:rFonts w:hint="eastAsia" w:ascii="宋体" w:hAnsi="宋体" w:eastAsia="宋体" w:cs="Times New Roman"/>
          <w:color w:val="auto"/>
        </w:rPr>
        <w:t xml:space="preserve">     </w:t>
      </w:r>
      <w:r>
        <w:rPr>
          <w:rFonts w:hint="eastAsia" w:ascii="宋体" w:hAnsi="宋体" w:eastAsia="宋体" w:cs="Times New Roman"/>
          <w:color w:val="auto"/>
          <w:lang w:val="en-US" w:eastAsia="zh-CN"/>
        </w:rPr>
        <w:t xml:space="preserve">    </w:t>
      </w:r>
      <w:r>
        <w:rPr>
          <w:rFonts w:hint="eastAsia" w:ascii="宋体" w:hAnsi="宋体" w:eastAsia="宋体" w:cs="Times New Roman"/>
          <w:color w:val="auto"/>
          <w:u w:val="single"/>
        </w:rPr>
        <w:t xml:space="preserve">      </w:t>
      </w:r>
      <w:r>
        <w:rPr>
          <w:rFonts w:hint="eastAsia" w:ascii="宋体" w:hAnsi="宋体" w:eastAsia="宋体" w:cs="Times New Roman"/>
          <w:color w:val="auto"/>
        </w:rPr>
        <w:t xml:space="preserve">年</w:t>
      </w:r>
      <w:r>
        <w:rPr>
          <w:rFonts w:hint="eastAsia" w:ascii="宋体" w:hAnsi="宋体" w:eastAsia="宋体" w:cs="Times New Roman"/>
          <w:color w:val="auto"/>
          <w:u w:val="single"/>
        </w:rPr>
        <w:t xml:space="preserve">   </w:t>
      </w:r>
      <w:r>
        <w:rPr>
          <w:rFonts w:hint="eastAsia" w:ascii="宋体" w:hAnsi="宋体" w:eastAsia="宋体" w:cs="Times New Roman"/>
          <w:color w:val="auto"/>
          <w:u w:val="single"/>
          <w:lang w:val="en-US" w:eastAsia="zh-CN"/>
        </w:rPr>
        <w:t xml:space="preserve"> </w:t>
      </w:r>
      <w:r>
        <w:rPr>
          <w:rFonts w:hint="eastAsia" w:ascii="宋体" w:hAnsi="宋体" w:eastAsia="宋体" w:cs="Times New Roman"/>
          <w:color w:val="auto"/>
          <w:u w:val="single"/>
        </w:rPr>
        <w:t xml:space="preserve"> </w:t>
      </w:r>
      <w:r>
        <w:rPr>
          <w:rFonts w:hint="eastAsia" w:ascii="宋体" w:hAnsi="宋体" w:eastAsia="宋体" w:cs="Times New Roman"/>
          <w:color w:val="auto"/>
        </w:rPr>
        <w:t xml:space="preserve">月</w:t>
      </w:r>
      <w:r>
        <w:rPr>
          <w:rFonts w:hint="eastAsia" w:ascii="宋体" w:hAnsi="宋体" w:eastAsia="宋体" w:cs="Times New Roman"/>
          <w:color w:val="auto"/>
          <w:u w:val="single"/>
        </w:rPr>
        <w:t xml:space="preserve"> </w:t>
      </w:r>
      <w:r>
        <w:rPr>
          <w:rFonts w:hint="eastAsia" w:ascii="宋体" w:hAnsi="宋体" w:eastAsia="宋体" w:cs="Times New Roman"/>
          <w:color w:val="auto"/>
          <w:u w:val="single"/>
          <w:lang w:val="en-US" w:eastAsia="zh-CN"/>
        </w:rPr>
        <w:t xml:space="preserve"> </w:t>
      </w:r>
      <w:r>
        <w:rPr>
          <w:rFonts w:hint="eastAsia" w:ascii="宋体" w:hAnsi="宋体" w:eastAsia="宋体" w:cs="Times New Roman"/>
          <w:color w:val="auto"/>
          <w:u w:val="single"/>
        </w:rPr>
        <w:t xml:space="preserve">  </w:t>
      </w:r>
      <w:r>
        <w:rPr>
          <w:rFonts w:hint="eastAsia" w:ascii="宋体" w:hAnsi="宋体" w:eastAsia="宋体" w:cs="Times New Roman"/>
          <w:color w:val="auto"/>
        </w:rPr>
        <w:t xml:space="preserve">日</w:t>
      </w:r>
      <w:r/>
    </w:p>
    <w:p>
      <w:pPr>
        <w:ind w:left="0" w:firstLine="0"/>
        <w:jc w:val="left"/>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p>
      <w:pPr>
        <w:ind w:left="0" w:firstLine="0"/>
        <w:jc w:val="left"/>
        <w:spacing w:line="360" w:lineRule="auto"/>
        <w:widowControl w:val="off"/>
        <w:rPr>
          <w:rFonts w:hint="eastAsia" w:ascii="宋体" w:hAnsi="宋体" w:eastAsia="宋体" w:cs="宋体"/>
          <w:bCs/>
          <w:color w:val="auto"/>
          <w:sz w:val="21"/>
          <w:szCs w:val="21"/>
          <w:lang w:val="en-US" w:eastAsia="zh-CN" w:bidi="ar-SA"/>
        </w:rPr>
        <w:sectPr>
          <w:footerReference w:type="default" r:id="rId17"/>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color w:val="auto"/>
          <w:sz w:val="21"/>
          <w:szCs w:val="21"/>
          <w:lang w:val="en-US" w:eastAsia="zh-CN" w:bidi="ar-SA"/>
        </w:rPr>
      </w:r>
      <w:r/>
    </w:p>
    <w:p>
      <w:pPr>
        <w:ind w:left="0" w:firstLine="0"/>
        <w:jc w:val="left"/>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2.公园（月/季度）卫生保洁考核评分表</w:t>
      </w:r>
      <w:r/>
    </w:p>
    <w:tbl>
      <w:tblPr>
        <w:tblStyle w:val="844"/>
        <w:tblW w:w="9478"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602"/>
        <w:gridCol w:w="5746"/>
        <w:gridCol w:w="990"/>
        <w:gridCol w:w="585"/>
        <w:gridCol w:w="555"/>
      </w:tblGrid>
      <w:tr>
        <w:trPr>
          <w:tblCellSpacing w:w="0" w:type="dxa"/>
          <w:trHeight w:val="543"/>
        </w:trPr>
        <w:tc>
          <w:tcPr>
            <w:tcW w:w="1602"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考评</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w:t>
            </w:r>
            <w:r/>
          </w:p>
        </w:tc>
        <w:tc>
          <w:tcPr>
            <w:tcW w:w="5746" w:type="dxa"/>
            <w:vAlign w:val="center"/>
            <w:textDirection w:val="lrTb"/>
            <w:noWrap w:val="false"/>
          </w:tcPr>
          <w:p>
            <w:pPr>
              <w:jc w:val="center"/>
              <w:spacing w:line="360" w:lineRule="auto"/>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项目扣分标准</w:t>
            </w:r>
            <w:r/>
          </w:p>
        </w:tc>
        <w:tc>
          <w:tcPr>
            <w:tcW w:w="990"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单位</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分值</w:t>
            </w:r>
            <w:r/>
          </w:p>
        </w:tc>
        <w:tc>
          <w:tcPr>
            <w:tcW w:w="585"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得分</w:t>
            </w:r>
            <w:r/>
          </w:p>
        </w:tc>
        <w:tc>
          <w:tcPr>
            <w:tcW w:w="555"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存在</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问题</w:t>
            </w:r>
            <w:r/>
          </w:p>
        </w:tc>
      </w:tr>
      <w:tr>
        <w:trPr>
          <w:tblCellSpacing w:w="0" w:type="dxa"/>
          <w:trHeight w:val="231"/>
        </w:trPr>
        <w:tc>
          <w:tcPr>
            <w:tcW w:w="1602"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劳动纪律</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(35分)</w:t>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1、遵守公园规章制度，养护单位有安全生产制度，制定严格的安全措施和操作流程，政令畅通，服从管理。</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2、礼待游客，说话和蔼，不与游客发生争吵。</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8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3、遵守劳动纪律，上班不打牌、不赌博、不酗酒、不戏闹、不睡觉、不聚众闲聊、不迟到、不早退、不无故旷工。</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4、保洁人员不脱岗、漏岗，定时巡园保洁。</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5、上岗时不得有吸烟、吃食、依靠、卧、看报纸行为。</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6、无焚烧垃圾、无私自乱接拉电现象。</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81"/>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tcBorders>
            <w:tcW w:w="5746"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7、上班时间统一着装，着装整洁、装备配备完好、齐全。</w:t>
            </w:r>
            <w:r/>
          </w:p>
        </w:tc>
        <w:tc>
          <w:tcPr>
            <w:tcBorders>
              <w:top w:val="single" w:color="auto" w:sz="4" w:space="0"/>
            </w:tcBorders>
            <w:tcW w:w="990"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238"/>
        </w:trPr>
        <w:tc>
          <w:tcPr>
            <w:tcW w:w="1602"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卫生保洁</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(40分)</w:t>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1、保洁人员定时完成广场、园路、铺装整体清扫及</w:t>
            </w: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垃圾清捡。</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238"/>
        </w:trPr>
        <w:tc>
          <w:tcPr>
            <w:tcW w:w="1602"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w:t>
            </w: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内无瓜果皮屑、纸屑、粪便、人为丢弃废弃物等。</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1-4</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238"/>
        </w:trPr>
        <w:tc>
          <w:tcPr>
            <w:tcW w:w="1602"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3、广场道路铺装上无瓜果皮屑、纸屑、粪便、饮料瓶、枯枝落叶、无呕吐物、无痰渍、口香糖渍、饮料渍。</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1-4</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4、水面无塑料袋、瓶子、枯枝落叶、大片水藻漂浮物。</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5、公共建筑廊架内墙壁、角落、窗棂无蛛网。</w:t>
            </w:r>
            <w:r/>
          </w:p>
        </w:tc>
        <w:tc>
          <w:tcPr>
            <w:tcW w:w="990"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6、路灯、宣传栏、标志牌、座椅表面定期湿抹布抹净，保持干净</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7、公厕台面定时抹干净，无浮尘、污水、泥土。</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8、公厕内台面、镜面、墙面、玻璃窗定期除尘保洁，无浮尘、蛛网。</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9、公厕残疾人扶手、厕位干净卫生。</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10、公厕保持地面清洁，每天闭门前清洗地面浮尘，。</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11、公厕蹲位内干净卫生，发现粪便、纸屑、污秽物及时清理打扫。</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12、公厕纸篓垃圾保持闭门前更换，当天内篓满即换。</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13、公厕内及周边按要求定时打药，保持公厕无蚊虫蝇鼠。</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14、果皮箱外表面及投入口保持干净，每天湿抹布抹净。</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15、果皮箱内无隔夜积存垃圾。</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numPr>
                <w:ilvl w:val="0"/>
                <w:numId w:val="4"/>
              </w:numPr>
              <w:ind w:left="360" w:hanging="360"/>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果皮箱内膛夹缝处及周边无积存和外溢垃圾。</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17、园内各处保洁工具固定收放，整齐干净，无乱丢乱放</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602"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18、园内无乱扔建筑装潢垃圾、废弃物、倾倒污水。</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76"/>
        </w:trPr>
        <w:tc>
          <w:tcPr>
            <w:tcW w:w="1602"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设施看护等</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(10分)</w:t>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1、公厕内工具间保持干净卫生，工具设备摆放整齐，无杂物堆放。</w:t>
            </w:r>
            <w:r/>
          </w:p>
        </w:tc>
        <w:tc>
          <w:tcPr>
            <w:tcW w:w="990"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76"/>
        </w:trPr>
        <w:tc>
          <w:tcPr>
            <w:tcW w:w="1602"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2、公厕内墙壁隔板张贴宣传品、涂写、刻划。</w:t>
            </w:r>
            <w:r/>
          </w:p>
        </w:tc>
        <w:tc>
          <w:tcPr>
            <w:tcW w:w="990"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76"/>
        </w:trPr>
        <w:tc>
          <w:tcPr>
            <w:tcW w:w="1602"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3、公厕设施受到人为损坏。</w:t>
            </w:r>
            <w:r/>
          </w:p>
        </w:tc>
        <w:tc>
          <w:tcPr>
            <w:tcW w:w="990"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76"/>
        </w:trPr>
        <w:tc>
          <w:tcPr>
            <w:tcW w:w="1602"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4、公共水管无跑、冒、滴、漏、水流量过大等浪费现象。</w:t>
            </w:r>
            <w:r/>
          </w:p>
        </w:tc>
        <w:tc>
          <w:tcPr>
            <w:tcW w:w="990"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76"/>
        </w:trPr>
        <w:tc>
          <w:tcPr>
            <w:tcW w:w="1602"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5、按时收缴项目相关水费。</w:t>
            </w:r>
            <w:r/>
          </w:p>
        </w:tc>
        <w:tc>
          <w:tcPr>
            <w:tcW w:w="990"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92"/>
        </w:trPr>
        <w:tc>
          <w:tcPr>
            <w:tcW w:w="1602"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保洁管理日志及计划</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w:t>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保洁管理日志及计划不按时上交，日志、计划不整齐、不全面。</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92"/>
        </w:trPr>
        <w:tc>
          <w:tcPr>
            <w:tcW w:w="1602"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12345平台信息处理、媒体曝光、市民投诉、受上级领导批评（5分）</w:t>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12345平台信息及市民投诉处理不及时、受上级领导批评或媒体曝光。</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88"/>
        </w:trPr>
        <w:tc>
          <w:tcPr>
            <w:tcW w:w="1602"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上岗人员</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（6分）</w:t>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未按《人员及机械设备配置要求表》表配备养护人员；有突击任务未按采购单位要求增加人员。</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2分/人</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400"/>
        </w:trPr>
        <w:tc>
          <w:tcPr>
            <w:tcW w:w="1602"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其他工作</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w:t>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没有按时完成合同约定或甲方要求的其他工作视情况扣分。</w:t>
            </w:r>
            <w:r/>
          </w:p>
        </w:tc>
        <w:tc>
          <w:tcPr>
            <w:tcW w:w="99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438"/>
        </w:trPr>
        <w:tc>
          <w:tcPr>
            <w:tcW w:w="1602"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合计</w:t>
            </w:r>
            <w:r/>
          </w:p>
        </w:tc>
        <w:tc>
          <w:tcPr>
            <w:tcW w:w="5746"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9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8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bl>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扣分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实得分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考核人签字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p>
    <w:p>
      <w:pPr>
        <w:jc w:val="left"/>
        <w:spacing w:line="520" w:lineRule="exact"/>
        <w:rPr>
          <w:rFonts w:hint="eastAsia" w:ascii="宋体" w:hAnsi="宋体" w:eastAsia="宋体" w:cs="宋体"/>
          <w:bCs/>
          <w:color w:val="auto"/>
          <w:sz w:val="21"/>
          <w:szCs w:val="21"/>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color w:val="auto"/>
          <w:sz w:val="21"/>
          <w:szCs w:val="21"/>
          <w:lang w:val="en-US" w:eastAsia="zh-CN"/>
        </w:rPr>
      </w:r>
      <w:r/>
    </w:p>
    <w:p>
      <w:pPr>
        <w:jc w:val="left"/>
        <w:spacing w:line="520" w:lineRule="exact"/>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rPr>
        <w:t xml:space="preserve">公园</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lang w:val="en-US" w:eastAsia="zh-CN"/>
        </w:rPr>
        <w:t xml:space="preserve">月/季度</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rPr>
        <w:t xml:space="preserve">水电亮化管理考核打分表</w:t>
      </w:r>
      <w:r/>
    </w:p>
    <w:tbl>
      <w:tblPr>
        <w:tblStyle w:val="844"/>
        <w:tblW w:w="9418"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45"/>
        <w:gridCol w:w="6153"/>
        <w:gridCol w:w="960"/>
        <w:gridCol w:w="570"/>
        <w:gridCol w:w="690"/>
      </w:tblGrid>
      <w:tr>
        <w:trPr>
          <w:tblCellSpacing w:w="0" w:type="dxa"/>
          <w:trHeight w:val="828"/>
        </w:trPr>
        <w:tc>
          <w:tcPr>
            <w:tcW w:w="1045"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考评</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w:t>
            </w:r>
            <w:r/>
          </w:p>
        </w:tc>
        <w:tc>
          <w:tcPr>
            <w:tcW w:w="6153" w:type="dxa"/>
            <w:vAlign w:val="center"/>
            <w:textDirection w:val="lrTb"/>
            <w:noWrap w:val="false"/>
          </w:tcPr>
          <w:p>
            <w:pPr>
              <w:jc w:val="center"/>
              <w:spacing w:line="360" w:lineRule="auto"/>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项目扣分标准</w:t>
            </w:r>
            <w:r/>
          </w:p>
        </w:tc>
        <w:tc>
          <w:tcPr>
            <w:tcW w:w="960"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单位</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分值</w:t>
            </w:r>
            <w:r/>
          </w:p>
        </w:tc>
        <w:tc>
          <w:tcPr>
            <w:tcW w:w="570"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得分</w:t>
            </w:r>
            <w:r/>
          </w:p>
        </w:tc>
        <w:tc>
          <w:tcPr>
            <w:tcW w:w="690"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存在</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问题</w:t>
            </w:r>
            <w:r/>
          </w:p>
        </w:tc>
      </w:tr>
      <w:tr>
        <w:trPr>
          <w:tblCellSpacing w:w="0" w:type="dxa"/>
          <w:trHeight w:val="352"/>
        </w:trPr>
        <w:tc>
          <w:tcPr>
            <w:tcW w:w="1045"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劳动纪律</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(35分)</w:t>
            </w:r>
            <w:r/>
          </w:p>
        </w:tc>
        <w:tc>
          <w:tcPr>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1、遵守公园规章制度，养护单位有安全生产制度，制定严格的安全措施和操作流程，政令畅通，服从管理。</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2、礼待游客，说话和蔼，不与游客发生争吵。</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153" w:type="dxa"/>
            <w:vAlign w:val="center"/>
            <w:textDirection w:val="lrTb"/>
            <w:noWrap w:val="false"/>
          </w:tcPr>
          <w:p>
            <w:pPr>
              <w:jc w:val="left"/>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3、遵守劳动纪律，上班不打牌、不赌博、不酗酒、不戏闹、不睡觉、不聚众闲聊、不迟到、不早退、不无故旷工。</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4、工作人员不脱岗、漏岗。</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5、上岗时不得有吸烟、吃食、依靠、卧、看报纸行为。</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6、无焚烧垃圾、无私自乱接拉电现象。</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24"/>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tcBorders>
            <w:tcW w:w="615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7、上班时间统一着装，佩戴胸卡，着装整洁、装备配备安全、齐全。</w:t>
            </w:r>
            <w:r/>
          </w:p>
        </w:tc>
        <w:tc>
          <w:tcPr>
            <w:tcBorders>
              <w:top w:val="single" w:color="auto" w:sz="4" w:space="0"/>
            </w:tcBorders>
            <w:tcW w:w="960"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64"/>
        </w:trPr>
        <w:tc>
          <w:tcPr>
            <w:tcW w:w="1045"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水电管理</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(50分)</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1、做好部门管理及班组排班工作。</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64"/>
        </w:trPr>
        <w:tc>
          <w:tcPr>
            <w:tcW w:w="1045"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2、保持通讯畅通,随呼随应。遇到园内设施发生突发性故障，需及时抢修，工作人员需在规定时间内赶到。</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64"/>
        </w:trPr>
        <w:tc>
          <w:tcPr>
            <w:tcW w:w="1045"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3、保证园区正常用水、用电，损坏设施随时发现随时维修完好。</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4、做好园内日常及重大活动及节假日前的配电、用电、用水设施检修、保养工作,确保设备正常运转。确保安全无事故。</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5、准时开放各种灯光设备。</w:t>
            </w:r>
            <w:r/>
          </w:p>
        </w:tc>
        <w:tc>
          <w:tcPr>
            <w:tcW w:w="960"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6、保证园内亮化率在98%以上。园内各种亮化设施维修及时,完好率96%。</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7、做好事故隐患记录台帐，隐患整改上报及时，隐患整改率达100%</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8、保证用水,用电安全无事故,老化线路即时发现即时更换。</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9、做好经营户安全用电,督查管理工作。</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7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10、配电房、办公房、公共建筑内消防设施齐全,经常维护和保养内部消防设施。</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7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11、配电房、水电办公室内清洁整齐、各项记录存放有序，无杂物存放。</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7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12、协助相关单位做好水电费收缴工作。</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13、完成领导交办的其他工作任务，无推诿扯皮情况。</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597"/>
        </w:trPr>
        <w:tc>
          <w:tcPr>
            <w:tcW w:w="104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保洁管理日志及计划</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w:t>
            </w:r>
            <w:r/>
          </w:p>
        </w:tc>
        <w:tc>
          <w:tcPr>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做好各类水电资料的归档、保管工作，管理日志及计划按时上交，日志、计划整齐、全面。</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597"/>
        </w:trPr>
        <w:tc>
          <w:tcPr>
            <w:tcW w:w="104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12345平台信息处理、媒体曝光、市民投诉、受上级领导批评（5分）</w:t>
            </w:r>
            <w:r/>
          </w:p>
        </w:tc>
        <w:tc>
          <w:tcPr>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12345平台信息及市民投诉处理不及时、受上级领导批评或媒体曝光。</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593"/>
        </w:trPr>
        <w:tc>
          <w:tcPr>
            <w:tcW w:w="104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上岗人员</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（6分）</w:t>
            </w:r>
            <w:r/>
          </w:p>
        </w:tc>
        <w:tc>
          <w:tcPr>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未按《人员及机械设备配置要求表》表配备养护人员；有突击任务未按采购单位要求增加人员。</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2分/人</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610"/>
        </w:trPr>
        <w:tc>
          <w:tcPr>
            <w:tcW w:w="104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其他工作</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w:t>
            </w:r>
            <w:r/>
          </w:p>
        </w:tc>
        <w:tc>
          <w:tcPr>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没有按时完成合同约定或甲方要求的其他工作视情况扣分。</w:t>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668"/>
        </w:trPr>
        <w:tc>
          <w:tcPr>
            <w:tcW w:w="104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合计</w:t>
            </w:r>
            <w:r/>
          </w:p>
        </w:tc>
        <w:tc>
          <w:tcPr>
            <w:tcW w:w="615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960"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0"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bl>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扣分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实得分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考核人签字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p>
    <w:p>
      <w:pPr>
        <w:ind w:left="420" w:hanging="420"/>
        <w:jc w:val="left"/>
        <w:pageBreakBefore/>
        <w:spacing w:line="540" w:lineRule="exact"/>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4.公园/绿化（月/季度）草花/花境养护考核评分表</w:t>
      </w:r>
      <w:r/>
    </w:p>
    <w:tbl>
      <w:tblPr>
        <w:tblStyle w:val="844"/>
        <w:tblW w:w="9260"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825"/>
        <w:gridCol w:w="5295"/>
        <w:gridCol w:w="828"/>
        <w:gridCol w:w="707"/>
        <w:gridCol w:w="605"/>
      </w:tblGrid>
      <w:tr>
        <w:trPr>
          <w:tblCellSpacing w:w="0" w:type="dxa"/>
          <w:trHeight w:val="543"/>
        </w:trPr>
        <w:tc>
          <w:tcPr>
            <w:tcW w:w="1825"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考评</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w:t>
            </w:r>
            <w:r/>
          </w:p>
        </w:tc>
        <w:tc>
          <w:tcPr>
            <w:tcW w:w="5295" w:type="dxa"/>
            <w:vAlign w:val="center"/>
            <w:textDirection w:val="lrTb"/>
            <w:noWrap w:val="false"/>
          </w:tcPr>
          <w:p>
            <w:pPr>
              <w:jc w:val="center"/>
              <w:spacing w:line="360" w:lineRule="auto"/>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项目扣分标准</w:t>
            </w:r>
            <w:r/>
          </w:p>
        </w:tc>
        <w:tc>
          <w:tcPr>
            <w:tcW w:w="828"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单位</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分值</w:t>
            </w:r>
            <w:r/>
          </w:p>
        </w:tc>
        <w:tc>
          <w:tcPr>
            <w:tcW w:w="707"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得分</w:t>
            </w:r>
            <w:r/>
          </w:p>
        </w:tc>
        <w:tc>
          <w:tcPr>
            <w:tcW w:w="605"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存在</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问题</w:t>
            </w:r>
            <w:r/>
          </w:p>
        </w:tc>
      </w:tr>
      <w:tr>
        <w:trPr>
          <w:tblCellSpacing w:w="0" w:type="dxa"/>
          <w:trHeight w:val="231"/>
        </w:trPr>
        <w:tc>
          <w:tcPr>
            <w:tcW w:w="1825"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园艺</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部分</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(50分)</w:t>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1、生长势不好，生长季节有明显卷叶、黄叶、焦叶。</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2、未按《连云港市园林绿化养护管理规定》及合同要求的时间、频次及标准清理枯枝、枯花头、枯花葶，影响景观效果。</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1-10</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3、花境未按时修整，达不到景观效果。</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w:t>
            </w: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内花境有明显缺株、斑秃、枯死株。</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5、花境边沟不整齐不流畅，边沟尺寸不符合《连云港市园林绿化养护管理规定》要求。</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1-10</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6、花境未按《连云港市园林绿化养护管理规定》及合同要求的时间、频次及标准及时除草。</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1-10</w:t>
            </w:r>
            <w:r/>
          </w:p>
        </w:tc>
        <w:tc>
          <w:tcPr>
            <w:tcW w:w="707" w:type="dxa"/>
            <w:vAlign w:val="center"/>
            <w:vMerge w:val="restart"/>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vMerge w:val="restart"/>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7、易发生游客踩踏的地段新栽苗木需设置防护措施。垂直绿化攀援植物有相应的牵引、网架等措施。</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vMerge w:val="continue"/>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vMerge w:val="continue"/>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238"/>
        </w:trPr>
        <w:tc>
          <w:tcPr>
            <w:tcW w:w="1825"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植物保护</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(10分)</w:t>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1、花境地上地下有明显病虫危害，治理不及时，症状明显时。</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1-3</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2、安排专人对花境、花池内绿化设施如篱笆、支撑、植物说明牌进行巡查，发现损坏，当日整理清除损害的设施，三天内修补完成，确保设施及环境安全。</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3、雨季排涝措施不及时得当，造成花境积水。</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4、病虫害预防预报及防治工作及时有效，按照要求每年在春季、夏季各进行预防性喷药各2-3次。</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1-3</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76"/>
        </w:trPr>
        <w:tc>
          <w:tcPr>
            <w:tcW w:w="1825"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设施、</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卫生等</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(10分)</w:t>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1、花境枯枝落叶清扫不到位，有干枯枝叶、碎石等杂物。</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1-3</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2、花境枯枝落叶及时清扫、清运，无干枯枝叶、碎石等杂物。</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1-3</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3、绿化设施损坏未及时发现并上报修复和更换。</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4、自来水皮管无人看管灌溉等现象。</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400"/>
        </w:trPr>
        <w:tc>
          <w:tcPr>
            <w:tcW w:w="1825"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施肥浇水</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（5分）</w:t>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未按《连云港市园林绿化养护管理规定》及合同要求的时间、频次及标准浇水，不及时、不足量或浇水方法不得当，造成叶片蒙尘、缺水叶片萎蔫或根际裸露、生长势衰弱。冬季未浇防冻水、浇防冻水不及时、不足量导致返青萌发困难、苗木死亡。</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1-3</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2、未按标准规定的品种、数量和期限要求施肥，或施肥不得当造成肥害。</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88"/>
        </w:trPr>
        <w:tc>
          <w:tcPr>
            <w:tcW w:w="1825"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秩序</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管理</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(5分)</w:t>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1、花境内无乱堆乱放、攀折花草、车辆乱停乱放、践踏</w:t>
            </w: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、晾晒衣物等现象。</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82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2、遵守公园园内规章制度，养护单位有安全生产制度，制定严格的安全措施和操作流程，无焚烧垃圾、无私自乱接拉电现象。</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1-3</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92"/>
        </w:trPr>
        <w:tc>
          <w:tcPr>
            <w:tcW w:w="182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养护日志</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及计划</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w:t>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养护日志及计划不按时上交，日志、计划不整齐、不全面。</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92"/>
        </w:trPr>
        <w:tc>
          <w:tcPr>
            <w:tcW w:w="182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12345平台信息处理、媒体曝光、市民投诉、受上级领导批评（5分）</w:t>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12345平台信息及市民投诉处理不及时、受上级领导批评或媒体曝光。</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88"/>
        </w:trPr>
        <w:tc>
          <w:tcPr>
            <w:tcW w:w="182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养护人员</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（6分）</w:t>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未按《人员及机械设备配置要求表》表配备养护人员；有突击任务未按采购单位要求增加人员。</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2分/人</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400"/>
        </w:trPr>
        <w:tc>
          <w:tcPr>
            <w:tcW w:w="182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其他工作</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w:t>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没有按时完成要求的其他工作视情况扣分。</w:t>
            </w:r>
            <w:r/>
          </w:p>
        </w:tc>
        <w:tc>
          <w:tcPr>
            <w:tcW w:w="82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64"/>
        </w:trPr>
        <w:tc>
          <w:tcPr>
            <w:tcW w:w="182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合计</w:t>
            </w:r>
            <w:r/>
          </w:p>
        </w:tc>
        <w:tc>
          <w:tcPr>
            <w:tcW w:w="529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828"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bl>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扣分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实得分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考核人签字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p>
    <w:p>
      <w:pPr>
        <w:jc w:val="left"/>
        <w:spacing w:line="540" w:lineRule="exact"/>
        <w:rPr>
          <w:rFonts w:hint="eastAsia" w:ascii="宋体" w:hAnsi="宋体" w:eastAsia="宋体" w:cs="宋体"/>
          <w:color w:val="auto"/>
          <w:sz w:val="21"/>
          <w:szCs w:val="21"/>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1"/>
          <w:szCs w:val="21"/>
          <w:lang w:val="en-US" w:eastAsia="zh-CN"/>
        </w:rPr>
      </w:r>
      <w:r/>
    </w:p>
    <w:p>
      <w:pPr>
        <w:jc w:val="left"/>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绿化</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lang w:val="en-US" w:eastAsia="zh-CN"/>
        </w:rPr>
        <w:t xml:space="preserve">月/季度</w:t>
      </w:r>
      <w:r>
        <w:rPr>
          <w:rFonts w:hint="eastAsia" w:ascii="宋体" w:hAnsi="宋体" w:eastAsia="宋体" w:cs="宋体"/>
          <w:bCs/>
          <w:color w:val="auto"/>
          <w:sz w:val="21"/>
          <w:szCs w:val="21"/>
          <w:lang w:eastAsia="zh-CN"/>
        </w:rPr>
        <w:t xml:space="preserve">）</w:t>
      </w:r>
      <w:r>
        <w:rPr>
          <w:rFonts w:hint="eastAsia" w:ascii="宋体" w:hAnsi="宋体" w:eastAsia="宋体" w:cs="宋体"/>
          <w:color w:val="auto"/>
          <w:sz w:val="21"/>
          <w:szCs w:val="21"/>
        </w:rPr>
        <w:t xml:space="preserve">养护现场分级考核评分表（一级养护）</w:t>
      </w:r>
      <w:r/>
    </w:p>
    <w:tbl>
      <w:tblPr>
        <w:tblStyle w:val="844"/>
        <w:tblW w:w="10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1289"/>
        <w:gridCol w:w="6846"/>
        <w:gridCol w:w="720"/>
        <w:gridCol w:w="918"/>
      </w:tblGrid>
      <w:tr>
        <w:trPr>
          <w:jc w:val="center"/>
          <w:trHeight w:val="529"/>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序号</w:t>
            </w:r>
            <w:r/>
          </w:p>
        </w:tc>
        <w:tc>
          <w:tcPr>
            <w:tcMar>
              <w:left w:w="0" w:type="dxa"/>
              <w:right w:w="0" w:type="dxa"/>
            </w:tcMa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项目（分值）</w:t>
            </w:r>
            <w:r/>
          </w:p>
        </w:tc>
        <w:tc>
          <w:tcPr>
            <w:tcW w:w="6846"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评分标准</w:t>
            </w:r>
            <w:r/>
          </w:p>
        </w:tc>
        <w:tc>
          <w:tcPr>
            <w:tcW w:w="72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扣分</w:t>
            </w:r>
            <w:r/>
          </w:p>
        </w:tc>
        <w:tc>
          <w:tcPr>
            <w:tcW w:w="9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存在</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问题</w:t>
            </w:r>
            <w:r/>
          </w:p>
        </w:tc>
      </w:tr>
      <w:tr>
        <w:trPr>
          <w:cantSplit/>
          <w:jc w:val="center"/>
          <w:trHeight w:val="603"/>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w:t>
            </w:r>
            <w:r/>
          </w:p>
        </w:tc>
        <w:tc>
          <w:tcPr>
            <w:tcW w:w="1289" w:type="dxa"/>
            <w:vAlign w:val="center"/>
            <w:vMerge w:val="restart"/>
            <w:textDirection w:val="lrTb"/>
            <w:noWrap w:val="false"/>
          </w:tcPr>
          <w:p>
            <w:pPr>
              <w:ind w:right="71"/>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植物养护</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（50分）</w:t>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1、绿化养护技术措施完善，管理得当2分；行道树、绿化内无缺、死株、斑秃等8分。每出现1株缺株、死株或0.5 m</w:t>
            </w:r>
            <w:r>
              <w:rPr>
                <w:rFonts w:hint="eastAsia" w:ascii="宋体" w:hAnsi="宋体" w:eastAsia="宋体" w:cs="宋体"/>
                <w:color w:val="auto"/>
                <w:sz w:val="18"/>
                <w:szCs w:val="18"/>
                <w:vertAlign w:val="superscript"/>
                <w:lang w:val="en-US" w:eastAsia="zh-CN" w:bidi="ar-SA"/>
              </w:rPr>
              <w:t xml:space="preserve">2</w:t>
            </w:r>
            <w:r>
              <w:rPr>
                <w:rFonts w:hint="eastAsia" w:ascii="宋体" w:hAnsi="宋体" w:eastAsia="宋体" w:cs="宋体"/>
                <w:color w:val="auto"/>
                <w:sz w:val="18"/>
                <w:szCs w:val="18"/>
                <w:lang w:val="en-US" w:eastAsia="zh-CN" w:bidi="ar-SA"/>
              </w:rPr>
              <w:t xml:space="preserve">斑秃扣3分。（10分）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918"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cantSplit/>
          <w:jc w:val="center"/>
          <w:trHeight w:val="647"/>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2</w:t>
            </w:r>
            <w:r/>
          </w:p>
        </w:tc>
        <w:tc>
          <w:tcPr>
            <w:tcW w:w="1289" w:type="dxa"/>
            <w:vAlign w:val="center"/>
            <w:vMerge w:val="continue"/>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2、植物生长健壮，叶色正常，无明显缺肥或病虫危害症状2分；行道树同一路段内相同树种,树形留养一致1分；新建绿化的各种植物2年内达到正常形态2分。（5分） </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918"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cantSplit/>
          <w:jc w:val="center"/>
          <w:trHeight w:val="1677"/>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3</w:t>
            </w:r>
            <w:r/>
          </w:p>
        </w:tc>
        <w:tc>
          <w:tcPr>
            <w:tcW w:w="1289" w:type="dxa"/>
            <w:vAlign w:val="center"/>
            <w:vMerge w:val="continue"/>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3、园林树木树冠完整美观2分，枝条粗壮1分，无枯枝死杈2分；主侧枝分布匀称、3级及以上分枝点保留充分、修剪科学合理3分； 及时做好行道树整形修剪、无徒长枝、萌蘖枝等，内膛不乱，通风透光1分。树穴有平整盖板或种植地被植物、覆盖植物树皮碎屑，黄土不裸露，树穴设施完好1分。花灌木开花及时，株形丰满，花后修剪及时合理2分；绿篱、色块等修剪及时，枝叶茂密，整齐一致2分；竹类植被密度适宜、生长健壮，老鞭、砍伐后的竹蔸、干枯株等清除及时1分。（15分） </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918"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cantSplit/>
          <w:jc w:val="center"/>
          <w:trHeight w:val="445"/>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4</w:t>
            </w:r>
            <w:r/>
          </w:p>
        </w:tc>
        <w:tc>
          <w:tcPr>
            <w:tcW w:w="1289" w:type="dxa"/>
            <w:vAlign w:val="center"/>
            <w:vMerge w:val="continue"/>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4、树木不歪斜，无树线及树屋矛盾，无事故隐患5分。树木倾斜15度以上每1株扣1分，未及时并妥善处理安全隐患每1处扣一分。（5分）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918"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cantSplit/>
          <w:jc w:val="center"/>
          <w:trHeight w:val="566"/>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5</w:t>
            </w:r>
            <w:r/>
          </w:p>
        </w:tc>
        <w:tc>
          <w:tcPr>
            <w:tcW w:w="1289" w:type="dxa"/>
            <w:vAlign w:val="center"/>
            <w:vMerge w:val="continue"/>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5、花坛、花带轮廓清晰2分，整齐美观1分，色彩艳丽1分，无残缺，无残花败叶1分。（5分）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918"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cantSplit/>
          <w:jc w:val="center"/>
          <w:trHeight w:val="975"/>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6</w:t>
            </w:r>
            <w:r/>
          </w:p>
        </w:tc>
        <w:tc>
          <w:tcPr>
            <w:tcW w:w="1289" w:type="dxa"/>
            <w:vAlign w:val="center"/>
            <w:vMerge w:val="continue"/>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6、草坪及地被植物整齐一致1分，草根不裸露，覆盖率98%以上1分；草坪生长季节不枯黄，修剪及时1分，杂草率2%以内1分。地被植物高度符合设计意图，保持在较合理高度1分。（5分）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918"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cantSplit/>
          <w:jc w:val="center"/>
          <w:trHeight w:val="849"/>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7</w:t>
            </w:r>
            <w:r/>
          </w:p>
        </w:tc>
        <w:tc>
          <w:tcPr>
            <w:tcW w:w="1289" w:type="dxa"/>
            <w:vAlign w:val="center"/>
            <w:vMerge w:val="continue"/>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7、垂直绿化根据不同植物的攀缘特点，采取相应的牵引、设置网架等技术措施1分，覆盖率不低于90% 2分；开花的攀缘植物适时开花，花繁色艳2分。（5分）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918"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jc w:val="center"/>
          <w:trHeight w:val="1116"/>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8</w:t>
            </w:r>
            <w:r/>
          </w:p>
        </w:tc>
        <w:tc>
          <w:tcP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病虫害防治</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（15分）</w:t>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病虫害控制及时，园林树木上无黄叶、焦叶及明显的病虫危害现象5分。乔木、花灌木等被害株率≤2%、地下害虫≤2 头/m</w:t>
            </w:r>
            <w:r>
              <w:rPr>
                <w:rFonts w:hint="eastAsia" w:ascii="宋体" w:hAnsi="宋体" w:eastAsia="宋体" w:cs="宋体"/>
                <w:color w:val="auto"/>
                <w:sz w:val="18"/>
                <w:szCs w:val="18"/>
                <w:vertAlign w:val="superscript"/>
                <w:lang w:val="en-US" w:eastAsia="zh-CN" w:bidi="ar-SA"/>
              </w:rPr>
              <w:t xml:space="preserve">2</w:t>
            </w:r>
            <w:r>
              <w:rPr>
                <w:rFonts w:hint="eastAsia" w:ascii="宋体" w:hAnsi="宋体" w:eastAsia="宋体" w:cs="宋体"/>
                <w:color w:val="auto"/>
                <w:sz w:val="18"/>
                <w:szCs w:val="18"/>
                <w:lang w:val="en-US" w:eastAsia="zh-CN" w:bidi="ar-SA"/>
              </w:rPr>
              <w:t xml:space="preserve">，无蛀干害虫的活卵、活虫5分；绿篱、地被等叶片上无虫粪、虫网，健康叶片保存率不低于98% 5分。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918"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jc w:val="center"/>
          <w:trHeight w:val="849"/>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9</w:t>
            </w:r>
            <w:r/>
          </w:p>
        </w:tc>
        <w:tc>
          <w:tcP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浇水防冻</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（5分）</w:t>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根据天气，酌量浇水，夏季需及时抗旱、排涝，不能发生严重缺水或积水现象 2分；及时做好冬季植被防冻保护工作2分；值班、巡视、应急预案等防灾避险措施落实到位，具备台风、旱涝及冬季雪灾等应急抗灾能力1分。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918"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jc w:val="center"/>
          <w:trHeight w:val="416"/>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10</w:t>
            </w:r>
            <w:r/>
          </w:p>
        </w:tc>
        <w:tc>
          <w:tcP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卫生保洁</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（10分）</w:t>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绿化整洁，无条状、块状杂物及污染物，点状污染物每100m</w:t>
            </w:r>
            <w:r>
              <w:rPr>
                <w:rFonts w:hint="eastAsia" w:ascii="宋体" w:hAnsi="宋体" w:eastAsia="宋体" w:cs="宋体"/>
                <w:color w:val="auto"/>
                <w:sz w:val="18"/>
                <w:szCs w:val="18"/>
                <w:vertAlign w:val="superscript"/>
                <w:lang w:val="en-US" w:eastAsia="zh-CN" w:bidi="ar-SA"/>
              </w:rPr>
              <w:t xml:space="preserve">2</w:t>
            </w:r>
            <w:r>
              <w:rPr>
                <w:rFonts w:hint="eastAsia" w:ascii="宋体" w:hAnsi="宋体" w:eastAsia="宋体" w:cs="宋体"/>
                <w:color w:val="auto"/>
                <w:sz w:val="18"/>
                <w:szCs w:val="18"/>
                <w:lang w:val="en-US" w:eastAsia="zh-CN" w:bidi="ar-SA"/>
              </w:rPr>
              <w:t xml:space="preserve">≤2 处2分。适时清除野藤、枯枝、断枝、枯叶2分，对绿化生产垃圾（如树枝、树叶、草屑等）、绿化内水面杂物，重点地区随产随清，其它地区日产日清2分。建筑（构筑）及设施完好，无擅自搭棚、摆摊设点等现象2分；植被、地被等基本无人为破坏2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918"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jc w:val="center"/>
          <w:trHeight w:val="667"/>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11</w:t>
            </w:r>
            <w:r/>
          </w:p>
        </w:tc>
        <w:tc>
          <w:tcP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设施维护</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（10分）</w:t>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绿化内栏杆、园路、桌椅、路灯、井盖和标示牌等园林设施，清洁、完整、安全，维护及时，无缺损。出现问题每项次扣3分。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918"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jc w:val="center"/>
          <w:trHeight w:val="544"/>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12</w:t>
            </w:r>
            <w:r/>
          </w:p>
        </w:tc>
        <w:tc>
          <w:tcP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秩序管理</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（10分）</w:t>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定员定岗，养护人员统一着装在岗，安全防护设备齐全。绿化内无堆物、堆料、搭棚，树干上无钉钉、拴挂和刻画等现象；及时并妥善处理突发事件及应急事件；无安全事故、无重大破坏及偷盗现象、未发生媒体投诉及曝光。出现问题每项次扣3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918"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jc w:val="center"/>
          <w:trHeight w:val="343" w:hRule="exact"/>
        </w:trPr>
        <w:tc>
          <w:tcPr>
            <w:tcMar>
              <w:left w:w="0" w:type="dxa"/>
              <w:right w:w="0" w:type="dxa"/>
            </w:tcMa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合 计</w:t>
            </w:r>
            <w:r/>
          </w:p>
        </w:tc>
        <w:tc>
          <w:tcP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100分</w:t>
            </w:r>
            <w:r/>
          </w:p>
        </w:tc>
        <w:tc>
          <w:tcPr>
            <w:tcW w:w="6846"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72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9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bl>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扣分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实得分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考核人签字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p>
    <w:p>
      <w:pPr>
        <w:jc w:val="left"/>
        <w:keepLines w:val="0"/>
        <w:keepNext w:val="0"/>
        <w:pageBreakBefore w:val="0"/>
        <w:spacing w:line="2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jc w:val="left"/>
        <w:keepLines w:val="0"/>
        <w:keepNext w:val="0"/>
        <w:pageBreakBefore w:val="0"/>
        <w:spacing w:line="2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jc w:val="left"/>
        <w:keepLines w:val="0"/>
        <w:keepNext w:val="0"/>
        <w:pageBreakBefore w:val="0"/>
        <w:spacing w:line="2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jc w:val="left"/>
        <w:keepLines w:val="0"/>
        <w:keepNext w:val="0"/>
        <w:pageBreakBefore w:val="0"/>
        <w:spacing w:line="2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jc w:val="left"/>
        <w:keepLines w:val="0"/>
        <w:keepNext w:val="0"/>
        <w:pageBreakBefore w:val="0"/>
        <w:spacing w:line="2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jc w:val="left"/>
        <w:keepLines w:val="0"/>
        <w:keepNext w:val="0"/>
        <w:pageBreakBefore w:val="0"/>
        <w:spacing w:line="2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numPr>
          <w:ilvl w:val="0"/>
          <w:numId w:val="5"/>
        </w:numPr>
        <w:jc w:val="left"/>
        <w:keepLines w:val="0"/>
        <w:keepNext w:val="0"/>
        <w:pageBreakBefore w:val="0"/>
        <w:spacing w:line="2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绿化</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lang w:val="en-US" w:eastAsia="zh-CN"/>
        </w:rPr>
        <w:t xml:space="preserve">月/季度</w:t>
      </w:r>
      <w:r>
        <w:rPr>
          <w:rFonts w:hint="eastAsia" w:ascii="宋体" w:hAnsi="宋体" w:eastAsia="宋体" w:cs="宋体"/>
          <w:bCs/>
          <w:color w:val="auto"/>
          <w:sz w:val="21"/>
          <w:szCs w:val="21"/>
          <w:lang w:eastAsia="zh-CN"/>
        </w:rPr>
        <w:t xml:space="preserve">）</w:t>
      </w:r>
      <w:r>
        <w:rPr>
          <w:rFonts w:hint="eastAsia" w:ascii="宋体" w:hAnsi="宋体" w:eastAsia="宋体" w:cs="宋体"/>
          <w:color w:val="auto"/>
          <w:sz w:val="21"/>
          <w:szCs w:val="21"/>
        </w:rPr>
        <w:t xml:space="preserve">养护现场分级考核评分表（二级养护）</w:t>
      </w:r>
      <w:r/>
    </w:p>
    <w:p>
      <w:pPr>
        <w:numPr>
          <w:ilvl w:val="0"/>
          <w:numId w:val="0"/>
        </w:numPr>
        <w:jc w:val="left"/>
        <w:keepLines w:val="0"/>
        <w:keepNext w:val="0"/>
        <w:pageBreakBefore w:val="0"/>
        <w:spacing w:line="2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844"/>
        <w:tblW w:w="10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1289"/>
        <w:gridCol w:w="6846"/>
        <w:gridCol w:w="720"/>
        <w:gridCol w:w="873"/>
      </w:tblGrid>
      <w:tr>
        <w:trPr>
          <w:jc w:val="center"/>
          <w:trHeight w:val="500"/>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序号</w:t>
            </w:r>
            <w:r/>
          </w:p>
        </w:tc>
        <w:tc>
          <w:tcPr>
            <w:tcMar>
              <w:left w:w="0" w:type="dxa"/>
              <w:right w:w="0" w:type="dxa"/>
            </w:tcMa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项目（分值）</w:t>
            </w:r>
            <w:r/>
          </w:p>
        </w:tc>
        <w:tc>
          <w:tcPr>
            <w:tcW w:w="6846"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评分标准</w:t>
            </w:r>
            <w:r/>
          </w:p>
        </w:tc>
        <w:tc>
          <w:tcPr>
            <w:tcW w:w="72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扣分</w:t>
            </w:r>
            <w:r/>
          </w:p>
        </w:tc>
        <w:tc>
          <w:tcPr>
            <w:tcW w:w="873"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存在</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问题</w:t>
            </w:r>
            <w:r/>
          </w:p>
        </w:tc>
      </w:tr>
      <w:tr>
        <w:trPr>
          <w:cantSplit/>
          <w:jc w:val="center"/>
          <w:trHeight w:val="603"/>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w:t>
            </w:r>
            <w:r/>
          </w:p>
        </w:tc>
        <w:tc>
          <w:tcPr>
            <w:tcW w:w="1289" w:type="dxa"/>
            <w:vAlign w:val="center"/>
            <w:vMerge w:val="restart"/>
            <w:textDirection w:val="lrTb"/>
            <w:noWrap w:val="false"/>
          </w:tcPr>
          <w:p>
            <w:pPr>
              <w:ind w:right="71"/>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植物养护</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（50分）</w:t>
            </w:r>
            <w:r/>
          </w:p>
        </w:tc>
        <w:tc>
          <w:tcPr>
            <w:tcW w:w="6846" w:type="dxa"/>
            <w:vAlign w:val="center"/>
            <w:textDirection w:val="lrTb"/>
            <w:noWrap w:val="false"/>
          </w:tcPr>
          <w:p>
            <w:pPr>
              <w:keepLines w:val="0"/>
              <w:keepNext w:val="0"/>
              <w:pageBreakBefore w:val="0"/>
              <w:spacing w:line="260" w:lineRule="exact"/>
              <w:widowControl w:val="off"/>
              <w:rPr>
                <w:rFonts w:hint="eastAsia" w:ascii="宋体" w:hAnsi="宋体" w:eastAsia="宋体" w:cs="宋体"/>
                <w:color w:val="auto"/>
                <w:sz w:val="18"/>
                <w:szCs w:val="18"/>
              </w:rPr>
            </w:pPr>
            <w:r>
              <w:rPr>
                <w:rFonts w:hint="eastAsia" w:ascii="宋体" w:hAnsi="宋体" w:eastAsia="宋体" w:cs="宋体"/>
                <w:color w:val="auto"/>
                <w:sz w:val="18"/>
                <w:szCs w:val="18"/>
              </w:rPr>
              <w:t xml:space="preserve">1、绿化养护技术措施完善，管理得当2分；行道树、</w:t>
            </w: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内无缺、死株等，草坪内单块斑秃面积不超过0.2m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或10m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 </w:t>
            </w: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内斑秃现象不超过3 块8分。每出现1株缺株、死株或0.5平方米斑秃扣2分。（10分）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873"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cantSplit/>
          <w:jc w:val="center"/>
          <w:trHeight w:val="647"/>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2</w:t>
            </w:r>
            <w:r/>
          </w:p>
        </w:tc>
        <w:tc>
          <w:tcPr>
            <w:tcW w:w="1289" w:type="dxa"/>
            <w:vAlign w:val="center"/>
            <w:vMerge w:val="continue"/>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2、植物生长健壮，叶色正常，无明显缺肥或病虫危害症状2分；行道树同一路段内相同树种,树形留养一致1分；新建绿化的各种植物2年内达到正常形态2分。（5分） </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873"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cantSplit/>
          <w:jc w:val="center"/>
          <w:trHeight w:val="1677"/>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3</w:t>
            </w:r>
            <w:r/>
          </w:p>
        </w:tc>
        <w:tc>
          <w:tcPr>
            <w:tcW w:w="1289" w:type="dxa"/>
            <w:vAlign w:val="center"/>
            <w:vMerge w:val="continue"/>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3、园林树木树冠完整美观2分，枝条粗壮1分，无枯枝死杈2分；主侧枝分布匀称、2级及以上分枝点保留充分、修剪科学合理3分； 及时做好行道树整形修剪、无徒长枝、萌蘖枝等，内膛不乱，通风透光1分。树穴有平整盖板或种植地被植物、覆盖植物树皮碎屑，黄土不裸露，树穴设施完好1分。花灌木开花及时，株形丰满，花后修剪及时合理2分；绿篱、色块等修剪及时，枝叶茂密，整齐一致2分；竹类植被密度适宜、生长健壮，老鞭、砍伐后的竹蔸、干枯株等清除及时1分。（15分） </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873"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cantSplit/>
          <w:jc w:val="center"/>
          <w:trHeight w:val="445"/>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4</w:t>
            </w:r>
            <w:r/>
          </w:p>
        </w:tc>
        <w:tc>
          <w:tcPr>
            <w:tcW w:w="1289" w:type="dxa"/>
            <w:vAlign w:val="center"/>
            <w:vMerge w:val="continue"/>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4、树木不歪斜，无树线及树屋矛盾，无事故隐患5分。树木倾斜15度以上每2株扣1分，未及时并妥善处理安全隐患每1处扣一分。（5分）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873"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cantSplit/>
          <w:jc w:val="center"/>
          <w:trHeight w:val="566"/>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5</w:t>
            </w:r>
            <w:r/>
          </w:p>
        </w:tc>
        <w:tc>
          <w:tcPr>
            <w:tcW w:w="1289" w:type="dxa"/>
            <w:vAlign w:val="center"/>
            <w:vMerge w:val="continue"/>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5、花坛、花带轮廓清晰2分，整齐美观1分，色彩艳丽1分，无残缺，无残花败叶1分。（5分）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873"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cantSplit/>
          <w:jc w:val="center"/>
          <w:trHeight w:val="975"/>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6</w:t>
            </w:r>
            <w:r/>
          </w:p>
        </w:tc>
        <w:tc>
          <w:tcPr>
            <w:tcW w:w="1289" w:type="dxa"/>
            <w:vAlign w:val="center"/>
            <w:vMerge w:val="continue"/>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6、草坪及地被植物整齐一致1分，草根不裸露，覆盖率95%以上1分；草坪生长季节不枯黄，修剪及时1分，杂草率10%以内1分。地被植物高度符合设计意图，保持在较合理高度1分。（5分）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873"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cantSplit/>
          <w:jc w:val="center"/>
          <w:trHeight w:val="667"/>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7</w:t>
            </w:r>
            <w:r/>
          </w:p>
        </w:tc>
        <w:tc>
          <w:tcPr>
            <w:tcW w:w="1289" w:type="dxa"/>
            <w:vAlign w:val="center"/>
            <w:vMerge w:val="continue"/>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7、垂直绿化根据不同植物的攀缘特点，采取相应的牵引、设置网架等技术措施1分，覆盖率不低于85% 2分；开花的攀缘植物适时开花，花繁色艳2分。（5分）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873"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jc w:val="center"/>
          <w:trHeight w:val="1075"/>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8</w:t>
            </w:r>
            <w:r/>
          </w:p>
        </w:tc>
        <w:tc>
          <w:tcP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病虫害防治</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（15分）</w:t>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病虫害控制及时，园林树木上无黄叶、焦叶及明显的病虫危害现象5分。乔木、花灌木等被害株率≤5%，无蛀干害虫的活卵、活虫5分；绿篱、地被等叶片上无虫粪、虫网，健康叶片保存率不低于90% 5分。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873"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jc w:val="center"/>
          <w:trHeight w:val="849"/>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9</w:t>
            </w:r>
            <w:r/>
          </w:p>
        </w:tc>
        <w:tc>
          <w:tcP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浇水防冻</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（5分）</w:t>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根据天气，酌量浇水，夏季需及时抗旱、排涝，不能发生严重缺水或积水现象 2分；及时做好冬季植被防冻保护工作2分；值班、巡视、应急预案等防灾避险措施落实到位，具备台风、旱涝及冬季雪灾等应急抗灾能力1分。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873"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jc w:val="center"/>
          <w:trHeight w:val="416"/>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10</w:t>
            </w:r>
            <w:r/>
          </w:p>
        </w:tc>
        <w:tc>
          <w:tcP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卫生保洁</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（10分）</w:t>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绿化整洁，无条状、块状杂物及污染物，点状污染物每100m</w:t>
            </w:r>
            <w:r>
              <w:rPr>
                <w:rFonts w:hint="eastAsia" w:ascii="宋体" w:hAnsi="宋体" w:eastAsia="宋体" w:cs="宋体"/>
                <w:color w:val="auto"/>
                <w:sz w:val="18"/>
                <w:szCs w:val="18"/>
                <w:vertAlign w:val="superscript"/>
                <w:lang w:val="en-US" w:eastAsia="zh-CN" w:bidi="ar-SA"/>
              </w:rPr>
              <w:t xml:space="preserve">2</w:t>
            </w:r>
            <w:r>
              <w:rPr>
                <w:rFonts w:hint="eastAsia" w:ascii="宋体" w:hAnsi="宋体" w:eastAsia="宋体" w:cs="宋体"/>
                <w:color w:val="auto"/>
                <w:sz w:val="18"/>
                <w:szCs w:val="18"/>
                <w:lang w:val="en-US" w:eastAsia="zh-CN" w:bidi="ar-SA"/>
              </w:rPr>
              <w:t xml:space="preserve">≤5 处2分。适时清除野藤、枯枝、断枝、枯叶2分，对绿化生产垃圾（如树枝、树叶、草屑等）、绿化内水面杂物，重点地区随产随清，其它地区日产日清2分。建筑（构筑）及设施完好，无擅自搭棚、摆摊设点等现象2分；植被、地被等基本无人为破坏2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873"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jc w:val="center"/>
          <w:trHeight w:val="667"/>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11</w:t>
            </w:r>
            <w:r/>
          </w:p>
        </w:tc>
        <w:tc>
          <w:tcP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设施维护</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（10分）</w:t>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绿化内栏杆、园路、桌椅、路灯、井盖和标示牌等园林设施，清洁、完整、安全，维护及时，无缺损。出现问题每项次扣2分。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873"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jc w:val="center"/>
          <w:trHeight w:val="544"/>
        </w:trPr>
        <w:tc>
          <w:tcP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12</w:t>
            </w:r>
            <w:r/>
          </w:p>
        </w:tc>
        <w:tc>
          <w:tcP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秩序管理</w:t>
            </w:r>
            <w:r/>
          </w:p>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（10分）</w:t>
            </w:r>
            <w:r/>
          </w:p>
        </w:tc>
        <w:tc>
          <w:tcPr>
            <w:tcW w:w="6846"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定员定岗，养护人员统一着装在岗，安全防护设备齐全。绿化内无堆物、堆料、搭棚，树干上无钉钉、拴挂和刻画等现象；及时并妥善处理突发事件及应急事件；无安全事故、无重大破坏及偷盗现象、未发生媒体投诉及曝光。出现问题每项次扣2分。</w:t>
            </w:r>
            <w:r/>
          </w:p>
        </w:tc>
        <w:tc>
          <w:tcPr>
            <w:tcW w:w="720"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873" w:type="dxa"/>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r>
        <w:trPr>
          <w:jc w:val="center"/>
          <w:trHeight w:val="343" w:hRule="exact"/>
        </w:trPr>
        <w:tc>
          <w:tcPr>
            <w:tcMar>
              <w:left w:w="0" w:type="dxa"/>
              <w:right w:w="0" w:type="dxa"/>
            </w:tcMar>
            <w:tcW w:w="58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合 计</w:t>
            </w:r>
            <w:r/>
          </w:p>
        </w:tc>
        <w:tc>
          <w:tcPr>
            <w:tcW w:w="128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100分</w:t>
            </w:r>
            <w:r/>
          </w:p>
        </w:tc>
        <w:tc>
          <w:tcPr>
            <w:tcW w:w="6846"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72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c>
          <w:tcPr>
            <w:tcW w:w="873"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r>
            <w:r/>
          </w:p>
        </w:tc>
      </w:tr>
    </w:tbl>
    <w:p>
      <w:pPr>
        <w:jc w:val="left"/>
        <w:keepLines w:val="0"/>
        <w:keepNext w:val="0"/>
        <w:pageBreakBefore w:val="0"/>
        <w:spacing w:line="2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扣分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实得分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考核人签字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p>
    <w:p>
      <w:pPr>
        <w:jc w:val="center"/>
        <w:spacing w:line="540" w:lineRule="exact"/>
        <w:rPr>
          <w:rFonts w:ascii="Times New Roman" w:hAnsi="Times New Roman" w:eastAsia="方正小标宋_GBK" w:cs="Times New Roman"/>
          <w:color w:val="auto"/>
          <w:sz w:val="32"/>
          <w:szCs w:val="32"/>
        </w:rPr>
      </w:pPr>
      <w:r>
        <w:rPr>
          <w:rFonts w:ascii="Times New Roman" w:hAnsi="Times New Roman" w:eastAsia="方正小标宋_GBK" w:cs="Times New Roman"/>
          <w:color w:val="auto"/>
          <w:sz w:val="32"/>
          <w:szCs w:val="32"/>
        </w:rPr>
      </w:r>
      <w:r/>
    </w:p>
    <w:p>
      <w:pPr>
        <w:jc w:val="center"/>
        <w:spacing w:line="540" w:lineRule="exact"/>
        <w:rPr>
          <w:rFonts w:hint="eastAsia" w:eastAsia="方正小标宋简体"/>
          <w:color w:val="auto"/>
          <w:sz w:val="32"/>
          <w:szCs w:val="32"/>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eastAsia="方正小标宋简体"/>
          <w:color w:val="auto"/>
          <w:sz w:val="32"/>
          <w:szCs w:val="32"/>
          <w:lang w:val="en-US" w:eastAsia="zh-CN"/>
        </w:rPr>
      </w:r>
      <w:r/>
    </w:p>
    <w:p>
      <w:pPr>
        <w:jc w:val="both"/>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绿化</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lang w:val="en-US" w:eastAsia="zh-CN"/>
        </w:rPr>
        <w:t xml:space="preserve">月/季度</w:t>
      </w:r>
      <w:r>
        <w:rPr>
          <w:rFonts w:hint="eastAsia" w:ascii="宋体" w:hAnsi="宋体" w:eastAsia="宋体" w:cs="宋体"/>
          <w:bCs/>
          <w:color w:val="auto"/>
          <w:sz w:val="21"/>
          <w:szCs w:val="21"/>
          <w:lang w:eastAsia="zh-CN"/>
        </w:rPr>
        <w:t xml:space="preserve">）</w:t>
      </w:r>
      <w:r>
        <w:rPr>
          <w:rFonts w:hint="eastAsia" w:ascii="宋体" w:hAnsi="宋体" w:eastAsia="宋体" w:cs="宋体"/>
          <w:color w:val="auto"/>
          <w:sz w:val="21"/>
          <w:szCs w:val="21"/>
        </w:rPr>
        <w:t xml:space="preserve">养护现场分级考核评分表（三级养护）</w:t>
      </w:r>
      <w:r/>
    </w:p>
    <w:tbl>
      <w:tblPr>
        <w:tblStyle w:val="844"/>
        <w:tblW w:w="10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1153"/>
        <w:gridCol w:w="6982"/>
        <w:gridCol w:w="720"/>
        <w:gridCol w:w="869"/>
      </w:tblGrid>
      <w:tr>
        <w:trPr>
          <w:jc w:val="center"/>
          <w:trHeight w:val="500"/>
        </w:trPr>
        <w:tc>
          <w:tcP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序号</w:t>
            </w:r>
            <w:r/>
          </w:p>
        </w:tc>
        <w:tc>
          <w:tcPr>
            <w:tcMar>
              <w:left w:w="0" w:type="dxa"/>
              <w:right w:w="0" w:type="dxa"/>
            </w:tcMar>
            <w:tcW w:w="1153"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项目（分值）</w:t>
            </w:r>
            <w:r/>
          </w:p>
        </w:tc>
        <w:tc>
          <w:tcPr>
            <w:tcW w:w="6982"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评分标准</w:t>
            </w:r>
            <w:r/>
          </w:p>
        </w:tc>
        <w:tc>
          <w:tcPr>
            <w:tcW w:w="720"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扣分</w:t>
            </w:r>
            <w:r/>
          </w:p>
        </w:tc>
        <w:tc>
          <w:tcPr>
            <w:tcW w:w="869"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存在</w:t>
            </w:r>
            <w:r/>
          </w:p>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问题</w:t>
            </w:r>
            <w:r/>
          </w:p>
        </w:tc>
      </w:tr>
      <w:tr>
        <w:trPr>
          <w:cantSplit/>
          <w:jc w:val="center"/>
          <w:trHeight w:val="603"/>
        </w:trPr>
        <w:tc>
          <w:tcP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1</w:t>
            </w:r>
            <w:r/>
          </w:p>
        </w:tc>
        <w:tc>
          <w:tcPr>
            <w:tcW w:w="1153" w:type="dxa"/>
            <w:vAlign w:val="center"/>
            <w:vMerge w:val="restart"/>
            <w:textDirection w:val="lrTb"/>
            <w:noWrap w:val="false"/>
          </w:tcPr>
          <w:p>
            <w:pPr>
              <w:ind w:right="71"/>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植物养护</w:t>
            </w:r>
            <w:r/>
          </w:p>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（50分）</w:t>
            </w:r>
            <w:r/>
          </w:p>
        </w:tc>
        <w:tc>
          <w:tcPr>
            <w:tcW w:w="6982"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1、绿化养护技术措施完善，管理得当2分；行道树、</w:t>
            </w:r>
            <w:r>
              <w:rPr>
                <w:rFonts w:hint="eastAsia" w:ascii="Times New Roman" w:hAnsi="Times New Roman" w:eastAsia="宋体" w:cs="Times New Roman"/>
                <w:color w:val="auto"/>
                <w:sz w:val="18"/>
                <w:szCs w:val="18"/>
                <w:lang w:val="en-US" w:eastAsia="zh-CN" w:bidi="ar-SA"/>
              </w:rPr>
              <w:t xml:space="preserve">绿化</w:t>
            </w:r>
            <w:r>
              <w:rPr>
                <w:rFonts w:ascii="Times New Roman" w:hAnsi="Times New Roman" w:eastAsia="宋体" w:cs="Times New Roman"/>
                <w:color w:val="auto"/>
                <w:sz w:val="18"/>
                <w:szCs w:val="18"/>
                <w:lang w:val="en-US" w:eastAsia="zh-CN" w:bidi="ar-SA"/>
              </w:rPr>
              <w:t xml:space="preserve">内无缺、死株等，草坪内单块斑秃面积不超过0.3 m</w:t>
            </w:r>
            <w:r>
              <w:rPr>
                <w:rFonts w:ascii="Times New Roman" w:hAnsi="Times New Roman" w:eastAsia="宋体" w:cs="Times New Roman"/>
                <w:color w:val="auto"/>
                <w:sz w:val="18"/>
                <w:szCs w:val="18"/>
                <w:vertAlign w:val="superscript"/>
                <w:lang w:val="en-US" w:eastAsia="zh-CN" w:bidi="ar-SA"/>
              </w:rPr>
              <w:t xml:space="preserve">2</w:t>
            </w:r>
            <w:r>
              <w:rPr>
                <w:rFonts w:ascii="Times New Roman" w:hAnsi="Times New Roman" w:eastAsia="宋体" w:cs="Times New Roman"/>
                <w:color w:val="auto"/>
                <w:sz w:val="18"/>
                <w:szCs w:val="18"/>
                <w:lang w:val="en-US" w:eastAsia="zh-CN" w:bidi="ar-SA"/>
              </w:rPr>
              <w:t xml:space="preserve">或10 m</w:t>
            </w:r>
            <w:r>
              <w:rPr>
                <w:rFonts w:ascii="Times New Roman" w:hAnsi="Times New Roman" w:eastAsia="宋体" w:cs="Times New Roman"/>
                <w:color w:val="auto"/>
                <w:sz w:val="18"/>
                <w:szCs w:val="18"/>
                <w:vertAlign w:val="superscript"/>
                <w:lang w:val="en-US" w:eastAsia="zh-CN" w:bidi="ar-SA"/>
              </w:rPr>
              <w:t xml:space="preserve">2</w:t>
            </w:r>
            <w:r>
              <w:rPr>
                <w:rFonts w:ascii="Times New Roman" w:hAnsi="Times New Roman" w:eastAsia="宋体" w:cs="Times New Roman"/>
                <w:color w:val="auto"/>
                <w:sz w:val="18"/>
                <w:szCs w:val="18"/>
                <w:lang w:val="en-US" w:eastAsia="zh-CN" w:bidi="ar-SA"/>
              </w:rPr>
              <w:t xml:space="preserve">范围内斑秃现象不超过4块8分。每出现1株缺株、死株或0.5平方米斑秃扣1分。（10分）</w:t>
            </w:r>
            <w:r/>
          </w:p>
        </w:tc>
        <w:tc>
          <w:tcPr>
            <w:tcW w:w="720"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869"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r>
      <w:tr>
        <w:trPr>
          <w:cantSplit/>
          <w:jc w:val="center"/>
          <w:trHeight w:val="647"/>
        </w:trPr>
        <w:tc>
          <w:tcP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2</w:t>
            </w:r>
            <w:r/>
          </w:p>
        </w:tc>
        <w:tc>
          <w:tcPr>
            <w:tcW w:w="1153" w:type="dxa"/>
            <w:vAlign w:val="center"/>
            <w:vMerge w:val="continue"/>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6982"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2、植物生长健壮，叶色正常，无明显缺肥或病虫危害症状2分；行道树同一路段内相同树种,树形留养一致1分；新建</w:t>
            </w:r>
            <w:r>
              <w:rPr>
                <w:rFonts w:hint="eastAsia" w:ascii="Times New Roman" w:hAnsi="Times New Roman" w:eastAsia="宋体" w:cs="Times New Roman"/>
                <w:color w:val="auto"/>
                <w:sz w:val="18"/>
                <w:szCs w:val="18"/>
                <w:lang w:val="en-US" w:eastAsia="zh-CN" w:bidi="ar-SA"/>
              </w:rPr>
              <w:t xml:space="preserve">绿化</w:t>
            </w:r>
            <w:r>
              <w:rPr>
                <w:rFonts w:ascii="Times New Roman" w:hAnsi="Times New Roman" w:eastAsia="宋体" w:cs="Times New Roman"/>
                <w:color w:val="auto"/>
                <w:sz w:val="18"/>
                <w:szCs w:val="18"/>
                <w:lang w:val="en-US" w:eastAsia="zh-CN" w:bidi="ar-SA"/>
              </w:rPr>
              <w:t xml:space="preserve">的各种植物2年内达到正常形态2分。（5分） </w:t>
            </w:r>
            <w:r/>
          </w:p>
        </w:tc>
        <w:tc>
          <w:tcPr>
            <w:tcW w:w="720"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869"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r>
      <w:tr>
        <w:trPr>
          <w:cantSplit/>
          <w:jc w:val="center"/>
          <w:trHeight w:val="1677"/>
        </w:trPr>
        <w:tc>
          <w:tcP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3</w:t>
            </w:r>
            <w:r/>
          </w:p>
        </w:tc>
        <w:tc>
          <w:tcPr>
            <w:tcW w:w="1153" w:type="dxa"/>
            <w:vAlign w:val="center"/>
            <w:vMerge w:val="continue"/>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6982"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3、园林树木树冠完整美观2分，枝条粗壮1分，无枯枝死杈2分；主侧枝分布匀称、1级及以上分枝点保留充分、修剪科学合理3分； 及时做好行道树整形修剪、无徒长枝、萌蘖枝等，内膛不乱，通风透光1分。树穴平整，黄土基本不裸露，树穴设施较完好1分。花灌木开花及时，株形丰满，花后修剪及时合理2分；绿篱、色块等修剪及时，枝叶茂密，整齐一致2分；竹类植被密度适宜、生长健壮，老鞭、砍伐后的竹蔸、干枯株等清除及时1分。（15分） </w:t>
            </w:r>
            <w:r/>
          </w:p>
        </w:tc>
        <w:tc>
          <w:tcPr>
            <w:tcW w:w="720"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869"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r>
      <w:tr>
        <w:trPr>
          <w:cantSplit/>
          <w:jc w:val="center"/>
          <w:trHeight w:val="445"/>
        </w:trPr>
        <w:tc>
          <w:tcP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4</w:t>
            </w:r>
            <w:r/>
          </w:p>
        </w:tc>
        <w:tc>
          <w:tcPr>
            <w:tcW w:w="1153" w:type="dxa"/>
            <w:vAlign w:val="center"/>
            <w:vMerge w:val="continue"/>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6982"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4、树木不歪斜，无树线及树屋矛盾，无事故隐患5分。树木倾斜15度以上每3株扣1分，未及时并妥善处理安全隐患每1处扣一分。（5分）</w:t>
            </w:r>
            <w:r/>
          </w:p>
        </w:tc>
        <w:tc>
          <w:tcPr>
            <w:tcW w:w="720"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869"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r>
      <w:tr>
        <w:trPr>
          <w:cantSplit/>
          <w:jc w:val="center"/>
          <w:trHeight w:val="566"/>
        </w:trPr>
        <w:tc>
          <w:tcP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5</w:t>
            </w:r>
            <w:r/>
          </w:p>
        </w:tc>
        <w:tc>
          <w:tcPr>
            <w:tcW w:w="1153" w:type="dxa"/>
            <w:vAlign w:val="center"/>
            <w:vMerge w:val="continue"/>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6982"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5、花坛、花带轮廓清晰2分，整齐美观1分，色彩艳丽1分，无残缺，无残花败叶1分。（5分）</w:t>
            </w:r>
            <w:r/>
          </w:p>
        </w:tc>
        <w:tc>
          <w:tcPr>
            <w:tcW w:w="720"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869"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r>
      <w:tr>
        <w:trPr>
          <w:cantSplit/>
          <w:jc w:val="center"/>
          <w:trHeight w:val="975"/>
        </w:trPr>
        <w:tc>
          <w:tcP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6</w:t>
            </w:r>
            <w:r/>
          </w:p>
        </w:tc>
        <w:tc>
          <w:tcPr>
            <w:tcW w:w="1153" w:type="dxa"/>
            <w:vAlign w:val="center"/>
            <w:vMerge w:val="continue"/>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6982"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6、草坪及地被植物整齐一致1分，草根基本不裸露，覆盖率90%以上1分；草坪生长季节不枯黄，修剪及时1分，杂草率15%以内1分。地被植物高度符合设计意图，保持在较合理高度1分。（5分）</w:t>
            </w:r>
            <w:r/>
          </w:p>
        </w:tc>
        <w:tc>
          <w:tcPr>
            <w:tcW w:w="720"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869"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r>
      <w:tr>
        <w:trPr>
          <w:cantSplit/>
          <w:jc w:val="center"/>
          <w:trHeight w:val="849"/>
        </w:trPr>
        <w:tc>
          <w:tcP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7</w:t>
            </w:r>
            <w:r/>
          </w:p>
        </w:tc>
        <w:tc>
          <w:tcPr>
            <w:tcW w:w="1153" w:type="dxa"/>
            <w:vAlign w:val="center"/>
            <w:vMerge w:val="continue"/>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6982"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7、垂直绿化根据不同植物的攀缘特点，采取相应的牵引、设置网架等技术措施1分，覆盖率不低于80% 2分；开花的攀缘植物适时开花，花繁色艳2分。（5分）</w:t>
            </w:r>
            <w:r/>
          </w:p>
        </w:tc>
        <w:tc>
          <w:tcPr>
            <w:tcW w:w="720"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869"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r>
      <w:tr>
        <w:trPr>
          <w:jc w:val="center"/>
          <w:trHeight w:val="1116"/>
        </w:trPr>
        <w:tc>
          <w:tcP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8</w:t>
            </w:r>
            <w:r/>
          </w:p>
        </w:tc>
        <w:tc>
          <w:tcPr>
            <w:tcW w:w="1153"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病虫害防治</w:t>
            </w:r>
            <w:r/>
          </w:p>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（15分）</w:t>
            </w:r>
            <w:r/>
          </w:p>
        </w:tc>
        <w:tc>
          <w:tcPr>
            <w:tcW w:w="6982"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病虫害控制及时，园林树木上无明显的黄叶、焦叶及病虫危害现象5分。乔木、花灌木等被害株率≤10%，无蛀干害虫的活卵、活虫5分；绿篱、地被等叶片上无虫粪、虫网，健康叶片保存率不低于85% 5分。</w:t>
            </w:r>
            <w:r/>
          </w:p>
        </w:tc>
        <w:tc>
          <w:tcPr>
            <w:tcW w:w="720"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869"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r>
      <w:tr>
        <w:trPr>
          <w:jc w:val="center"/>
          <w:trHeight w:val="849"/>
        </w:trPr>
        <w:tc>
          <w:tcP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9</w:t>
            </w:r>
            <w:r/>
          </w:p>
        </w:tc>
        <w:tc>
          <w:tcPr>
            <w:tcW w:w="1153"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浇水防冻</w:t>
            </w:r>
            <w:r/>
          </w:p>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（5分）</w:t>
            </w:r>
            <w:r/>
          </w:p>
        </w:tc>
        <w:tc>
          <w:tcPr>
            <w:tcW w:w="6982"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根据天气，酌量浇水，夏季需及时抗旱、排涝，不能发生严重缺水或积水现象 2分；及时做好冬季植被防冻保护工作2分；值班、巡视、应急预案等防灾避险措施落实到位，具备台风、旱涝及冬季雪灾等应急抗灾能力1分。</w:t>
            </w:r>
            <w:r/>
          </w:p>
        </w:tc>
        <w:tc>
          <w:tcPr>
            <w:tcW w:w="720"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869"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r>
      <w:tr>
        <w:trPr>
          <w:jc w:val="center"/>
          <w:trHeight w:val="416"/>
        </w:trPr>
        <w:tc>
          <w:tcP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10</w:t>
            </w:r>
            <w:r/>
          </w:p>
        </w:tc>
        <w:tc>
          <w:tcPr>
            <w:tcW w:w="1153"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卫生保洁</w:t>
            </w:r>
            <w:r/>
          </w:p>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（10分）</w:t>
            </w:r>
            <w:r/>
          </w:p>
        </w:tc>
        <w:tc>
          <w:tcPr>
            <w:tcW w:w="6982"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hint="eastAsia" w:ascii="Times New Roman" w:hAnsi="Times New Roman" w:eastAsia="宋体" w:cs="Times New Roman"/>
                <w:color w:val="auto"/>
                <w:sz w:val="18"/>
                <w:szCs w:val="18"/>
                <w:lang w:val="en-US" w:eastAsia="zh-CN" w:bidi="ar-SA"/>
              </w:rPr>
              <w:t xml:space="preserve">绿化</w:t>
            </w:r>
            <w:r>
              <w:rPr>
                <w:rFonts w:ascii="Times New Roman" w:hAnsi="Times New Roman" w:eastAsia="宋体" w:cs="Times New Roman"/>
                <w:color w:val="auto"/>
                <w:sz w:val="18"/>
                <w:szCs w:val="18"/>
                <w:lang w:val="en-US" w:eastAsia="zh-CN" w:bidi="ar-SA"/>
              </w:rPr>
              <w:t xml:space="preserve">整洁，无明显的条状、块状杂物及污染物2分。适时清除野藤、枯枝、断枝、枯叶2分，对绿化生产垃圾（如树枝、树叶、草屑等）、</w:t>
            </w:r>
            <w:r>
              <w:rPr>
                <w:rFonts w:hint="eastAsia" w:ascii="Times New Roman" w:hAnsi="Times New Roman" w:eastAsia="宋体" w:cs="Times New Roman"/>
                <w:color w:val="auto"/>
                <w:sz w:val="18"/>
                <w:szCs w:val="18"/>
                <w:lang w:val="en-US" w:eastAsia="zh-CN" w:bidi="ar-SA"/>
              </w:rPr>
              <w:t xml:space="preserve">绿化</w:t>
            </w:r>
            <w:r>
              <w:rPr>
                <w:rFonts w:ascii="Times New Roman" w:hAnsi="Times New Roman" w:eastAsia="宋体" w:cs="Times New Roman"/>
                <w:color w:val="auto"/>
                <w:sz w:val="18"/>
                <w:szCs w:val="18"/>
                <w:lang w:val="en-US" w:eastAsia="zh-CN" w:bidi="ar-SA"/>
              </w:rPr>
              <w:t xml:space="preserve">内水面杂物，重点地区随产随清，其它地区日产日清2分。建筑（构筑）及设施基本完好，无擅自搭棚、摆摊设点等现象2分；植被、地被等基本无人为破坏2分。</w:t>
            </w:r>
            <w:r/>
          </w:p>
        </w:tc>
        <w:tc>
          <w:tcPr>
            <w:tcW w:w="720"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869"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r>
      <w:tr>
        <w:trPr>
          <w:jc w:val="center"/>
          <w:trHeight w:val="667"/>
        </w:trPr>
        <w:tc>
          <w:tcP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11</w:t>
            </w:r>
            <w:r/>
          </w:p>
        </w:tc>
        <w:tc>
          <w:tcPr>
            <w:tcW w:w="1153"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设施维护</w:t>
            </w:r>
            <w:r/>
          </w:p>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（10分）</w:t>
            </w:r>
            <w:r/>
          </w:p>
        </w:tc>
        <w:tc>
          <w:tcPr>
            <w:tcW w:w="6982"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hint="eastAsia" w:ascii="Times New Roman" w:hAnsi="Times New Roman" w:eastAsia="宋体" w:cs="Times New Roman"/>
                <w:color w:val="auto"/>
                <w:sz w:val="18"/>
                <w:szCs w:val="18"/>
                <w:lang w:val="en-US" w:eastAsia="zh-CN" w:bidi="ar-SA"/>
              </w:rPr>
              <w:t xml:space="preserve">绿化</w:t>
            </w:r>
            <w:r>
              <w:rPr>
                <w:rFonts w:ascii="Times New Roman" w:hAnsi="Times New Roman" w:eastAsia="宋体" w:cs="Times New Roman"/>
                <w:color w:val="auto"/>
                <w:sz w:val="18"/>
                <w:szCs w:val="18"/>
                <w:lang w:val="en-US" w:eastAsia="zh-CN" w:bidi="ar-SA"/>
              </w:rPr>
              <w:t xml:space="preserve">内栏杆、园路、桌椅、路灯、井盖和标示牌等园林设施，清洁、完整、安全，维护及时，无缺损。出现问题每项次扣1分。</w:t>
            </w:r>
            <w:r/>
          </w:p>
        </w:tc>
        <w:tc>
          <w:tcPr>
            <w:tcW w:w="720"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869"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r>
      <w:tr>
        <w:trPr>
          <w:jc w:val="center"/>
          <w:trHeight w:val="544"/>
        </w:trPr>
        <w:tc>
          <w:tcP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12</w:t>
            </w:r>
            <w:r/>
          </w:p>
        </w:tc>
        <w:tc>
          <w:tcPr>
            <w:tcW w:w="1153"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秩序管理</w:t>
            </w:r>
            <w:r/>
          </w:p>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（10分）</w:t>
            </w:r>
            <w:r/>
          </w:p>
        </w:tc>
        <w:tc>
          <w:tcPr>
            <w:tcW w:w="6982"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定员定岗，养护人员统一着装在岗，安全防护设备齐全。</w:t>
            </w:r>
            <w:r>
              <w:rPr>
                <w:rFonts w:hint="eastAsia" w:ascii="Times New Roman" w:hAnsi="Times New Roman" w:eastAsia="宋体" w:cs="Times New Roman"/>
                <w:color w:val="auto"/>
                <w:sz w:val="18"/>
                <w:szCs w:val="18"/>
                <w:lang w:val="en-US" w:eastAsia="zh-CN" w:bidi="ar-SA"/>
              </w:rPr>
              <w:t xml:space="preserve">绿化</w:t>
            </w:r>
            <w:r>
              <w:rPr>
                <w:rFonts w:ascii="Times New Roman" w:hAnsi="Times New Roman" w:eastAsia="宋体" w:cs="Times New Roman"/>
                <w:color w:val="auto"/>
                <w:sz w:val="18"/>
                <w:szCs w:val="18"/>
                <w:lang w:val="en-US" w:eastAsia="zh-CN" w:bidi="ar-SA"/>
              </w:rPr>
              <w:t xml:space="preserve">内无堆物、堆料、搭棚，树干上无钉钉、拴挂和刻画等现象；及时并妥善处理突发事件及应急事件；无安全事故、无重大破坏及偷盗现象、未发生媒体投诉及曝光。出现问题每项次扣1分。</w:t>
            </w:r>
            <w:r/>
          </w:p>
        </w:tc>
        <w:tc>
          <w:tcPr>
            <w:tcW w:w="720"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869" w:type="dxa"/>
            <w:vAlign w:val="center"/>
            <w:textDirection w:val="lrTb"/>
            <w:noWrap w:val="false"/>
          </w:tcPr>
          <w:p>
            <w:pPr>
              <w:jc w:val="both"/>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r>
      <w:tr>
        <w:trPr>
          <w:jc w:val="center"/>
          <w:trHeight w:val="343" w:hRule="exact"/>
        </w:trPr>
        <w:tc>
          <w:tcPr>
            <w:tcMar>
              <w:left w:w="0" w:type="dxa"/>
              <w:right w:w="0" w:type="dxa"/>
            </w:tcMar>
            <w:tcW w:w="588"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合 计</w:t>
            </w:r>
            <w:r/>
          </w:p>
        </w:tc>
        <w:tc>
          <w:tcPr>
            <w:tcW w:w="1153"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t xml:space="preserve">100分</w:t>
            </w:r>
            <w:r/>
          </w:p>
        </w:tc>
        <w:tc>
          <w:tcPr>
            <w:tcW w:w="6982"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720"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c>
          <w:tcPr>
            <w:tcW w:w="869" w:type="dxa"/>
            <w:vAlign w:val="center"/>
            <w:textDirection w:val="lrTb"/>
            <w:noWrap w:val="false"/>
          </w:tcPr>
          <w:p>
            <w:pPr>
              <w:jc w:val="center"/>
              <w:keepLines w:val="0"/>
              <w:keepNext w:val="0"/>
              <w:pageBreakBefore w:val="0"/>
              <w:spacing w:line="280" w:lineRule="exact"/>
              <w:widowControl w:val="off"/>
              <w:rPr>
                <w:rFonts w:ascii="Times New Roman" w:hAnsi="Times New Roman" w:eastAsia="宋体" w:cs="Times New Roman"/>
                <w:color w:val="auto"/>
                <w:sz w:val="18"/>
                <w:szCs w:val="18"/>
                <w:lang w:val="en-US" w:eastAsia="zh-CN" w:bidi="ar-SA"/>
              </w:rPr>
            </w:pPr>
            <w:r>
              <w:rPr>
                <w:rFonts w:ascii="Times New Roman" w:hAnsi="Times New Roman" w:eastAsia="宋体" w:cs="Times New Roman"/>
                <w:color w:val="auto"/>
                <w:sz w:val="18"/>
                <w:szCs w:val="18"/>
                <w:lang w:val="en-US" w:eastAsia="zh-CN" w:bidi="ar-SA"/>
              </w:rPr>
            </w:r>
            <w:r/>
          </w:p>
        </w:tc>
      </w:tr>
    </w:tbl>
    <w:p>
      <w:pPr>
        <w:jc w:val="left"/>
        <w:rPr>
          <w:rFonts w:ascii="宋体" w:hAnsi="宋体" w:eastAsia="宋体" w:cs="Times New Roman"/>
          <w:color w:val="auto"/>
        </w:rPr>
      </w:pPr>
      <w:r>
        <w:rPr>
          <w:rFonts w:ascii="宋体" w:hAnsi="宋体" w:eastAsia="宋体" w:cs="Times New Roman"/>
          <w:color w:val="auto"/>
        </w:rPr>
        <w:t xml:space="preserve">扣分</w:t>
      </w:r>
      <w:r>
        <w:rPr>
          <w:rFonts w:ascii="宋体" w:hAnsi="宋体" w:eastAsia="宋体" w:cs="Times New Roman"/>
          <w:color w:val="auto"/>
          <w:u w:val="single"/>
        </w:rPr>
        <w:t xml:space="preserve">        </w:t>
      </w:r>
      <w:r>
        <w:rPr>
          <w:rFonts w:ascii="宋体" w:hAnsi="宋体" w:eastAsia="宋体" w:cs="Times New Roman"/>
          <w:color w:val="auto"/>
        </w:rPr>
        <w:t xml:space="preserve"> 实得分</w:t>
      </w:r>
      <w:r>
        <w:rPr>
          <w:rFonts w:ascii="宋体" w:hAnsi="宋体" w:eastAsia="宋体" w:cs="Times New Roman"/>
          <w:color w:val="auto"/>
          <w:u w:val="single"/>
        </w:rPr>
        <w:t xml:space="preserve">        </w:t>
      </w:r>
      <w:r>
        <w:rPr>
          <w:rFonts w:ascii="宋体" w:hAnsi="宋体" w:eastAsia="宋体" w:cs="Times New Roman"/>
          <w:color w:val="auto"/>
        </w:rPr>
        <w:t xml:space="preserve"> </w:t>
      </w:r>
      <w:r>
        <w:rPr>
          <w:rFonts w:hint="eastAsia" w:ascii="宋体" w:hAnsi="宋体" w:eastAsia="宋体" w:cs="Times New Roman"/>
          <w:color w:val="auto"/>
        </w:rPr>
        <w:t xml:space="preserve">   </w:t>
      </w:r>
      <w:r>
        <w:rPr>
          <w:rFonts w:ascii="宋体" w:hAnsi="宋体" w:eastAsia="宋体" w:cs="Times New Roman"/>
          <w:color w:val="auto"/>
        </w:rPr>
        <w:t xml:space="preserve">考核人签字</w:t>
      </w:r>
      <w:r>
        <w:rPr>
          <w:rFonts w:ascii="宋体" w:hAnsi="宋体" w:eastAsia="宋体" w:cs="Times New Roman"/>
          <w:color w:val="auto"/>
          <w:u w:val="single"/>
        </w:rPr>
        <w:t xml:space="preserve">           </w:t>
      </w:r>
      <w:r>
        <w:rPr>
          <w:rFonts w:ascii="宋体" w:hAnsi="宋体" w:eastAsia="宋体" w:cs="Times New Roman"/>
          <w:color w:val="auto"/>
        </w:rPr>
        <w:t xml:space="preserve"> </w:t>
      </w:r>
      <w:r>
        <w:rPr>
          <w:rFonts w:hint="eastAsia" w:ascii="宋体" w:hAnsi="宋体" w:eastAsia="宋体" w:cs="Times New Roman"/>
          <w:color w:val="auto"/>
        </w:rPr>
        <w:t xml:space="preserve"> </w:t>
      </w:r>
      <w:r>
        <w:rPr>
          <w:rFonts w:ascii="宋体" w:hAnsi="宋体" w:eastAsia="宋体" w:cs="Times New Roman"/>
          <w:color w:val="auto"/>
        </w:rPr>
        <w:t xml:space="preserve"> </w:t>
      </w:r>
      <w:r>
        <w:rPr>
          <w:rFonts w:hint="eastAsia" w:ascii="宋体" w:hAnsi="宋体" w:eastAsia="宋体" w:cs="Times New Roman"/>
          <w:color w:val="auto"/>
          <w:lang w:val="en-US" w:eastAsia="zh-CN"/>
        </w:rPr>
        <w:t xml:space="preserve">   </w:t>
      </w:r>
      <w:r>
        <w:rPr>
          <w:rFonts w:ascii="宋体" w:hAnsi="宋体" w:eastAsia="宋体" w:cs="Times New Roman"/>
          <w:color w:val="auto"/>
          <w:u w:val="single"/>
        </w:rPr>
        <w:t xml:space="preserve">      </w:t>
      </w:r>
      <w:r>
        <w:rPr>
          <w:rFonts w:ascii="宋体" w:hAnsi="宋体" w:eastAsia="宋体" w:cs="Times New Roman"/>
          <w:color w:val="auto"/>
        </w:rPr>
        <w:t xml:space="preserve">年</w:t>
      </w:r>
      <w:r>
        <w:rPr>
          <w:rFonts w:ascii="宋体" w:hAnsi="宋体" w:eastAsia="宋体" w:cs="Times New Roman"/>
          <w:color w:val="auto"/>
          <w:u w:val="single"/>
        </w:rPr>
        <w:t xml:space="preserve">    </w:t>
      </w:r>
      <w:r>
        <w:rPr>
          <w:rFonts w:ascii="宋体" w:hAnsi="宋体" w:eastAsia="宋体" w:cs="Times New Roman"/>
          <w:color w:val="auto"/>
        </w:rPr>
        <w:t xml:space="preserve">月</w:t>
      </w:r>
      <w:r>
        <w:rPr>
          <w:rFonts w:ascii="宋体" w:hAnsi="宋体" w:eastAsia="宋体" w:cs="Times New Roman"/>
          <w:color w:val="auto"/>
          <w:u w:val="single"/>
        </w:rPr>
        <w:t xml:space="preserve">  </w:t>
      </w:r>
      <w:r>
        <w:rPr>
          <w:rFonts w:hint="eastAsia" w:ascii="宋体" w:hAnsi="宋体" w:eastAsia="宋体" w:cs="Times New Roman"/>
          <w:color w:val="auto"/>
          <w:u w:val="single"/>
          <w:lang w:val="en-US" w:eastAsia="zh-CN"/>
        </w:rPr>
        <w:t xml:space="preserve"> </w:t>
      </w:r>
      <w:r>
        <w:rPr>
          <w:rFonts w:ascii="宋体" w:hAnsi="宋体" w:eastAsia="宋体" w:cs="Times New Roman"/>
          <w:color w:val="auto"/>
          <w:u w:val="single"/>
        </w:rPr>
        <w:t xml:space="preserve">  </w:t>
      </w:r>
      <w:r>
        <w:rPr>
          <w:rFonts w:ascii="宋体" w:hAnsi="宋体" w:eastAsia="宋体" w:cs="Times New Roman"/>
          <w:color w:val="auto"/>
        </w:rPr>
        <w:t xml:space="preserve">日</w:t>
      </w:r>
      <w:r/>
    </w:p>
    <w:p>
      <w:pPr>
        <w:jc w:val="left"/>
        <w:spacing w:line="560" w:lineRule="exact"/>
        <w:rPr>
          <w:rFonts w:ascii="Times New Roman" w:hAnsi="Times New Roman" w:eastAsia="方正小标宋简体" w:cs="Times New Roman"/>
          <w:color w:val="auto"/>
          <w:sz w:val="32"/>
          <w:szCs w:val="32"/>
        </w:rPr>
      </w:pPr>
      <w:r>
        <w:rPr>
          <w:rFonts w:ascii="Times New Roman" w:hAnsi="Times New Roman" w:eastAsia="方正小标宋简体" w:cs="Times New Roman"/>
          <w:color w:val="auto"/>
          <w:sz w:val="32"/>
          <w:szCs w:val="32"/>
        </w:rPr>
      </w:r>
      <w:r/>
    </w:p>
    <w:p>
      <w:pPr>
        <w:jc w:val="left"/>
        <w:spacing w:line="56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jc w:val="left"/>
        <w:spacing w:line="56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jc w:val="left"/>
        <w:spacing w:line="56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附件</w:t>
      </w:r>
      <w:r>
        <w:rPr>
          <w:rFonts w:hint="eastAsia" w:ascii="宋体" w:hAnsi="宋体" w:eastAsia="宋体" w:cs="宋体"/>
          <w:b/>
          <w:bCs/>
          <w:color w:val="auto"/>
          <w:sz w:val="21"/>
          <w:szCs w:val="21"/>
          <w:lang w:val="en-US" w:eastAsia="zh-CN"/>
        </w:rPr>
        <w:t xml:space="preserve">二：</w:t>
      </w:r>
      <w:r>
        <w:rPr>
          <w:rFonts w:hint="eastAsia" w:ascii="宋体" w:hAnsi="宋体" w:eastAsia="宋体" w:cs="宋体"/>
          <w:b/>
          <w:bCs/>
          <w:color w:val="auto"/>
          <w:sz w:val="21"/>
          <w:szCs w:val="21"/>
        </w:rPr>
        <w:t xml:space="preserve">连云港市绿化养护管理分级标准</w:t>
      </w:r>
      <w:r/>
    </w:p>
    <w:tbl>
      <w:tblPr>
        <w:tblStyle w:val="84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026"/>
        <w:gridCol w:w="3312"/>
        <w:gridCol w:w="3119"/>
        <w:gridCol w:w="2526"/>
      </w:tblGrid>
      <w:tr>
        <w:trPr>
          <w:jc w:val="center"/>
          <w:trHeight w:val="543"/>
          <w:tblHeader/>
        </w:trPr>
        <w:tc>
          <w:tcPr>
            <w:gridSpan w:val="2"/>
            <w:tcW w:w="1483" w:type="dxa"/>
            <w:vAlign w:val="center"/>
            <w:textDirection w:val="lrTb"/>
            <w:noWrap w:val="false"/>
          </w:tcPr>
          <w:p>
            <w:pPr>
              <w:jc w:val="center"/>
              <w:spacing w:line="260" w:lineRule="exact"/>
              <w:rPr>
                <w:rFonts w:hint="eastAsia" w:ascii="宋体" w:hAnsi="宋体" w:eastAsia="宋体" w:cs="宋体"/>
                <w:b/>
                <w:bCs/>
                <w:color w:val="auto"/>
                <w:sz w:val="18"/>
                <w:szCs w:val="18"/>
              </w:rPr>
            </w:pPr>
            <w:r>
              <w:rPr>
                <w:rFonts w:hint="eastAsia" w:ascii="宋体" w:hAnsi="宋体" w:eastAsia="宋体" w:cs="宋体"/>
                <w:b/>
                <w:bCs/>
                <w:color w:val="auto"/>
                <w:sz w:val="18"/>
                <w:szCs w:val="18"/>
              </w:rPr>
              <w:t xml:space="preserve">管护类别</w:t>
            </w:r>
            <w:r/>
          </w:p>
        </w:tc>
        <w:tc>
          <w:tcPr>
            <w:tcW w:w="3312" w:type="dxa"/>
            <w:vAlign w:val="center"/>
            <w:textDirection w:val="lrTb"/>
            <w:noWrap w:val="false"/>
          </w:tcPr>
          <w:p>
            <w:pPr>
              <w:jc w:val="center"/>
              <w:spacing w:line="260" w:lineRule="exact"/>
              <w:rPr>
                <w:rFonts w:hint="eastAsia" w:ascii="宋体" w:hAnsi="宋体" w:eastAsia="宋体" w:cs="宋体"/>
                <w:b/>
                <w:bCs/>
                <w:color w:val="auto"/>
                <w:sz w:val="18"/>
                <w:szCs w:val="18"/>
                <w:lang w:eastAsia="zh-CN"/>
              </w:rPr>
            </w:pPr>
            <w:r>
              <w:rPr>
                <w:rFonts w:hint="eastAsia" w:ascii="宋体" w:hAnsi="宋体" w:eastAsia="宋体" w:cs="宋体"/>
                <w:b/>
                <w:bCs/>
                <w:color w:val="auto"/>
                <w:sz w:val="18"/>
                <w:szCs w:val="18"/>
              </w:rPr>
              <w:t xml:space="preserve">一级养护管理</w:t>
            </w:r>
            <w:r>
              <w:rPr>
                <w:rFonts w:hint="eastAsia" w:ascii="宋体" w:hAnsi="宋体" w:eastAsia="宋体" w:cs="宋体"/>
                <w:b/>
                <w:bCs/>
                <w:color w:val="auto"/>
                <w:sz w:val="18"/>
                <w:szCs w:val="18"/>
                <w:lang w:eastAsia="zh-CN"/>
              </w:rPr>
              <w:t xml:space="preserve">绿化</w:t>
            </w:r>
            <w:r/>
          </w:p>
        </w:tc>
        <w:tc>
          <w:tcPr>
            <w:tcW w:w="3119" w:type="dxa"/>
            <w:vAlign w:val="center"/>
            <w:textDirection w:val="lrTb"/>
            <w:noWrap w:val="false"/>
          </w:tcPr>
          <w:p>
            <w:pPr>
              <w:jc w:val="center"/>
              <w:spacing w:line="260" w:lineRule="exact"/>
              <w:rPr>
                <w:rFonts w:hint="eastAsia" w:ascii="宋体" w:hAnsi="宋体" w:eastAsia="宋体" w:cs="宋体"/>
                <w:b/>
                <w:bCs/>
                <w:color w:val="auto"/>
                <w:sz w:val="18"/>
                <w:szCs w:val="18"/>
                <w:lang w:eastAsia="zh-CN"/>
              </w:rPr>
            </w:pPr>
            <w:r>
              <w:rPr>
                <w:rFonts w:hint="eastAsia" w:ascii="宋体" w:hAnsi="宋体" w:eastAsia="宋体" w:cs="宋体"/>
                <w:b/>
                <w:bCs/>
                <w:color w:val="auto"/>
                <w:sz w:val="18"/>
                <w:szCs w:val="18"/>
              </w:rPr>
              <w:t xml:space="preserve">二级养护管理</w:t>
            </w:r>
            <w:r>
              <w:rPr>
                <w:rFonts w:hint="eastAsia" w:ascii="宋体" w:hAnsi="宋体" w:eastAsia="宋体" w:cs="宋体"/>
                <w:b/>
                <w:bCs/>
                <w:color w:val="auto"/>
                <w:sz w:val="18"/>
                <w:szCs w:val="18"/>
                <w:lang w:eastAsia="zh-CN"/>
              </w:rPr>
              <w:t xml:space="preserve">绿化</w:t>
            </w:r>
            <w:r/>
          </w:p>
        </w:tc>
        <w:tc>
          <w:tcPr>
            <w:tcW w:w="2526" w:type="dxa"/>
            <w:vAlign w:val="center"/>
            <w:textDirection w:val="lrTb"/>
            <w:noWrap w:val="false"/>
          </w:tcPr>
          <w:p>
            <w:pPr>
              <w:jc w:val="center"/>
              <w:spacing w:line="260" w:lineRule="exact"/>
              <w:rPr>
                <w:rFonts w:hint="eastAsia" w:ascii="宋体" w:hAnsi="宋体" w:eastAsia="宋体" w:cs="宋体"/>
                <w:b/>
                <w:bCs/>
                <w:color w:val="auto"/>
                <w:sz w:val="18"/>
                <w:szCs w:val="18"/>
                <w:lang w:eastAsia="zh-CN"/>
              </w:rPr>
            </w:pPr>
            <w:r>
              <w:rPr>
                <w:rFonts w:hint="eastAsia" w:ascii="宋体" w:hAnsi="宋体" w:eastAsia="宋体" w:cs="宋体"/>
                <w:b/>
                <w:bCs/>
                <w:color w:val="auto"/>
                <w:sz w:val="18"/>
                <w:szCs w:val="18"/>
              </w:rPr>
              <w:t xml:space="preserve">三级养护管理</w:t>
            </w:r>
            <w:r>
              <w:rPr>
                <w:rFonts w:hint="eastAsia" w:ascii="宋体" w:hAnsi="宋体" w:eastAsia="宋体" w:cs="宋体"/>
                <w:b/>
                <w:bCs/>
                <w:color w:val="auto"/>
                <w:sz w:val="18"/>
                <w:szCs w:val="18"/>
                <w:lang w:eastAsia="zh-CN"/>
              </w:rPr>
              <w:t xml:space="preserve">绿化</w:t>
            </w:r>
            <w:r/>
          </w:p>
        </w:tc>
      </w:tr>
      <w:tr>
        <w:trPr>
          <w:cantSplit/>
          <w:jc w:val="center"/>
          <w:trHeight w:val="2003"/>
        </w:trPr>
        <w:tc>
          <w:tcPr>
            <w:tcW w:w="457" w:type="dxa"/>
            <w:vAlign w:val="center"/>
            <w:vMerge w:val="restart"/>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植物</w:t>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养护</w:t>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植物</w:t>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养护</w:t>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乔木</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生长健壮，树冠完整美观。</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分枝点合适，枝条粗壮，无枯枝死杈；主侧枝分布匀称、数量适宜；内膛不乱，通风透光。行道树不歪斜（造型树除外），叶片大小、颜色正常，无黄叶、焦叶、卷叶。</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无缺株、死株。无可视的病虫危害症状，被害株率≤2%，地下害虫≤2 头/m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生长正常，树冠基本完整，树形较优美。</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分枝点较合适，基本无枯枝死杈；主侧枝分布均称、数量适宜、内膛不乱，通风透光。树木基本不歪斜（造型树木除外）。叶片大小、颜色正常，无明显黄叶、焦叶、卷叶。</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基本无可视的病虫危害症状，被害株率≤5%。</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生长正常，树冠完整。</w:t>
            </w:r>
            <w:r/>
          </w:p>
          <w:p>
            <w:pP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无明显枯枝死杈，主侧枝分布匀称，枝条粗壮，修剪合理；树木无明显歪斜（造型树木除外）。叶片大小、颜色正常，有黄叶、焦叶和卷叶的株数不超过10% ，正常叶片保存率在85% 以上。</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无明显可视的病虫危害症状，被害株率≤10%。</w:t>
            </w:r>
            <w:r/>
          </w:p>
        </w:tc>
      </w:tr>
      <w:tr>
        <w:trPr>
          <w:cantSplit/>
          <w:jc w:val="center"/>
          <w:trHeight w:val="3817"/>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行道树</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树形完整、树冠舒展，分枝点偏差在正负10cm 内；保留3 级及以上分枝，长势良好，无徒长枝、病虫枝、交叉枝、重叠枝、下垂枝、扭伤枝、萌蘖枝、枯枝以及烂头等。</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树穴有平整盖板或种植地被植物、覆盖植物树皮碎屑，黄土不裸露，树穴设施完好。</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补植的行道树品种与原行道树一致，规格适宜。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无可视的病虫危害症状，被害株率≤2%，地下害虫≤2 头/ 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树形、树冠舒展，分枝点偏差在正负20cm内；保留2 级及以上分枝，长势良好，无明显徒长枝、病虫枝、交叉枝、重叠枝、下垂枝、扭伤枝、萌蘖枝、枯枝以及烂头等。</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行道树树穴有平整盖板或种植地被植物，黄土基本不裸露，设施基本完好。</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补植的行道树品种与原行道树一致，规格适宜。</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基本无可视的病虫危害症状，被害株率≤5%。</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树形、树冠舒展，分枝点偏差在正负30cm内；保留1 级及以上分枝，长势良好，无明显徒长枝、病虫枝、交叉枝、重叠枝、下垂枝、扭伤枝、萌蘖枝、枯枝以及烂头等。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行道树树穴裸露土地不明显。</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补植的行道树品种与原行道树一致，规格适宜。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无明显可视的病虫危害症状，被害株率≤10%。</w:t>
            </w:r>
            <w:r/>
          </w:p>
        </w:tc>
      </w:tr>
      <w:tr>
        <w:trPr>
          <w:cantSplit/>
          <w:jc w:val="center"/>
          <w:trHeight w:val="1547"/>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花灌木</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花灌木株形丰满，枝叶茂密，开花适时，无缺株，花后修剪及时合理。</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无可视的病虫危害症状，被害株率≤2%，地下害虫≤2 头/ 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花灌木开花适时、正常，花后修剪及时。</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基本无可视的病虫危害症状，被害株率≤5%。</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花灌木开花适时，花后修剪及时。</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病虫害防治较及时，被害株率≤10%。</w:t>
            </w:r>
            <w:r/>
          </w:p>
        </w:tc>
      </w:tr>
      <w:tr>
        <w:trPr>
          <w:cantSplit/>
          <w:jc w:val="center"/>
          <w:trHeight w:val="2825"/>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绿篱（模纹、色块等）</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绿篱、模纹和色块等修剪及时。绿篱线条清晰，同类观赏面规则，整齐一致；模纹和色块线条流畅、主要观赏面圆润饱满，符合设计要求。</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枝叶茂密，造型优美。造型树木根据不同的生长特性及时摘心、攀扎。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无可视的病虫危害症状，被害株率≤2%，地下害虫≤2头/m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绿篱、模纹和色块等修剪较及时，枝叶茂密，造型优美，整齐一致。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基本无可视的病虫危害症状，被害株率≤5%。 </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绿篱、模纹和色块等枝叶正常，能定期修剪。</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无明显可视的病虫危害症状，被害面积≤10% 。</w:t>
            </w:r>
            <w:r/>
          </w:p>
        </w:tc>
      </w:tr>
      <w:tr>
        <w:trPr>
          <w:cantSplit/>
          <w:jc w:val="center"/>
          <w:trHeight w:val="1128"/>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攀援植物</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根据不同植物的攀缘特点，及时采取相应的技术措施，生长旺盛。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及时清除枯枝，疏删老弱藤蔓；开花的</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攀缘植物适时开花。无可视的病虫危害症状，被害株率≤2%。</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根据不同植物的攀缘特点，能及时采取相应的技术措施，生长良好。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及时清除枯枝，疏删老弱藤蔓；开花的攀缘植物能适时开花。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基本无可视的病虫危害症状，被害株率≤5%</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开花的攀缘植物能适时开花。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无明显可视的病虫危害症状，被害面积≤10% 。</w:t>
            </w:r>
            <w:r/>
          </w:p>
        </w:tc>
      </w:tr>
      <w:tr>
        <w:trPr>
          <w:cantSplit/>
          <w:jc w:val="center"/>
          <w:trHeight w:val="1128"/>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竹类</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竹林保持适宜密度，通风透光、生长健壮、叶色正常，及时清除老鞭、砍伐后的竹蔸、干枯株等。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无可视的病虫危害症状，被害株率≤2%，地下害虫≤2头/ 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竹林保持较适宜密度，通风透光良好、生长较健壮，叶色基本正常，能及时清除老鞭、砍伐后的竹蔸、干枯株等。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基本无可视的病虫危害症状，被害株率≤5%，地下害虫≤5 头/ 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竹林生长、叶色基本正常，能定期清除老鞭、砍伐后的竹蔸、干枯株等。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无明显可视的病虫危害症状，被害株率≤10% ，地下害虫≤10头/ 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w:t>
            </w:r>
            <w:r/>
          </w:p>
        </w:tc>
      </w:tr>
      <w:tr>
        <w:trPr>
          <w:cantSplit/>
          <w:jc w:val="center"/>
          <w:trHeight w:val="1450"/>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bottom w:val="single" w:color="auto" w:sz="4" w:space="0"/>
            </w:tcBorders>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地被</w:t>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花卉</w:t>
            </w:r>
            <w:r/>
          </w:p>
        </w:tc>
        <w:tc>
          <w:tcPr>
            <w:tcBorders>
              <w:bottom w:val="single" w:color="auto" w:sz="4" w:space="0"/>
            </w:tcBorders>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多年生地被植物（含花境）和露地一、二年生花卉生长健壮，株行距适宜，色彩鲜艳，花期整齐，图案清晰。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无缺株、倒伏，残花量不大于10％。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无可视的病虫危害症状，被害株率≤2%，地下害虫≤2头/ 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w:t>
            </w:r>
            <w:r/>
          </w:p>
        </w:tc>
        <w:tc>
          <w:tcPr>
            <w:tcBorders>
              <w:bottom w:val="single" w:color="auto" w:sz="4" w:space="0"/>
            </w:tcBorders>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多年生地被植物（含花境）和露地一、二年生花卉栽植轮廓较清晰、美观，覆盖率98% 以上。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无明显残缺、残花、残叶、杂草等,残花量不大于15% 。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基本无可视的病虫危害症状，被害面积≤5%，地下害虫≤5 头/ 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w:t>
            </w:r>
            <w:r/>
          </w:p>
        </w:tc>
        <w:tc>
          <w:tcPr>
            <w:tcBorders>
              <w:bottom w:val="single" w:color="auto" w:sz="4" w:space="0"/>
            </w:tcBorders>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多年生地被植物覆盖率90% 以上。生长正常，开花适时。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无明显可视的病虫危害症状，被害面积≤10% ，地下害虫≤10头/ 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w:t>
            </w:r>
            <w:r/>
          </w:p>
        </w:tc>
      </w:tr>
      <w:tr>
        <w:trPr>
          <w:cantSplit/>
          <w:jc w:val="center"/>
          <w:trHeight w:val="2759"/>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bottom w:val="single" w:color="auto" w:sz="4" w:space="0"/>
            </w:tcBorders>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草坪</w:t>
            </w:r>
            <w:r/>
          </w:p>
        </w:tc>
        <w:tc>
          <w:tcPr>
            <w:tcBorders>
              <w:bottom w:val="single" w:color="auto" w:sz="4" w:space="0"/>
            </w:tcBorders>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草坪外观整齐，边缘线清晰，生长旺盛，草根不裸露；无可视斑秃；生长季节不枯黄，修剪及时，</w:t>
            </w: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内杂草率≤2%。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无可视的病虫危害症状，被害株率≤2%，地下害虫≤2头/ 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w:t>
            </w:r>
            <w:r/>
          </w:p>
          <w:p>
            <w:pP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bottom w:val="single" w:color="auto" w:sz="4" w:space="0"/>
            </w:tcBorders>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草坪覆盖率95% 以上，单块斑秃面积不超过0.2m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或10m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内斑秃面积不超过3 块；草坪内杂草率≤10% 。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草坪绿色期：冷季型草坪不得少于260天，暖季型草坪不得少于170天。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基本无可视的病虫危害症状，被害面积≤5%，地下害虫≤5 头/ 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w:t>
            </w:r>
            <w:r/>
          </w:p>
        </w:tc>
        <w:tc>
          <w:tcPr>
            <w:tcBorders>
              <w:bottom w:val="single" w:color="auto" w:sz="4" w:space="0"/>
            </w:tcBorders>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草坪覆盖率90% 以上，单块斑秃面积不超过0.3m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或10 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内斑秃面积不超过4 块；草坪内杂草率≤15% 。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草坪绿色期：冷季型草坪不得少于240 天，暖季型草坪不得少于 160 天。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无明显可视的病虫危害症状，被害面积≤10% ，地下害虫≤10头/m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w:t>
            </w:r>
            <w:r/>
          </w:p>
        </w:tc>
      </w:tr>
      <w:tr>
        <w:trPr>
          <w:cantSplit/>
          <w:jc w:val="center"/>
          <w:trHeight w:val="1280"/>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花坛</w:t>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花带</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轮廓清晰，整齐美观，色彩艳丽，无残缺，无残花败叶。花卉生长健壮，色彩鲜艳，株行距适宜，花期整齐，图案清晰。</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轮廓清晰，整齐美观，适时开花，无残缺。花卉生长良好，花期基本一致，无枯枝残花。              </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轮廓基本清晰、整齐美观，无残缺。花卉生长基本正常，枯枝残花清除及时。</w:t>
            </w:r>
            <w:r/>
          </w:p>
        </w:tc>
      </w:tr>
      <w:tr>
        <w:trPr>
          <w:jc w:val="center"/>
          <w:trHeight w:val="1632"/>
        </w:trPr>
        <w:tc>
          <w:tcPr>
            <w:tcW w:w="457" w:type="dxa"/>
            <w:vAlign w:val="center"/>
            <w:vMerge w:val="restart"/>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设施</w:t>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维护</w:t>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设施</w:t>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维护</w:t>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建筑</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外观完整，外貌整洁；设施清洁、完好，设备安全运行；墙面、屋面、地面及时粉刷、清洗；无污染、无渗漏；管道无堵塞及锈蚀；及时维修，无安全隐患。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防火、防雪、防台风暴雨等保护措施落实有效。</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外观完整，外貌较整洁，定期粉刷、清洗；设施清洁、完好，设备安全运行；墙面、屋面、地面及时粉刷、清洗，基本无污染、无渗漏；管道无堵塞、基本无锈蚀；定期维修，无安全隐患。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防火、防雪、防台风暴雨等保护措施落实有效。</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外观完整，外貌较干净；设施干净、基本完好，设备安全运行；墙面、屋面、地面定期进行粉刷、清洗，基本无污染、无渗漏；管道无堵塞、无明显锈蚀；常规维修，无安全隐患。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防火、防雪、防台风暴雨等保护措施落实有效。</w:t>
            </w:r>
            <w:r/>
          </w:p>
        </w:tc>
      </w:tr>
      <w:tr>
        <w:trPr>
          <w:jc w:val="center"/>
          <w:trHeight w:val="1243"/>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花坛</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花坛表面整洁、无破损；叠石花坛的叠石无松动。补缝颜色与石材接近，无明显色差。</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花坛表面整洁、基本无破损；叠石花坛的叠石基本无松动。补缝颜色与石材基本接近。</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花坛表面整洁、无明显破损；叠石花坛的叠石无明显松动。补缝颜色与石材基本接近。</w:t>
            </w:r>
            <w:r/>
          </w:p>
        </w:tc>
      </w:tr>
      <w:tr>
        <w:trPr>
          <w:jc w:val="center"/>
          <w:trHeight w:val="1416"/>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栏杆</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完整、清洁、无缺损，无刻划痕迹。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竹、木材质无腐朽，金属类材质无锈蚀，无安全隐患。</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完整、清洁、无缺损，基本无刻划痕迹。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竹、木材质基本无腐朽，金属类材质基本无锈蚀，无安全隐患。</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完整、清洁、无缺损，无明显刻划痕迹。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竹、木材质无明显腐朽，金属类材质无明显锈蚀，无安全隐患。</w:t>
            </w:r>
            <w:r/>
          </w:p>
        </w:tc>
      </w:tr>
      <w:tr>
        <w:trPr>
          <w:jc w:val="center"/>
          <w:trHeight w:val="1305"/>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桌凳</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桌凳表面清洁。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竹木类材料无腐朽，其他类材料无锈蚀。无刻划。安全坚固，无松动，无缺损。</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桌凳表面清洁。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竹木类基本无腐朽，其他类材料基本无锈蚀。无刻划。安全坚固，无松动，基本无缺损。</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桌凳表面基本清洁。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竹木类无明显腐朽，其他类材料，无明显锈蚀和刻划。安全坚固，无松动，基本无缺损。</w:t>
            </w:r>
            <w:r/>
          </w:p>
        </w:tc>
      </w:tr>
      <w:tr>
        <w:trPr>
          <w:jc w:val="center"/>
          <w:trHeight w:val="1274"/>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园路</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侧石及盖板坚固无松动，无缺损；盖板平整，无坑洼、沉陷、倾覆、腐朽、锈蚀；池体整洁。 </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侧石及盖板坚固无松动，无缺损；盖板基本平整，无明显坑洼、沉陷、倾覆、腐朽、锈蚀；池体基本整洁。</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侧石及盖板无明显松动，无明显缺损；盖板基本平整，无明显坑洼、沉陷、倾覆、腐朽、锈蚀；池体基本整洁。</w:t>
            </w:r>
            <w:r/>
          </w:p>
        </w:tc>
      </w:tr>
      <w:tr>
        <w:trPr>
          <w:jc w:val="center"/>
          <w:trHeight w:val="1632"/>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公共卫生间</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室内地面保持清洁，无垃圾、积水。便器无污物外溢、漏水。臭味强度不高于0 级；保持通风，目测无蚊蝇。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无障碍通道、蹲位、洗手池以及其它各类设施齐全，使用正常。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墙面及隔离板无乱贴乱画痕迹；引导标识醒目。 </w:t>
            </w:r>
            <w:r/>
          </w:p>
        </w:tc>
        <w:tc>
          <w:tcPr>
            <w:gridSpan w:val="2"/>
            <w:tcW w:w="5645"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室内地面保持清洁，无垃圾、积水。便器无污物外溢、漏水。臭味强度不高于1 级；保持通风，目测基本无蚊蝇。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无障碍通道、蹲位及其它各类设施齐全；使用基本正常。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墙面及隔离板基本无乱贴乱画痕迹；引导标识清晰。</w:t>
            </w:r>
            <w:r/>
          </w:p>
        </w:tc>
      </w:tr>
      <w:tr>
        <w:trPr>
          <w:jc w:val="center"/>
          <w:trHeight w:val="1022"/>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垃圾桶</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外观清洁、完整，内壁无污垢陈渍，箱内无陈积垃圾；分类设置。 </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外观清洁、完整，内壁无明显污垢陈渍，箱内无陈积垃圾；分类设置。 </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外观基本清洁、完整，内壁无明显污垢陈渍，箱内基本无陈积垃圾。</w:t>
            </w:r>
            <w:r/>
          </w:p>
        </w:tc>
      </w:tr>
      <w:tr>
        <w:trPr>
          <w:jc w:val="center"/>
          <w:trHeight w:val="1632"/>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供电、照明</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输配电运行正常，使用安全。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各类照明设施完好（完好率≥95% ）、清洁、安全；亮灯率≥98% 。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入地管线标志明显，档案图纸齐全。 </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输配电运行正常，使用安全。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各类照明设施基本完好（完好率≥90% ）、清洁、安全；亮灯率≥96% 。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入地管线标志明显，档案图纸完整。</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输配电运行正常，使用安全。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各类照明设施基本完好（完好率≥90% ）、清洁、安全；亮灯率≥90% 。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入地管线标志明显，档案图纸完整。</w:t>
            </w:r>
            <w:r/>
          </w:p>
        </w:tc>
      </w:tr>
      <w:tr>
        <w:trPr>
          <w:jc w:val="center"/>
          <w:trHeight w:val="1419"/>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给排水</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管道通畅；外露的给排水等设施清洁、完整。井盖、井篦安放平稳，与井框吻合，无倾覆。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防汛、消防等设备完好，使用正常。 </w:t>
            </w:r>
            <w:r/>
          </w:p>
        </w:tc>
        <w:tc>
          <w:tcPr>
            <w:gridSpan w:val="2"/>
            <w:tcW w:w="5645"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管道基本畅通；外露的给排水等设施清洁、完整。井盖、井篦安放基本平稳，与井框吻合，无倾覆。 </w:t>
            </w:r>
            <w:r/>
          </w:p>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防汛、消防等设备完好、使用正常。</w:t>
            </w:r>
            <w:r/>
          </w:p>
        </w:tc>
      </w:tr>
      <w:tr>
        <w:trPr>
          <w:jc w:val="center"/>
          <w:trHeight w:val="844"/>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标识</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牌示齐全、完整、整洁，文字及图案清晰。 </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牌示基本齐全，较整洁，文字及图案清晰。 </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牌示基本齐全，无明显污垢，文字及图案能辨识。</w:t>
            </w:r>
            <w:r/>
          </w:p>
        </w:tc>
      </w:tr>
      <w:tr>
        <w:trPr>
          <w:jc w:val="center"/>
          <w:trHeight w:val="1632"/>
        </w:trPr>
        <w:tc>
          <w:tcPr>
            <w:tcW w:w="457" w:type="dxa"/>
            <w:vAlign w:val="center"/>
            <w:vMerge w:val="restart"/>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其他管</w:t>
            </w:r>
            <w:r/>
          </w:p>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理</w:t>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整体面貌</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整洁，无条状、块状污染物，点状污染物每100m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≤2 处；无杂物，无树枝、树叶、草屑等生产垃圾，无擅自搭棚、摆摊设点等现象；植被、地被等基本无人为破坏；建筑（构筑）及设施完好，安全使用。 </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较整洁，基本无条状和块状污染物，点状污染物每100 m</w:t>
            </w:r>
            <w:r>
              <w:rPr>
                <w:rFonts w:hint="eastAsia" w:ascii="宋体" w:hAnsi="宋体" w:eastAsia="宋体" w:cs="宋体"/>
                <w:color w:val="auto"/>
                <w:sz w:val="18"/>
                <w:szCs w:val="18"/>
                <w:vertAlign w:val="superscript"/>
              </w:rPr>
              <w:t xml:space="preserve">2</w:t>
            </w:r>
            <w:r>
              <w:rPr>
                <w:rFonts w:hint="eastAsia" w:ascii="宋体" w:hAnsi="宋体" w:eastAsia="宋体" w:cs="宋体"/>
                <w:color w:val="auto"/>
                <w:sz w:val="18"/>
                <w:szCs w:val="18"/>
              </w:rPr>
              <w:t xml:space="preserve">≤4处；基本无杂物，无明显树枝、树叶、草屑等生产垃圾，无擅自搭棚、摆摊设点等现象；建筑（构筑）及设施基本完好，安全使用。 </w:t>
            </w:r>
            <w:r/>
          </w:p>
        </w:tc>
        <w:tc>
          <w:tcPr>
            <w:tcW w:w="2526"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基本整洁，无明显杂物，无明显白色污染（树挂），无明显树枝、树叶、草屑等生产垃圾积存，无擅自搭棚、摆摊设点等现象；建筑（构筑）及设施基本完好，安全使用。</w:t>
            </w:r>
            <w:r/>
          </w:p>
        </w:tc>
      </w:tr>
      <w:tr>
        <w:trPr>
          <w:jc w:val="center"/>
          <w:trHeight w:val="879"/>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人员着装</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在岗的养护、保洁、安保等人员统一着装，衣帽整齐，佩戴工号牌，且有所属单位的明显标志。 </w:t>
            </w:r>
            <w:r/>
          </w:p>
        </w:tc>
        <w:tc>
          <w:tcPr>
            <w:tcW w:w="3119"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在岗工作人员能统一着装，衣帽整齐。 </w:t>
            </w:r>
            <w:r/>
          </w:p>
        </w:tc>
        <w:tc>
          <w:tcPr>
            <w:tcW w:w="25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w:t>
            </w:r>
            <w:r/>
          </w:p>
        </w:tc>
      </w:tr>
      <w:tr>
        <w:trPr>
          <w:jc w:val="center"/>
          <w:trHeight w:val="695"/>
        </w:trPr>
        <w:tc>
          <w:tcPr>
            <w:tcW w:w="457" w:type="dxa"/>
            <w:vAlign w:val="center"/>
            <w:vMerge w:val="continue"/>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26" w:type="dxa"/>
            <w:vAlign w:val="center"/>
            <w:textDirection w:val="lrTb"/>
            <w:noWrap w:val="false"/>
          </w:tcPr>
          <w:p>
            <w:pPr>
              <w:jc w:val="cente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技术档案</w:t>
            </w:r>
            <w:r/>
          </w:p>
        </w:tc>
        <w:tc>
          <w:tcPr>
            <w:tcW w:w="3312"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养护管理技术档案健全，记录清晰，并有专人负责。 </w:t>
            </w:r>
            <w:r/>
          </w:p>
        </w:tc>
        <w:tc>
          <w:tcPr>
            <w:gridSpan w:val="2"/>
            <w:tcW w:w="5645" w:type="dxa"/>
            <w:vAlign w:val="center"/>
            <w:textDirection w:val="lrTb"/>
            <w:noWrap w:val="false"/>
          </w:tcPr>
          <w:p>
            <w:pPr>
              <w:ind w:firstLine="360"/>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建立养护管理技术档案，记录清晰。</w:t>
            </w:r>
            <w:r/>
          </w:p>
        </w:tc>
      </w:tr>
    </w:tbl>
    <w:p>
      <w:pPr>
        <w:ind w:left="1205" w:hanging="1205"/>
        <w:rPr>
          <w:rFonts w:hint="eastAsia" w:ascii="宋体" w:hAnsi="宋体" w:cs="宋体"/>
          <w:b/>
          <w:bCs/>
          <w:color w:val="auto"/>
          <w:highlight w:val="none"/>
        </w:rPr>
      </w:pPr>
      <w:r>
        <w:rPr>
          <w:rFonts w:hint="eastAsia" w:ascii="宋体" w:hAnsi="宋体" w:cs="宋体"/>
          <w:b/>
          <w:bCs/>
          <w:color w:val="auto"/>
          <w:highlight w:val="none"/>
        </w:rPr>
      </w:r>
      <w:r/>
    </w:p>
    <w:p>
      <w:pPr>
        <w:pStyle w:val="90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sectPr>
          <w:footerReference w:type="default" r:id="rId18"/>
          <w:footnotePr/>
          <w:endnotePr/>
          <w:type w:val="nextPage"/>
          <w:pgSz w:w="11906" w:h="16838" w:orient="portrait"/>
          <w:pgMar w:top="1134" w:right="1134" w:bottom="1134" w:left="1622" w:header="851" w:footer="992" w:gutter="0"/>
          <w:cols w:num="1" w:sep="0" w:space="720" w:equalWidth="1"/>
          <w:docGrid w:linePitch="360"/>
        </w:sectPr>
        <w:outlineLvl w:val="0"/>
      </w:pPr>
      <w:r/>
      <w:bookmarkStart w:id="144" w:name="_Toc28833"/>
      <w:r/>
      <w:r/>
    </w:p>
    <w:p>
      <w:pPr>
        <w:jc w:val="center"/>
        <w:keepLines/>
        <w:keepNext/>
        <w:pageBreakBefore w:val="0"/>
        <w:spacing w:line="240" w:lineRule="exact"/>
        <w:widowControl w:val="off"/>
        <w:rPr>
          <w:rFonts w:hint="eastAsia"/>
          <w:b/>
          <w:color w:val="auto"/>
          <w:sz w:val="36"/>
          <w:szCs w:val="36"/>
          <w:highlight w:val="none"/>
        </w:rPr>
        <w:outlineLvl w:val="0"/>
      </w:pPr>
      <w:r>
        <w:rPr>
          <w:rFonts w:hint="eastAsia"/>
          <w:b/>
          <w:color w:val="auto"/>
          <w:sz w:val="36"/>
          <w:szCs w:val="36"/>
          <w:highlight w:val="none"/>
        </w:rPr>
      </w:r>
      <w:r/>
    </w:p>
    <w:p>
      <w:pPr>
        <w:jc w:val="center"/>
        <w:keepLines/>
        <w:keepNext/>
        <w:spacing w:line="360" w:lineRule="auto"/>
        <w:rPr>
          <w:rFonts w:hint="eastAsia"/>
          <w:b/>
          <w:color w:val="auto"/>
          <w:sz w:val="36"/>
          <w:szCs w:val="36"/>
          <w:highlight w:val="none"/>
        </w:rPr>
        <w:outlineLvl w:val="0"/>
      </w:pPr>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144"/>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rPr>
      </w:pPr>
      <w:r/>
      <w:bookmarkStart w:id="145" w:name="_Toc26554097"/>
      <w:r/>
      <w:bookmarkStart w:id="146" w:name="_Toc61149622"/>
      <w:r/>
      <w:bookmarkStart w:id="147" w:name="_Toc23828480"/>
      <w:r>
        <w:rPr>
          <w:rFonts w:hint="eastAsia" w:ascii="宋体" w:hAnsi="宋体" w:eastAsia="宋体" w:cs="宋体"/>
          <w:b/>
          <w:bCs/>
          <w:color w:val="333333"/>
          <w:sz w:val="21"/>
          <w:szCs w:val="21"/>
        </w:rPr>
        <w:t xml:space="preserve">说明：项目采购方式为竞争性磋商，项目属性为服务，采购标的对应的中小企业划分标准所属行业为</w:t>
      </w:r>
      <w:r>
        <w:rPr>
          <w:rFonts w:hint="eastAsia" w:ascii="宋体" w:hAnsi="宋体" w:eastAsia="宋体" w:cs="宋体"/>
          <w:b/>
          <w:bCs/>
          <w:color w:val="333333"/>
          <w:sz w:val="21"/>
          <w:szCs w:val="21"/>
          <w:u w:val="single"/>
        </w:rPr>
        <w:t xml:space="preserve">“租赁和</w:t>
      </w:r>
      <w:r>
        <w:rPr>
          <w:rFonts w:hint="eastAsia" w:ascii="宋体" w:hAnsi="宋体" w:eastAsia="宋体" w:cs="宋体"/>
          <w:b/>
          <w:bCs/>
          <w:color w:val="333333"/>
          <w:sz w:val="21"/>
          <w:szCs w:val="21"/>
          <w:u w:val="single"/>
          <w:lang w:eastAsia="zh-CN"/>
        </w:rPr>
        <w:t xml:space="preserve">商务服务业</w:t>
      </w:r>
      <w:r>
        <w:rPr>
          <w:rFonts w:hint="eastAsia" w:ascii="宋体" w:hAnsi="宋体" w:eastAsia="宋体" w:cs="宋体"/>
          <w:b/>
          <w:bCs/>
          <w:color w:val="333333"/>
          <w:sz w:val="21"/>
          <w:szCs w:val="21"/>
          <w:u w:val="single"/>
        </w:rPr>
        <w:t xml:space="preserve">”</w:t>
      </w:r>
      <w:r>
        <w:rPr>
          <w:rFonts w:hint="eastAsia" w:ascii="宋体" w:hAnsi="宋体" w:eastAsia="宋体" w:cs="宋体"/>
          <w:b/>
          <w:bCs/>
          <w:color w:val="333333"/>
          <w:sz w:val="21"/>
          <w:szCs w:val="21"/>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rPr>
      </w:pPr>
      <w:r>
        <w:rPr>
          <w:rFonts w:hint="eastAsia" w:ascii="宋体" w:hAnsi="宋体" w:eastAsia="宋体" w:cs="宋体"/>
          <w:b/>
          <w:bCs/>
          <w:color w:val="333333"/>
          <w:sz w:val="21"/>
          <w:szCs w:val="21"/>
        </w:rPr>
        <w:t xml:space="preserve">本项目所属行业</w:t>
      </w:r>
      <w:r>
        <w:rPr>
          <w:rFonts w:hint="eastAsia" w:ascii="宋体" w:hAnsi="宋体" w:eastAsia="宋体" w:cs="宋体"/>
          <w:b/>
          <w:bCs/>
          <w:color w:val="333333"/>
          <w:sz w:val="21"/>
          <w:szCs w:val="21"/>
          <w:lang w:eastAsia="zh-CN"/>
        </w:rPr>
        <w:t xml:space="preserve">为</w:t>
      </w:r>
      <w:r>
        <w:rPr>
          <w:rFonts w:hint="eastAsia" w:ascii="宋体" w:hAnsi="宋体" w:eastAsia="宋体" w:cs="宋体"/>
          <w:b/>
          <w:bCs/>
          <w:color w:val="333333"/>
          <w:sz w:val="21"/>
          <w:szCs w:val="21"/>
        </w:rPr>
        <w:t xml:space="preserve">租赁和</w:t>
      </w:r>
      <w:r>
        <w:rPr>
          <w:rFonts w:hint="eastAsia" w:ascii="宋体" w:hAnsi="宋体" w:eastAsia="宋体" w:cs="宋体"/>
          <w:b/>
          <w:bCs/>
          <w:color w:val="333333"/>
          <w:sz w:val="21"/>
          <w:szCs w:val="21"/>
          <w:lang w:eastAsia="zh-CN"/>
        </w:rPr>
        <w:t xml:space="preserve">商务服务业</w:t>
      </w:r>
      <w:r>
        <w:rPr>
          <w:rFonts w:hint="eastAsia" w:ascii="宋体" w:hAnsi="宋体" w:eastAsia="宋体" w:cs="宋体"/>
          <w:b/>
          <w:bCs/>
          <w:color w:val="333333"/>
          <w:sz w:val="21"/>
          <w:szCs w:val="21"/>
        </w:rPr>
        <w:t xml:space="preserve">，依据《关于印发中小企业划型标准规定的通知》（工信部联企业〔2011〕300号）行业划型标准如下：（十</w:t>
      </w:r>
      <w:r>
        <w:rPr>
          <w:rFonts w:hint="eastAsia" w:ascii="宋体" w:hAnsi="宋体" w:eastAsia="宋体" w:cs="宋体"/>
          <w:b/>
          <w:bCs/>
          <w:color w:val="333333"/>
          <w:sz w:val="21"/>
          <w:szCs w:val="21"/>
          <w:lang w:eastAsia="zh-CN"/>
        </w:rPr>
        <w:t xml:space="preserve">五</w:t>
      </w:r>
      <w:r>
        <w:rPr>
          <w:rFonts w:hint="eastAsia" w:ascii="宋体" w:hAnsi="宋体" w:eastAsia="宋体" w:cs="宋体"/>
          <w:b/>
          <w:bCs/>
          <w:color w:val="333333"/>
          <w:sz w:val="21"/>
          <w:szCs w:val="21"/>
        </w:rPr>
        <w:t xml:space="preserve">）租赁和</w:t>
      </w:r>
      <w:r>
        <w:rPr>
          <w:rFonts w:hint="eastAsia" w:ascii="宋体" w:hAnsi="宋体" w:eastAsia="宋体" w:cs="宋体"/>
          <w:b/>
          <w:bCs/>
          <w:color w:val="333333"/>
          <w:sz w:val="21"/>
          <w:szCs w:val="21"/>
          <w:lang w:eastAsia="zh-CN"/>
        </w:rPr>
        <w:t xml:space="preserve">商务服务业：</w:t>
      </w:r>
      <w:r>
        <w:rPr>
          <w:rFonts w:hint="eastAsia" w:ascii="宋体" w:hAnsi="宋体" w:eastAsia="宋体" w:cs="宋体"/>
          <w:b/>
          <w:bCs/>
          <w:color w:val="333333"/>
          <w:sz w:val="21"/>
          <w:szCs w:val="21"/>
        </w:rPr>
        <w:t xml:space="preserve">从业人员</w:t>
      </w:r>
      <w:r>
        <w:rPr>
          <w:rFonts w:hint="eastAsia" w:ascii="宋体" w:hAnsi="宋体" w:eastAsia="宋体" w:cs="宋体"/>
          <w:b/>
          <w:bCs/>
          <w:color w:val="333333"/>
          <w:sz w:val="21"/>
          <w:szCs w:val="21"/>
          <w:lang w:val="en-US" w:eastAsia="zh-CN"/>
        </w:rPr>
        <w:t xml:space="preserve">300</w:t>
      </w:r>
      <w:r>
        <w:rPr>
          <w:rFonts w:hint="eastAsia" w:ascii="宋体" w:hAnsi="宋体" w:eastAsia="宋体" w:cs="宋体"/>
          <w:b/>
          <w:bCs/>
          <w:color w:val="333333"/>
          <w:sz w:val="21"/>
          <w:szCs w:val="21"/>
        </w:rPr>
        <w:t xml:space="preserve">人以下或</w:t>
      </w:r>
      <w:r>
        <w:rPr>
          <w:rFonts w:hint="eastAsia" w:ascii="宋体" w:hAnsi="宋体" w:eastAsia="宋体" w:cs="宋体"/>
          <w:b/>
          <w:bCs/>
          <w:color w:val="333333"/>
          <w:sz w:val="21"/>
          <w:szCs w:val="21"/>
          <w:lang w:eastAsia="zh-CN"/>
        </w:rPr>
        <w:t xml:space="preserve">营业收入</w:t>
      </w:r>
      <w:r>
        <w:rPr>
          <w:rFonts w:hint="eastAsia" w:ascii="宋体" w:hAnsi="宋体" w:eastAsia="宋体" w:cs="宋体"/>
          <w:b/>
          <w:bCs/>
          <w:color w:val="333333"/>
          <w:sz w:val="21"/>
          <w:szCs w:val="21"/>
          <w:lang w:val="en-US" w:eastAsia="zh-CN"/>
        </w:rPr>
        <w:t xml:space="preserve">120000</w:t>
      </w:r>
      <w:r>
        <w:rPr>
          <w:rFonts w:hint="eastAsia" w:ascii="宋体" w:hAnsi="宋体" w:eastAsia="宋体" w:cs="宋体"/>
          <w:b/>
          <w:bCs/>
          <w:color w:val="333333"/>
          <w:sz w:val="21"/>
          <w:szCs w:val="21"/>
        </w:rPr>
        <w:t xml:space="preserve">万元以下的为中小微型企业。其中，从业人员</w:t>
      </w:r>
      <w:r>
        <w:rPr>
          <w:rFonts w:hint="eastAsia" w:ascii="宋体" w:hAnsi="宋体" w:eastAsia="宋体" w:cs="宋体"/>
          <w:b/>
          <w:bCs/>
          <w:color w:val="333333"/>
          <w:sz w:val="21"/>
          <w:szCs w:val="21"/>
          <w:lang w:val="en-US" w:eastAsia="zh-CN"/>
        </w:rPr>
        <w:t xml:space="preserve">1</w:t>
      </w:r>
      <w:r>
        <w:rPr>
          <w:rFonts w:hint="eastAsia" w:ascii="宋体" w:hAnsi="宋体" w:eastAsia="宋体" w:cs="宋体"/>
          <w:b/>
          <w:bCs/>
          <w:color w:val="333333"/>
          <w:sz w:val="21"/>
          <w:szCs w:val="21"/>
        </w:rPr>
        <w:t xml:space="preserve">00人及以上，且</w:t>
      </w:r>
      <w:r>
        <w:rPr>
          <w:rFonts w:hint="eastAsia" w:ascii="宋体" w:hAnsi="宋体" w:eastAsia="宋体" w:cs="宋体"/>
          <w:b/>
          <w:bCs/>
          <w:color w:val="333333"/>
          <w:sz w:val="21"/>
          <w:szCs w:val="21"/>
          <w:lang w:eastAsia="zh-CN"/>
        </w:rPr>
        <w:t xml:space="preserve">资产总额</w:t>
      </w:r>
      <w:r>
        <w:rPr>
          <w:rFonts w:hint="eastAsia" w:ascii="宋体" w:hAnsi="宋体" w:eastAsia="宋体" w:cs="宋体"/>
          <w:b/>
          <w:bCs/>
          <w:color w:val="333333"/>
          <w:sz w:val="21"/>
          <w:szCs w:val="21"/>
          <w:lang w:val="en-US" w:eastAsia="zh-CN"/>
        </w:rPr>
        <w:t xml:space="preserve">8</w:t>
      </w:r>
      <w:r>
        <w:rPr>
          <w:rFonts w:hint="eastAsia" w:ascii="宋体" w:hAnsi="宋体" w:eastAsia="宋体" w:cs="宋体"/>
          <w:b/>
          <w:bCs/>
          <w:color w:val="333333"/>
          <w:sz w:val="21"/>
          <w:szCs w:val="21"/>
        </w:rPr>
        <w:t xml:space="preserve">000万元及以上的为中型企业；从业人员10人及以上，且</w:t>
      </w:r>
      <w:r>
        <w:rPr>
          <w:rFonts w:hint="eastAsia" w:ascii="宋体" w:hAnsi="宋体" w:eastAsia="宋体" w:cs="宋体"/>
          <w:b/>
          <w:bCs/>
          <w:color w:val="333333"/>
          <w:sz w:val="21"/>
          <w:szCs w:val="21"/>
          <w:lang w:eastAsia="zh-CN"/>
        </w:rPr>
        <w:t xml:space="preserve">资产总额</w:t>
      </w:r>
      <w:r>
        <w:rPr>
          <w:rFonts w:hint="eastAsia" w:ascii="宋体" w:hAnsi="宋体" w:eastAsia="宋体" w:cs="宋体"/>
          <w:b/>
          <w:bCs/>
          <w:color w:val="333333"/>
          <w:sz w:val="21"/>
          <w:szCs w:val="21"/>
          <w:lang w:val="en-US" w:eastAsia="zh-CN"/>
        </w:rPr>
        <w:t xml:space="preserve">100</w:t>
      </w:r>
      <w:r>
        <w:rPr>
          <w:rFonts w:hint="eastAsia" w:ascii="宋体" w:hAnsi="宋体" w:eastAsia="宋体" w:cs="宋体"/>
          <w:b/>
          <w:bCs/>
          <w:color w:val="333333"/>
          <w:sz w:val="21"/>
          <w:szCs w:val="21"/>
        </w:rPr>
        <w:t xml:space="preserve">万元及以上的为小型企业；从业人员10人以下或</w:t>
      </w:r>
      <w:r>
        <w:rPr>
          <w:rFonts w:hint="eastAsia" w:ascii="宋体" w:hAnsi="宋体" w:eastAsia="宋体" w:cs="宋体"/>
          <w:b/>
          <w:bCs/>
          <w:color w:val="333333"/>
          <w:sz w:val="21"/>
          <w:szCs w:val="21"/>
          <w:lang w:eastAsia="zh-CN"/>
        </w:rPr>
        <w:t xml:space="preserve">资产总额</w:t>
      </w:r>
      <w:r>
        <w:rPr>
          <w:rFonts w:hint="eastAsia" w:ascii="宋体" w:hAnsi="宋体" w:eastAsia="宋体" w:cs="宋体"/>
          <w:b/>
          <w:bCs/>
          <w:color w:val="333333"/>
          <w:sz w:val="21"/>
          <w:szCs w:val="21"/>
          <w:lang w:val="en-US" w:eastAsia="zh-CN"/>
        </w:rPr>
        <w:t xml:space="preserve">1</w:t>
      </w:r>
      <w:r>
        <w:rPr>
          <w:rFonts w:hint="eastAsia" w:ascii="宋体" w:hAnsi="宋体" w:eastAsia="宋体" w:cs="宋体"/>
          <w:b/>
          <w:bCs/>
          <w:color w:val="333333"/>
          <w:sz w:val="21"/>
          <w:szCs w:val="21"/>
        </w:rPr>
        <w:t xml:space="preserve">00万元以下的为微型企业。</w:t>
      </w:r>
      <w:r/>
    </w:p>
    <w:p>
      <w:pPr>
        <w:ind w:firstLine="422"/>
        <w:jc w:val="left"/>
        <w:keepLines w:val="0"/>
        <w:keepNext w:val="0"/>
        <w:pageBreakBefore w:val="0"/>
        <w:spacing w:line="360" w:lineRule="auto"/>
        <w:rPr>
          <w:rFonts w:hint="eastAsia" w:ascii="宋体" w:hAnsi="宋体" w:eastAsia="宋体" w:cs="宋体"/>
          <w:b/>
          <w:bCs w:val="0"/>
          <w:color w:val="ff0000"/>
          <w:sz w:val="21"/>
          <w:szCs w:val="21"/>
          <w:highlight w:val="none"/>
        </w:rPr>
      </w:pPr>
      <w:r>
        <w:rPr>
          <w:rFonts w:hint="eastAsia" w:ascii="宋体" w:hAnsi="宋体" w:eastAsia="宋体" w:cs="宋体"/>
          <w:b/>
          <w:bCs w:val="0"/>
          <w:color w:val="ff0000"/>
          <w:sz w:val="21"/>
          <w:szCs w:val="21"/>
          <w:highlight w:val="none"/>
        </w:rPr>
        <w:t xml:space="preserve">本磋商文件中</w:t>
      </w:r>
      <w:r>
        <w:rPr>
          <w:rFonts w:hint="eastAsia" w:ascii="宋体" w:hAnsi="宋体" w:eastAsia="宋体" w:cs="宋体"/>
          <w:b/>
          <w:bCs w:val="0"/>
          <w:i/>
          <w:color w:val="ff0000"/>
          <w:sz w:val="21"/>
          <w:szCs w:val="21"/>
          <w:highlight w:val="none"/>
          <w:u w:val="single"/>
        </w:rPr>
        <w:t xml:space="preserve">斜体且有下划线部分</w:t>
      </w:r>
      <w:r>
        <w:rPr>
          <w:rFonts w:hint="eastAsia" w:ascii="宋体" w:hAnsi="宋体" w:eastAsia="宋体" w:cs="宋体"/>
          <w:b/>
          <w:bCs w:val="0"/>
          <w:color w:val="ff0000"/>
          <w:sz w:val="21"/>
          <w:szCs w:val="21"/>
          <w:highlight w:val="none"/>
        </w:rPr>
        <w:t xml:space="preserve">为实质性要求和条件，由采购人根据实际情况设置，供应商须逐条明确作出满足实质性要求和条件的响应，否则将按无效响应处理。</w:t>
      </w:r>
      <w:r/>
    </w:p>
    <w:p>
      <w:pPr>
        <w:pStyle w:val="877"/>
        <w:numPr>
          <w:ilvl w:val="0"/>
          <w:numId w:val="6"/>
        </w:numPr>
        <w:contextualSpacing/>
        <w:ind w:firstLine="422"/>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rPr>
      </w:pPr>
      <w:r>
        <w:rPr>
          <w:rFonts w:hint="eastAsia" w:hAnsi="宋体" w:cs="宋体"/>
          <w:b/>
          <w:bCs/>
          <w:color w:val="auto"/>
          <w:sz w:val="21"/>
          <w:szCs w:val="21"/>
          <w:highlight w:val="none"/>
          <w:lang w:val="en-US" w:eastAsia="zh-CN"/>
        </w:rPr>
        <w:t xml:space="preserve">采购需求</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lang w:val="zh-CN" w:eastAsia="zh-CN"/>
        </w:rPr>
        <w:t xml:space="preserve">2026年度北固山及胜利湖周边绿化管理服务施工采购；包含但不限于：包括北固山生态公园、北固山大道、宋家花园等18处公园、游园、步道等总管理面积约78.8平方米（包括水域面积22.9万平方米）的绿化养护、设施维修及保洁保安秩序管理，北固山4300亩林地病死树防治和清理综合内容。</w:t>
      </w:r>
      <w:r/>
    </w:p>
    <w:p>
      <w:pPr>
        <w:pStyle w:val="877"/>
        <w:numPr>
          <w:ilvl w:val="0"/>
          <w:numId w:val="6"/>
        </w:numPr>
        <w:contextualSpacing/>
        <w:ind w:firstLine="422"/>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服务范围及等级要求，具体如下：</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lang w:eastAsia="zh-CN"/>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b/>
          <w:color w:val="auto"/>
          <w:sz w:val="21"/>
          <w:szCs w:val="21"/>
          <w:highlight w:val="none"/>
          <w:lang w:eastAsia="zh-CN"/>
        </w:rPr>
      </w:r>
      <w:r/>
    </w:p>
    <w:tbl>
      <w:tblPr>
        <w:tblStyle w:val="844"/>
        <w:tblW w:w="148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4"/>
        <w:gridCol w:w="1635"/>
        <w:gridCol w:w="849"/>
        <w:gridCol w:w="1169"/>
        <w:gridCol w:w="1063"/>
        <w:gridCol w:w="1169"/>
        <w:gridCol w:w="1169"/>
        <w:gridCol w:w="849"/>
        <w:gridCol w:w="849"/>
        <w:gridCol w:w="851"/>
        <w:gridCol w:w="1169"/>
        <w:gridCol w:w="853"/>
        <w:gridCol w:w="1170"/>
        <w:gridCol w:w="1531"/>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vMerge w:val="restart"/>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vMerge w:val="restart"/>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绿地所在位置</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路线</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长度</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绿化</w:t>
            </w:r>
            <w:r/>
          </w:p>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铺装</w:t>
            </w:r>
            <w:r/>
          </w:p>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绿化及铺装面积</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水域</w:t>
            </w:r>
            <w:r/>
          </w:p>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森林</w:t>
            </w:r>
            <w:r/>
          </w:p>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树池行道树</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树池</w:t>
            </w:r>
            <w:r/>
          </w:p>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合计养护</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按平方</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报价</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养护</w:t>
            </w:r>
            <w:r/>
          </w:p>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等级</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说明</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vMerge w:val="continue"/>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vMerge w:val="continue"/>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57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第一部分：按平方报价</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山海景观轴绿地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23329.18</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7033.89</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30363.07</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30363.07</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自贸区绿地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26618.8</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26618.8</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26618.8</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海棠湖及国控点绿化</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53165.76</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10917.75</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64083.51</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27774.55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91858.06</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绿化养护、绿地内水域管理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神州宾馆北侧绿地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2319.20 </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2319.20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2319.2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五连造型黑松苗圃</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4323.61</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4323.61</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4323.61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北固山大道中间及两边绿地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36068.01</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36068.01</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454.96</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36522.97</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西墅路（环胜利湖）</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17002.34</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17002.34</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17002.34</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永昌锅炉房西侧绿化</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8012.81</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8012.81</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8012.81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西墅花园东侧苗圃</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37726.10 </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37726.10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3442.40 </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41168.5</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绿化养护、绿地内水域管理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东哨水库苗圃</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14383.66 </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14383.66</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14383.66</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连云区宪法公园综合养护管理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5538.07</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1508.61</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7046.68</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636.22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7682.9</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绿化养护、铺装养护、绿地内水域管理、设施维修、秩序管理及卫生保洁等综合管理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宋家花园综合养护管理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15580</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15580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15580</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绿化养护、铺装养护、绿地内水域管理、设施维修、秩序管理及卫生保洁等综合管理</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第一部小计</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第二部分：按单项报价</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按单项</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报价</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北固山生态公园综合养护管理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67408.22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14979.65</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82387.87</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1896.13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84284</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绿化养护、铺装养护、绿地内水域管理、设施维修、秩序管理及卫生保洁等综合管理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北固山健康步道综合养护管理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29800</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50800</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绿化养护、铺装养护、绿地内水域管理、设施维修、秩序管理及卫生保洁等综合管理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西小山环山步道综合养护管理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18497.74</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4350.63</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22848.37</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22848.37</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绿化养护、铺装养护、设施维修、秩序管理及卫生保洁等综合管理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区政府周边、区政府东侧山体绿地及胜利湖（扩建前范围）景观绿地综合养护管理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124535.72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15500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140035.72</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194141.28 </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334177</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绿化养护、铺装养护、绿地内水域管理、设施维修、秩序管理及卫生保洁等综合管理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北固山森林公园林区</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4300亩</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林区</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北固山4300亩林区病死树防治和清理</w:t>
            </w:r>
            <w:r/>
          </w:p>
        </w:tc>
      </w:tr>
      <w:tr>
        <w:trPr>
          <w:trHeight w:val="700"/>
        </w:trPr>
        <w:tc>
          <w:tcPr>
            <w:shd w:val="clear" w:color="auto" w:fill="auto"/>
            <w:tcBorders>
              <w:top w:val="non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第二部小计</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总合计</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23630</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484309.22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74290.53</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558599.75</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228890.58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4300亩</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454.96</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787945.29</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bl>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lang w:eastAsia="zh-CN"/>
        </w:rPr>
        <w:sectPr>
          <w:footnotePr/>
          <w:endnotePr/>
          <w:type w:val="nextPage"/>
          <w:pgSz w:w="16838" w:h="11906" w:orient="landscape"/>
          <w:pgMar w:top="1622" w:right="1134" w:bottom="1134" w:left="1134" w:header="851" w:footer="992" w:gutter="0"/>
          <w:cols w:num="1" w:sep="0" w:space="720" w:equalWidth="1"/>
          <w:docGrid w:linePitch="360"/>
        </w:sect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三、服务要求及标准（技术条款）</w:t>
      </w:r>
      <w:r/>
    </w:p>
    <w:p>
      <w:pPr>
        <w:ind w:firstLine="422"/>
        <w:jc w:val="left"/>
        <w:keepLines w:val="0"/>
        <w:pageBreakBefore w:val="0"/>
        <w:spacing w:line="360" w:lineRule="auto"/>
        <w:widowControl w:val="off"/>
        <w:rPr>
          <w:rFonts w:hint="default" w:ascii="宋体" w:hAnsi="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3.</w:t>
      </w:r>
      <w:r>
        <w:rPr>
          <w:rFonts w:hint="eastAsia" w:ascii="宋体" w:hAnsi="宋体" w:cs="宋体"/>
          <w:b/>
          <w:bCs w:val="0"/>
          <w:color w:val="auto"/>
          <w:sz w:val="21"/>
          <w:szCs w:val="21"/>
          <w:lang w:val="en-US" w:eastAsia="zh-CN" w:bidi="ar-SA"/>
        </w:rPr>
        <w:t xml:space="preserve">1 服务要求</w:t>
      </w:r>
      <w:r/>
    </w:p>
    <w:p>
      <w:pPr>
        <w:ind w:firstLine="422"/>
        <w:jc w:val="left"/>
        <w:keepLines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3.1.1绿地病死树清理</w:t>
      </w:r>
      <w:r/>
    </w:p>
    <w:p>
      <w:pPr>
        <w:ind w:firstLine="420"/>
        <w:jc w:val="left"/>
        <w:keepLines w:val="0"/>
        <w:pageBreakBefore w:val="0"/>
        <w:spacing w:line="360" w:lineRule="auto"/>
        <w:widowControl w:val="off"/>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（1）所有病死树（包括病死树、枯死树、砸倒木）必须在规定时间内全部砍伐、清理和切片粉碎处理完毕；</w:t>
      </w:r>
      <w:r/>
    </w:p>
    <w:p>
      <w:pPr>
        <w:ind w:firstLine="420"/>
        <w:jc w:val="left"/>
        <w:keepLines w:val="0"/>
        <w:pageBreakBefore w:val="0"/>
        <w:spacing w:line="360" w:lineRule="auto"/>
        <w:widowControl w:val="off"/>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（2）实施病死树砍伐清理的工作人员必须经过严格的技术培训方可进行作业；</w:t>
      </w:r>
      <w:r/>
    </w:p>
    <w:p>
      <w:pPr>
        <w:ind w:firstLine="420"/>
        <w:jc w:val="left"/>
        <w:keepLines w:val="0"/>
        <w:pageBreakBefore w:val="0"/>
        <w:spacing w:line="360" w:lineRule="auto"/>
        <w:widowControl w:val="off"/>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（3）砍伐、清除病死树时，其伐桩高度不得高于5厘米；砍伐的所有病死松树的木材及直径0.8厘米以上的枝条必须全部清理和切片、粉碎销毁处理，所有松木及枝条不得调运出区；</w:t>
      </w:r>
      <w:r/>
    </w:p>
    <w:p>
      <w:pPr>
        <w:ind w:firstLine="420"/>
        <w:jc w:val="left"/>
        <w:keepLines w:val="0"/>
        <w:pageBreakBefore w:val="0"/>
        <w:spacing w:line="360" w:lineRule="auto"/>
        <w:widowControl w:val="off"/>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（4）所有伐桩必须进行灌注药物处理，并用农膜覆盖和培土封闭；</w:t>
      </w:r>
      <w:r/>
    </w:p>
    <w:p>
      <w:pPr>
        <w:ind w:firstLine="420"/>
        <w:jc w:val="left"/>
        <w:keepLines w:val="0"/>
        <w:pageBreakBefore w:val="0"/>
        <w:spacing w:line="360" w:lineRule="auto"/>
        <w:widowControl w:val="off"/>
        <w:rPr>
          <w:rFonts w:hint="eastAsia" w:ascii="宋体" w:hAnsi="宋体" w:eastAsia="宋体" w:cs="宋体"/>
          <w:b/>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（5）所有砍伐的松木根桩必须登记造册。</w:t>
      </w:r>
      <w:r/>
    </w:p>
    <w:p>
      <w:pPr>
        <w:ind w:firstLine="422"/>
        <w:jc w:val="left"/>
        <w:keepLines w:val="0"/>
        <w:pageBreakBefore w:val="0"/>
        <w:spacing w:line="360" w:lineRule="auto"/>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3.1.</w:t>
      </w:r>
      <w:r>
        <w:rPr>
          <w:rFonts w:hint="eastAsia" w:ascii="宋体" w:hAnsi="宋体" w:cs="宋体"/>
          <w:b/>
          <w:sz w:val="21"/>
          <w:szCs w:val="21"/>
          <w:lang w:val="en-US" w:eastAsia="zh-CN" w:bidi="ar-SA"/>
        </w:rPr>
        <w:t xml:space="preserve">2</w:t>
      </w:r>
      <w:r>
        <w:rPr>
          <w:rFonts w:hint="eastAsia" w:ascii="宋体" w:hAnsi="宋体" w:eastAsia="宋体" w:cs="宋体"/>
          <w:b/>
          <w:sz w:val="21"/>
          <w:szCs w:val="21"/>
          <w:lang w:val="en-US" w:eastAsia="zh-CN" w:bidi="ar-SA"/>
        </w:rPr>
        <w:t xml:space="preserve">管养现场服务</w:t>
      </w:r>
      <w:r/>
    </w:p>
    <w:p>
      <w:pPr>
        <w:ind w:firstLine="420"/>
        <w:jc w:val="left"/>
        <w:keepLines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成交供应商按合同约定的工作内容及范围为采购人提供绿化养护服务，现场主要包括项目负责人、技术负责人、带工班长、绿化技工、车辆驾驶员、安全员、材料员等养护所需的各种人员，具体人员数量根据养护工作量及季节变化，报甲方同意后安排进场和调整。</w:t>
      </w:r>
      <w:r/>
    </w:p>
    <w:p>
      <w:pPr>
        <w:ind w:firstLine="420"/>
        <w:jc w:val="left"/>
        <w:keepLines w:val="0"/>
        <w:pageBreakBefore w:val="0"/>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）采购人提供的车辆、机械、耗材等仅能用于甲方指定范围内的养护工作，不能用于其他事项，如成交供应商私自使用，须按市场价格赔付甲方损失，如造成其他伤害，由成交供应商承担具体相应的全部责任。</w:t>
      </w:r>
      <w:r/>
    </w:p>
    <w:p>
      <w:pPr>
        <w:ind w:firstLine="420"/>
        <w:jc w:val="left"/>
        <w:keepLines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）成交供应商须按机械车辆、药剂用品等操作规范使用，如由自身非规范操作车辆机械造成车辆损坏或安全事故，由成交供应商承担责任并赔偿，相关责任由交警及其他相关有鉴定资质或司法职能的部门鉴定。</w:t>
      </w:r>
      <w:r/>
    </w:p>
    <w:p>
      <w:pPr>
        <w:ind w:firstLine="422"/>
        <w:jc w:val="left"/>
        <w:keepLines w:val="0"/>
        <w:pageBreakBefore w:val="0"/>
        <w:spacing w:line="360" w:lineRule="auto"/>
        <w:widowControl w:val="off"/>
        <w:rPr>
          <w:rFonts w:hint="default"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3.1.</w:t>
      </w:r>
      <w:r>
        <w:rPr>
          <w:rFonts w:hint="eastAsia" w:ascii="宋体" w:hAnsi="宋体" w:cs="宋体"/>
          <w:b/>
          <w:sz w:val="21"/>
          <w:szCs w:val="21"/>
          <w:lang w:val="en-US" w:eastAsia="zh-CN" w:bidi="ar-SA"/>
        </w:rPr>
        <w:t xml:space="preserve">3</w:t>
      </w:r>
      <w:r>
        <w:rPr>
          <w:rFonts w:hint="eastAsia" w:ascii="宋体" w:hAnsi="宋体" w:eastAsia="宋体" w:cs="宋体"/>
          <w:b/>
          <w:sz w:val="21"/>
          <w:szCs w:val="21"/>
          <w:lang w:val="en-US" w:eastAsia="zh-CN" w:bidi="ar-SA"/>
        </w:rPr>
        <w:t xml:space="preserve">管养办公辅助服务</w:t>
      </w:r>
      <w:r/>
    </w:p>
    <w:p>
      <w:pPr>
        <w:ind w:firstLine="420"/>
        <w:jc w:val="left"/>
        <w:keepLines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highlight w:val="none"/>
          <w:lang w:val="en-US" w:eastAsia="zh-CN"/>
        </w:rPr>
        <w:t xml:space="preserve">本项目管养片区大、线路长、特殊情况多、工作任务情况较为复杂，除现场必须的养护人员外，必须配备至少</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名办公人员，</w:t>
      </w:r>
      <w:r>
        <w:rPr>
          <w:rFonts w:hint="eastAsia" w:ascii="宋体" w:hAnsi="宋体" w:eastAsia="宋体" w:cs="宋体"/>
          <w:sz w:val="21"/>
          <w:szCs w:val="21"/>
          <w:lang w:val="en-US" w:eastAsia="zh-CN"/>
        </w:rPr>
        <w:t xml:space="preserve">全职配合甲方处置日常养护管理过程中的各种办公事宜，包括但不限于12345平台、城市管理平台、安全生产平台案件处置，养护考核打分，评优评比，各种日常及应急信息填报、事项手续办理等。由采购人提供办公地点，服从采购人的工作安排调度。</w:t>
      </w:r>
      <w:r/>
    </w:p>
    <w:p>
      <w:pPr>
        <w:ind w:firstLine="422"/>
        <w:jc w:val="left"/>
        <w:keepLines w:val="0"/>
        <w:pageBreakBefore w:val="0"/>
        <w:spacing w:line="360" w:lineRule="auto"/>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3.1.</w:t>
      </w:r>
      <w:r>
        <w:rPr>
          <w:rFonts w:hint="eastAsia" w:ascii="宋体" w:hAnsi="宋体" w:cs="宋体"/>
          <w:b/>
          <w:sz w:val="21"/>
          <w:szCs w:val="21"/>
          <w:lang w:val="en-US" w:eastAsia="zh-CN" w:bidi="ar-SA"/>
        </w:rPr>
        <w:t xml:space="preserve">4</w:t>
      </w:r>
      <w:r>
        <w:rPr>
          <w:rFonts w:hint="eastAsia" w:ascii="宋体" w:hAnsi="宋体" w:eastAsia="宋体" w:cs="宋体"/>
          <w:b/>
          <w:sz w:val="21"/>
          <w:szCs w:val="21"/>
          <w:lang w:val="en-US" w:eastAsia="zh-CN" w:bidi="ar-SA"/>
        </w:rPr>
        <w:t xml:space="preserve">管养应急处置服务</w:t>
      </w:r>
      <w:r/>
    </w:p>
    <w:p>
      <w:pPr>
        <w:ind w:firstLine="420"/>
        <w:jc w:val="left"/>
        <w:keepLines w:val="0"/>
        <w:pageBreakBefore w:val="0"/>
        <w:spacing w:line="360"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（2）如遇有重大节日、外事活动、创建检查等，采购人有权要求成交供应商组织加班、突击工作，成交供应商需无条件服从，并高质量完成采购人布置的任务；</w:t>
      </w:r>
      <w:r/>
    </w:p>
    <w:p>
      <w:pPr>
        <w:ind w:firstLine="420"/>
        <w:jc w:val="left"/>
        <w:keepLines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（2）如遇特殊天气，包括但不限于强风强雨雪、火情火灾等，成交供应商须第一时间自行组织采</w:t>
      </w:r>
      <w:r>
        <w:rPr>
          <w:rFonts w:hint="eastAsia" w:ascii="宋体" w:hAnsi="宋体" w:eastAsia="宋体" w:cs="宋体"/>
          <w:sz w:val="21"/>
          <w:szCs w:val="21"/>
          <w:lang w:val="en-US" w:eastAsia="zh-CN"/>
        </w:rPr>
        <w:t xml:space="preserve">取必须的处置措施，高质量完成采购人布置的任务；</w:t>
      </w:r>
      <w:r/>
    </w:p>
    <w:p>
      <w:pPr>
        <w:ind w:firstLine="420"/>
        <w:jc w:val="left"/>
        <w:keepLines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（3）成交供应商须为所有提供项目使用的养护人员购买意外伤害保险，开展养护生产的同时，承担响应的安全生产责任。</w:t>
      </w:r>
      <w:r/>
    </w:p>
    <w:p>
      <w:pPr>
        <w:ind w:firstLine="422"/>
        <w:jc w:val="left"/>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lang w:val="en-US" w:eastAsia="zh-CN"/>
        </w:rPr>
        <w:t xml:space="preserve">3.2 </w:t>
      </w:r>
      <w:r>
        <w:rPr>
          <w:rFonts w:hint="eastAsia" w:ascii="宋体" w:hAnsi="宋体" w:eastAsia="宋体" w:cs="宋体"/>
          <w:b/>
          <w:bCs/>
          <w:sz w:val="21"/>
          <w:szCs w:val="21"/>
          <w:highlight w:val="none"/>
        </w:rPr>
        <w:t xml:space="preserve">人员要求</w:t>
      </w:r>
      <w:r/>
    </w:p>
    <w:p>
      <w:pPr>
        <w:ind w:firstLine="422"/>
        <w:jc w:val="left"/>
        <w:keepLines w:val="0"/>
        <w:keepNext w:val="0"/>
        <w:pageBreakBefore w:val="0"/>
        <w:spacing w:line="36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none"/>
          <w:lang w:val="en-US" w:eastAsia="zh-CN"/>
        </w:rPr>
        <w:t xml:space="preserve">3.2.1人员配备：</w:t>
      </w:r>
      <w:r>
        <w:rPr>
          <w:rFonts w:hint="eastAsia" w:ascii="宋体" w:hAnsi="宋体" w:eastAsia="宋体" w:cs="宋体"/>
          <w:b/>
          <w:bCs/>
          <w:i/>
          <w:iCs/>
          <w:sz w:val="21"/>
          <w:szCs w:val="21"/>
          <w:highlight w:val="none"/>
          <w:u w:val="single"/>
          <w:lang w:eastAsia="zh-CN"/>
        </w:rPr>
        <w:t xml:space="preserve">本项目须配备最低人员共计</w:t>
      </w:r>
      <w:r>
        <w:rPr>
          <w:rFonts w:hint="eastAsia" w:ascii="宋体" w:hAnsi="宋体" w:eastAsia="宋体" w:cs="宋体"/>
          <w:b/>
          <w:bCs/>
          <w:i/>
          <w:iCs/>
          <w:sz w:val="21"/>
          <w:szCs w:val="21"/>
          <w:highlight w:val="none"/>
          <w:u w:val="single"/>
          <w:lang w:val="en-US" w:eastAsia="zh-CN"/>
        </w:rPr>
        <w:t xml:space="preserve">40</w:t>
      </w:r>
      <w:r>
        <w:rPr>
          <w:rFonts w:hint="eastAsia" w:ascii="宋体" w:hAnsi="宋体" w:eastAsia="宋体" w:cs="宋体"/>
          <w:b/>
          <w:bCs/>
          <w:i/>
          <w:iCs/>
          <w:sz w:val="21"/>
          <w:szCs w:val="21"/>
          <w:highlight w:val="none"/>
          <w:u w:val="single"/>
          <w:lang w:eastAsia="zh-CN"/>
        </w:rPr>
        <w:t xml:space="preserve">人。其中，项目经理1人，绿化队长</w:t>
      </w:r>
      <w:r>
        <w:rPr>
          <w:rFonts w:hint="eastAsia" w:ascii="宋体" w:hAnsi="宋体" w:eastAsia="宋体" w:cs="宋体"/>
          <w:b/>
          <w:bCs/>
          <w:i/>
          <w:iCs/>
          <w:sz w:val="21"/>
          <w:szCs w:val="21"/>
          <w:highlight w:val="none"/>
          <w:u w:val="single"/>
          <w:lang w:val="en-US" w:eastAsia="zh-CN"/>
        </w:rPr>
        <w:t xml:space="preserve">1人，绿化副队长1名，</w:t>
      </w:r>
      <w:r>
        <w:rPr>
          <w:rFonts w:hint="eastAsia" w:ascii="宋体" w:hAnsi="宋体" w:eastAsia="宋体" w:cs="宋体"/>
          <w:b/>
          <w:bCs/>
          <w:i/>
          <w:iCs/>
          <w:sz w:val="21"/>
          <w:szCs w:val="21"/>
          <w:highlight w:val="none"/>
          <w:u w:val="single"/>
          <w:lang w:eastAsia="zh-CN"/>
        </w:rPr>
        <w:t xml:space="preserve">绿化养护人员</w:t>
      </w:r>
      <w:r>
        <w:rPr>
          <w:rFonts w:hint="eastAsia" w:ascii="宋体" w:hAnsi="宋体" w:eastAsia="宋体" w:cs="宋体"/>
          <w:b/>
          <w:bCs/>
          <w:i/>
          <w:iCs/>
          <w:sz w:val="21"/>
          <w:szCs w:val="21"/>
          <w:highlight w:val="none"/>
          <w:u w:val="single"/>
          <w:lang w:val="en-US" w:eastAsia="zh-CN"/>
        </w:rPr>
        <w:t xml:space="preserve">37</w:t>
      </w:r>
      <w:r>
        <w:rPr>
          <w:rFonts w:hint="eastAsia" w:ascii="宋体" w:hAnsi="宋体" w:eastAsia="宋体" w:cs="宋体"/>
          <w:b/>
          <w:bCs/>
          <w:i/>
          <w:iCs/>
          <w:sz w:val="21"/>
          <w:szCs w:val="21"/>
          <w:highlight w:val="none"/>
          <w:u w:val="single"/>
          <w:lang w:eastAsia="zh-CN"/>
        </w:rPr>
        <w:t xml:space="preserve">人（包含</w:t>
      </w:r>
      <w:r>
        <w:rPr>
          <w:rFonts w:hint="eastAsia" w:ascii="宋体" w:hAnsi="宋体" w:eastAsia="宋体" w:cs="宋体"/>
          <w:b/>
          <w:bCs/>
          <w:i/>
          <w:iCs/>
          <w:sz w:val="21"/>
          <w:szCs w:val="21"/>
          <w:highlight w:val="none"/>
          <w:u w:val="single"/>
          <w:lang w:val="en-US" w:eastAsia="zh-CN"/>
        </w:rPr>
        <w:t xml:space="preserve">4名修剪工</w:t>
      </w:r>
      <w:r>
        <w:rPr>
          <w:rFonts w:hint="eastAsia" w:ascii="宋体" w:hAnsi="宋体" w:eastAsia="宋体" w:cs="宋体"/>
          <w:b/>
          <w:bCs/>
          <w:i/>
          <w:iCs/>
          <w:sz w:val="21"/>
          <w:szCs w:val="21"/>
          <w:highlight w:val="none"/>
          <w:u w:val="single"/>
          <w:lang w:eastAsia="zh-CN"/>
        </w:rPr>
        <w:t xml:space="preserve">）</w:t>
      </w:r>
      <w:r>
        <w:rPr>
          <w:rFonts w:hint="eastAsia" w:ascii="宋体" w:hAnsi="宋体" w:eastAsia="宋体" w:cs="宋体"/>
          <w:b/>
          <w:bCs/>
          <w:i/>
          <w:iCs/>
          <w:sz w:val="21"/>
          <w:szCs w:val="21"/>
          <w:highlight w:val="none"/>
          <w:u w:val="single"/>
        </w:rPr>
        <w:t xml:space="preserve">，详细要求如下：</w:t>
      </w:r>
      <w:r/>
    </w:p>
    <w:tbl>
      <w:tblPr>
        <w:tblStyle w:val="844"/>
        <w:tblW w:w="9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583"/>
        <w:gridCol w:w="1633"/>
        <w:gridCol w:w="2467"/>
        <w:gridCol w:w="2680"/>
      </w:tblGrid>
      <w:tr>
        <w:trPr>
          <w:jc w:val="center"/>
          <w:trHeight w:val="470"/>
        </w:trPr>
        <w:tc>
          <w:tcPr>
            <w:tcW w:w="841" w:type="dxa"/>
            <w:vAlign w:val="center"/>
            <w:textDirection w:val="lrTb"/>
            <w:noWrap/>
          </w:tcPr>
          <w:p>
            <w:pPr>
              <w:jc w:val="left"/>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序号</w:t>
            </w:r>
            <w:r/>
          </w:p>
        </w:tc>
        <w:tc>
          <w:tcPr>
            <w:tcW w:w="1583" w:type="dxa"/>
            <w:vAlign w:val="center"/>
            <w:textDirection w:val="lrTb"/>
            <w:noWrap/>
          </w:tcPr>
          <w:p>
            <w:pPr>
              <w:jc w:val="left"/>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岗位名称</w:t>
            </w:r>
            <w:r/>
          </w:p>
        </w:tc>
        <w:tc>
          <w:tcPr>
            <w:tcW w:w="1633" w:type="dxa"/>
            <w:vAlign w:val="center"/>
            <w:textDirection w:val="lrTb"/>
            <w:noWrap/>
          </w:tcPr>
          <w:p>
            <w:pPr>
              <w:jc w:val="left"/>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数量</w:t>
            </w:r>
            <w:r/>
          </w:p>
        </w:tc>
        <w:tc>
          <w:tcPr>
            <w:tcW w:w="2467" w:type="dxa"/>
            <w:vAlign w:val="center"/>
            <w:textDirection w:val="lrTb"/>
            <w:noWrap/>
          </w:tcPr>
          <w:p>
            <w:pPr>
              <w:jc w:val="left"/>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从事工作</w:t>
            </w:r>
            <w:r/>
          </w:p>
        </w:tc>
        <w:tc>
          <w:tcPr>
            <w:tcW w:w="2680" w:type="dxa"/>
            <w:vAlign w:val="center"/>
            <w:textDirection w:val="lrTb"/>
            <w:noWrap/>
          </w:tcPr>
          <w:p>
            <w:pPr>
              <w:jc w:val="left"/>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其他要求</w:t>
            </w:r>
            <w:r/>
          </w:p>
        </w:tc>
      </w:tr>
      <w:tr>
        <w:trPr>
          <w:jc w:val="center"/>
          <w:trHeight w:val="691"/>
        </w:trPr>
        <w:tc>
          <w:tcPr>
            <w:tcW w:w="841"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1</w:t>
            </w:r>
            <w:r/>
          </w:p>
        </w:tc>
        <w:tc>
          <w:tcPr>
            <w:tcW w:w="1583"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项目</w:t>
            </w:r>
            <w:r>
              <w:rPr>
                <w:rFonts w:hint="eastAsia" w:ascii="宋体" w:hAnsi="宋体" w:eastAsia="宋体" w:cs="宋体"/>
                <w:b/>
                <w:bCs/>
                <w:i/>
                <w:iCs/>
                <w:sz w:val="21"/>
                <w:szCs w:val="21"/>
                <w:highlight w:val="none"/>
                <w:u w:val="single"/>
                <w:lang w:eastAsia="zh-CN"/>
              </w:rPr>
              <w:t xml:space="preserve">经理</w:t>
            </w:r>
            <w:r/>
          </w:p>
        </w:tc>
        <w:tc>
          <w:tcPr>
            <w:tcW w:w="1633"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1名</w:t>
            </w:r>
            <w:r/>
          </w:p>
        </w:tc>
        <w:tc>
          <w:tcPr>
            <w:tcW w:w="2467" w:type="dxa"/>
            <w:vAlign w:val="center"/>
            <w:textDirection w:val="lrTb"/>
            <w:noWrap/>
          </w:tcPr>
          <w:p>
            <w:pPr>
              <w:jc w:val="left"/>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安排任务、调配人员，综合协调，督查督促</w:t>
            </w:r>
            <w:r>
              <w:rPr>
                <w:rFonts w:hint="eastAsia" w:ascii="宋体" w:hAnsi="宋体" w:eastAsia="宋体" w:cs="宋体"/>
                <w:b/>
                <w:bCs/>
                <w:i/>
                <w:iCs/>
                <w:sz w:val="21"/>
                <w:szCs w:val="21"/>
                <w:highlight w:val="none"/>
                <w:u w:val="single"/>
                <w:lang w:val="en-US" w:eastAsia="zh-CN"/>
              </w:rPr>
              <w:t xml:space="preserve">.</w:t>
            </w:r>
            <w:r/>
          </w:p>
        </w:tc>
        <w:tc>
          <w:tcPr>
            <w:tcW w:w="2680" w:type="dxa"/>
            <w:vAlign w:val="center"/>
            <w:textDirection w:val="lrTb"/>
            <w:noWrap/>
          </w:tcPr>
          <w:p>
            <w:pPr>
              <w:jc w:val="left"/>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具有园林绿化专业</w:t>
            </w:r>
            <w:r>
              <w:rPr>
                <w:rFonts w:hint="eastAsia" w:ascii="宋体" w:hAnsi="宋体" w:eastAsia="宋体" w:cs="宋体"/>
                <w:b/>
                <w:bCs/>
                <w:i/>
                <w:iCs/>
                <w:sz w:val="21"/>
                <w:szCs w:val="21"/>
                <w:highlight w:val="none"/>
                <w:u w:val="single"/>
                <w:lang w:eastAsia="zh-CN"/>
              </w:rPr>
              <w:t xml:space="preserve">，具有一定</w:t>
            </w:r>
            <w:r>
              <w:rPr>
                <w:rFonts w:hint="eastAsia" w:ascii="宋体" w:hAnsi="宋体" w:eastAsia="宋体" w:cs="宋体"/>
                <w:b/>
                <w:bCs/>
                <w:i/>
                <w:iCs/>
                <w:sz w:val="21"/>
                <w:szCs w:val="21"/>
                <w:highlight w:val="none"/>
                <w:u w:val="single"/>
              </w:rPr>
              <w:t xml:space="preserve">工作经验。</w:t>
            </w:r>
            <w:r/>
          </w:p>
        </w:tc>
      </w:tr>
      <w:tr>
        <w:trPr>
          <w:jc w:val="center"/>
          <w:trHeight w:val="612"/>
        </w:trPr>
        <w:tc>
          <w:tcPr>
            <w:tcW w:w="841"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lang w:val="en-US" w:eastAsia="zh-CN"/>
              </w:rPr>
              <w:t xml:space="preserve">2</w:t>
            </w:r>
            <w:r/>
          </w:p>
        </w:tc>
        <w:tc>
          <w:tcPr>
            <w:tcW w:w="1583"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iCs/>
                <w:sz w:val="21"/>
                <w:szCs w:val="21"/>
                <w:highlight w:val="none"/>
                <w:u w:val="single"/>
                <w:lang w:eastAsia="zh-CN"/>
              </w:rPr>
            </w:pPr>
            <w:r>
              <w:rPr>
                <w:rFonts w:hint="eastAsia" w:ascii="宋体" w:hAnsi="宋体" w:eastAsia="宋体" w:cs="宋体"/>
                <w:b/>
                <w:bCs/>
                <w:i/>
                <w:iCs/>
                <w:sz w:val="21"/>
                <w:szCs w:val="21"/>
                <w:highlight w:val="none"/>
                <w:u w:val="single"/>
                <w:lang w:eastAsia="zh-CN"/>
              </w:rPr>
              <w:t xml:space="preserve">绿化队长</w:t>
            </w:r>
            <w:r/>
          </w:p>
        </w:tc>
        <w:tc>
          <w:tcPr>
            <w:tcW w:w="1633"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lang w:val="en-US" w:eastAsia="zh-CN"/>
              </w:rPr>
              <w:t xml:space="preserve">1名</w:t>
            </w:r>
            <w:r/>
          </w:p>
        </w:tc>
        <w:tc>
          <w:tcPr>
            <w:tcW w:w="2467" w:type="dxa"/>
            <w:vAlign w:val="center"/>
            <w:textDirection w:val="lrTb"/>
            <w:noWrap/>
          </w:tcPr>
          <w:p>
            <w:pPr>
              <w:jc w:val="left"/>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lang w:eastAsia="zh-CN"/>
              </w:rPr>
              <w:t xml:space="preserve">具体负责绿化现场，安排组织绿化工人作业，技术指导</w:t>
            </w:r>
            <w:r/>
          </w:p>
        </w:tc>
        <w:tc>
          <w:tcPr>
            <w:tcW w:w="2680" w:type="dxa"/>
            <w:vAlign w:val="center"/>
            <w:textDirection w:val="lrTb"/>
            <w:noWrap/>
          </w:tcPr>
          <w:p>
            <w:pPr>
              <w:jc w:val="left"/>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lang w:eastAsia="zh-CN"/>
              </w:rPr>
              <w:t xml:space="preserve">具有一定绿化养护工作经验</w:t>
            </w:r>
            <w:r/>
          </w:p>
        </w:tc>
      </w:tr>
      <w:tr>
        <w:trPr>
          <w:jc w:val="center"/>
          <w:trHeight w:val="775"/>
        </w:trPr>
        <w:tc>
          <w:tcPr>
            <w:tcW w:w="841"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b/>
                <w:bCs/>
                <w:i/>
                <w:iCs/>
                <w:sz w:val="21"/>
                <w:szCs w:val="21"/>
                <w:highlight w:val="none"/>
                <w:u w:val="single"/>
                <w:lang w:val="en-US" w:eastAsia="zh-CN"/>
              </w:rPr>
              <w:t xml:space="preserve">3</w:t>
            </w:r>
            <w:r/>
          </w:p>
        </w:tc>
        <w:tc>
          <w:tcPr>
            <w:tcW w:w="1583"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b/>
                <w:bCs/>
                <w:i/>
                <w:iCs/>
                <w:sz w:val="21"/>
                <w:szCs w:val="21"/>
                <w:highlight w:val="none"/>
                <w:u w:val="single"/>
                <w:lang w:eastAsia="zh-CN"/>
              </w:rPr>
              <w:t xml:space="preserve">绿化</w:t>
            </w:r>
            <w:r>
              <w:rPr>
                <w:rFonts w:hint="eastAsia" w:ascii="宋体" w:hAnsi="宋体" w:eastAsia="宋体" w:cs="宋体"/>
                <w:b/>
                <w:bCs/>
                <w:i/>
                <w:iCs/>
                <w:sz w:val="21"/>
                <w:szCs w:val="21"/>
                <w:highlight w:val="none"/>
                <w:u w:val="single"/>
                <w:lang w:val="en-US" w:eastAsia="zh-CN"/>
              </w:rPr>
              <w:t xml:space="preserve">副</w:t>
            </w:r>
            <w:r>
              <w:rPr>
                <w:rFonts w:hint="eastAsia" w:ascii="宋体" w:hAnsi="宋体" w:eastAsia="宋体" w:cs="宋体"/>
                <w:b/>
                <w:bCs/>
                <w:i/>
                <w:iCs/>
                <w:sz w:val="21"/>
                <w:szCs w:val="21"/>
                <w:highlight w:val="none"/>
                <w:u w:val="single"/>
                <w:lang w:eastAsia="zh-CN"/>
              </w:rPr>
              <w:t xml:space="preserve">队长</w:t>
            </w:r>
            <w:r/>
          </w:p>
        </w:tc>
        <w:tc>
          <w:tcPr>
            <w:tcW w:w="1633"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b/>
                <w:bCs/>
                <w:i/>
                <w:iCs/>
                <w:sz w:val="21"/>
                <w:szCs w:val="21"/>
                <w:highlight w:val="none"/>
                <w:u w:val="single"/>
                <w:lang w:val="en-US" w:eastAsia="zh-CN"/>
              </w:rPr>
              <w:t xml:space="preserve">1名</w:t>
            </w:r>
            <w:r/>
          </w:p>
        </w:tc>
        <w:tc>
          <w:tcPr>
            <w:tcW w:w="2467" w:type="dxa"/>
            <w:vAlign w:val="center"/>
            <w:textDirection w:val="lrTb"/>
            <w:noWrap/>
          </w:tcPr>
          <w:p>
            <w:pPr>
              <w:jc w:val="left"/>
              <w:keepLines w:val="0"/>
              <w:keepNext w:val="0"/>
              <w:pageBreakBefore w:val="0"/>
              <w:spacing w:line="240"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b/>
                <w:bCs/>
                <w:i/>
                <w:iCs/>
                <w:sz w:val="21"/>
                <w:szCs w:val="21"/>
                <w:highlight w:val="none"/>
                <w:u w:val="single"/>
                <w:lang w:eastAsia="zh-CN"/>
              </w:rPr>
              <w:t xml:space="preserve">具体负责绿化现场，安排组织绿化工人作业，技术指导</w:t>
            </w:r>
            <w:r/>
          </w:p>
        </w:tc>
        <w:tc>
          <w:tcPr>
            <w:tcW w:w="2680" w:type="dxa"/>
            <w:vAlign w:val="center"/>
            <w:textDirection w:val="lrTb"/>
            <w:noWrap/>
          </w:tcPr>
          <w:p>
            <w:pPr>
              <w:jc w:val="left"/>
              <w:keepLines w:val="0"/>
              <w:keepNext w:val="0"/>
              <w:pageBreakBefore w:val="0"/>
              <w:spacing w:line="240"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b/>
                <w:bCs/>
                <w:i/>
                <w:iCs/>
                <w:sz w:val="21"/>
                <w:szCs w:val="21"/>
                <w:highlight w:val="none"/>
                <w:u w:val="single"/>
                <w:lang w:eastAsia="zh-CN"/>
              </w:rPr>
              <w:t xml:space="preserve">具有一定绿化养护工作经验</w:t>
            </w:r>
            <w:r/>
          </w:p>
        </w:tc>
      </w:tr>
      <w:tr>
        <w:trPr>
          <w:jc w:val="center"/>
          <w:trHeight w:val="725"/>
        </w:trPr>
        <w:tc>
          <w:tcPr>
            <w:tcW w:w="841"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iCs/>
                <w:sz w:val="21"/>
                <w:szCs w:val="21"/>
                <w:highlight w:val="none"/>
                <w:u w:val="single"/>
                <w:lang w:eastAsia="zh-CN"/>
              </w:rPr>
            </w:pPr>
            <w:r>
              <w:rPr>
                <w:rFonts w:hint="eastAsia" w:ascii="宋体" w:hAnsi="宋体" w:eastAsia="宋体" w:cs="宋体"/>
                <w:b/>
                <w:bCs/>
                <w:i/>
                <w:iCs/>
                <w:sz w:val="21"/>
                <w:szCs w:val="21"/>
                <w:highlight w:val="none"/>
                <w:u w:val="single"/>
                <w:lang w:val="en-US" w:eastAsia="zh-CN"/>
              </w:rPr>
              <w:t xml:space="preserve">4</w:t>
            </w:r>
            <w:r/>
          </w:p>
        </w:tc>
        <w:tc>
          <w:tcPr>
            <w:tcW w:w="1583"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iCs/>
                <w:sz w:val="21"/>
                <w:szCs w:val="21"/>
                <w:highlight w:val="none"/>
                <w:u w:val="single"/>
                <w:lang w:eastAsia="zh-CN"/>
              </w:rPr>
            </w:pPr>
            <w:r>
              <w:rPr>
                <w:rFonts w:hint="eastAsia" w:ascii="宋体" w:hAnsi="宋体" w:eastAsia="宋体" w:cs="宋体"/>
                <w:b/>
                <w:bCs/>
                <w:i/>
                <w:iCs/>
                <w:sz w:val="21"/>
                <w:szCs w:val="21"/>
                <w:highlight w:val="none"/>
                <w:u w:val="single"/>
              </w:rPr>
              <w:t xml:space="preserve">绿化养护人员</w:t>
            </w:r>
            <w:r/>
          </w:p>
        </w:tc>
        <w:tc>
          <w:tcPr>
            <w:tcW w:w="1633"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lang w:val="en-US" w:eastAsia="zh-CN"/>
              </w:rPr>
              <w:t xml:space="preserve">37</w:t>
            </w:r>
            <w:r>
              <w:rPr>
                <w:rFonts w:hint="eastAsia" w:ascii="宋体" w:hAnsi="宋体" w:eastAsia="宋体" w:cs="宋体"/>
                <w:b/>
                <w:bCs/>
                <w:i/>
                <w:iCs/>
                <w:sz w:val="21"/>
                <w:szCs w:val="21"/>
                <w:highlight w:val="none"/>
                <w:u w:val="single"/>
              </w:rPr>
              <w:t xml:space="preserve">名</w:t>
            </w:r>
            <w:r/>
          </w:p>
          <w:p>
            <w:pPr>
              <w:jc w:val="center"/>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lang w:eastAsia="zh-CN"/>
              </w:rPr>
              <w:t xml:space="preserve">（包含修剪工</w:t>
            </w:r>
            <w:r>
              <w:rPr>
                <w:rFonts w:hint="eastAsia" w:ascii="宋体" w:hAnsi="宋体" w:eastAsia="宋体" w:cs="宋体"/>
                <w:b/>
                <w:bCs/>
                <w:i/>
                <w:iCs/>
                <w:sz w:val="21"/>
                <w:szCs w:val="21"/>
                <w:highlight w:val="none"/>
                <w:u w:val="single"/>
                <w:lang w:val="en-US" w:eastAsia="zh-CN"/>
              </w:rPr>
              <w:t xml:space="preserve">4</w:t>
            </w:r>
            <w:r>
              <w:rPr>
                <w:rFonts w:hint="eastAsia" w:ascii="宋体" w:hAnsi="宋体" w:eastAsia="宋体" w:cs="宋体"/>
                <w:b/>
                <w:bCs/>
                <w:i/>
                <w:iCs/>
                <w:sz w:val="21"/>
                <w:szCs w:val="21"/>
                <w:highlight w:val="none"/>
                <w:u w:val="single"/>
                <w:lang w:eastAsia="zh-CN"/>
              </w:rPr>
              <w:t xml:space="preserve">名）</w:t>
            </w:r>
            <w:r/>
          </w:p>
        </w:tc>
        <w:tc>
          <w:tcPr>
            <w:tcW w:w="2467" w:type="dxa"/>
            <w:vAlign w:val="center"/>
            <w:textDirection w:val="lrTb"/>
            <w:noWrap/>
          </w:tcPr>
          <w:p>
            <w:pPr>
              <w:jc w:val="left"/>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精细修剪、树木造型；机械除草，机械打药；打扫卫生、拔草、浇灌。</w:t>
            </w:r>
            <w:r/>
          </w:p>
        </w:tc>
        <w:tc>
          <w:tcPr>
            <w:tcW w:w="2680" w:type="dxa"/>
            <w:vAlign w:val="center"/>
            <w:textDirection w:val="lrTb"/>
            <w:noWrap/>
          </w:tcPr>
          <w:p>
            <w:pPr>
              <w:jc w:val="left"/>
              <w:keepLines w:val="0"/>
              <w:keepNext w:val="0"/>
              <w:pageBreakBefore w:val="0"/>
              <w:spacing w:line="24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熟练操作园林机械设备，年龄不超过65周岁（其中男性绿化工不低于10人）。</w:t>
            </w:r>
            <w:r/>
          </w:p>
        </w:tc>
      </w:tr>
    </w:tbl>
    <w:p>
      <w:pPr>
        <w:jc w:val="left"/>
        <w:keepLines w:val="0"/>
        <w:keepNext w:val="0"/>
        <w:pageBreakBefore w:val="0"/>
        <w:spacing w:line="36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注：</w:t>
      </w:r>
      <w:r/>
    </w:p>
    <w:p>
      <w:pPr>
        <w:ind w:firstLine="211"/>
        <w:jc w:val="left"/>
        <w:keepLines w:val="0"/>
        <w:keepNext w:val="0"/>
        <w:pageBreakBefore w:val="0"/>
        <w:spacing w:line="360" w:lineRule="auto"/>
        <w:widowControl w:val="off"/>
        <w:rPr>
          <w:rFonts w:hint="eastAsia" w:ascii="宋体" w:hAnsi="宋体" w:eastAsia="宋体" w:cs="宋体"/>
          <w:b/>
          <w:bCs/>
          <w:i/>
          <w:iCs/>
          <w:color w:val="000000"/>
          <w:sz w:val="21"/>
          <w:szCs w:val="21"/>
          <w:u w:val="single"/>
          <w:lang w:eastAsia="zh-CN"/>
        </w:rPr>
      </w:pPr>
      <w:r>
        <w:rPr>
          <w:rFonts w:hint="eastAsia" w:ascii="宋体" w:hAnsi="宋体" w:eastAsia="宋体" w:cs="宋体"/>
          <w:b/>
          <w:bCs/>
          <w:i/>
          <w:iCs/>
          <w:sz w:val="21"/>
          <w:szCs w:val="21"/>
          <w:highlight w:val="none"/>
          <w:u w:val="single"/>
        </w:rPr>
        <w:t xml:space="preserve">（1）</w:t>
      </w:r>
      <w:r>
        <w:rPr>
          <w:rFonts w:hint="eastAsia" w:ascii="宋体" w:hAnsi="宋体" w:eastAsia="宋体" w:cs="宋体"/>
          <w:b/>
          <w:bCs/>
          <w:i/>
          <w:iCs/>
          <w:color w:val="000000"/>
          <w:sz w:val="21"/>
          <w:szCs w:val="21"/>
          <w:u w:val="single"/>
          <w:lang w:eastAsia="zh-CN"/>
        </w:rPr>
        <w:t xml:space="preserve">拟派的项目组成员须≥</w:t>
      </w:r>
      <w:r>
        <w:rPr>
          <w:rFonts w:hint="eastAsia" w:ascii="宋体" w:hAnsi="宋体" w:eastAsia="宋体" w:cs="宋体"/>
          <w:b/>
          <w:bCs/>
          <w:i/>
          <w:iCs/>
          <w:color w:val="000000"/>
          <w:sz w:val="21"/>
          <w:szCs w:val="21"/>
          <w:u w:val="single"/>
          <w:lang w:val="en-US" w:eastAsia="zh-CN"/>
        </w:rPr>
        <w:t xml:space="preserve">40人，</w:t>
      </w:r>
      <w:r>
        <w:rPr>
          <w:rFonts w:hint="eastAsia" w:ascii="宋体" w:hAnsi="宋体" w:eastAsia="宋体" w:cs="宋体"/>
          <w:b/>
          <w:bCs/>
          <w:i/>
          <w:iCs/>
          <w:color w:val="000000"/>
          <w:sz w:val="21"/>
          <w:szCs w:val="21"/>
          <w:u w:val="single"/>
          <w:lang w:eastAsia="zh-CN"/>
        </w:rPr>
        <w:t xml:space="preserve">证明材料须提供拟派人员配置承诺函（盖章签字有效）及每个成员身份证。</w:t>
      </w:r>
      <w:r/>
    </w:p>
    <w:p>
      <w:pPr>
        <w:ind w:firstLine="21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（2）绿化工作人员应遵守</w:t>
      </w:r>
      <w:r>
        <w:rPr>
          <w:rFonts w:hint="eastAsia" w:ascii="宋体" w:hAnsi="宋体" w:eastAsia="宋体" w:cs="宋体"/>
          <w:b w:val="0"/>
          <w:bCs w:val="0"/>
          <w:sz w:val="21"/>
          <w:szCs w:val="21"/>
          <w:highlight w:val="none"/>
          <w:lang w:eastAsia="zh-CN"/>
        </w:rPr>
        <w:t xml:space="preserve">连云区公用事业发展中心</w:t>
      </w:r>
      <w:r>
        <w:rPr>
          <w:rFonts w:hint="eastAsia" w:ascii="宋体" w:hAnsi="宋体" w:eastAsia="宋体" w:cs="宋体"/>
          <w:b w:val="0"/>
          <w:bCs w:val="0"/>
          <w:sz w:val="21"/>
          <w:szCs w:val="21"/>
          <w:highlight w:val="none"/>
        </w:rPr>
        <w:t xml:space="preserve">制定的各项规章制度，政令畅通，服从管理；</w:t>
      </w:r>
      <w:r/>
    </w:p>
    <w:p>
      <w:pPr>
        <w:ind w:firstLine="21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（3）所有服务人员必须统一着装，绿化养护人员上岗需配备统一的制服;</w:t>
      </w:r>
      <w:r/>
    </w:p>
    <w:p>
      <w:pPr>
        <w:ind w:firstLine="21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（4）养护队伍应具备应急抢险机制与能力，一旦发生不可抗力的灾难，能在出险两小时内到达现场组织抢险。</w:t>
      </w:r>
      <w:r/>
    </w:p>
    <w:p>
      <w:pPr>
        <w:ind w:firstLine="211"/>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3.2.2 岗位职责</w:t>
      </w:r>
      <w:r/>
    </w:p>
    <w:p>
      <w:pPr>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项目经理职责</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①</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遵守采购人的各项规章制度，全面负责绿化公司的绿化养护工作。</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②</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制定绿化公司绿化养护工作计划，督促检查工作计划的落实，并监督检查执行情况。</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③</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抓好绿化养护项目部队伍的建设，有计划地组织绿化工进行业务学习，提高队伍的业务水平，不断提高工作效率。</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④</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负责绿化工管理计划的制定和总结工作，及时向管理处提交有关管理的可行性意见和建议，研究和解决工作中出现的各类问题。为采购人决策提供依据。定期召开员工大会，传达上级有关精神。</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⑤</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健全防火、防盗等安全制度，落实防范应急措施，保障员工的财产及生命的安全。</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⑥</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做好绿化养护管理及管理耗材、工具的购置计划及分配工作。</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⑦</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深入工作现场，布置、检查工作任务完成情况，参与日常及节假日值班的检查工作，及时解决工作中存在的问题，同时做好绿化工的思想政治工作。</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⑧</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完成公司和采购人交办的其他工作任务。</w:t>
      </w:r>
      <w:r/>
    </w:p>
    <w:p>
      <w:pPr>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绿化队长职责</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①</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遵守采购人规章制度及安全生产制度，执行严格的安全措施和操作流程，政令畅通，服从管理。</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②</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熟知种植的花草树木的名称、生长特性和养护管理程序。</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③</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负责绿化养护人员技术指导、监督。</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④</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负责安排绿化养护人员定期对养护区域内植物的施肥、浇水、除草，并及时修枝整形，补栽补种和草坪的管理，掌握病虫害的防治方法。</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⑤</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负责对责任区内绿化进行管理，就在一切破坏绿化的行为的工作。</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⑥</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做好防旱、排涝、防台风工作，参加突发事件的应急处理。</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⑦</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服从项目经理安排，遵守工作纪律，定期总结和学习专业知识。</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⑧</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进行每日巡查，做好台账记录工作。</w:t>
      </w:r>
      <w:r/>
    </w:p>
    <w:p>
      <w:pPr>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绿化养护人员职责</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①</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遵守采购人规章制度及安全生产制度，执行严格的安全措施和操作流程，政令畅通，服从管理。</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②</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上班时间统一着装，着装整洁、装备配备齐全，礼待游客，说话和蔼，不与游客发生争吵。</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③</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按照养护计划安排及时进行浇水、施肥、喷药、修剪、除草等养护管理内容。</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④</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按照计划安排及时进行绿化补植及调整工作。</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⑤</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做好绿化工具的使用、收纳、保养。</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⑥</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负责园内造型树、球、行道树的整型修剪的组织协调和实施工作，做到整齐美观，并将修剪下来的枯枝等杂物运往指定地点。</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⑦</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熟悉园林器械安全操作规范，保障财产及生命的安全。</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⑧</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做好园林绿化器械及修剪工具的日常维护工作。</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⑨</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节约用水用电，对园内的绿化及设施进行养护，发现安全隐患及时上报。</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⑩</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完成公司和采购人交办的其他工作任务。</w:t>
      </w:r>
      <w:r/>
    </w:p>
    <w:p>
      <w:pPr>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修剪工职责</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①</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遵守采购人的各项规章制度，吃苦耐劳，工作认真、扎实、细致，爱岗敬业。</w:t>
      </w:r>
      <w:r/>
    </w:p>
    <w:p>
      <w:pPr>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②</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负责园内造型树、球、行道树的整型修剪的组织协调和实施工作，做到整齐美观，并将修剪下来的枯枝等杂物运往指定地点。</w:t>
      </w:r>
      <w:r/>
    </w:p>
    <w:p>
      <w:pPr>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③</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及时处理非正常气候造成折断树木、花卉的清理工作。</w:t>
      </w:r>
      <w:r/>
    </w:p>
    <w:p>
      <w:pPr>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④</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修剪花木过程中发现有病虫害，应及时报告。</w:t>
      </w:r>
      <w:r/>
    </w:p>
    <w:p>
      <w:pPr>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⑤</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熟悉园林器械安全操作规范，保障财产及生命的安全。</w:t>
      </w:r>
      <w:r/>
    </w:p>
    <w:p>
      <w:pPr>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⑥</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做好园林绿化器械及修剪工具的日常维护工作。</w:t>
      </w:r>
      <w:r/>
    </w:p>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 </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val="0"/>
          <w:bCs w:val="0"/>
          <w:sz w:val="21"/>
          <w:szCs w:val="21"/>
          <w:highlight w:val="none"/>
        </w:rPr>
        <w:t xml:space="preserve">⑦</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完成公司和采购人交办的其他工作任务。</w:t>
      </w:r>
      <w:r/>
    </w:p>
    <w:p>
      <w:pPr>
        <w:ind w:firstLine="211"/>
        <w:jc w:val="left"/>
        <w:keepLines w:val="0"/>
        <w:pageBreakBefore w:val="0"/>
        <w:spacing w:line="360" w:lineRule="auto"/>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3.2.3其他要求</w:t>
      </w:r>
      <w:r/>
    </w:p>
    <w:p>
      <w:pPr>
        <w:ind w:firstLine="420"/>
        <w:jc w:val="left"/>
        <w:keepLines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本项目工作内容包含但不限于：日常浇灌、排涝、松土、除草、去枯花头、乔木草坪竹林修剪、做树围、挑边沟、施肥（含肥料送达采购人指定地点后的卸车、转运、施用、平整等）、病虫害治理、清理死树、冬季涂白、指定香樟秋冬草绳裹干以及绿地保洁等所有养护期内的养护内容。</w:t>
      </w:r>
      <w:r/>
    </w:p>
    <w:p>
      <w:pPr>
        <w:ind w:firstLine="420"/>
        <w:jc w:val="left"/>
        <w:keepLines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（2）本项目用水用电由供应商自行解决，供水、供电费用（含接水、接电费用）综合考虑在磋</w:t>
      </w:r>
      <w:r>
        <w:rPr>
          <w:rFonts w:hint="eastAsia" w:ascii="宋体" w:hAnsi="宋体" w:eastAsia="宋体" w:cs="宋体"/>
          <w:sz w:val="21"/>
          <w:szCs w:val="21"/>
          <w:highlight w:val="none"/>
          <w:lang w:val="en-US" w:eastAsia="zh-CN"/>
        </w:rPr>
        <w:t xml:space="preserve">商报价中，采购人不在对此费用进行支付。</w:t>
      </w:r>
      <w:r/>
    </w:p>
    <w:p>
      <w:pPr>
        <w:ind w:firstLine="420"/>
        <w:jc w:val="left"/>
        <w:keepLines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（3）供应商成交后项目组成员中绿化工人须购买商业保险（商业保险是指团体意外险或者雇主责任险），进场养护后提供保单证明，如若没有，采购人有权解除合同。</w:t>
      </w:r>
      <w:r/>
    </w:p>
    <w:p>
      <w:pPr>
        <w:ind w:firstLine="211"/>
        <w:jc w:val="left"/>
        <w:keepLines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3.3 服务标准：</w:t>
      </w:r>
      <w:r>
        <w:rPr>
          <w:rFonts w:hint="eastAsia" w:ascii="宋体" w:hAnsi="宋体" w:eastAsia="宋体" w:cs="宋体"/>
          <w:sz w:val="21"/>
          <w:szCs w:val="21"/>
          <w:lang w:val="en-US" w:eastAsia="zh-CN" w:bidi="ar-SA"/>
        </w:rPr>
        <w:t xml:space="preserve">符合国家、江苏省、连云港市公共绿地园林绿化管理要求。建立完善的制度，配备相应的园林绿化管理人员。</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四</w:t>
      </w:r>
      <w:r>
        <w:rPr>
          <w:rFonts w:hint="eastAsia" w:ascii="宋体" w:hAnsi="宋体" w:eastAsia="宋体" w:cs="宋体"/>
          <w:b/>
          <w:color w:val="auto"/>
          <w:sz w:val="21"/>
          <w:szCs w:val="21"/>
          <w:highlight w:val="none"/>
        </w:rPr>
        <w:t xml:space="preserve">、商务条款</w:t>
      </w:r>
      <w:r/>
    </w:p>
    <w:p>
      <w:pPr>
        <w:ind w:firstLine="422"/>
        <w:jc w:val="left"/>
        <w:keepLines w:val="0"/>
        <w:pageBreakBefore w:val="0"/>
        <w:spacing w:line="360" w:lineRule="auto"/>
        <w:rPr>
          <w:rFonts w:hint="eastAsia" w:ascii="宋体" w:hAnsi="宋体" w:eastAsia="宋体" w:cs="宋体"/>
          <w:b/>
          <w:bCs/>
          <w:i/>
          <w:iCs/>
          <w:szCs w:val="21"/>
          <w:u w:val="single"/>
          <w:lang w:val="en-US" w:eastAsia="zh-CN"/>
        </w:rPr>
      </w:pPr>
      <w:r>
        <w:rPr>
          <w:rFonts w:hint="eastAsia" w:ascii="宋体" w:hAnsi="宋体" w:cs="宋体"/>
          <w:b/>
          <w:bCs/>
          <w:i/>
          <w:iCs/>
          <w:szCs w:val="21"/>
          <w:u w:val="single"/>
        </w:rPr>
        <w:t xml:space="preserve">4.</w:t>
      </w:r>
      <w:r>
        <w:rPr>
          <w:rFonts w:hint="eastAsia" w:ascii="宋体" w:hAnsi="宋体" w:cs="宋体"/>
          <w:b/>
          <w:bCs/>
          <w:i/>
          <w:iCs/>
          <w:szCs w:val="21"/>
          <w:u w:val="single"/>
          <w:lang w:val="zh-CN"/>
        </w:rPr>
        <w:t xml:space="preserve">1、合同履行期限：</w:t>
      </w:r>
      <w:r>
        <w:rPr>
          <w:rFonts w:hint="eastAsia" w:ascii="宋体" w:hAnsi="宋体" w:eastAsia="宋体" w:cs="宋体"/>
          <w:b/>
          <w:bCs/>
          <w:i/>
          <w:iCs/>
          <w:szCs w:val="21"/>
          <w:u w:val="single"/>
          <w:lang w:val="en-US" w:eastAsia="zh-CN"/>
        </w:rPr>
        <w:t xml:space="preserve">12个月（自合同约定时间起算）。</w:t>
      </w:r>
      <w:r/>
    </w:p>
    <w:p>
      <w:pPr>
        <w:ind w:firstLine="422"/>
        <w:jc w:val="left"/>
        <w:spacing w:line="360" w:lineRule="auto"/>
        <w:rPr>
          <w:rFonts w:hint="eastAsia" w:hAnsi="宋体" w:cs="宋体"/>
          <w:b/>
          <w:bCs/>
          <w:i/>
          <w:iCs/>
          <w:szCs w:val="21"/>
          <w:u w:val="single"/>
        </w:rPr>
      </w:pPr>
      <w:r>
        <w:rPr>
          <w:rFonts w:hint="eastAsia" w:hAnsi="宋体" w:cs="宋体"/>
          <w:b/>
          <w:bCs/>
          <w:i/>
          <w:iCs/>
          <w:szCs w:val="21"/>
          <w:u w:val="single"/>
        </w:rPr>
        <w:t xml:space="preserve">4.2、付款条款：</w:t>
      </w:r>
      <w:r/>
    </w:p>
    <w:p>
      <w:pPr>
        <w:ind w:firstLine="422"/>
        <w:jc w:val="left"/>
        <w:spacing w:line="360" w:lineRule="auto"/>
        <w:rPr>
          <w:rFonts w:hint="eastAsia" w:ascii="宋体" w:hAnsi="宋体" w:eastAsia="宋体" w:cs="宋体"/>
          <w:b/>
          <w:bCs/>
          <w:i/>
          <w:iCs/>
          <w:szCs w:val="21"/>
          <w:u w:val="single"/>
          <w:lang w:val="en-US" w:eastAsia="zh-CN"/>
        </w:rPr>
      </w:pPr>
      <w:r>
        <w:rPr>
          <w:rFonts w:hint="eastAsia" w:hAnsi="宋体" w:eastAsia="宋体" w:cs="宋体"/>
          <w:b/>
          <w:bCs/>
          <w:i/>
          <w:iCs/>
          <w:szCs w:val="21"/>
          <w:u w:val="single"/>
          <w:lang w:eastAsia="zh-CN"/>
        </w:rPr>
        <w:t xml:space="preserve">（</w:t>
      </w:r>
      <w:r>
        <w:rPr>
          <w:rFonts w:hint="eastAsia" w:hAnsi="宋体" w:eastAsia="宋体" w:cs="宋体"/>
          <w:b/>
          <w:bCs/>
          <w:i/>
          <w:iCs/>
          <w:szCs w:val="21"/>
          <w:u w:val="single"/>
          <w:lang w:val="en-US" w:eastAsia="zh-CN"/>
        </w:rPr>
        <w:t xml:space="preserve">1</w:t>
      </w:r>
      <w:r>
        <w:rPr>
          <w:rFonts w:hint="eastAsia" w:hAnsi="宋体" w:eastAsia="宋体" w:cs="宋体"/>
          <w:b/>
          <w:bCs/>
          <w:i/>
          <w:iCs/>
          <w:szCs w:val="21"/>
          <w:u w:val="single"/>
          <w:lang w:eastAsia="zh-CN"/>
        </w:rPr>
        <w:t xml:space="preserve">）</w:t>
      </w:r>
      <w:r>
        <w:rPr>
          <w:rFonts w:hint="eastAsia" w:ascii="宋体" w:hAnsi="宋体" w:eastAsia="宋体" w:cs="宋体"/>
          <w:b/>
          <w:bCs/>
          <w:i/>
          <w:iCs/>
          <w:szCs w:val="21"/>
          <w:u w:val="single"/>
          <w:lang w:val="en-US" w:eastAsia="zh-CN"/>
        </w:rPr>
        <w:t xml:space="preserve">按养护服务考核结果，每季度支付服务费用（见考核表）。</w:t>
      </w:r>
      <w:r/>
    </w:p>
    <w:p>
      <w:pPr>
        <w:ind w:firstLine="422"/>
        <w:jc w:val="left"/>
        <w:spacing w:line="360" w:lineRule="auto"/>
        <w:rPr>
          <w:rFonts w:hint="default" w:ascii="宋体" w:hAnsi="宋体" w:eastAsia="宋体" w:cs="宋体"/>
          <w:b/>
          <w:bCs/>
          <w:i/>
          <w:iCs/>
          <w:szCs w:val="21"/>
          <w:u w:val="single"/>
          <w:lang w:val="en-US" w:eastAsia="zh-CN"/>
        </w:rPr>
      </w:pPr>
      <w:r>
        <w:rPr>
          <w:rFonts w:hint="eastAsia" w:ascii="宋体" w:hAnsi="宋体" w:eastAsia="宋体" w:cs="宋体"/>
          <w:b/>
          <w:bCs/>
          <w:i/>
          <w:iCs/>
          <w:szCs w:val="21"/>
          <w:u w:val="single"/>
          <w:lang w:val="en-US" w:eastAsia="zh-CN"/>
        </w:rPr>
        <w:t xml:space="preserve">（2）合同约定养护范围内，如遇上级经费拨付时间延迟情况，则顺应延迟支付本合的养护护费用）</w:t>
      </w:r>
      <w:r>
        <w:rPr>
          <w:rFonts w:hint="default" w:ascii="宋体" w:hAnsi="宋体" w:eastAsia="宋体" w:cs="宋体"/>
          <w:b/>
          <w:bCs/>
          <w:i/>
          <w:iCs/>
          <w:szCs w:val="21"/>
          <w:u w:val="single"/>
          <w:lang w:val="en-US" w:eastAsia="zh-CN"/>
        </w:rPr>
        <w:t xml:space="preserve">。</w:t>
      </w:r>
      <w:r/>
    </w:p>
    <w:p>
      <w:pPr>
        <w:ind w:firstLine="422"/>
        <w:jc w:val="left"/>
        <w:keepLines w:val="0"/>
        <w:keepNext w:val="0"/>
        <w:pageBreakBefore w:val="0"/>
        <w:spacing w:line="440" w:lineRule="exact"/>
        <w:widowControl w:val="off"/>
        <w:rPr>
          <w:rFonts w:hint="eastAsia" w:ascii="宋体" w:hAnsi="宋体" w:eastAsia="宋体" w:cs="宋体"/>
          <w:b/>
          <w:bCs/>
          <w:i/>
          <w:iCs/>
          <w:sz w:val="21"/>
          <w:szCs w:val="21"/>
          <w:u w:val="single"/>
          <w:lang w:val="en-US" w:eastAsia="zh-CN"/>
        </w:rPr>
      </w:pPr>
      <w:r>
        <w:rPr>
          <w:rFonts w:hint="eastAsia" w:ascii="宋体" w:hAnsi="宋体" w:eastAsia="宋体" w:cs="宋体"/>
          <w:b/>
          <w:bCs/>
          <w:i/>
          <w:iCs/>
          <w:sz w:val="21"/>
          <w:szCs w:val="21"/>
          <w:u w:val="single"/>
          <w:lang w:val="en-US" w:eastAsia="zh-CN"/>
        </w:rPr>
        <w:t xml:space="preserve">（3）当采购服务需求与实际服务需求不一致时，乙方根据实际服务需求提供服务，合同的最终结算金额按实际服务需求进行计算。</w:t>
      </w:r>
      <w:r/>
    </w:p>
    <w:p>
      <w:pPr>
        <w:ind w:firstLine="630"/>
        <w:jc w:val="left"/>
        <w:keepLines w:val="0"/>
        <w:pageBreakBefore w:val="0"/>
        <w:spacing w:line="360" w:lineRule="auto"/>
        <w:rPr>
          <w:rFonts w:ascii="宋体" w:hAnsi="宋体" w:cs="宋体"/>
          <w:szCs w:val="21"/>
        </w:rPr>
      </w:pPr>
      <w:r>
        <w:rPr>
          <w:rFonts w:hint="eastAsia" w:ascii="宋体" w:hAnsi="宋体" w:cs="宋体"/>
          <w:szCs w:val="21"/>
        </w:rPr>
        <w:t xml:space="preserve">4.3、服务地点： 采购人指定地点。</w:t>
      </w:r>
      <w:r/>
    </w:p>
    <w:p>
      <w:pPr>
        <w:pStyle w:val="858"/>
        <w:ind w:firstLine="630"/>
        <w:jc w:val="left"/>
        <w:keepLines w:val="0"/>
        <w:pageBreakBefore w:val="0"/>
        <w:spacing w:line="360" w:lineRule="auto"/>
        <w:rPr>
          <w:rFonts w:hAnsi="宋体" w:cs="宋体"/>
          <w:szCs w:val="21"/>
          <w:lang w:val="zh-CN"/>
        </w:rPr>
      </w:pPr>
      <w:r>
        <w:rPr>
          <w:rFonts w:hint="eastAsia" w:hAnsi="宋体" w:cs="宋体"/>
          <w:szCs w:val="21"/>
        </w:rPr>
        <w:t xml:space="preserve">4.4、</w:t>
      </w:r>
      <w:r>
        <w:rPr>
          <w:rFonts w:hint="eastAsia" w:hAnsi="宋体" w:cs="宋体"/>
          <w:szCs w:val="21"/>
          <w:lang w:val="zh-CN"/>
        </w:rPr>
        <w:t xml:space="preserve">服务质量：合格，满足采购人服务要求及相关规定。</w:t>
      </w:r>
      <w:r/>
    </w:p>
    <w:p>
      <w:pPr>
        <w:ind w:firstLine="630"/>
        <w:jc w:val="left"/>
        <w:keepLines w:val="0"/>
        <w:pageBreakBefore w:val="0"/>
        <w:spacing w:line="360" w:lineRule="auto"/>
        <w:rPr>
          <w:rFonts w:ascii="宋体" w:hAnsi="宋体" w:cs="宋体"/>
          <w:szCs w:val="21"/>
        </w:rPr>
      </w:pPr>
      <w:r>
        <w:rPr>
          <w:rFonts w:hint="eastAsia" w:ascii="宋体" w:hAnsi="宋体" w:cs="宋体"/>
          <w:szCs w:val="21"/>
        </w:rPr>
        <w:t xml:space="preserve">4.5、履约保证金：本项目不收取履约保证金。</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bookmarkStart w:id="148" w:name="_Toc9279"/>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、报价及其他要求</w:t>
      </w:r>
      <w:bookmarkEnd w:id="148"/>
      <w:r/>
      <w:r/>
    </w:p>
    <w:p>
      <w:pPr>
        <w:ind w:firstLine="480"/>
        <w:keepLines w:val="0"/>
        <w:keepNext w:val="0"/>
        <w:pageBreakBefore w:val="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5.1</w:t>
      </w:r>
      <w:r>
        <w:rPr>
          <w:rFonts w:hint="eastAsia" w:ascii="宋体" w:hAnsi="宋体" w:cs="宋体"/>
          <w:color w:val="000000"/>
          <w:sz w:val="21"/>
          <w:szCs w:val="21"/>
          <w:lang w:eastAsia="zh-CN"/>
        </w:rPr>
        <w:t xml:space="preserve">异常低价相关要求</w:t>
      </w:r>
      <w:r>
        <w:rPr>
          <w:rFonts w:hint="eastAsia" w:ascii="宋体" w:hAnsi="宋体" w:eastAsia="宋体" w:cs="宋体"/>
          <w:color w:val="000000"/>
          <w:sz w:val="21"/>
          <w:szCs w:val="21"/>
        </w:rPr>
        <w:t xml:space="preserve">：</w:t>
      </w:r>
      <w:r/>
    </w:p>
    <w:p>
      <w:pPr>
        <w:ind w:firstLine="480"/>
        <w:keepLines w:val="0"/>
        <w:keepNext w:val="0"/>
        <w:pageBreakBefore w:val="0"/>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本项目执行苏财购〔2025〕62号文，“关于推动解决政府采购异常低价问题相关工作的通知”。相关内容如下：</w:t>
      </w:r>
      <w:r/>
    </w:p>
    <w:p>
      <w:pPr>
        <w:ind w:firstLine="48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强化政府采购异常低价审查</w:t>
      </w:r>
      <w:r/>
    </w:p>
    <w:p>
      <w:pPr>
        <w:ind w:firstLine="48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评审委员会启动异常低价投标（响应）审查的情形和具体要求，包括：</w:t>
      </w:r>
      <w:r/>
    </w:p>
    <w:p>
      <w:pPr>
        <w:ind w:firstLine="48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（一）评审过程中出现下列情形之一的，评审委员会应当启动异常低价投标（响应）审查程序：</w:t>
      </w:r>
      <w:r/>
    </w:p>
    <w:p>
      <w:pPr>
        <w:ind w:firstLine="48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rPr>
        <w:t xml:space="preserve">投标（响应）报价低于采购项目预算50%的，即投标（响应）报价&lt;采购项目预算×50%；</w:t>
      </w:r>
      <w:r/>
    </w:p>
    <w:p>
      <w:pPr>
        <w:ind w:firstLine="48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rPr>
        <w:t xml:space="preserve">投标（响应）报价低于采购项目最高限价45%的，即投标（响应）报价&lt;采购项目最高限价×45%；</w:t>
      </w:r>
      <w:r/>
    </w:p>
    <w:p>
      <w:pPr>
        <w:ind w:firstLine="48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3.评审委员会认定的供应商报价过低、有可能影响产品质量或者不能诚信履约的其他情形。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000000"/>
          <w:sz w:val="21"/>
          <w:szCs w:val="21"/>
          <w:lang w:eastAsia="zh-CN"/>
        </w:rPr>
        <w:t xml:space="preserve">书面说明上传苏采云系统中澄清环节。</w:t>
      </w:r>
      <w:r/>
    </w:p>
    <w:p>
      <w:pPr>
        <w:pStyle w:val="852"/>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5.2</w:t>
      </w:r>
      <w:r>
        <w:rPr>
          <w:rFonts w:hint="eastAsia" w:ascii="宋体" w:hAnsi="宋体" w:eastAsia="宋体" w:cs="宋体"/>
          <w:sz w:val="21"/>
          <w:szCs w:val="21"/>
        </w:rPr>
        <w:t xml:space="preserve">报价要求：报价内容应包括但不限于人员成本、运营费、各类劳务费用、材料费用、临时突击费用、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w:t>
      </w:r>
      <w:r/>
    </w:p>
    <w:p>
      <w:pPr>
        <w:pStyle w:val="852"/>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5.3</w:t>
      </w:r>
      <w:r>
        <w:rPr>
          <w:rFonts w:hint="eastAsia" w:ascii="宋体" w:hAnsi="宋体" w:eastAsia="宋体" w:cs="宋体"/>
          <w:sz w:val="21"/>
          <w:szCs w:val="21"/>
        </w:rPr>
        <w:t xml:space="preserve">工作中涉及的敏感资料、电子数据等相关信息，成交供应商应严格执行保密的相关规定，不得以任何方式向任何第三人披露、泄露或许可第三人使用，否则追究其相应法律责任。</w:t>
      </w:r>
      <w:r/>
    </w:p>
    <w:p>
      <w:pPr>
        <w:pStyle w:val="852"/>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5.4</w:t>
      </w:r>
      <w:r>
        <w:rPr>
          <w:rFonts w:hint="eastAsia" w:ascii="宋体" w:hAnsi="宋体" w:eastAsia="宋体" w:cs="宋体"/>
          <w:sz w:val="21"/>
          <w:szCs w:val="21"/>
        </w:rPr>
        <w:t xml:space="preserve">保密要求：从磋商时起到成交公告发布时止，有关响应文件的审查、澄清、评估和比较以及有关授予合同的意向的一切情况都不得透露给供应商或与上述评审工作无关的人员。</w:t>
      </w:r>
      <w:r/>
    </w:p>
    <w:p>
      <w:pPr>
        <w:pStyle w:val="852"/>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5.5</w:t>
      </w:r>
      <w:r>
        <w:rPr>
          <w:rFonts w:hint="eastAsia" w:ascii="宋体" w:hAnsi="宋体" w:eastAsia="宋体" w:cs="宋体"/>
          <w:sz w:val="21"/>
          <w:szCs w:val="21"/>
        </w:rPr>
        <w:t xml:space="preserve">供应商在磋商时须提供与评分因素相关的材料。如果发现有弄虚作假的，将取消其磋商资格。</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834"/>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149" w:name="_Toc20093"/>
      <w:r/>
      <w:r/>
    </w:p>
    <w:p>
      <w:r/>
      <w:r/>
    </w:p>
    <w:p>
      <w:pPr>
        <w:pStyle w:val="834"/>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149"/>
      <w:r/>
      <w:r/>
    </w:p>
    <w:p>
      <w:pPr>
        <w:rPr>
          <w:color w:val="auto"/>
          <w:highlight w:val="none"/>
        </w:rPr>
      </w:pPr>
      <w:r>
        <w:rPr>
          <w:color w:val="auto"/>
          <w:highlight w:val="none"/>
        </w:rPr>
      </w:r>
      <w:r/>
    </w:p>
    <w:p>
      <w:pPr>
        <w:rPr>
          <w:color w:val="auto"/>
          <w:highlight w:val="none"/>
        </w:rPr>
      </w:pPr>
      <w:r>
        <w:rPr>
          <w:color w:val="auto"/>
          <w:highlight w:val="none"/>
        </w:rPr>
      </w:r>
      <w:r/>
    </w:p>
    <w:p>
      <w:pPr>
        <w:pStyle w:val="1101"/>
        <w:ind w:firstLine="420"/>
        <w:keepLines w:val="0"/>
        <w:keepNext w:val="0"/>
        <w:pageBreakBefore w:val="0"/>
        <w:spacing w:before="0"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一、</w:t>
      </w:r>
      <w:r>
        <w:rPr>
          <w:rFonts w:hint="eastAsia" w:ascii="宋体" w:hAnsi="宋体" w:eastAsia="宋体" w:cs="宋体"/>
          <w:sz w:val="21"/>
          <w:szCs w:val="21"/>
        </w:rPr>
        <w:t xml:space="preserve">磋商小组</w:t>
      </w:r>
      <w:r/>
    </w:p>
    <w:p>
      <w:pPr>
        <w:pStyle w:val="1101"/>
        <w:ind w:firstLine="420"/>
        <w:keepLines w:val="0"/>
        <w:keepNext w:val="0"/>
        <w:pageBreakBefore w:val="0"/>
        <w:spacing w:before="0"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本项目磋商小组由采购人代表和评审专家组成，从江苏省政府采购评审专家库中随机抽取评审专家。</w:t>
      </w:r>
      <w:r/>
    </w:p>
    <w:p>
      <w:pPr>
        <w:pStyle w:val="1101"/>
        <w:ind w:firstLine="420"/>
        <w:keepLines w:val="0"/>
        <w:keepNext w:val="0"/>
        <w:pageBreakBefore w:val="0"/>
        <w:spacing w:before="0" w:after="0" w:line="360" w:lineRule="auto"/>
        <w:rPr>
          <w:rFonts w:hint="eastAsia" w:ascii="宋体" w:hAnsi="宋体" w:eastAsia="宋体" w:cs="宋体"/>
          <w:b/>
          <w:sz w:val="21"/>
          <w:szCs w:val="21"/>
        </w:rPr>
      </w:pPr>
      <w:r>
        <w:rPr>
          <w:rFonts w:hint="eastAsia" w:ascii="宋体" w:hAnsi="宋体" w:eastAsia="宋体" w:cs="宋体"/>
          <w:bCs/>
          <w:sz w:val="21"/>
          <w:szCs w:val="21"/>
        </w:rPr>
        <w:t xml:space="preserve">二</w:t>
      </w:r>
      <w:r>
        <w:rPr>
          <w:rFonts w:hint="eastAsia" w:ascii="宋体" w:hAnsi="宋体" w:eastAsia="宋体" w:cs="宋体"/>
          <w:sz w:val="21"/>
          <w:szCs w:val="21"/>
        </w:rPr>
        <w:t xml:space="preserve">、评审方法：</w:t>
      </w:r>
      <w:r>
        <w:rPr>
          <w:rFonts w:hint="eastAsia" w:ascii="宋体" w:hAnsi="宋体" w:eastAsia="宋体" w:cs="宋体"/>
          <w:b/>
          <w:sz w:val="21"/>
          <w:szCs w:val="21"/>
        </w:rPr>
        <w:t xml:space="preserve">综合评分法。</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供应商为排名第一的中标候选人。</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综合评分法，是指响应文件满足磋商文件全部实质性要求且按评审因素的量化指标评审得分最高的供应商为成交候选供应商的评审方法。</w:t>
      </w:r>
      <w:r/>
    </w:p>
    <w:p>
      <w:pPr>
        <w:pStyle w:val="1101"/>
        <w:ind w:firstLine="420"/>
        <w:keepLines w:val="0"/>
        <w:keepNext w:val="0"/>
        <w:pageBreakBefore w:val="0"/>
        <w:spacing w:before="0"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三、</w:t>
      </w:r>
      <w:r>
        <w:rPr>
          <w:rFonts w:hint="eastAsia" w:ascii="宋体" w:hAnsi="宋体" w:eastAsia="宋体" w:cs="宋体"/>
          <w:sz w:val="21"/>
          <w:szCs w:val="21"/>
        </w:rPr>
        <w:t xml:space="preserve">评审</w:t>
      </w:r>
      <w:r>
        <w:rPr>
          <w:rFonts w:hint="eastAsia" w:ascii="宋体" w:hAnsi="宋体" w:eastAsia="宋体" w:cs="宋体"/>
          <w:bCs/>
          <w:sz w:val="21"/>
          <w:szCs w:val="21"/>
        </w:rPr>
        <w:t xml:space="preserve">原则</w:t>
      </w:r>
      <w:r/>
    </w:p>
    <w:p>
      <w:pPr>
        <w:pStyle w:val="1101"/>
        <w:ind w:firstLine="420"/>
        <w:keepLines w:val="0"/>
        <w:keepNext w:val="0"/>
        <w:pageBreakBefore w:val="0"/>
        <w:spacing w:before="0" w:after="0" w:line="360" w:lineRule="auto"/>
        <w:rPr>
          <w:rFonts w:hint="eastAsia" w:ascii="宋体" w:hAnsi="宋体" w:eastAsia="宋体" w:cs="宋体"/>
          <w:bCs/>
          <w:sz w:val="21"/>
          <w:szCs w:val="21"/>
        </w:rPr>
      </w:pPr>
      <w:r>
        <w:rPr>
          <w:rFonts w:hint="eastAsia" w:ascii="宋体" w:hAnsi="宋体" w:eastAsia="宋体" w:cs="宋体"/>
          <w:sz w:val="21"/>
          <w:szCs w:val="21"/>
        </w:rPr>
        <w:t xml:space="preserve">磋商小组</w:t>
      </w:r>
      <w:r>
        <w:rPr>
          <w:rFonts w:hint="eastAsia" w:ascii="宋体" w:hAnsi="宋体" w:eastAsia="宋体" w:cs="宋体"/>
          <w:bCs/>
          <w:sz w:val="21"/>
          <w:szCs w:val="21"/>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858"/>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四、评审标准： </w:t>
      </w:r>
      <w:r/>
    </w:p>
    <w:p>
      <w:pPr>
        <w:pStyle w:val="858"/>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（一）评审时，磋商小组以磋商文件为评审依据，磋商小组各成员独立对每个有效响应的文件进行评价、打分，然后汇总每个供应商每项评分因素的得分。</w:t>
      </w:r>
      <w:r/>
    </w:p>
    <w:p>
      <w:pPr>
        <w:pStyle w:val="858"/>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（二）本项目评分总分为100分，按四舍五入取至小数点后两位。</w:t>
      </w:r>
      <w:r/>
    </w:p>
    <w:p>
      <w:pPr>
        <w:pStyle w:val="858"/>
        <w:ind w:firstLine="420"/>
        <w:jc w:val="left"/>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1、价格分：10分</w:t>
      </w:r>
      <w:r/>
    </w:p>
    <w:p>
      <w:pPr>
        <w:pStyle w:val="858"/>
        <w:ind w:firstLine="84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价格分统一采用低价优先法计算，即满足磋商文件要求且最后报价最低的供应商的价格</w:t>
      </w:r>
      <w:r/>
    </w:p>
    <w:p>
      <w:pPr>
        <w:pStyle w:val="858"/>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为磋商基准价，其价格分为满分。其他供应商的价格分统一按照下列公式计算：</w:t>
      </w:r>
      <w:r/>
    </w:p>
    <w:p>
      <w:pPr>
        <w:pStyle w:val="858"/>
        <w:ind w:firstLine="84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磋商报价得分=（磋商基准价/最后磋商报价）×10分</w:t>
      </w:r>
      <w:r/>
    </w:p>
    <w:p>
      <w:pPr>
        <w:pStyle w:val="858"/>
        <w:ind w:firstLine="840"/>
        <w:jc w:val="left"/>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项目评审过程中，不得去掉最后报价中的最高报价和最低报价</w:t>
      </w:r>
      <w:r>
        <w:rPr>
          <w:rFonts w:hint="eastAsia" w:ascii="宋体" w:hAnsi="宋体" w:eastAsia="宋体" w:cs="宋体"/>
          <w:sz w:val="21"/>
          <w:szCs w:val="21"/>
          <w:lang w:eastAsia="zh-CN"/>
        </w:rPr>
        <w:t xml:space="preserve">。</w:t>
      </w:r>
      <w:r/>
    </w:p>
    <w:p>
      <w:pPr>
        <w:pStyle w:val="877"/>
        <w:ind w:left="0" w:right="0" w:firstLine="64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1"/>
          <w:szCs w:val="21"/>
          <w:highlight w:val="none"/>
          <w:lang w:val="en-US" w:eastAsia="zh-CN" w:bidi="ar-SA"/>
        </w:rPr>
        <w:t xml:space="preserve">注：本项目执行苏财购〔2025〕62号文，“关于推动解决政府采购异常低价问题相关工作的通知”。相关内容如下：</w:t>
      </w:r>
      <w:r/>
    </w:p>
    <w:p>
      <w:pPr>
        <w:pStyle w:val="858"/>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强化政府采购异常低价审查</w:t>
      </w:r>
      <w:r/>
    </w:p>
    <w:p>
      <w:pPr>
        <w:pStyle w:val="858"/>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评审委员会启动异常低价投标（响应）审查的情形和具体要求，包括：</w:t>
      </w:r>
      <w:r/>
    </w:p>
    <w:p>
      <w:pPr>
        <w:pStyle w:val="858"/>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（一）评审过程中出现下列情形之一的，评审委员会应当启动异常低价投标（响应）审查程序：</w:t>
      </w:r>
      <w:r/>
    </w:p>
    <w:p>
      <w:pPr>
        <w:pStyle w:val="858"/>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1．投标（响应）报价低于采购项目预算50%的，即投标（响应）报价&lt;采购项目预算×50%；</w:t>
      </w:r>
      <w:r/>
    </w:p>
    <w:p>
      <w:pPr>
        <w:pStyle w:val="858"/>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2．投标（响应）报价低于采购项目最高限价45%的，即投标（响应）报价&lt;采购项目最高限价×45%；</w:t>
      </w:r>
      <w:r/>
    </w:p>
    <w:p>
      <w:pPr>
        <w:pStyle w:val="858"/>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评审委员会认定的供应商报价过低、有可能影响产品质量或者不能诚信履约的其他情形。</w:t>
      </w:r>
      <w:r/>
    </w:p>
    <w:p>
      <w:pPr>
        <w:pStyle w:val="858"/>
        <w:ind w:firstLine="420"/>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auto"/>
          <w:sz w:val="21"/>
          <w:szCs w:val="21"/>
          <w:highlight w:val="none"/>
          <w:lang w:eastAsia="zh-CN"/>
        </w:rPr>
        <w:t xml:space="preserve">书面说明上传苏采云系统中澄清环节。</w:t>
      </w:r>
      <w:r/>
    </w:p>
    <w:p>
      <w:pPr>
        <w:pStyle w:val="858"/>
        <w:numPr>
          <w:ilvl w:val="0"/>
          <w:numId w:val="7"/>
        </w:numPr>
        <w:ind w:firstLine="422"/>
        <w:jc w:val="left"/>
        <w:keepLines w:val="0"/>
        <w:keepNext w:val="0"/>
        <w:pageBreakBefore w:val="0"/>
        <w:spacing w:line="360" w:lineRule="auto"/>
        <w:widowControl w:val="off"/>
        <w:rPr>
          <w:rFonts w:hAnsi="宋体"/>
          <w:b/>
          <w:bCs/>
          <w:szCs w:val="21"/>
          <w:lang w:eastAsia="en-US"/>
        </w:rPr>
      </w:pPr>
      <w:r>
        <w:rPr>
          <w:rFonts w:hint="eastAsia" w:hAnsi="宋体"/>
          <w:b/>
          <w:bCs/>
          <w:szCs w:val="21"/>
          <w:lang w:eastAsia="en-US"/>
        </w:rPr>
        <w:t xml:space="preserve">商务、技术分：</w:t>
      </w:r>
      <w:r>
        <w:rPr>
          <w:rFonts w:hint="eastAsia" w:hAnsi="宋体"/>
          <w:b/>
          <w:bCs/>
          <w:szCs w:val="21"/>
        </w:rPr>
        <w:t xml:space="preserve">9</w:t>
      </w:r>
      <w:r>
        <w:rPr>
          <w:rFonts w:hint="eastAsia" w:hAnsi="宋体"/>
          <w:b/>
          <w:bCs/>
          <w:szCs w:val="21"/>
          <w:lang w:eastAsia="en-US"/>
        </w:rPr>
        <w:t xml:space="preserve">0 分</w:t>
      </w:r>
      <w:r/>
    </w:p>
    <w:tbl>
      <w:tblPr>
        <w:tblStyle w:val="844"/>
        <w:tblW w:w="94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7914"/>
      </w:tblGrid>
      <w:tr>
        <w:trPr>
          <w:jc w:val="center"/>
          <w:trHeight w:val="614"/>
        </w:trPr>
        <w:tc>
          <w:tcPr>
            <w:tcW w:w="1564" w:type="dxa"/>
            <w:vAlign w:val="center"/>
            <w:textDirection w:val="lrTb"/>
            <w:noWrap/>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Cs w:val="21"/>
              </w:rPr>
            </w:pPr>
            <w:r>
              <w:rPr>
                <w:rFonts w:hint="eastAsia" w:ascii="宋体" w:hAnsi="宋体" w:cs="宋体"/>
                <w:b/>
                <w:color w:val="000000"/>
                <w:szCs w:val="21"/>
              </w:rPr>
              <w:t xml:space="preserve">评审因素</w:t>
            </w:r>
            <w:r/>
          </w:p>
        </w:tc>
        <w:tc>
          <w:tcPr>
            <w:tcW w:w="7914" w:type="dxa"/>
            <w:vAlign w:val="center"/>
            <w:textDirection w:val="lrTb"/>
            <w:noWrap/>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Cs w:val="21"/>
              </w:rPr>
            </w:pPr>
            <w:r>
              <w:rPr>
                <w:rFonts w:hint="eastAsia" w:ascii="宋体" w:hAnsi="宋体" w:cs="宋体"/>
                <w:b/>
                <w:color w:val="000000"/>
                <w:szCs w:val="21"/>
              </w:rPr>
              <w:t xml:space="preserve">评审标准</w:t>
            </w:r>
            <w:r/>
          </w:p>
        </w:tc>
      </w:tr>
      <w:tr>
        <w:trPr>
          <w:jc w:val="center"/>
          <w:trHeight w:val="595"/>
        </w:trPr>
        <w:tc>
          <w:tcPr>
            <w:gridSpan w:val="2"/>
            <w:tcW w:w="9478" w:type="dxa"/>
            <w:vAlign w:val="center"/>
            <w:textDirection w:val="lrTb"/>
            <w:noWrap/>
          </w:tcPr>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Cs w:val="21"/>
              </w:rPr>
            </w:pPr>
            <w:r>
              <w:rPr>
                <w:rFonts w:hint="eastAsia" w:ascii="宋体" w:hAnsi="宋体" w:cs="宋体"/>
                <w:b/>
                <w:bCs/>
                <w:color w:val="000000"/>
                <w:szCs w:val="21"/>
              </w:rPr>
              <w:t xml:space="preserve">商务部分：满分</w:t>
            </w:r>
            <w:r>
              <w:rPr>
                <w:rFonts w:hint="eastAsia" w:ascii="宋体" w:hAnsi="宋体" w:cs="宋体"/>
                <w:b/>
                <w:bCs/>
                <w:color w:val="000000"/>
                <w:szCs w:val="21"/>
                <w:lang w:val="en-US" w:eastAsia="zh-CN"/>
              </w:rPr>
              <w:t xml:space="preserve">48</w:t>
            </w:r>
            <w:r>
              <w:rPr>
                <w:rFonts w:hint="eastAsia" w:ascii="宋体" w:hAnsi="宋体" w:cs="宋体"/>
                <w:b/>
                <w:bCs/>
                <w:color w:val="000000"/>
                <w:szCs w:val="21"/>
              </w:rPr>
              <w:t xml:space="preserve">分。</w:t>
            </w:r>
            <w:r/>
          </w:p>
        </w:tc>
      </w:tr>
      <w:tr>
        <w:trPr>
          <w:jc w:val="center"/>
          <w:trHeight w:val="595"/>
        </w:trPr>
        <w:tc>
          <w:tcPr>
            <w:tcW w:w="1564" w:type="dxa"/>
            <w:vAlign w:val="center"/>
            <w:textDirection w:val="lrTb"/>
            <w:noWrap/>
          </w:tcPr>
          <w:p>
            <w:pPr>
              <w:ind w:firstLine="420"/>
              <w:jc w:val="left"/>
              <w:keepLines w:val="0"/>
              <w:keepNext w:val="0"/>
              <w:pageBreakBefore w:val="0"/>
              <w:spacing w:line="360" w:lineRule="auto"/>
              <w:widowControl w:val="off"/>
              <w:tabs>
                <w:tab w:val="left" w:pos="367" w:leader="none"/>
                <w:tab w:val="left" w:pos="720" w:leader="none"/>
                <w:tab w:val="left" w:pos="2748" w:leader="none"/>
                <w:tab w:val="left" w:pos="4580" w:leader="none"/>
                <w:tab w:val="left" w:pos="6412" w:leader="none"/>
                <w:tab w:val="left" w:pos="8244" w:leader="none"/>
                <w:tab w:val="left" w:pos="10076" w:leader="none"/>
                <w:tab w:val="left" w:pos="11908" w:leader="none"/>
                <w:tab w:val="left" w:pos="13740" w:leader="none"/>
              </w:tabs>
              <w:rPr>
                <w:rFonts w:ascii="宋体" w:hAnsi="宋体" w:cs="宋体"/>
                <w:color w:val="000000"/>
                <w:szCs w:val="21"/>
              </w:rPr>
            </w:pPr>
            <w:r>
              <w:rPr>
                <w:rFonts w:hint="eastAsia" w:ascii="宋体" w:hAnsi="宋体" w:cs="宋体"/>
                <w:color w:val="000000"/>
                <w:szCs w:val="21"/>
              </w:rPr>
              <w:t xml:space="preserve">认证证书</w:t>
            </w:r>
            <w:r/>
          </w:p>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分）</w:t>
            </w:r>
            <w:r/>
          </w:p>
        </w:tc>
        <w:tc>
          <w:tcPr>
            <w:tcW w:w="7914" w:type="dxa"/>
            <w:textDirection w:val="lrTb"/>
            <w:noWrap/>
          </w:tcPr>
          <w:p>
            <w:pPr>
              <w:pStyle w:val="858"/>
              <w:ind w:firstLine="420"/>
              <w:jc w:val="left"/>
              <w:keepLines w:val="0"/>
              <w:keepNext w:val="0"/>
              <w:pageBreakBefore w:val="0"/>
              <w:spacing w:line="360" w:lineRule="auto"/>
              <w:widowControl w:val="off"/>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1、供应商具有园林绿化养护服务企业资质一级（含以上）的得4分，二级得2分,其余不得分。</w:t>
            </w:r>
            <w:r/>
          </w:p>
          <w:p>
            <w:pPr>
              <w:pStyle w:val="858"/>
              <w:ind w:firstLine="420"/>
              <w:jc w:val="left"/>
              <w:keepLines w:val="0"/>
              <w:keepNext w:val="0"/>
              <w:pageBreakBefore w:val="0"/>
              <w:spacing w:line="360" w:lineRule="auto"/>
              <w:widowControl w:val="off"/>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2、供应商具备信用等级为AAA级的得3分， AA级的得2分，A级的得1分。</w:t>
            </w:r>
            <w:r/>
          </w:p>
          <w:p>
            <w:pPr>
              <w:pStyle w:val="858"/>
              <w:ind w:firstLine="420"/>
              <w:jc w:val="left"/>
              <w:keepLines w:val="0"/>
              <w:keepNext w:val="0"/>
              <w:pageBreakBefore w:val="0"/>
              <w:spacing w:line="360" w:lineRule="auto"/>
              <w:widowControl w:val="off"/>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3、供应商具有资信等级为AAA级的得3分， AA级的得2分，A级的得1分。</w:t>
            </w:r>
            <w:r/>
          </w:p>
          <w:p>
            <w:pPr>
              <w:pStyle w:val="858"/>
              <w:ind w:firstLine="422"/>
              <w:jc w:val="left"/>
              <w:keepLines w:val="0"/>
              <w:keepNext w:val="0"/>
              <w:pageBreakBefore w:val="0"/>
              <w:spacing w:line="360" w:lineRule="auto"/>
              <w:widowControl w:val="off"/>
              <w:rPr>
                <w:rFonts w:ascii="宋体" w:hAnsi="宋体" w:cs="宋体"/>
                <w:color w:val="000000"/>
                <w:szCs w:val="21"/>
              </w:rPr>
            </w:pPr>
            <w:r>
              <w:rPr>
                <w:rFonts w:hint="eastAsia" w:ascii="宋体" w:hAnsi="宋体" w:eastAsia="宋体" w:cs="Times New Roman"/>
                <w:b/>
                <w:bCs/>
                <w:szCs w:val="21"/>
                <w:lang w:val="en-US" w:eastAsia="zh-CN"/>
              </w:rPr>
              <w:t xml:space="preserve">注：上述1-3项证书须在有效期内。证明材料提供证书原件扫描件上传，未提供或未按要求提供此项不得分</w:t>
            </w:r>
            <w:r>
              <w:rPr>
                <w:rFonts w:hint="eastAsia" w:ascii="宋体" w:hAnsi="宋体" w:eastAsia="宋体" w:cs="宋体"/>
                <w:b/>
                <w:bCs/>
                <w:color w:val="000000"/>
                <w:sz w:val="21"/>
                <w:szCs w:val="21"/>
                <w:lang w:val="en-US" w:eastAsia="zh-CN" w:bidi="ar-SA"/>
              </w:rPr>
              <w:t xml:space="preserve">。</w:t>
            </w:r>
            <w:r/>
          </w:p>
        </w:tc>
      </w:tr>
      <w:tr>
        <w:trPr>
          <w:jc w:val="center"/>
          <w:trHeight w:val="1961"/>
        </w:trPr>
        <w:tc>
          <w:tcPr>
            <w:tcW w:w="1564" w:type="dxa"/>
            <w:vAlign w:val="center"/>
            <w:textDirection w:val="lrTb"/>
            <w:noWrap/>
          </w:tcPr>
          <w:p>
            <w:pPr>
              <w:ind w:left="21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项目组成员（</w:t>
            </w:r>
            <w:r>
              <w:rPr>
                <w:rFonts w:hint="eastAsia" w:ascii="宋体" w:hAnsi="宋体" w:cs="宋体"/>
                <w:color w:val="000000"/>
                <w:szCs w:val="21"/>
                <w:lang w:val="en-US" w:eastAsia="zh-CN"/>
              </w:rPr>
              <w:t xml:space="preserve">12分</w:t>
            </w:r>
            <w:r>
              <w:rPr>
                <w:rFonts w:hint="eastAsia" w:ascii="宋体" w:hAnsi="宋体" w:cs="宋体"/>
                <w:color w:val="000000"/>
                <w:szCs w:val="21"/>
                <w:lang w:eastAsia="zh-CN"/>
              </w:rPr>
              <w:t xml:space="preserve">）</w:t>
            </w:r>
            <w:r/>
          </w:p>
        </w:tc>
        <w:tc>
          <w:tcPr>
            <w:tcW w:w="7914" w:type="dxa"/>
            <w:textDirection w:val="lrTb"/>
            <w:noWrap/>
          </w:tcPr>
          <w:p>
            <w:pPr>
              <w:pStyle w:val="858"/>
              <w:ind w:firstLine="420"/>
              <w:jc w:val="left"/>
              <w:keepLines w:val="0"/>
              <w:keepNext w:val="0"/>
              <w:pageBreakBefore w:val="0"/>
              <w:spacing w:line="360" w:lineRule="auto"/>
              <w:widowControl w:val="off"/>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1、项目负责人 </w:t>
            </w:r>
            <w:r>
              <w:rPr>
                <w:rFonts w:hint="eastAsia" w:hAnsi="宋体" w:cs="Times New Roman"/>
                <w:szCs w:val="21"/>
                <w:lang w:val="en-US" w:eastAsia="zh-CN"/>
              </w:rPr>
              <w:t xml:space="preserve">3</w:t>
            </w:r>
            <w:r>
              <w:rPr>
                <w:rFonts w:hint="eastAsia" w:ascii="宋体" w:hAnsi="宋体" w:eastAsia="宋体" w:cs="Times New Roman"/>
                <w:szCs w:val="21"/>
                <w:lang w:val="en-US" w:eastAsia="zh-CN"/>
              </w:rPr>
              <w:t xml:space="preserve">分</w:t>
            </w:r>
            <w:r/>
          </w:p>
          <w:p>
            <w:pPr>
              <w:pStyle w:val="858"/>
              <w:ind w:firstLine="420"/>
              <w:jc w:val="left"/>
              <w:keepLines w:val="0"/>
              <w:keepNext w:val="0"/>
              <w:pageBreakBefore w:val="0"/>
              <w:spacing w:line="360" w:lineRule="auto"/>
              <w:widowControl w:val="off"/>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项目负责人具有园林绿化相关专业中级工程师技术职称的得</w:t>
            </w:r>
            <w:r>
              <w:rPr>
                <w:rFonts w:hint="eastAsia" w:hAnsi="宋体" w:cs="Times New Roman"/>
                <w:szCs w:val="21"/>
                <w:lang w:val="en-US" w:eastAsia="zh-CN"/>
              </w:rPr>
              <w:t xml:space="preserve">1</w:t>
            </w:r>
            <w:r>
              <w:rPr>
                <w:rFonts w:hint="eastAsia" w:ascii="宋体" w:hAnsi="宋体" w:eastAsia="宋体" w:cs="Times New Roman"/>
                <w:szCs w:val="21"/>
                <w:lang w:val="en-US" w:eastAsia="zh-CN"/>
              </w:rPr>
              <w:t xml:space="preserve">分</w:t>
            </w:r>
            <w:r>
              <w:rPr>
                <w:rFonts w:hint="eastAsia" w:hAnsi="宋体" w:cs="Times New Roman"/>
                <w:szCs w:val="21"/>
                <w:lang w:val="en-US" w:eastAsia="zh-CN"/>
              </w:rPr>
              <w:t xml:space="preserve">；</w:t>
            </w:r>
            <w:r>
              <w:rPr>
                <w:rFonts w:hint="eastAsia" w:ascii="宋体" w:hAnsi="宋体" w:eastAsia="宋体" w:cs="Times New Roman"/>
                <w:szCs w:val="21"/>
                <w:lang w:val="en-US" w:eastAsia="zh-CN"/>
              </w:rPr>
              <w:t xml:space="preserve">具有园林绿化相关专业高级及以上工程师技术职称的得3分；本项最高得3分。</w:t>
            </w:r>
            <w:r/>
          </w:p>
          <w:p>
            <w:pPr>
              <w:pStyle w:val="858"/>
              <w:ind w:firstLine="422"/>
              <w:jc w:val="left"/>
              <w:keepLines w:val="0"/>
              <w:keepNext w:val="0"/>
              <w:pageBreakBefore w:val="0"/>
              <w:spacing w:line="360" w:lineRule="auto"/>
              <w:widowControl w:val="off"/>
              <w:rPr>
                <w:rFonts w:hint="eastAsia" w:ascii="宋体" w:hAnsi="宋体" w:eastAsia="宋体" w:cs="Times New Roman"/>
                <w:szCs w:val="21"/>
                <w:lang w:val="en-US" w:eastAsia="zh-CN"/>
              </w:rPr>
            </w:pPr>
            <w:r>
              <w:rPr>
                <w:rFonts w:hint="eastAsia" w:ascii="宋体" w:hAnsi="宋体" w:eastAsia="宋体" w:cs="Times New Roman"/>
                <w:b/>
                <w:bCs/>
                <w:szCs w:val="21"/>
                <w:lang w:val="en-US" w:eastAsia="zh-CN"/>
              </w:rPr>
              <w:t xml:space="preserve">注：园林绿化相关专业包括园林（含园林规划设计、园林植物、风景园林、园林绿化等）、园艺、城市规划、景观、植物（含植保、林学、森保等）、风景旅游、环境艺术等专业。</w:t>
            </w:r>
            <w:r/>
          </w:p>
          <w:p>
            <w:pPr>
              <w:pStyle w:val="858"/>
              <w:ind w:firstLine="420"/>
              <w:jc w:val="left"/>
              <w:keepLines w:val="0"/>
              <w:keepNext w:val="0"/>
              <w:pageBreakBefore w:val="0"/>
              <w:spacing w:line="360" w:lineRule="auto"/>
              <w:widowControl w:val="off"/>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2、项目组成员中（项目负责人除外）具有园林绿化工或花卉工四级及以上证书的，每有一人得</w:t>
            </w:r>
            <w:r>
              <w:rPr>
                <w:rFonts w:hint="eastAsia" w:hAnsi="宋体" w:cs="Times New Roman"/>
                <w:szCs w:val="21"/>
                <w:lang w:val="en-US" w:eastAsia="zh-CN"/>
              </w:rPr>
              <w:t xml:space="preserve">3</w:t>
            </w:r>
            <w:r>
              <w:rPr>
                <w:rFonts w:hint="eastAsia" w:ascii="宋体" w:hAnsi="宋体" w:eastAsia="宋体" w:cs="Times New Roman"/>
                <w:szCs w:val="21"/>
                <w:lang w:val="en-US" w:eastAsia="zh-CN"/>
              </w:rPr>
              <w:t xml:space="preserve">分，最高得9分（同一人员，不重复计取）。</w:t>
            </w:r>
            <w:r/>
          </w:p>
          <w:p>
            <w:pPr>
              <w:pStyle w:val="858"/>
              <w:ind w:firstLine="422"/>
              <w:jc w:val="left"/>
              <w:keepLines w:val="0"/>
              <w:keepNext w:val="0"/>
              <w:pageBreakBefore w:val="0"/>
              <w:spacing w:line="360" w:lineRule="auto"/>
              <w:widowControl w:val="off"/>
              <w:rPr>
                <w:rFonts w:hint="eastAsia" w:ascii="宋体" w:hAnsi="宋体" w:cs="宋体"/>
                <w:b/>
                <w:bCs/>
                <w:color w:val="000000"/>
                <w:szCs w:val="21"/>
              </w:rPr>
            </w:pPr>
            <w:r>
              <w:rPr>
                <w:rFonts w:hint="eastAsia" w:ascii="宋体" w:hAnsi="宋体" w:eastAsia="宋体" w:cs="Times New Roman"/>
                <w:b/>
                <w:bCs/>
                <w:szCs w:val="21"/>
                <w:lang w:val="en-US" w:eastAsia="zh-CN"/>
              </w:rPr>
              <w:t xml:space="preserve">注：上述1、2项得分人员须提供相关证书原件扫描件及供应商为其缴纳的2025年至今任意1个月由社保部门出具并加盖社保机构章或社保机构参保缴费证明电子专用章的社会保险缴纳证明文件扫描件，未提供或未按要求提供此项不得分</w:t>
            </w:r>
            <w:r>
              <w:rPr>
                <w:rFonts w:hint="eastAsia" w:ascii="宋体" w:hAnsi="宋体" w:eastAsia="宋体" w:cs="Times New Roman"/>
                <w:szCs w:val="21"/>
                <w:lang w:val="en-US" w:eastAsia="zh-CN"/>
              </w:rPr>
              <w:t xml:space="preserve">。</w:t>
            </w:r>
            <w:r/>
          </w:p>
        </w:tc>
      </w:tr>
      <w:tr>
        <w:trPr>
          <w:jc w:val="center"/>
          <w:trHeight w:val="1961"/>
        </w:trPr>
        <w:tc>
          <w:tcPr>
            <w:tcW w:w="156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服务期、合同条款等承诺</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p>
        </w:tc>
        <w:tc>
          <w:tcPr>
            <w:tcW w:w="7914" w:type="dxa"/>
            <w:textDirection w:val="lrTb"/>
            <w:noWrap/>
          </w:tcPr>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供应商对后续服务（现场服务）与配合的承诺安排，包括组织机构的设置、养护人员技术水平、服务响应时间、养护期措施落实、农民工工资按月足额支付、为本项目养护人员购买意外伤害类保险等承诺（</w:t>
            </w:r>
            <w:r>
              <w:rPr>
                <w:rFonts w:hint="eastAsia" w:ascii="宋体" w:hAnsi="宋体" w:cs="宋体"/>
                <w:b/>
                <w:bCs/>
                <w:color w:val="000000"/>
                <w:szCs w:val="21"/>
              </w:rPr>
              <w:t xml:space="preserve">格式自拟，盖章有效</w:t>
            </w:r>
            <w:r>
              <w:rPr>
                <w:rFonts w:hint="eastAsia" w:ascii="宋体" w:hAnsi="宋体" w:cs="宋体"/>
                <w:color w:val="000000"/>
                <w:szCs w:val="21"/>
              </w:rPr>
              <w:t xml:space="preserve">）。</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b/>
                <w:bCs/>
                <w:color w:val="000000"/>
                <w:szCs w:val="21"/>
              </w:rPr>
              <w:t xml:space="preserve">注：根据承诺内容打分，本项总分</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分，上述内容每少承诺一项扣 </w:t>
            </w: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分，扣完为止，未见承诺此项不得分。</w:t>
            </w:r>
            <w:r/>
          </w:p>
        </w:tc>
      </w:tr>
      <w:tr>
        <w:trPr>
          <w:jc w:val="center"/>
          <w:trHeight w:val="2054"/>
        </w:trPr>
        <w:tc>
          <w:tcPr>
            <w:tcW w:w="1564" w:type="dxa"/>
            <w:vAlign w:val="center"/>
            <w:textDirection w:val="lrTb"/>
            <w:noWrap/>
          </w:tcPr>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企业业绩</w:t>
            </w:r>
            <w:r/>
          </w:p>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分）</w:t>
            </w:r>
            <w:r/>
          </w:p>
        </w:tc>
        <w:tc>
          <w:tcPr>
            <w:tcW w:w="7914" w:type="dxa"/>
            <w:vAlign w:val="center"/>
            <w:textDirection w:val="lrTb"/>
            <w:noWrap/>
          </w:tcPr>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202</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年至今供应商</w:t>
            </w:r>
            <w:r>
              <w:rPr>
                <w:rFonts w:hint="eastAsia" w:ascii="宋体" w:hAnsi="宋体" w:cs="宋体"/>
                <w:color w:val="000000"/>
                <w:szCs w:val="21"/>
                <w:highlight w:val="none"/>
              </w:rPr>
              <w:t xml:space="preserve">承担过类似绿化养护服务业绩的</w:t>
            </w:r>
            <w:r>
              <w:rPr>
                <w:rFonts w:hint="eastAsia" w:ascii="宋体" w:hAnsi="宋体" w:cs="宋体"/>
                <w:color w:val="000000"/>
                <w:szCs w:val="21"/>
              </w:rPr>
              <w:t xml:space="preserve">，每有一个得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分；本项最高得</w:t>
            </w: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Cs w:val="21"/>
              </w:rPr>
            </w:pPr>
            <w:r>
              <w:rPr>
                <w:rFonts w:hint="eastAsia" w:ascii="宋体" w:hAnsi="宋体" w:cs="宋体"/>
                <w:b/>
                <w:bCs/>
                <w:color w:val="000000"/>
                <w:szCs w:val="21"/>
              </w:rPr>
              <w:t xml:space="preserve">注：时间以合同签订时间为准，证明材料提供合同文件</w:t>
            </w:r>
            <w:r>
              <w:rPr>
                <w:rFonts w:hint="eastAsia" w:ascii="宋体" w:hAnsi="宋体" w:cs="宋体"/>
                <w:b/>
                <w:bCs/>
                <w:color w:val="000000"/>
                <w:szCs w:val="21"/>
                <w:lang w:eastAsia="zh-CN"/>
              </w:rPr>
              <w:t xml:space="preserve">原件</w:t>
            </w:r>
            <w:r>
              <w:rPr>
                <w:rFonts w:hint="eastAsia" w:ascii="宋体" w:hAnsi="宋体" w:cs="宋体"/>
                <w:b/>
                <w:bCs/>
                <w:color w:val="000000"/>
                <w:szCs w:val="21"/>
              </w:rPr>
              <w:t xml:space="preserve">扫描件加盖供应商公章。合同需反映相关信息，未提供或未按要求提供此项不得分。</w:t>
            </w:r>
            <w:r>
              <w:rPr>
                <w:rFonts w:hint="eastAsia" w:ascii="宋体" w:hAnsi="宋体" w:cs="宋体"/>
                <w:b/>
                <w:bCs/>
                <w:color w:val="000000"/>
                <w:szCs w:val="21"/>
                <w:lang w:val="zh-CN"/>
              </w:rPr>
              <w:t xml:space="preserve">合同</w:t>
            </w:r>
            <w:r>
              <w:rPr>
                <w:rFonts w:hint="eastAsia" w:ascii="宋体" w:hAnsi="宋体" w:cs="宋体"/>
                <w:b/>
                <w:bCs/>
                <w:color w:val="000000"/>
                <w:szCs w:val="21"/>
              </w:rPr>
              <w:t xml:space="preserve">类似，由评审委员会统一认定后给予得分。</w:t>
            </w:r>
            <w:r/>
          </w:p>
        </w:tc>
      </w:tr>
      <w:tr>
        <w:trPr>
          <w:jc w:val="center"/>
          <w:trHeight w:val="574"/>
        </w:trPr>
        <w:tc>
          <w:tcPr>
            <w:gridSpan w:val="2"/>
            <w:tcW w:w="9478" w:type="dxa"/>
            <w:vAlign w:val="center"/>
            <w:textDirection w:val="lrTb"/>
            <w:noWrap/>
          </w:tcPr>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Cs w:val="21"/>
              </w:rPr>
            </w:pPr>
            <w:r>
              <w:rPr>
                <w:rFonts w:hint="eastAsia" w:ascii="宋体" w:hAnsi="宋体" w:cs="宋体"/>
                <w:b/>
                <w:bCs/>
                <w:color w:val="000000"/>
                <w:szCs w:val="21"/>
              </w:rPr>
              <w:t xml:space="preserve">技术部分：满分4</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分。</w:t>
            </w:r>
            <w:r/>
          </w:p>
        </w:tc>
      </w:tr>
      <w:tr>
        <w:trPr>
          <w:jc w:val="center"/>
          <w:trHeight w:val="2054"/>
        </w:trPr>
        <w:tc>
          <w:tcPr>
            <w:tcW w:w="156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项目概况、养护准备、总体部署方案</w:t>
            </w:r>
            <w:r/>
          </w:p>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p>
        </w:tc>
        <w:tc>
          <w:tcPr>
            <w:tcW w:w="791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lang w:eastAsia="zh-CN"/>
              </w:rPr>
            </w:pPr>
            <w:r>
              <w:rPr>
                <w:rFonts w:hint="eastAsia" w:ascii="宋体" w:hAnsi="宋体" w:cs="宋体"/>
                <w:color w:val="000000"/>
                <w:szCs w:val="21"/>
              </w:rPr>
              <w:t xml:space="preserve">根据方案进度、实施细则、方案科学性、完善性、针对性、实用性等情况打分</w:t>
            </w:r>
            <w:r>
              <w:rPr>
                <w:rFonts w:hint="eastAsia" w:ascii="宋体" w:hAnsi="宋体" w:cs="宋体"/>
                <w:color w:val="000000"/>
                <w:szCs w:val="21"/>
                <w:lang w:val="en-US" w:eastAsia="zh-CN"/>
              </w:rPr>
              <w:t xml:space="preserve">:</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（1）总体方案科学合理，内容详细完整，针对性、操作性、实用性强：</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（2）总体方案较为科学合理，内容较为详细完整，针对性、操作性、实用性较强：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（3）总体方案基本合理，内容不太详细，针对性、可行性一般：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（4）总体方案较差，内容不详细、完整性、针对性、可行性较差：</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Cs w:val="21"/>
              </w:rPr>
            </w:pPr>
            <w:r>
              <w:rPr>
                <w:rFonts w:hint="eastAsia" w:ascii="宋体" w:hAnsi="宋体" w:cs="宋体"/>
                <w:b/>
                <w:bCs/>
                <w:color w:val="000000"/>
                <w:szCs w:val="21"/>
              </w:rPr>
              <w:t xml:space="preserve">满分</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分，未见阐述此项不得分。</w:t>
            </w:r>
            <w:r/>
          </w:p>
        </w:tc>
      </w:tr>
      <w:tr>
        <w:trPr>
          <w:jc w:val="center"/>
          <w:trHeight w:val="2054"/>
        </w:trPr>
        <w:tc>
          <w:tcPr>
            <w:tcW w:w="1564" w:type="dxa"/>
            <w:vAlign w:val="center"/>
            <w:textDirection w:val="lrTb"/>
            <w:noWrap/>
          </w:tcPr>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病虫害防治</w:t>
            </w:r>
            <w:r/>
          </w:p>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方案</w:t>
            </w:r>
            <w:r/>
          </w:p>
          <w:p>
            <w:pPr>
              <w:ind w:left="420"/>
              <w:jc w:val="left"/>
              <w:keepLines w:val="0"/>
              <w:keepNext w:val="0"/>
              <w:pageBreakBefore w:val="0"/>
              <w:spacing w:line="360" w:lineRule="auto"/>
              <w:widowControl w:val="off"/>
              <w:tabs>
                <w:tab w:val="center" w:pos="674" w:leader="none"/>
                <w:tab w:val="left" w:pos="720" w:leader="none"/>
                <w:tab w:val="left" w:pos="2748" w:leader="none"/>
                <w:tab w:val="left" w:pos="4580" w:leader="none"/>
                <w:tab w:val="left" w:pos="6412" w:leader="none"/>
                <w:tab w:val="left" w:pos="8244" w:leader="none"/>
                <w:tab w:val="left" w:pos="10076" w:leader="none"/>
                <w:tab w:val="left" w:pos="11908" w:leader="none"/>
                <w:tab w:val="left" w:pos="13740" w:leader="none"/>
              </w:tabs>
              <w:rPr>
                <w:rFonts w:hint="eastAsia" w:ascii="宋体" w:hAnsi="宋体" w:eastAsia="宋体" w:cs="宋体"/>
                <w:color w:val="000000"/>
                <w:szCs w:val="21"/>
                <w:lang w:eastAsia="zh-CN"/>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rPr>
                <w:rFonts w:hint="eastAsia" w:ascii="宋体" w:hAnsi="宋体" w:cs="宋体"/>
                <w:color w:val="000000"/>
                <w:szCs w:val="21"/>
                <w:lang w:eastAsia="zh-CN"/>
              </w:rPr>
              <w:tab/>
            </w:r>
            <w:r/>
          </w:p>
        </w:tc>
        <w:tc>
          <w:tcPr>
            <w:tcW w:w="791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szCs w:val="21"/>
                <w:lang w:val="en-US" w:eastAsia="zh-CN"/>
              </w:rPr>
            </w:pPr>
            <w:r>
              <w:rPr>
                <w:rFonts w:hint="eastAsia"/>
                <w:szCs w:val="21"/>
              </w:rPr>
              <w:t xml:space="preserve">根据针对本项目的病虫害防治方案从科学合理性、针对性、全面性、可操作性等情况进行评分</w:t>
            </w:r>
            <w:r>
              <w:rPr>
                <w:rFonts w:hint="eastAsia" w:ascii="宋体" w:hAnsi="宋体" w:cs="宋体"/>
                <w:color w:val="000000"/>
                <w:szCs w:val="21"/>
              </w:rPr>
              <w:t xml:space="preserve">：</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w:t>
            </w:r>
            <w:r>
              <w:rPr>
                <w:rFonts w:hint="eastAsia"/>
                <w:szCs w:val="21"/>
              </w:rPr>
              <w:t xml:space="preserve">病虫害防治</w:t>
            </w:r>
            <w:r>
              <w:rPr>
                <w:rFonts w:hint="eastAsia" w:ascii="宋体" w:hAnsi="宋体" w:cs="宋体"/>
                <w:color w:val="000000"/>
                <w:szCs w:val="21"/>
              </w:rPr>
              <w:t xml:space="preserve">方案科学合理，内容详细完整，针对性、操作性、实用性强：</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w:t>
            </w:r>
            <w:r>
              <w:rPr>
                <w:rFonts w:hint="eastAsia"/>
                <w:szCs w:val="21"/>
              </w:rPr>
              <w:t xml:space="preserve">病虫害防治</w:t>
            </w:r>
            <w:r>
              <w:rPr>
                <w:rFonts w:hint="eastAsia" w:ascii="宋体" w:hAnsi="宋体" w:cs="宋体"/>
                <w:color w:val="000000"/>
                <w:szCs w:val="21"/>
              </w:rPr>
              <w:t xml:space="preserve">方案较为科学合理，内容较为详细完整，针对性、操作性、实用性较强：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（3）</w:t>
            </w:r>
            <w:r>
              <w:rPr>
                <w:rFonts w:hint="eastAsia"/>
                <w:szCs w:val="21"/>
              </w:rPr>
              <w:t xml:space="preserve">病虫害防治</w:t>
            </w:r>
            <w:r>
              <w:rPr>
                <w:rFonts w:hint="eastAsia" w:ascii="宋体" w:hAnsi="宋体" w:cs="宋体"/>
                <w:color w:val="000000"/>
                <w:szCs w:val="21"/>
              </w:rPr>
              <w:t xml:space="preserve">方案基本合理，内容不太详细，针对性、可行性一般：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（4）</w:t>
            </w:r>
            <w:r>
              <w:rPr>
                <w:rFonts w:hint="eastAsia"/>
                <w:szCs w:val="21"/>
              </w:rPr>
              <w:t xml:space="preserve">病虫害防治</w:t>
            </w:r>
            <w:r>
              <w:rPr>
                <w:rFonts w:hint="eastAsia" w:ascii="宋体" w:hAnsi="宋体" w:cs="宋体"/>
                <w:color w:val="000000"/>
                <w:szCs w:val="21"/>
              </w:rPr>
              <w:t xml:space="preserve">方案合理性，完整性、针对性、可行性较差，内容不详细：</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Cs w:val="21"/>
              </w:rPr>
            </w:pPr>
            <w:r>
              <w:rPr>
                <w:rFonts w:hint="eastAsia" w:ascii="宋体" w:hAnsi="宋体" w:cs="宋体"/>
                <w:b/>
                <w:bCs/>
                <w:color w:val="000000"/>
                <w:szCs w:val="21"/>
              </w:rPr>
              <w:t xml:space="preserve">满分</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分，未见阐述此项不得分。</w:t>
            </w:r>
            <w:r/>
          </w:p>
        </w:tc>
      </w:tr>
      <w:tr>
        <w:trPr>
          <w:jc w:val="center"/>
          <w:trHeight w:val="658"/>
        </w:trPr>
        <w:tc>
          <w:tcPr>
            <w:tcW w:w="1564" w:type="dxa"/>
            <w:vAlign w:val="center"/>
            <w:textDirection w:val="lrTb"/>
            <w:noWrap/>
          </w:tcPr>
          <w:p>
            <w:pPr>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修护月历计划及质量控制</w:t>
            </w:r>
            <w:r/>
          </w:p>
          <w:p>
            <w:pPr>
              <w:ind w:firstLine="420"/>
              <w:keepLines w:val="0"/>
              <w:keepNext w:val="0"/>
              <w:pageBreakBefore w:val="0"/>
              <w:spacing w:line="360" w:lineRule="auto"/>
              <w:widowControl w:val="off"/>
              <w:rPr>
                <w:rFonts w:ascii="宋体" w:hAnsi="Courier New"/>
                <w:b/>
                <w:sz w:val="32"/>
                <w:szCs w:val="32"/>
              </w:rPr>
            </w:pPr>
            <w:r>
              <w:rPr>
                <w:rFonts w:hint="eastAsia" w:ascii="宋体" w:hAnsi="宋体" w:cs="宋体"/>
                <w:color w:val="000000"/>
                <w:szCs w:val="21"/>
              </w:rPr>
              <w:t xml:space="preserve">措施</w:t>
            </w:r>
            <w:r/>
          </w:p>
          <w:p>
            <w:pPr>
              <w:ind w:left="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p>
        </w:tc>
        <w:tc>
          <w:tcPr>
            <w:tcW w:w="791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根据针对本项目的修护月历计划及质量保证措施是否得当、是否合理符合实际要求；包括但不限于工作时效、病虫害预防及防治措施、节气特点等方面措施等情况进行评分：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（1）计划及控制措施科学合理，内容详细完整，操作性、实用性强：</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（2）计划及控制措施较为科学合理，内容较为详细完整，操作性、实用性较强：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（3）计划及控制措施基本合理，内容不太详细，操作性、实用性、可行性一般：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（4）计划及控制措施合理性，完整性、操作性、可行性较差，内容不详细：</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color w:val="000000"/>
                <w:szCs w:val="21"/>
              </w:rPr>
            </w:pPr>
            <w:r>
              <w:rPr>
                <w:rFonts w:hint="eastAsia" w:ascii="宋体" w:hAnsi="宋体" w:cs="宋体"/>
                <w:b/>
                <w:bCs/>
                <w:color w:val="000000"/>
                <w:szCs w:val="21"/>
              </w:rPr>
              <w:t xml:space="preserve">满分</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分，未见阐述此项不得分。</w:t>
            </w:r>
            <w:r/>
          </w:p>
        </w:tc>
      </w:tr>
      <w:tr>
        <w:trPr>
          <w:jc w:val="center"/>
          <w:trHeight w:val="366"/>
        </w:trPr>
        <w:tc>
          <w:tcPr>
            <w:tcW w:w="156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项目技术人员及机械设备配备部署措施</w:t>
            </w:r>
            <w:r/>
          </w:p>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p>
        </w:tc>
        <w:tc>
          <w:tcPr>
            <w:tcW w:w="791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Ansi="宋体" w:cs="宋体"/>
                <w:color w:val="000000"/>
                <w:szCs w:val="21"/>
              </w:rPr>
            </w:pPr>
            <w:r>
              <w:rPr>
                <w:rFonts w:hint="eastAsia" w:ascii="宋体" w:hAnsi="宋体" w:cs="宋体"/>
                <w:color w:val="000000"/>
                <w:szCs w:val="21"/>
              </w:rPr>
              <w:t xml:space="preserve">根据针对本项目的技术人员及机械配备的数量、</w:t>
            </w:r>
            <w:r>
              <w:rPr>
                <w:rFonts w:hint="eastAsia" w:hAnsi="宋体" w:cs="宋体"/>
                <w:color w:val="000000"/>
                <w:szCs w:val="21"/>
              </w:rPr>
              <w:t xml:space="preserve">合理性、针对性、</w:t>
            </w:r>
            <w:r>
              <w:rPr>
                <w:rFonts w:hint="eastAsia" w:ascii="宋体" w:hAnsi="宋体" w:cs="宋体"/>
                <w:color w:val="000000"/>
                <w:szCs w:val="21"/>
              </w:rPr>
              <w:t xml:space="preserve">岗位职责、工作流程、规章制度、机械设备合理部署</w:t>
            </w:r>
            <w:r>
              <w:rPr>
                <w:rFonts w:hint="eastAsia" w:hAnsi="宋体" w:cs="宋体"/>
                <w:color w:val="000000"/>
                <w:szCs w:val="21"/>
              </w:rPr>
              <w:t xml:space="preserve">等情况进行评分</w:t>
            </w:r>
            <w:r>
              <w:rPr>
                <w:rFonts w:hint="eastAsia" w:ascii="宋体" w:hAnsi="宋体" w:cs="宋体"/>
                <w:color w:val="000000"/>
                <w:szCs w:val="21"/>
              </w:rPr>
              <w:t xml:space="preserve">：</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（1）科学合理，内容详细完整，操作性、实用性强：</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（2）较为科学合理，内容较为详细完整，操作性、实用性较强：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（3）基本合理，内容不详细，操作性、实用性一般：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（4）合理性，完整性、操作性、实用性较差，内容不详细：</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b/>
                <w:bCs/>
                <w:color w:val="000000"/>
                <w:szCs w:val="21"/>
              </w:rPr>
              <w:t xml:space="preserve">满分</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分，未见阐述此项不得分。</w:t>
            </w:r>
            <w:r/>
          </w:p>
        </w:tc>
      </w:tr>
      <w:tr>
        <w:trPr>
          <w:jc w:val="center"/>
          <w:trHeight w:val="2634"/>
        </w:trPr>
        <w:tc>
          <w:tcPr>
            <w:tcW w:w="1564" w:type="dxa"/>
            <w:vAlign w:val="center"/>
            <w:textDirection w:val="lrTb"/>
            <w:noWrap/>
          </w:tcPr>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应急处理</w:t>
            </w:r>
            <w:r/>
          </w:p>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预案</w:t>
            </w:r>
            <w:r/>
          </w:p>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p>
        </w:tc>
        <w:tc>
          <w:tcPr>
            <w:tcW w:w="791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供应商对本项目各种突发事件制定应急处理预案及应急流程图。内容包含但不限于停电、停水处理预案、火灾事故处理预案、突发公共事件处理预案、自然灾害(台风、冰雪霜冻、内涝)处理预案处理预案等。</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（1）预案科学合理，组织保障有力，操作性、实用性强：</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（2）预案较为科学合理，组织保障较有力，操作性、实用性较强：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（3）预案基本合理，组织保障一般，可行性一般：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（4）预案不太合理，组织保障性、操作性及可行性较差：</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b/>
                <w:bCs/>
                <w:szCs w:val="21"/>
                <w:lang w:val="zh-CN"/>
              </w:rPr>
              <w:t xml:space="preserve">满分</w:t>
            </w:r>
            <w:r>
              <w:rPr>
                <w:rFonts w:hint="eastAsia" w:ascii="宋体" w:hAnsi="宋体" w:cs="宋体"/>
                <w:b/>
                <w:bCs/>
                <w:szCs w:val="21"/>
                <w:lang w:val="en-US" w:eastAsia="zh-CN"/>
              </w:rPr>
              <w:t xml:space="preserve">7</w:t>
            </w:r>
            <w:r>
              <w:rPr>
                <w:rFonts w:hint="eastAsia" w:ascii="宋体" w:hAnsi="宋体" w:cs="宋体"/>
                <w:b/>
                <w:bCs/>
                <w:szCs w:val="21"/>
              </w:rPr>
              <w:t xml:space="preserve">分，</w:t>
            </w:r>
            <w:r>
              <w:rPr>
                <w:rFonts w:hint="eastAsia" w:ascii="宋体" w:hAnsi="宋体" w:cs="宋体"/>
                <w:b/>
                <w:bCs/>
                <w:szCs w:val="21"/>
                <w:lang w:val="zh-CN"/>
              </w:rPr>
              <w:t xml:space="preserve">未见阐述不得分。</w:t>
            </w:r>
            <w:r/>
          </w:p>
        </w:tc>
      </w:tr>
      <w:tr>
        <w:trPr>
          <w:jc w:val="center"/>
          <w:trHeight w:val="614"/>
        </w:trPr>
        <w:tc>
          <w:tcPr>
            <w:tcW w:w="1564" w:type="dxa"/>
            <w:vAlign w:val="center"/>
            <w:textDirection w:val="lrTb"/>
            <w:noWrap/>
          </w:tcPr>
          <w:p>
            <w:pPr>
              <w:ind w:left="210" w:hanging="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Ansi="宋体" w:cs="宋体"/>
                <w:color w:val="000000"/>
                <w:szCs w:val="21"/>
              </w:rPr>
            </w:pPr>
            <w:r>
              <w:rPr>
                <w:rFonts w:hint="eastAsia" w:hAnsi="宋体" w:cs="宋体"/>
                <w:color w:val="000000"/>
                <w:szCs w:val="21"/>
              </w:rPr>
              <w:t xml:space="preserve">安全文明组织管理措施</w:t>
            </w:r>
            <w:r/>
          </w:p>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p>
        </w:tc>
        <w:tc>
          <w:tcPr>
            <w:tcW w:w="791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hAnsi="宋体" w:cs="宋体"/>
                <w:color w:val="000000"/>
                <w:szCs w:val="21"/>
              </w:rPr>
              <w:t xml:space="preserve">根据针对本项目的现场安全文明组织管理措施从合理性、针对性、全面性、可操作性等情况进行评分：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w:t>
            </w:r>
            <w:r>
              <w:rPr>
                <w:rFonts w:hint="eastAsia" w:hAnsi="宋体" w:cs="宋体"/>
                <w:color w:val="000000"/>
                <w:szCs w:val="21"/>
              </w:rPr>
              <w:t xml:space="preserve">管理措施</w:t>
            </w:r>
            <w:r>
              <w:rPr>
                <w:rFonts w:hint="eastAsia" w:ascii="宋体" w:hAnsi="宋体" w:cs="宋体"/>
                <w:color w:val="000000"/>
                <w:szCs w:val="21"/>
              </w:rPr>
              <w:t xml:space="preserve">科学合理，内容详细完整，全面性、针对性、可实施性强：</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w:t>
            </w:r>
            <w:r>
              <w:rPr>
                <w:rFonts w:hint="eastAsia" w:hAnsi="宋体" w:cs="宋体"/>
                <w:color w:val="000000"/>
                <w:szCs w:val="21"/>
              </w:rPr>
              <w:t xml:space="preserve">管理措施</w:t>
            </w:r>
            <w:r>
              <w:rPr>
                <w:rFonts w:hint="eastAsia" w:ascii="宋体" w:hAnsi="宋体" w:cs="宋体"/>
                <w:color w:val="000000"/>
                <w:szCs w:val="21"/>
              </w:rPr>
              <w:t xml:space="preserve">较为科学合理，内容较为详细完整，较为全面、针对性、可实施性较强：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（3）</w:t>
            </w:r>
            <w:r>
              <w:rPr>
                <w:rFonts w:hint="eastAsia" w:hAnsi="宋体" w:cs="宋体"/>
                <w:color w:val="000000"/>
                <w:szCs w:val="21"/>
              </w:rPr>
              <w:t xml:space="preserve">管理措施</w:t>
            </w:r>
            <w:r>
              <w:rPr>
                <w:rFonts w:hint="eastAsia" w:ascii="宋体" w:hAnsi="宋体" w:cs="宋体"/>
                <w:color w:val="000000"/>
                <w:szCs w:val="21"/>
              </w:rPr>
              <w:t xml:space="preserve">基本合理，内容不太详细、不完整，可实施性一般：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（4）管理措施合理性，完整性、针对性、可行性较差，内容不详细：</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szCs w:val="21"/>
                <w:lang w:val="zh-CN"/>
              </w:rPr>
            </w:pPr>
            <w:r>
              <w:rPr>
                <w:rFonts w:hint="eastAsia" w:ascii="宋体" w:hAnsi="宋体" w:cs="宋体"/>
                <w:b/>
                <w:bCs/>
                <w:color w:val="000000"/>
                <w:szCs w:val="21"/>
              </w:rPr>
              <w:t xml:space="preserve">满分</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分，未见阐述此项不得分。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76"/>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00"/>
        <w:rPr>
          <w:color w:val="auto"/>
          <w:highlight w:val="none"/>
        </w:rPr>
      </w:pPr>
      <w:r>
        <w:rPr>
          <w:color w:val="auto"/>
          <w:highlight w:val="none"/>
        </w:rPr>
      </w:r>
      <w:r/>
    </w:p>
    <w:p>
      <w:pPr>
        <w:pStyle w:val="900"/>
        <w:rPr>
          <w:color w:val="auto"/>
          <w:highlight w:val="none"/>
        </w:rPr>
      </w:pPr>
      <w:r>
        <w:rPr>
          <w:color w:val="auto"/>
          <w:highlight w:val="none"/>
        </w:rPr>
      </w:r>
      <w:r/>
    </w:p>
    <w:p>
      <w:pPr>
        <w:rPr>
          <w:color w:val="auto"/>
          <w:highlight w:val="none"/>
        </w:rPr>
      </w:pPr>
      <w:r>
        <w:rPr>
          <w:color w:val="auto"/>
          <w:highlight w:val="none"/>
        </w:rPr>
      </w:r>
      <w:r/>
    </w:p>
    <w:p>
      <w:pPr>
        <w:ind w:firstLine="0"/>
        <w:jc w:val="left"/>
        <w:spacing w:line="240" w:lineRule="auto"/>
        <w:rPr>
          <w:rFonts w:hint="eastAsia" w:ascii="宋体" w:cs="宋体"/>
          <w:color w:val="auto"/>
          <w:sz w:val="21"/>
          <w:szCs w:val="21"/>
          <w:highlight w:val="none"/>
        </w:rPr>
      </w:pPr>
      <w:r/>
      <w:bookmarkStart w:id="150" w:name="_Toc2747"/>
      <w:r/>
      <w:r/>
    </w:p>
    <w:p>
      <w:pPr>
        <w:pStyle w:val="834"/>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ascii="Times New Roman" w:eastAsia="宋体"/>
          <w:b/>
          <w:color w:val="auto"/>
          <w:sz w:val="36"/>
          <w:szCs w:val="36"/>
          <w:highlight w:val="none"/>
        </w:rPr>
      </w:r>
      <w:r/>
    </w:p>
    <w:p>
      <w:pPr>
        <w:pStyle w:val="834"/>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r>
      <w:r/>
    </w:p>
    <w:p>
      <w:pPr>
        <w:pStyle w:val="834"/>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150"/>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101"/>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10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10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101"/>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145"/>
      <w:r/>
      <w:bookmarkEnd w:id="146"/>
      <w:r/>
      <w:bookmarkEnd w:id="147"/>
      <w:r/>
      <w:r/>
    </w:p>
    <w:p>
      <w:pPr>
        <w:pStyle w:val="110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10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10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151" w:name="_Toc2818"/>
      <w:r/>
      <w:bookmarkStart w:id="152" w:name="_Toc49090582"/>
      <w:r/>
      <w:bookmarkStart w:id="153" w:name="_Toc26554103"/>
      <w:r/>
      <w:bookmarkStart w:id="154" w:name="_Toc120614284"/>
      <w:r/>
      <w:bookmarkStart w:id="155" w:name="_Toc23828483"/>
      <w:r/>
      <w:bookmarkStart w:id="156" w:name="_Toc120614291"/>
      <w:r/>
      <w:bookmarkStart w:id="157" w:name="_Toc24878535"/>
      <w:r/>
      <w:bookmarkStart w:id="158" w:name="_Toc22356583"/>
      <w:r/>
      <w:bookmarkStart w:id="159" w:name="_Toc513029281"/>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151"/>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160" w:name="_Toc6743"/>
      <w:r>
        <w:rPr>
          <w:rFonts w:hint="eastAsia" w:ascii="宋体" w:hAnsi="宋体" w:eastAsia="宋体" w:cs="宋体"/>
          <w:b/>
          <w:bCs/>
          <w:i/>
          <w:color w:val="auto"/>
          <w:sz w:val="24"/>
          <w:szCs w:val="24"/>
          <w:highlight w:val="none"/>
          <w:u w:val="single"/>
        </w:rPr>
        <w:t xml:space="preserve">二、上一年度的财务状况报告</w:t>
      </w:r>
      <w:bookmarkEnd w:id="160"/>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1"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161"/>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2"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162"/>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3"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163"/>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4"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164"/>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5"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165"/>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6" w:name="_Toc26018"/>
      <w:r>
        <w:rPr>
          <w:rFonts w:hint="eastAsia" w:ascii="宋体" w:hAnsi="宋体" w:eastAsia="宋体" w:cs="宋体"/>
          <w:b/>
          <w:bCs/>
          <w:i/>
          <w:iCs/>
          <w:color w:val="auto"/>
          <w:sz w:val="24"/>
          <w:szCs w:val="24"/>
          <w:highlight w:val="none"/>
          <w:u w:val="single"/>
        </w:rPr>
        <w:t xml:space="preserve">八、特定资格要求的证明文件</w:t>
      </w:r>
      <w:bookmarkEnd w:id="166"/>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7"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167"/>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8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168" w:name="_Toc625"/>
      <w:r>
        <w:rPr>
          <w:rFonts w:hint="eastAsia" w:ascii="宋体" w:hAnsi="宋体" w:eastAsia="宋体" w:cs="宋体"/>
          <w:b/>
          <w:bCs/>
          <w:i/>
          <w:iCs/>
          <w:color w:val="auto"/>
          <w:sz w:val="24"/>
          <w:szCs w:val="24"/>
          <w:highlight w:val="none"/>
          <w:u w:val="single"/>
        </w:rPr>
        <w:t xml:space="preserve">十、磋商响应函</w:t>
      </w:r>
      <w:bookmarkEnd w:id="168"/>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169"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中小企业声明函（服务）</w:t>
      </w:r>
      <w:bookmarkEnd w:id="169"/>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本公司郑重声明，根据《政府采购促进中小企业发展管理办法》（财库﹝2020﹞46号）的规定，本公司参加</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采购活动，服务全部由符合政策要求的中小企业承接。</w:t>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 xml:space="preserve">，属于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 xml:space="preserve">行业；</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，从业人员人，营业收入为万元，资产总额为万元，属于</w:t>
      </w:r>
      <w:r>
        <w:rPr>
          <w:rFonts w:ascii="宋体" w:hAnsi="宋体"/>
          <w:color w:val="auto"/>
          <w:szCs w:val="21"/>
          <w:highlight w:val="none"/>
          <w:u w:val="single"/>
        </w:rPr>
        <w:t xml:space="preserve">（小型企业、微型企业</w:t>
      </w:r>
      <w:r>
        <w:rPr>
          <w:rFonts w:hint="eastAsia" w:ascii="宋体" w:hAnsi="宋体"/>
          <w:color w:val="auto"/>
          <w:szCs w:val="21"/>
          <w:highlight w:val="none"/>
          <w:u w:val="single"/>
          <w:lang w:eastAsia="zh-CN"/>
        </w:rPr>
        <w:t xml:space="preserve">、中型企业</w:t>
      </w:r>
      <w:r>
        <w:rPr>
          <w:rFonts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企业名称（盖章）： </w:t>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日 期：</w:t>
      </w:r>
      <w:r>
        <w:rPr>
          <w:rFonts w:hint="eastAsia" w:ascii="宋体" w:hAnsi="宋体"/>
          <w:color w:val="auto"/>
          <w:szCs w:val="21"/>
          <w:highlight w:val="none"/>
        </w:rPr>
        <w:t xml:space="preserve">   年   月   日</w:t>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填报说明：</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2、请供应商如实填写，所填内容将作为评审的依据，如填写不完整或不一致或填写有误，将不享受扶持政策。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3、成交供应商的《中小企业声明函》随成交结果公开，接受社会监督。</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170"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eastAsia="zh-CN"/>
        </w:rPr>
        <w:t xml:space="preserve">）</w:t>
      </w:r>
      <w:bookmarkEnd w:id="170"/>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spacing w:line="560" w:lineRule="exact"/>
        <w:rPr>
          <w:color w:val="auto"/>
          <w:szCs w:val="21"/>
          <w:highlight w:val="none"/>
        </w:rPr>
      </w:pPr>
      <w:r>
        <w:rPr>
          <w:color w:val="auto"/>
          <w:szCs w:val="21"/>
          <w:highlight w:val="none"/>
        </w:rPr>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填报说明：</w:t>
      </w:r>
      <w:r/>
    </w:p>
    <w:p>
      <w:pPr>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sz w:val="21"/>
          <w:szCs w:val="21"/>
        </w:rPr>
        <w:t xml:space="preserve">请供应商如实填写，</w:t>
      </w:r>
      <w:r>
        <w:rPr>
          <w:rFonts w:hint="eastAsia" w:ascii="宋体" w:hAnsi="宋体" w:eastAsia="宋体" w:cs="宋体"/>
          <w:bCs/>
          <w:sz w:val="21"/>
          <w:szCs w:val="21"/>
        </w:rPr>
        <w:t xml:space="preserve">所填内容将作为评审的依据</w:t>
      </w:r>
      <w:r>
        <w:rPr>
          <w:rFonts w:hint="eastAsia" w:ascii="宋体" w:hAnsi="宋体" w:eastAsia="宋体" w:cs="宋体"/>
          <w:sz w:val="21"/>
          <w:szCs w:val="21"/>
        </w:rPr>
        <w:t xml:space="preserve">，如填写不完整或不一致或填写有误，将不享受扶持政策。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2、成交供应商的《残疾人福利性单位声明函》随成交结果公开</w:t>
      </w:r>
      <w:r>
        <w:rPr>
          <w:rFonts w:hint="eastAsia" w:ascii="宋体" w:hAnsi="宋体" w:eastAsia="宋体" w:cs="宋体"/>
          <w:sz w:val="21"/>
          <w:szCs w:val="21"/>
        </w:rPr>
        <w:t xml:space="preserve">，接受社会监督</w:t>
      </w:r>
      <w:r>
        <w:rPr>
          <w:rFonts w:hint="eastAsia" w:ascii="宋体" w:hAnsi="宋体" w:eastAsia="宋体" w:cs="宋体"/>
          <w:bCs/>
          <w:sz w:val="21"/>
          <w:szCs w:val="21"/>
        </w:rPr>
        <w:t xml:space="preserve">。</w:t>
      </w:r>
      <w:r/>
    </w:p>
    <w:p>
      <w:r/>
      <w:r/>
    </w:p>
    <w:p>
      <w:pPr>
        <w:ind w:firstLine="4410"/>
        <w:spacing w:line="560" w:lineRule="exact"/>
        <w:rPr>
          <w:color w:val="auto"/>
          <w:szCs w:val="21"/>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color w:val="auto"/>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171"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171"/>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首次磋商</w:t>
      </w:r>
      <w:r>
        <w:rPr>
          <w:rFonts w:hint="default" w:ascii="黑体" w:hAnsi="黑体" w:eastAsia="黑体" w:cs="宋体"/>
          <w:bCs/>
          <w:color w:val="auto"/>
          <w:szCs w:val="21"/>
          <w:highlight w:val="none"/>
        </w:rPr>
        <w:t xml:space="preserve">报价表</w:t>
      </w:r>
      <w:r/>
    </w:p>
    <w:tbl>
      <w:tblPr>
        <w:tblStyle w:val="844"/>
        <w:tblpPr w:horzAnchor="page" w:tblpX="1282" w:vertAnchor="text" w:tblpY="363" w:leftFromText="180" w:topFromText="0" w:rightFromText="180" w:bottomFromText="0"/>
        <w:tblW w:w="504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6"/>
        <w:gridCol w:w="1390"/>
        <w:gridCol w:w="757"/>
        <w:gridCol w:w="1033"/>
        <w:gridCol w:w="941"/>
        <w:gridCol w:w="1033"/>
        <w:gridCol w:w="937"/>
        <w:gridCol w:w="765"/>
        <w:gridCol w:w="853"/>
        <w:gridCol w:w="1052"/>
        <w:gridCol w:w="1035"/>
        <w:gridCol w:w="795"/>
        <w:gridCol w:w="990"/>
        <w:gridCol w:w="1110"/>
        <w:gridCol w:w="855"/>
        <w:gridCol w:w="795"/>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vMerge w:val="restart"/>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绿地所在位置</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路线</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长度</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绿化</w:t>
            </w:r>
            <w:r/>
          </w:p>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铺装</w:t>
            </w:r>
            <w:r/>
          </w:p>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绿化及铺装面积</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水域</w:t>
            </w:r>
            <w:r/>
          </w:p>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森林</w:t>
            </w:r>
            <w:r/>
          </w:p>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树池行道树</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树池</w:t>
            </w:r>
            <w:r/>
          </w:p>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合计养护</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按平方</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报价</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养护等级</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说明</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单价</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总价</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2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both"/>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both"/>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both"/>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第一部分：</w:t>
            </w:r>
            <w:r/>
          </w:p>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按平方报价</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山海景观轴绿地</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23329.18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7033.89</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30363.07</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30363.07</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自贸区绿地</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26618.8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26618.8</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26618.8</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海棠湖及国控点绿化</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53165.76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10917.75</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64083.51</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27774.55</w:t>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91858.06</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绿化养护、绿地内水域管理</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神州宾馆北侧绿地</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2319.20 </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2319.20 </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2319.2</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五连造型黑松苗圃</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4323.61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4323.61</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4323.61</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北固山大道中间及两边绿地</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36068.01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36068.01</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454.96</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36522.97</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西墅路（环胜利湖）</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17002.34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17002.34</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17002.34</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永昌锅炉房西侧绿化</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8012.81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8012.81</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8012.81</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西墅花园东侧苗圃</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37726.10 </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37726.10 </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3442.40 </w:t>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41168.5</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绿化养护、绿地内水域管理</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东哨水库苗圃</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14383.66 </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14383.66</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14383.66</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连云区宪法公园综合养护管理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5538.07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1508.61</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7046.68</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636.22</w:t>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7682.9</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绿化养护、铺装养护、绿地内水域管理、设施维修、秩序管理及卫生保洁等综合管理</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宋家花园综合养护管理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15580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15580</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15580</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绿化养护、铺装养护、绿地内水域管理、设施维修、秩序管理及卫生保洁等综合管理</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第一部小计</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第二部分：</w:t>
            </w:r>
            <w:r/>
          </w:p>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按单项报价</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按单项</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报价</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北固山生态公园综合养护管理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67408.22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14979.65</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82387.87</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1896.13</w:t>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84284</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绿化养护、铺装养护、绿地内水域管理、设施维修、秩序管理及卫生保洁等综合管理</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北固山健康步道综合养护管理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29800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49800</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50800</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绿化养护、铺装养护、绿地内水域管理、设施维修、秩序管理及卫生保洁等综合管理</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西小山环山步道综合养护管理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18497.74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4350.63</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22848.37</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22848.37</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绿化养护、铺装养护、设施维修、秩序管理及卫生保洁等综合管理</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015"/>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区政府周边、区政府东侧山体绿地及胜利湖（扩建前范围）景观绿地综合养护管理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124535.72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140035.72</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194141.28 </w:t>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334177</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绿化养护、铺装养护、绿地内水域管理、设施维修、秩序管理及卫生保洁等综合管理</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北固山森林公园林区</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4300亩</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林区</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北固山4300亩林区病死树防治和清理</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45"/>
        </w:trPr>
        <w:tc>
          <w:tcPr>
            <w:shd w:val="clear" w:color="auto" w:fill="auto"/>
            <w:tcBorders>
              <w:top w:val="non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第二部小计</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总合计：</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23630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484309.22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74290.53</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558599.75</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228890.58</w:t>
            </w:r>
            <w:r/>
          </w:p>
        </w:tc>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4300亩</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454.96</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787945.29</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 </w:t>
            </w:r>
            <w:r/>
          </w:p>
        </w:tc>
      </w:tr>
    </w:tbl>
    <w:p>
      <w:pPr>
        <w:jc w:val="left"/>
        <w:spacing w:line="360" w:lineRule="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w:t>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6838" w:h="11906" w:orient="landscape"/>
          <w:pgMar w:top="1622" w:right="1134" w:bottom="1134" w:left="1134"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172"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172"/>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4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173" w:name="_Hlt26955054"/>
      <w:r/>
      <w:bookmarkEnd w:id="173"/>
      <w:r/>
      <w:bookmarkStart w:id="174"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174"/>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4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175" w:name="_Hlt26955064"/>
            <w:r/>
            <w:bookmarkEnd w:id="175"/>
            <w:r/>
            <w:bookmarkStart w:id="176" w:name="_Hlt26955056"/>
            <w:r/>
            <w:bookmarkEnd w:id="176"/>
            <w:r/>
            <w:bookmarkStart w:id="177" w:name="_Hlt24879081"/>
            <w:r/>
            <w:bookmarkEnd w:id="177"/>
            <w:r/>
            <w:bookmarkStart w:id="178" w:name="_Hlt26609391"/>
            <w:r/>
            <w:bookmarkEnd w:id="178"/>
            <w:r/>
            <w:bookmarkStart w:id="179" w:name="_Hlt26580838"/>
            <w:r/>
            <w:bookmarkEnd w:id="179"/>
            <w:r/>
            <w:bookmarkStart w:id="180" w:name="_Hlt26671372"/>
            <w:r/>
            <w:bookmarkEnd w:id="180"/>
            <w:r/>
            <w:bookmarkStart w:id="181" w:name="_Hlt26671343"/>
            <w:r/>
            <w:bookmarkEnd w:id="181"/>
            <w:r/>
            <w:bookmarkStart w:id="182" w:name="_Hlt26782999"/>
            <w:r/>
            <w:bookmarkEnd w:id="182"/>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183"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183"/>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4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val="0"/>
          <w:color w:val="auto"/>
          <w:sz w:val="24"/>
          <w:szCs w:val="24"/>
          <w:highlight w:val="none"/>
        </w:rPr>
        <w:outlineLvl w:val="1"/>
      </w:pPr>
      <w:r/>
      <w:bookmarkStart w:id="184" w:name="_Toc27306"/>
      <w:r>
        <w:rPr>
          <w:rFonts w:hint="eastAsia" w:ascii="宋体" w:hAnsi="宋体" w:eastAsia="宋体" w:cs="宋体"/>
          <w:b/>
          <w:bCs/>
          <w:i/>
          <w:iCs w:val="0"/>
          <w:color w:val="auto"/>
          <w:sz w:val="24"/>
          <w:szCs w:val="24"/>
          <w:highlight w:val="none"/>
        </w:rPr>
        <w:t xml:space="preserve">十</w:t>
      </w:r>
      <w:r>
        <w:rPr>
          <w:rFonts w:hint="eastAsia" w:ascii="宋体" w:hAnsi="宋体" w:eastAsia="宋体" w:cs="宋体"/>
          <w:b/>
          <w:bCs/>
          <w:i/>
          <w:iCs w:val="0"/>
          <w:color w:val="auto"/>
          <w:sz w:val="24"/>
          <w:szCs w:val="24"/>
          <w:highlight w:val="none"/>
          <w:lang w:eastAsia="zh-CN"/>
        </w:rPr>
        <w:t xml:space="preserve">七</w:t>
      </w:r>
      <w:r>
        <w:rPr>
          <w:rFonts w:hint="eastAsia" w:ascii="宋体" w:hAnsi="宋体" w:eastAsia="宋体" w:cs="宋体"/>
          <w:b/>
          <w:bCs/>
          <w:i/>
          <w:iCs w:val="0"/>
          <w:color w:val="auto"/>
          <w:sz w:val="24"/>
          <w:szCs w:val="24"/>
          <w:highlight w:val="none"/>
        </w:rPr>
        <w:t xml:space="preserve">、</w:t>
      </w:r>
      <w:bookmarkEnd w:id="184"/>
      <w:r>
        <w:rPr>
          <w:rFonts w:hint="eastAsia" w:ascii="黑体" w:hAnsi="黑体" w:eastAsia="黑体" w:cs="黑体"/>
          <w:b/>
          <w:bCs/>
          <w:i/>
          <w:iCs w:val="0"/>
          <w:sz w:val="24"/>
          <w:szCs w:val="24"/>
          <w:u w:val="single"/>
          <w:lang w:eastAsia="zh-CN"/>
        </w:rPr>
        <w:t xml:space="preserve">拟派</w:t>
      </w:r>
      <w:r>
        <w:rPr>
          <w:rFonts w:hint="eastAsia" w:ascii="黑体" w:hAnsi="黑体" w:eastAsia="黑体" w:cs="黑体"/>
          <w:b/>
          <w:bCs/>
          <w:i/>
          <w:iCs w:val="0"/>
          <w:sz w:val="24"/>
          <w:szCs w:val="24"/>
          <w:u w:val="single"/>
        </w:rPr>
        <w:t xml:space="preserve">人员配置承诺函</w:t>
      </w:r>
      <w:r/>
    </w:p>
    <w:p>
      <w:pPr>
        <w:jc w:val="center"/>
        <w:spacing w:line="360" w:lineRule="auto"/>
        <w:rPr>
          <w:rFonts w:hint="eastAsia" w:ascii="宋体" w:hAnsi="宋体" w:eastAsia="宋体" w:cs="宋体"/>
          <w:b w:val="0"/>
          <w:bCs/>
          <w:i w:val="0"/>
          <w:iCs w:val="0"/>
          <w:sz w:val="21"/>
          <w:szCs w:val="21"/>
          <w:u w:val="none"/>
        </w:rPr>
      </w:pPr>
      <w:r>
        <w:rPr>
          <w:rFonts w:hint="eastAsia" w:ascii="宋体" w:hAnsi="宋体" w:eastAsia="宋体" w:cs="宋体"/>
          <w:b w:val="0"/>
          <w:bCs/>
          <w:i w:val="0"/>
          <w:iCs w:val="0"/>
          <w:sz w:val="21"/>
          <w:szCs w:val="21"/>
          <w:u w:val="none"/>
          <w:lang w:eastAsia="zh-CN"/>
        </w:rPr>
        <w:t xml:space="preserve">拟派</w:t>
      </w:r>
      <w:r>
        <w:rPr>
          <w:rFonts w:hint="eastAsia" w:ascii="宋体" w:hAnsi="宋体" w:eastAsia="宋体" w:cs="宋体"/>
          <w:b w:val="0"/>
          <w:bCs/>
          <w:i w:val="0"/>
          <w:iCs w:val="0"/>
          <w:sz w:val="21"/>
          <w:szCs w:val="21"/>
          <w:u w:val="none"/>
        </w:rPr>
        <w:t xml:space="preserve">人员配置承诺函</w:t>
      </w:r>
      <w:r/>
    </w:p>
    <w:p>
      <w:pPr>
        <w:spacing w:line="360" w:lineRule="auto"/>
        <w:rPr>
          <w:rFonts w:hint="eastAsia" w:ascii="宋体" w:hAnsi="宋体" w:eastAsia="宋体" w:cs="宋体"/>
          <w:b w:val="0"/>
          <w:bCs/>
          <w:i w:val="0"/>
          <w:iCs w:val="0"/>
          <w:color w:val="000000"/>
          <w:sz w:val="21"/>
          <w:szCs w:val="21"/>
          <w:u w:val="none"/>
        </w:rPr>
      </w:pPr>
      <w:r>
        <w:rPr>
          <w:rFonts w:hint="eastAsia" w:ascii="宋体" w:hAnsi="宋体" w:eastAsia="宋体" w:cs="宋体"/>
          <w:b w:val="0"/>
          <w:bCs/>
          <w:i w:val="0"/>
          <w:iCs w:val="0"/>
          <w:color w:val="000000"/>
          <w:sz w:val="21"/>
          <w:szCs w:val="21"/>
          <w:u w:val="none"/>
        </w:rPr>
        <w:t xml:space="preserve">致：</w:t>
      </w:r>
      <w:r>
        <w:rPr>
          <w:rFonts w:hint="eastAsia" w:ascii="宋体" w:hAnsi="宋体" w:eastAsia="宋体" w:cs="宋体"/>
          <w:b w:val="0"/>
          <w:bCs/>
          <w:i w:val="0"/>
          <w:iCs w:val="0"/>
          <w:sz w:val="21"/>
          <w:szCs w:val="21"/>
          <w:u w:val="none"/>
        </w:rPr>
        <w:t xml:space="preserve">【</w:t>
      </w:r>
      <w:r>
        <w:rPr>
          <w:rFonts w:hint="eastAsia" w:ascii="宋体" w:hAnsi="宋体" w:eastAsia="宋体" w:cs="宋体"/>
          <w:b w:val="0"/>
          <w:bCs/>
          <w:i w:val="0"/>
          <w:iCs w:val="0"/>
          <w:sz w:val="21"/>
          <w:szCs w:val="21"/>
          <w:u w:val="none"/>
          <w:lang w:eastAsia="zh-CN"/>
        </w:rPr>
        <w:t xml:space="preserve">连云区公用事业发展中心</w:t>
      </w:r>
      <w:r>
        <w:rPr>
          <w:rFonts w:hint="eastAsia" w:ascii="宋体" w:hAnsi="宋体" w:eastAsia="宋体" w:cs="宋体"/>
          <w:b w:val="0"/>
          <w:bCs/>
          <w:i w:val="0"/>
          <w:iCs w:val="0"/>
          <w:sz w:val="21"/>
          <w:szCs w:val="21"/>
          <w:u w:val="none"/>
        </w:rPr>
        <w:t xml:space="preserve">】</w:t>
      </w:r>
      <w:r/>
    </w:p>
    <w:p>
      <w:pPr>
        <w:ind w:firstLine="482"/>
        <w:spacing w:line="360" w:lineRule="auto"/>
        <w:rPr>
          <w:rFonts w:hint="eastAsia" w:ascii="宋体" w:hAnsi="宋体" w:eastAsia="宋体" w:cs="宋体"/>
          <w:b w:val="0"/>
          <w:bCs/>
          <w:i w:val="0"/>
          <w:iCs w:val="0"/>
          <w:sz w:val="21"/>
          <w:szCs w:val="21"/>
          <w:u w:val="none"/>
          <w:lang w:eastAsia="zh-CN"/>
        </w:rPr>
      </w:pPr>
      <w:r>
        <w:rPr>
          <w:rFonts w:hint="eastAsia" w:ascii="宋体" w:hAnsi="宋体" w:eastAsia="宋体" w:cs="宋体"/>
          <w:b w:val="0"/>
          <w:bCs/>
          <w:i w:val="0"/>
          <w:iCs w:val="0"/>
          <w:sz w:val="21"/>
          <w:szCs w:val="21"/>
          <w:u w:val="none"/>
        </w:rPr>
        <w:t xml:space="preserve">我公司郑重承诺：本项目拟配备</w:t>
      </w:r>
      <w:r>
        <w:rPr>
          <w:rFonts w:hint="eastAsia" w:ascii="宋体" w:hAnsi="宋体" w:eastAsia="宋体" w:cs="宋体"/>
          <w:b w:val="0"/>
          <w:bCs/>
          <w:i w:val="0"/>
          <w:iCs w:val="0"/>
          <w:sz w:val="21"/>
          <w:szCs w:val="21"/>
          <w:u w:val="none"/>
          <w:lang w:eastAsia="zh-CN"/>
        </w:rPr>
        <w:t xml:space="preserve">以下人员：</w:t>
      </w:r>
      <w:r/>
    </w:p>
    <w:tbl>
      <w:tblPr>
        <w:tblStyle w:val="8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8"/>
        <w:gridCol w:w="4512"/>
        <w:gridCol w:w="3106"/>
      </w:tblGrid>
      <w:tr>
        <w:trPr>
          <w:trHeight w:val="41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序号</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eastAsia="zh-CN"/>
              </w:rPr>
            </w:pPr>
            <w:r>
              <w:rPr>
                <w:rFonts w:hint="eastAsia" w:ascii="宋体" w:hAnsi="宋体" w:eastAsia="宋体" w:cs="宋体"/>
                <w:b w:val="0"/>
                <w:bCs/>
                <w:i w:val="0"/>
                <w:iCs w:val="0"/>
                <w:color w:val="auto"/>
                <w:sz w:val="21"/>
                <w:szCs w:val="21"/>
                <w:u w:val="none"/>
                <w:lang w:eastAsia="zh-CN"/>
              </w:rPr>
              <w:t xml:space="preserve">姓名</w:t>
            </w:r>
            <w:r/>
          </w:p>
        </w:tc>
        <w:tc>
          <w:tcPr>
            <w:tcW w:w="1658" w:type="pct"/>
            <w:vAlign w:val="center"/>
            <w:textDirection w:val="lrTb"/>
            <w:noWrap w:val="false"/>
          </w:tcPr>
          <w:p>
            <w:pPr>
              <w:jc w:val="center"/>
              <w:pageBreakBefore w:val="0"/>
              <w:spacing w:line="576" w:lineRule="exact"/>
              <w:widowControl/>
              <w:rPr>
                <w:rFonts w:hint="default"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eastAsia="zh-CN"/>
              </w:rPr>
              <w:t xml:space="preserve">职务</w:t>
            </w:r>
            <w:r>
              <w:rPr>
                <w:rFonts w:hint="eastAsia" w:ascii="宋体" w:hAnsi="宋体" w:eastAsia="宋体" w:cs="宋体"/>
                <w:b w:val="0"/>
                <w:bCs/>
                <w:i w:val="0"/>
                <w:iCs w:val="0"/>
                <w:color w:val="auto"/>
                <w:sz w:val="21"/>
                <w:szCs w:val="21"/>
                <w:u w:val="none"/>
                <w:lang w:val="en-US" w:eastAsia="zh-CN"/>
              </w:rPr>
              <w:t xml:space="preserve">/岗位</w:t>
            </w:r>
            <w:r/>
          </w:p>
        </w:tc>
      </w:tr>
      <w:tr>
        <w:trPr>
          <w:trHeight w:val="341"/>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1</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eastAsia="zh-CN"/>
              </w:rPr>
            </w:pPr>
            <w:r>
              <w:rPr>
                <w:rFonts w:hint="eastAsia" w:ascii="宋体" w:hAnsi="宋体" w:eastAsia="宋体" w:cs="宋体"/>
                <w:b w:val="0"/>
                <w:bCs/>
                <w:i w:val="0"/>
                <w:iCs w:val="0"/>
                <w:color w:val="auto"/>
                <w:sz w:val="21"/>
                <w:szCs w:val="21"/>
                <w:u w:val="none"/>
                <w:lang w:eastAsia="zh-CN"/>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2</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3</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4</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5</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6</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7</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8</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9</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10</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11</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12</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238"/>
        </w:trPr>
        <w:tc>
          <w:tcPr>
            <w:gridSpan w:val="2"/>
            <w:tcW w:w="3341"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合计人数：</w:t>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人</w:t>
            </w:r>
            <w:r/>
          </w:p>
        </w:tc>
      </w:tr>
    </w:tbl>
    <w:p>
      <w:pPr>
        <w:rPr>
          <w:rFonts w:hint="eastAsia" w:ascii="宋体" w:hAnsi="宋体" w:eastAsia="宋体" w:cs="宋体"/>
          <w:b/>
          <w:bCs w:val="0"/>
          <w:i/>
          <w:iCs/>
          <w:sz w:val="21"/>
          <w:szCs w:val="21"/>
          <w:u w:val="single"/>
        </w:rPr>
      </w:pPr>
      <w:r>
        <w:rPr>
          <w:rFonts w:hint="eastAsia" w:ascii="宋体" w:hAnsi="宋体" w:eastAsia="宋体" w:cs="宋体"/>
          <w:b/>
          <w:bCs w:val="0"/>
          <w:i/>
          <w:iCs/>
          <w:sz w:val="21"/>
          <w:szCs w:val="21"/>
          <w:u w:val="single"/>
        </w:rPr>
      </w:r>
      <w:r/>
    </w:p>
    <w:p>
      <w:pPr>
        <w:ind w:firstLine="211"/>
        <w:jc w:val="left"/>
        <w:keepLines w:val="0"/>
        <w:keepNext w:val="0"/>
        <w:pageBreakBefore w:val="0"/>
        <w:spacing w:line="360" w:lineRule="auto"/>
        <w:widowControl w:val="off"/>
        <w:rPr>
          <w:rFonts w:hint="eastAsia" w:ascii="宋体" w:hAnsi="宋体" w:eastAsia="宋体" w:cs="宋体"/>
          <w:b/>
          <w:bCs/>
          <w:i/>
          <w:iCs/>
          <w:color w:val="000000"/>
          <w:sz w:val="21"/>
          <w:szCs w:val="21"/>
          <w:u w:val="single"/>
          <w:lang w:eastAsia="zh-CN"/>
        </w:rPr>
      </w:pPr>
      <w:r>
        <w:rPr>
          <w:rFonts w:hint="eastAsia" w:ascii="宋体" w:hAnsi="宋体" w:eastAsia="宋体" w:cs="宋体"/>
          <w:b/>
          <w:bCs/>
          <w:i/>
          <w:iCs/>
          <w:color w:val="000000"/>
          <w:sz w:val="21"/>
          <w:szCs w:val="21"/>
          <w:u w:val="single"/>
          <w:lang w:eastAsia="zh-CN"/>
        </w:rPr>
        <w:t xml:space="preserve">拟派的项目组成员须≥</w:t>
      </w:r>
      <w:r>
        <w:rPr>
          <w:rFonts w:hint="eastAsia" w:ascii="宋体" w:hAnsi="宋体" w:eastAsia="宋体" w:cs="宋体"/>
          <w:b/>
          <w:bCs/>
          <w:i/>
          <w:iCs/>
          <w:color w:val="000000"/>
          <w:sz w:val="21"/>
          <w:szCs w:val="21"/>
          <w:u w:val="single"/>
          <w:lang w:val="en-US" w:eastAsia="zh-CN"/>
        </w:rPr>
        <w:t xml:space="preserve">40人，</w:t>
      </w:r>
      <w:r>
        <w:rPr>
          <w:rFonts w:hint="eastAsia" w:ascii="宋体" w:hAnsi="宋体" w:eastAsia="宋体" w:cs="宋体"/>
          <w:b/>
          <w:bCs/>
          <w:i/>
          <w:iCs/>
          <w:color w:val="000000"/>
          <w:sz w:val="21"/>
          <w:szCs w:val="21"/>
          <w:u w:val="single"/>
          <w:lang w:eastAsia="zh-CN"/>
        </w:rPr>
        <w:t xml:space="preserve">证明材料须提供拟派人员配置承诺函（盖章签字有效）及每个成员身份证。</w:t>
      </w:r>
      <w:r/>
    </w:p>
    <w:p>
      <w:pPr>
        <w:ind w:firstLine="482"/>
        <w:spacing w:line="360" w:lineRule="auto"/>
        <w:rPr>
          <w:rFonts w:hint="eastAsia" w:ascii="宋体" w:hAnsi="宋体" w:eastAsia="宋体" w:cs="宋体"/>
          <w:b w:val="0"/>
          <w:bCs/>
          <w:i w:val="0"/>
          <w:iCs w:val="0"/>
          <w:sz w:val="21"/>
          <w:szCs w:val="21"/>
          <w:u w:val="none"/>
        </w:rPr>
      </w:pPr>
      <w:r>
        <w:rPr>
          <w:rFonts w:hint="eastAsia" w:ascii="宋体" w:hAnsi="宋体" w:eastAsia="宋体" w:cs="宋体"/>
          <w:b w:val="0"/>
          <w:bCs/>
          <w:i w:val="0"/>
          <w:iCs w:val="0"/>
          <w:sz w:val="21"/>
          <w:szCs w:val="21"/>
          <w:u w:val="none"/>
        </w:rPr>
        <w:t xml:space="preserve">特此承诺。</w:t>
      </w:r>
      <w:r/>
    </w:p>
    <w:p>
      <w:pPr>
        <w:ind w:firstLine="480"/>
        <w:spacing w:line="360" w:lineRule="auto"/>
        <w:rPr>
          <w:rFonts w:hint="eastAsia" w:ascii="宋体" w:hAnsi="宋体" w:eastAsia="宋体" w:cs="宋体"/>
          <w:b w:val="0"/>
          <w:bCs/>
          <w:i w:val="0"/>
          <w:iCs w:val="0"/>
          <w:color w:val="000000"/>
          <w:sz w:val="21"/>
          <w:szCs w:val="21"/>
          <w:u w:val="none"/>
        </w:rPr>
      </w:pPr>
      <w:r>
        <w:rPr>
          <w:rFonts w:hint="eastAsia" w:ascii="宋体" w:hAnsi="宋体" w:eastAsia="宋体" w:cs="宋体"/>
          <w:b w:val="0"/>
          <w:bCs/>
          <w:i w:val="0"/>
          <w:iCs w:val="0"/>
          <w:color w:val="000000"/>
          <w:sz w:val="21"/>
          <w:szCs w:val="21"/>
          <w:u w:val="none"/>
          <w:lang w:eastAsia="zh-CN"/>
        </w:rPr>
        <w:t xml:space="preserve">供应商</w:t>
      </w:r>
      <w:r>
        <w:rPr>
          <w:rFonts w:hint="eastAsia" w:ascii="宋体" w:hAnsi="宋体" w:eastAsia="宋体" w:cs="宋体"/>
          <w:b w:val="0"/>
          <w:bCs/>
          <w:i w:val="0"/>
          <w:iCs w:val="0"/>
          <w:color w:val="000000"/>
          <w:sz w:val="21"/>
          <w:szCs w:val="21"/>
          <w:u w:val="none"/>
        </w:rPr>
        <w:t xml:space="preserve">（盖章）：</w:t>
      </w:r>
      <w:r/>
    </w:p>
    <w:p>
      <w:pPr>
        <w:ind w:firstLine="480"/>
        <w:spacing w:line="360" w:lineRule="auto"/>
        <w:rPr>
          <w:rFonts w:hint="eastAsia" w:ascii="宋体" w:hAnsi="宋体" w:eastAsia="宋体" w:cs="宋体"/>
          <w:b w:val="0"/>
          <w:bCs/>
          <w:i w:val="0"/>
          <w:iCs w:val="0"/>
          <w:color w:val="000000"/>
          <w:sz w:val="21"/>
          <w:szCs w:val="21"/>
          <w:u w:val="none"/>
        </w:rPr>
      </w:pPr>
      <w:r>
        <w:rPr>
          <w:rFonts w:hint="eastAsia" w:ascii="宋体" w:hAnsi="宋体" w:eastAsia="宋体" w:cs="宋体"/>
          <w:b w:val="0"/>
          <w:bCs/>
          <w:i w:val="0"/>
          <w:iCs w:val="0"/>
          <w:color w:val="000000"/>
          <w:sz w:val="21"/>
          <w:szCs w:val="21"/>
          <w:u w:val="none"/>
        </w:rPr>
        <w:t xml:space="preserve">日期：    年     月     日</w:t>
      </w:r>
      <w:r/>
    </w:p>
    <w:p>
      <w:pPr>
        <w:jc w:val="left"/>
        <w:widowControl/>
        <w:rPr>
          <w:rFonts w:hint="eastAsia" w:ascii="宋体" w:hAnsi="宋体" w:eastAsia="宋体" w:cs="宋体"/>
          <w:b/>
          <w:bCs w:val="0"/>
          <w:i/>
          <w:iCs/>
          <w:color w:val="auto"/>
          <w:sz w:val="21"/>
          <w:szCs w:val="21"/>
          <w:highlight w:val="none"/>
          <w:u w:val="single"/>
        </w:rPr>
      </w:pPr>
      <w:r>
        <w:rPr>
          <w:rFonts w:hint="eastAsia" w:ascii="宋体" w:hAnsi="宋体" w:eastAsia="宋体" w:cs="宋体"/>
          <w:b/>
          <w:bCs w:val="0"/>
          <w:i/>
          <w:iCs/>
          <w:color w:val="auto"/>
          <w:sz w:val="21"/>
          <w:szCs w:val="21"/>
          <w:highlight w:val="none"/>
          <w:u w:val="single"/>
        </w:rPr>
        <w:br w:type="page" w:clear="all"/>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3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836"/>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bookmarkEnd w:id="152"/>
      <w:r/>
      <w:bookmarkEnd w:id="153"/>
      <w:r/>
      <w:bookmarkEnd w:id="154"/>
      <w:r/>
      <w:bookmarkEnd w:id="155"/>
      <w:r/>
      <w:bookmarkEnd w:id="156"/>
      <w:r/>
      <w:bookmarkEnd w:id="157"/>
      <w:r/>
      <w:bookmarkEnd w:id="158"/>
      <w:r/>
      <w:bookmarkEnd w:id="159"/>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headerReference w:type="default" r:id="rId12"/>
      <w:footerReference w:type="default" r:id="rId19"/>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86"/>
      </w:rPr>
      <w:framePr w:wrap="around" w:vAnchor="text" w:hAnchor="margin" w:xAlign="center" w:y="1"/>
    </w:pPr>
    <w:r>
      <w:fldChar w:fldCharType="begin"/>
    </w:r>
    <w:r>
      <w:rPr>
        <w:rStyle w:val="886"/>
      </w:rPr>
      <w:instrText xml:space="preserve"> PAGE   \* MERGEFORMAT </w:instrText>
    </w:r>
    <w:r>
      <w:fldChar w:fldCharType="separate"/>
    </w:r>
    <w:r>
      <w:rPr>
        <w:rStyle w:val="886"/>
        <w:lang w:val="zh-CN"/>
      </w:rPr>
      <w:t xml:space="preserve">55</w:t>
    </w:r>
    <w:r>
      <w:fldChar w:fldCharType="end"/>
    </w:r>
    <w:r/>
  </w:p>
  <w:p>
    <w:pPr>
      <w:pStyle w:val="86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ind w:firstLine="360"/>
      <w:jc w:val="both"/>
      <w:rPr>
        <w:rFonts w:hint="default"/>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9"/>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9"/>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lang w:val="en-US" w:eastAsia="zh-CN"/>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86"/>
      </w:rPr>
      <w:framePr w:wrap="around" w:vAnchor="text" w:hAnchor="margin" w:xAlign="center" w:y="1"/>
    </w:pPr>
    <w:r>
      <w:fldChar w:fldCharType="begin"/>
    </w:r>
    <w:r>
      <w:rPr>
        <w:rStyle w:val="886"/>
      </w:rPr>
      <w:instrText xml:space="preserve"> PAGE   \* MERGEFORMAT </w:instrText>
    </w:r>
    <w:r>
      <w:fldChar w:fldCharType="separate"/>
    </w:r>
    <w:r>
      <w:rPr>
        <w:rStyle w:val="886"/>
        <w:lang w:val="zh-CN"/>
      </w:rPr>
      <w:t xml:space="preserve">55</w: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both"/>
    </w:pPr>
    <w:r>
      <w:rPr>
        <w:rFonts w:hint="eastAsia"/>
        <w:i/>
        <w:color w:val="000000"/>
        <w:lang w:eastAsia="zh-CN"/>
      </w:rPr>
      <w:t xml:space="preserve">2026年度北固山及胜利湖周边绿化管理服务</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both"/>
    </w:pPr>
    <w:r>
      <w:rPr>
        <w:rFonts w:hint="eastAsia"/>
        <w:i/>
        <w:color w:val="000000"/>
        <w:lang w:eastAsia="zh-CN"/>
      </w:rPr>
      <w:t xml:space="preserve">2026年度北固山及胜利湖周边绿化管理服务</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left"/>
      <w:tabs>
        <w:tab w:val="left" w:pos="3480" w:leader="none"/>
        <w:tab w:val="clear" w:pos="4153" w:leader="none"/>
        <w:tab w:val="clear" w:pos="8306" w:leader="none"/>
      </w:tabs>
      <w:rPr>
        <w:i/>
        <w:color w:val="000000"/>
      </w:rPr>
    </w:pPr>
    <w:r>
      <w:rPr>
        <w:rFonts w:hint="eastAsia"/>
        <w:i/>
        <w:color w:val="000000"/>
        <w:lang w:eastAsia="zh-CN"/>
      </w:rPr>
      <w:t xml:space="preserve">2026年度北固山及胜利湖周边绿化管理服务竞争性磋商文件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left"/>
      <w:tabs>
        <w:tab w:val="left" w:pos="3480" w:leader="none"/>
        <w:tab w:val="clear" w:pos="4153" w:leader="none"/>
        <w:tab w:val="clear" w:pos="8306" w:leader="none"/>
      </w:tabs>
      <w:rPr>
        <w:i/>
        <w:color w:val="000000"/>
      </w:rPr>
    </w:pPr>
    <w:r>
      <w:rPr>
        <w:rFonts w:hint="eastAsia"/>
        <w:i/>
        <w:color w:val="000000"/>
        <w:lang w:eastAsia="zh-CN"/>
      </w:rPr>
      <w:t xml:space="preserve">2026年度北固山及胜利湖周边绿化管理服务</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ideographTraditional"/>
      <w:isLgl w:val="false"/>
      <w:suff w:val="nothing"/>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4"/>
  </w:num>
  <w:num w:numId="2">
    <w:abstractNumId w:val="6"/>
  </w:num>
  <w:num w:numId="3">
    <w:abstractNumId w:val="2"/>
  </w:num>
  <w:num w:numId="4">
    <w:abstractNumId w:val="5"/>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name w:val="Heading 1"/>
    <w:basedOn w:val="833"/>
    <w:next w:val="833"/>
    <w:link w:val="903"/>
    <w:uiPriority w:val="0"/>
    <w:qFormat/>
    <w:pPr>
      <w:keepNext/>
      <w:outlineLvl w:val="0"/>
    </w:pPr>
    <w:rPr>
      <w:rFonts w:ascii="楷体_GB2312" w:eastAsia="楷体_GB2312"/>
      <w:sz w:val="28"/>
      <w:szCs w:val="20"/>
    </w:rPr>
  </w:style>
  <w:style w:type="paragraph" w:styleId="835">
    <w:name w:val="Heading 2"/>
    <w:basedOn w:val="833"/>
    <w:next w:val="833"/>
    <w:link w:val="902"/>
    <w:uiPriority w:val="0"/>
    <w:qFormat/>
    <w:pPr>
      <w:jc w:val="center"/>
      <w:keepLines/>
      <w:keepNext/>
      <w:spacing w:before="260" w:after="260" w:line="415" w:lineRule="auto"/>
      <w:outlineLvl w:val="1"/>
    </w:pPr>
    <w:rPr>
      <w:rFonts w:ascii="Arial" w:hAnsi="Arial" w:eastAsia="幼圆"/>
      <w:b/>
      <w:sz w:val="44"/>
      <w:szCs w:val="20"/>
    </w:rPr>
  </w:style>
  <w:style w:type="paragraph" w:styleId="836">
    <w:name w:val="Heading 3"/>
    <w:basedOn w:val="833"/>
    <w:next w:val="833"/>
    <w:link w:val="1065"/>
    <w:uiPriority w:val="0"/>
    <w:qFormat/>
    <w:pPr>
      <w:keepLines/>
      <w:keepNext/>
      <w:spacing w:before="260" w:after="260" w:line="415" w:lineRule="auto"/>
      <w:outlineLvl w:val="2"/>
    </w:pPr>
    <w:rPr>
      <w:b/>
      <w:sz w:val="32"/>
      <w:szCs w:val="20"/>
    </w:rPr>
  </w:style>
  <w:style w:type="paragraph" w:styleId="837">
    <w:name w:val="Heading 4"/>
    <w:basedOn w:val="833"/>
    <w:next w:val="833"/>
    <w:link w:val="1063"/>
    <w:uiPriority w:val="0"/>
    <w:qFormat/>
    <w:pPr>
      <w:keepLines/>
      <w:keepNext/>
      <w:spacing w:before="280" w:after="290" w:line="376" w:lineRule="auto"/>
      <w:outlineLvl w:val="3"/>
    </w:pPr>
    <w:rPr>
      <w:rFonts w:ascii="Arial" w:hAnsi="Arial" w:eastAsia="黑体"/>
      <w:b/>
      <w:bCs/>
      <w:sz w:val="28"/>
      <w:szCs w:val="28"/>
    </w:rPr>
  </w:style>
  <w:style w:type="paragraph" w:styleId="838">
    <w:name w:val="Heading 5"/>
    <w:basedOn w:val="833"/>
    <w:next w:val="833"/>
    <w:link w:val="1060"/>
    <w:uiPriority w:val="0"/>
    <w:qFormat/>
    <w:pPr>
      <w:keepNext/>
      <w:outlineLvl w:val="4"/>
    </w:pPr>
    <w:rPr>
      <w:rFonts w:ascii="宋体"/>
      <w:b/>
      <w:bCs/>
    </w:rPr>
  </w:style>
  <w:style w:type="paragraph" w:styleId="839">
    <w:name w:val="Heading 6"/>
    <w:basedOn w:val="833"/>
    <w:next w:val="833"/>
    <w:link w:val="909"/>
    <w:uiPriority w:val="9"/>
    <w:unhideWhenUsed/>
    <w:qFormat/>
    <w:pPr>
      <w:keepLines/>
      <w:keepNext/>
      <w:spacing w:before="320" w:after="200"/>
      <w:outlineLvl w:val="5"/>
    </w:pPr>
    <w:rPr>
      <w:rFonts w:ascii="Arial" w:hAnsi="Arial" w:eastAsia="Arial" w:cs="Arial"/>
      <w:b/>
      <w:bCs/>
      <w:sz w:val="22"/>
      <w:szCs w:val="22"/>
    </w:rPr>
  </w:style>
  <w:style w:type="paragraph" w:styleId="840">
    <w:name w:val="Heading 7"/>
    <w:basedOn w:val="833"/>
    <w:next w:val="833"/>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841">
    <w:name w:val="Heading 8"/>
    <w:basedOn w:val="833"/>
    <w:next w:val="833"/>
    <w:link w:val="911"/>
    <w:uiPriority w:val="9"/>
    <w:unhideWhenUsed/>
    <w:qFormat/>
    <w:pPr>
      <w:keepLines/>
      <w:keepNext/>
      <w:spacing w:before="320" w:after="200"/>
      <w:outlineLvl w:val="7"/>
    </w:pPr>
    <w:rPr>
      <w:rFonts w:ascii="Arial" w:hAnsi="Arial" w:eastAsia="Arial" w:cs="Arial"/>
      <w:i/>
      <w:iCs/>
      <w:sz w:val="22"/>
      <w:szCs w:val="22"/>
    </w:rPr>
  </w:style>
  <w:style w:type="paragraph" w:styleId="842">
    <w:name w:val="Heading 9"/>
    <w:basedOn w:val="833"/>
    <w:next w:val="833"/>
    <w:link w:val="912"/>
    <w:uiPriority w:val="9"/>
    <w:unhideWhenUsed/>
    <w:qFormat/>
    <w:pPr>
      <w:keepLines/>
      <w:keepNext/>
      <w:spacing w:before="320" w:after="200"/>
      <w:outlineLvl w:val="8"/>
    </w:pPr>
    <w:rPr>
      <w:rFonts w:ascii="Arial" w:hAnsi="Arial" w:eastAsia="Arial" w:cs="Arial"/>
      <w:i/>
      <w:iCs/>
      <w:sz w:val="21"/>
      <w:szCs w:val="21"/>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toc 7"/>
    <w:basedOn w:val="833"/>
    <w:next w:val="833"/>
    <w:uiPriority w:val="0"/>
    <w:qFormat/>
    <w:pPr>
      <w:ind w:left="1200"/>
    </w:pPr>
  </w:style>
  <w:style w:type="paragraph" w:styleId="846">
    <w:name w:val="Normal Indent"/>
    <w:basedOn w:val="833"/>
    <w:next w:val="833"/>
    <w:uiPriority w:val="0"/>
    <w:qFormat/>
    <w:pPr>
      <w:ind w:firstLine="420"/>
    </w:pPr>
    <w:rPr>
      <w:szCs w:val="20"/>
    </w:rPr>
  </w:style>
  <w:style w:type="paragraph" w:styleId="847">
    <w:name w:val="Caption"/>
    <w:basedOn w:val="833"/>
    <w:next w:val="8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8">
    <w:name w:val="Document Map"/>
    <w:basedOn w:val="833"/>
    <w:link w:val="1066"/>
    <w:uiPriority w:val="0"/>
    <w:qFormat/>
    <w:pPr>
      <w:shd w:val="clear" w:color="auto" w:fill="000080"/>
    </w:pPr>
  </w:style>
  <w:style w:type="paragraph" w:styleId="849">
    <w:name w:val="annotation text"/>
    <w:basedOn w:val="833"/>
    <w:link w:val="1058"/>
    <w:uiPriority w:val="0"/>
    <w:qFormat/>
    <w:pPr>
      <w:jc w:val="left"/>
    </w:pPr>
  </w:style>
  <w:style w:type="paragraph" w:styleId="850">
    <w:name w:val="Body Text 3"/>
    <w:basedOn w:val="833"/>
    <w:link w:val="1074"/>
    <w:uiPriority w:val="0"/>
    <w:qFormat/>
    <w:rPr>
      <w:rFonts w:ascii="仿宋_GB2312" w:eastAsia="仿宋_GB2312"/>
      <w:sz w:val="32"/>
      <w:szCs w:val="20"/>
    </w:rPr>
  </w:style>
  <w:style w:type="paragraph" w:styleId="851">
    <w:name w:val="Body Text"/>
    <w:basedOn w:val="833"/>
    <w:link w:val="1076"/>
    <w:uiPriority w:val="0"/>
    <w:qFormat/>
    <w:rPr>
      <w:rFonts w:ascii="楷体_GB2312" w:eastAsia="楷体_GB2312"/>
      <w:sz w:val="28"/>
      <w:szCs w:val="20"/>
    </w:rPr>
  </w:style>
  <w:style w:type="paragraph" w:styleId="852">
    <w:name w:val="Body Text Indent"/>
    <w:basedOn w:val="833"/>
    <w:next w:val="853"/>
    <w:link w:val="1070"/>
    <w:uiPriority w:val="0"/>
    <w:qFormat/>
    <w:pPr>
      <w:ind w:firstLine="645"/>
    </w:pPr>
    <w:rPr>
      <w:rFonts w:ascii="楷体_GB2312" w:eastAsia="楷体_GB2312"/>
      <w:sz w:val="32"/>
      <w:szCs w:val="20"/>
    </w:rPr>
  </w:style>
  <w:style w:type="paragraph" w:styleId="853">
    <w:name w:val="envelope return"/>
    <w:basedOn w:val="833"/>
    <w:uiPriority w:val="99"/>
    <w:unhideWhenUsed/>
    <w:qFormat/>
    <w:rPr>
      <w:rFonts w:ascii="Arial" w:hAnsi="Arial" w:cs="Arial"/>
    </w:rPr>
  </w:style>
  <w:style w:type="paragraph" w:styleId="854">
    <w:name w:val="Block Text"/>
    <w:basedOn w:val="833"/>
    <w:next w:val="833"/>
    <w:uiPriority w:val="0"/>
    <w:unhideWhenUsed/>
    <w:qFormat/>
    <w:pPr>
      <w:ind w:left="420" w:right="33"/>
    </w:pPr>
    <w:rPr>
      <w:sz w:val="24"/>
    </w:rPr>
  </w:style>
  <w:style w:type="paragraph" w:styleId="855">
    <w:name w:val="index 4"/>
    <w:basedOn w:val="833"/>
    <w:next w:val="833"/>
    <w:uiPriority w:val="0"/>
    <w:semiHidden/>
    <w:qFormat/>
    <w:pPr>
      <w:ind w:left="600" w:firstLine="480"/>
      <w:spacing w:line="288" w:lineRule="auto"/>
      <w:tabs>
        <w:tab w:val="left" w:pos="1440" w:leader="none"/>
        <w:tab w:val="right" w:pos="8505" w:leader="dot"/>
      </w:tabs>
    </w:pPr>
  </w:style>
  <w:style w:type="paragraph" w:styleId="856">
    <w:name w:val="toc 5"/>
    <w:basedOn w:val="833"/>
    <w:next w:val="833"/>
    <w:uiPriority w:val="0"/>
    <w:qFormat/>
    <w:pPr>
      <w:ind w:left="800"/>
    </w:pPr>
  </w:style>
  <w:style w:type="paragraph" w:styleId="857">
    <w:name w:val="toc 3"/>
    <w:basedOn w:val="833"/>
    <w:next w:val="833"/>
    <w:uiPriority w:val="0"/>
    <w:qFormat/>
    <w:pPr>
      <w:ind w:left="539"/>
      <w:jc w:val="left"/>
      <w:spacing w:line="240" w:lineRule="exact"/>
      <w:tabs>
        <w:tab w:val="right" w:pos="9440" w:leader="dot"/>
      </w:tabs>
    </w:pPr>
    <w:rPr>
      <w:rFonts w:ascii="黑体" w:eastAsia="黑体"/>
      <w:bCs/>
      <w:iCs/>
      <w:sz w:val="18"/>
      <w:szCs w:val="32"/>
    </w:rPr>
  </w:style>
  <w:style w:type="paragraph" w:styleId="858">
    <w:name w:val="Plain Text"/>
    <w:basedOn w:val="833"/>
    <w:link w:val="1077"/>
    <w:uiPriority w:val="0"/>
    <w:qFormat/>
    <w:rPr>
      <w:rFonts w:ascii="宋体"/>
      <w:szCs w:val="20"/>
    </w:rPr>
  </w:style>
  <w:style w:type="paragraph" w:styleId="859">
    <w:name w:val="toc 8"/>
    <w:basedOn w:val="833"/>
    <w:next w:val="833"/>
    <w:uiPriority w:val="0"/>
    <w:qFormat/>
    <w:pPr>
      <w:ind w:left="1400"/>
    </w:pPr>
  </w:style>
  <w:style w:type="paragraph" w:styleId="860">
    <w:name w:val="Date"/>
    <w:basedOn w:val="833"/>
    <w:next w:val="833"/>
    <w:link w:val="1072"/>
    <w:uiPriority w:val="0"/>
    <w:qFormat/>
    <w:rPr>
      <w:sz w:val="24"/>
      <w:szCs w:val="20"/>
    </w:rPr>
  </w:style>
  <w:style w:type="paragraph" w:styleId="861">
    <w:name w:val="Body Text Indent 2"/>
    <w:basedOn w:val="833"/>
    <w:link w:val="1071"/>
    <w:uiPriority w:val="0"/>
    <w:qFormat/>
    <w:pPr>
      <w:ind w:firstLine="200"/>
    </w:pPr>
    <w:rPr>
      <w:rFonts w:ascii="宋体"/>
      <w:sz w:val="28"/>
    </w:rPr>
  </w:style>
  <w:style w:type="paragraph" w:styleId="862">
    <w:name w:val="endnote text"/>
    <w:basedOn w:val="833"/>
    <w:link w:val="1049"/>
    <w:uiPriority w:val="99"/>
    <w:semiHidden/>
    <w:unhideWhenUsed/>
    <w:qFormat/>
    <w:pPr>
      <w:spacing w:after="0" w:line="240" w:lineRule="auto"/>
    </w:pPr>
    <w:rPr>
      <w:sz w:val="20"/>
    </w:rPr>
  </w:style>
  <w:style w:type="paragraph" w:styleId="863">
    <w:name w:val="Balloon Text"/>
    <w:basedOn w:val="833"/>
    <w:link w:val="1062"/>
    <w:uiPriority w:val="0"/>
    <w:qFormat/>
    <w:rPr>
      <w:sz w:val="18"/>
      <w:szCs w:val="18"/>
    </w:rPr>
  </w:style>
  <w:style w:type="paragraph" w:styleId="864">
    <w:name w:val="Footer"/>
    <w:basedOn w:val="833"/>
    <w:link w:val="1061"/>
    <w:uiPriority w:val="0"/>
    <w:qFormat/>
    <w:pPr>
      <w:jc w:val="left"/>
      <w:tabs>
        <w:tab w:val="center" w:pos="4153" w:leader="none"/>
        <w:tab w:val="right" w:pos="8306" w:leader="none"/>
      </w:tabs>
    </w:pPr>
    <w:rPr>
      <w:sz w:val="18"/>
      <w:szCs w:val="20"/>
    </w:rPr>
  </w:style>
  <w:style w:type="paragraph" w:styleId="865">
    <w:name w:val="Header"/>
    <w:basedOn w:val="833"/>
    <w:link w:val="1075"/>
    <w:uiPriority w:val="99"/>
    <w:qFormat/>
    <w:pPr>
      <w:jc w:val="center"/>
      <w:tabs>
        <w:tab w:val="center" w:pos="4153" w:leader="none"/>
        <w:tab w:val="right" w:pos="8306" w:leader="none"/>
      </w:tabs>
      <w:pBdr>
        <w:bottom w:val="single" w:color="auto" w:sz="6" w:space="1"/>
      </w:pBdr>
    </w:pPr>
    <w:rPr>
      <w:sz w:val="18"/>
      <w:szCs w:val="18"/>
    </w:rPr>
  </w:style>
  <w:style w:type="paragraph" w:styleId="866">
    <w:name w:val="toc 1"/>
    <w:basedOn w:val="833"/>
    <w:next w:val="833"/>
    <w:uiPriority w:val="39"/>
    <w:qFormat/>
    <w:pPr>
      <w:jc w:val="left"/>
      <w:spacing w:before="120" w:after="120" w:line="300" w:lineRule="exact"/>
      <w:tabs>
        <w:tab w:val="right" w:pos="9440" w:leader="dot"/>
      </w:tabs>
    </w:pPr>
    <w:rPr>
      <w:rFonts w:ascii="黑体" w:eastAsia="黑体"/>
      <w:b/>
      <w:caps/>
      <w:sz w:val="18"/>
      <w:szCs w:val="28"/>
    </w:rPr>
  </w:style>
  <w:style w:type="paragraph" w:styleId="867">
    <w:name w:val="toc 4"/>
    <w:basedOn w:val="833"/>
    <w:next w:val="833"/>
    <w:uiPriority w:val="0"/>
    <w:qFormat/>
    <w:pPr>
      <w:ind w:left="600"/>
    </w:pPr>
  </w:style>
  <w:style w:type="paragraph" w:styleId="868">
    <w:name w:val="Subtitle"/>
    <w:basedOn w:val="833"/>
    <w:next w:val="833"/>
    <w:link w:val="1067"/>
    <w:uiPriority w:val="0"/>
    <w:qFormat/>
    <w:pPr>
      <w:jc w:val="center"/>
      <w:spacing w:before="240" w:after="60" w:line="312" w:lineRule="auto"/>
      <w:outlineLvl w:val="1"/>
    </w:pPr>
    <w:rPr>
      <w:rFonts w:ascii="Cambria" w:hAnsi="Cambria"/>
      <w:b/>
      <w:bCs/>
      <w:sz w:val="32"/>
      <w:szCs w:val="32"/>
    </w:rPr>
  </w:style>
  <w:style w:type="paragraph" w:styleId="869">
    <w:name w:val="footnote text"/>
    <w:basedOn w:val="833"/>
    <w:link w:val="1048"/>
    <w:uiPriority w:val="99"/>
    <w:semiHidden/>
    <w:unhideWhenUsed/>
    <w:qFormat/>
    <w:pPr>
      <w:spacing w:after="40" w:line="240" w:lineRule="auto"/>
    </w:pPr>
    <w:rPr>
      <w:sz w:val="18"/>
    </w:rPr>
  </w:style>
  <w:style w:type="paragraph" w:styleId="870">
    <w:name w:val="toc 6"/>
    <w:basedOn w:val="833"/>
    <w:next w:val="833"/>
    <w:uiPriority w:val="0"/>
    <w:qFormat/>
    <w:pPr>
      <w:ind w:left="1000"/>
    </w:pPr>
  </w:style>
  <w:style w:type="paragraph" w:styleId="871">
    <w:name w:val="Body Text Indent 3"/>
    <w:basedOn w:val="833"/>
    <w:link w:val="1069"/>
    <w:uiPriority w:val="0"/>
    <w:qFormat/>
    <w:pPr>
      <w:ind w:firstLine="523"/>
    </w:pPr>
    <w:rPr>
      <w:rFonts w:ascii="仿宋_GB2312" w:eastAsia="仿宋_GB2312"/>
      <w:sz w:val="24"/>
    </w:rPr>
  </w:style>
  <w:style w:type="paragraph" w:styleId="872">
    <w:name w:val="table of figures"/>
    <w:basedOn w:val="833"/>
    <w:next w:val="833"/>
    <w:uiPriority w:val="99"/>
    <w:unhideWhenUsed/>
    <w:qFormat/>
    <w:pPr>
      <w:spacing w:after="0" w:afterAutospacing="0"/>
    </w:pPr>
  </w:style>
  <w:style w:type="paragraph" w:styleId="873">
    <w:name w:val="toc 2"/>
    <w:basedOn w:val="833"/>
    <w:next w:val="833"/>
    <w:uiPriority w:val="39"/>
    <w:qFormat/>
    <w:pPr>
      <w:jc w:val="left"/>
      <w:spacing w:line="260" w:lineRule="exact"/>
      <w:tabs>
        <w:tab w:val="right" w:pos="9440" w:leader="dot"/>
      </w:tabs>
    </w:pPr>
    <w:rPr>
      <w:rFonts w:ascii="黑体" w:eastAsia="黑体"/>
      <w:b/>
      <w:bCs/>
      <w:smallCaps/>
      <w:sz w:val="18"/>
      <w:szCs w:val="44"/>
    </w:rPr>
  </w:style>
  <w:style w:type="paragraph" w:styleId="874">
    <w:name w:val="toc 9"/>
    <w:basedOn w:val="833"/>
    <w:next w:val="833"/>
    <w:uiPriority w:val="0"/>
    <w:qFormat/>
    <w:pPr>
      <w:ind w:left="1600"/>
    </w:pPr>
  </w:style>
  <w:style w:type="paragraph" w:styleId="875">
    <w:name w:val="Body Text 2"/>
    <w:basedOn w:val="833"/>
    <w:link w:val="1064"/>
    <w:uiPriority w:val="0"/>
    <w:qFormat/>
    <w:pPr>
      <w:jc w:val="center"/>
    </w:pPr>
    <w:rPr>
      <w:rFonts w:ascii="仿宋_GB2312" w:eastAsia="仿宋_GB2312"/>
      <w:sz w:val="44"/>
    </w:rPr>
  </w:style>
  <w:style w:type="paragraph" w:styleId="876">
    <w:name w:val="HTML Preformatted"/>
    <w:basedOn w:val="833"/>
    <w:link w:val="10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77">
    <w:name w:val="Normal (Web)"/>
    <w:basedOn w:val="833"/>
    <w:uiPriority w:val="99"/>
    <w:qFormat/>
    <w:pPr>
      <w:jc w:val="left"/>
      <w:spacing w:before="100" w:beforeAutospacing="1" w:after="100" w:afterAutospacing="1"/>
      <w:widowControl/>
    </w:pPr>
    <w:rPr>
      <w:rFonts w:ascii="宋体" w:cs="宋体"/>
      <w:sz w:val="24"/>
    </w:rPr>
  </w:style>
  <w:style w:type="paragraph" w:styleId="878">
    <w:name w:val="index 1"/>
    <w:basedOn w:val="833"/>
    <w:next w:val="833"/>
    <w:uiPriority w:val="0"/>
    <w:qFormat/>
    <w:rPr>
      <w:rFonts w:ascii="宋体"/>
      <w:szCs w:val="18"/>
    </w:rPr>
  </w:style>
  <w:style w:type="paragraph" w:styleId="879">
    <w:name w:val="Title"/>
    <w:basedOn w:val="833"/>
    <w:next w:val="833"/>
    <w:link w:val="914"/>
    <w:uiPriority w:val="10"/>
    <w:qFormat/>
    <w:pPr>
      <w:contextualSpacing/>
      <w:spacing w:before="300" w:after="200"/>
    </w:pPr>
    <w:rPr>
      <w:sz w:val="48"/>
      <w:szCs w:val="48"/>
    </w:rPr>
  </w:style>
  <w:style w:type="paragraph" w:styleId="880">
    <w:name w:val="annotation subject"/>
    <w:basedOn w:val="849"/>
    <w:next w:val="849"/>
    <w:link w:val="1057"/>
    <w:uiPriority w:val="0"/>
    <w:qFormat/>
    <w:rPr>
      <w:b/>
      <w:bCs/>
    </w:rPr>
  </w:style>
  <w:style w:type="paragraph" w:styleId="881">
    <w:name w:val="Body Text First Indent"/>
    <w:basedOn w:val="851"/>
    <w:uiPriority w:val="0"/>
    <w:qFormat/>
    <w:pPr>
      <w:ind w:firstLine="420"/>
      <w:spacing w:after="120"/>
    </w:pPr>
    <w:rPr>
      <w:rFonts w:ascii="Times New Roman" w:hAnsi="Times New Roman" w:eastAsia="宋体"/>
      <w:spacing w:val="0"/>
      <w:sz w:val="21"/>
      <w:szCs w:val="24"/>
    </w:rPr>
  </w:style>
  <w:style w:type="paragraph" w:styleId="882">
    <w:name w:val="Body Text First Indent 2"/>
    <w:basedOn w:val="852"/>
    <w:uiPriority w:val="99"/>
    <w:unhideWhenUsed/>
    <w:qFormat/>
    <w:pPr>
      <w:ind w:firstLine="420"/>
    </w:pPr>
  </w:style>
  <w:style w:type="table" w:styleId="883">
    <w:name w:val="Table Grid"/>
    <w:basedOn w:val="8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Strong"/>
    <w:uiPriority w:val="0"/>
    <w:qFormat/>
    <w:rPr>
      <w:b/>
      <w:bCs/>
    </w:rPr>
  </w:style>
  <w:style w:type="character" w:styleId="885">
    <w:name w:val="endnote reference"/>
    <w:basedOn w:val="843"/>
    <w:uiPriority w:val="99"/>
    <w:semiHidden/>
    <w:unhideWhenUsed/>
    <w:qFormat/>
    <w:rPr>
      <w:vertAlign w:val="superscript"/>
    </w:rPr>
  </w:style>
  <w:style w:type="character" w:styleId="886">
    <w:name w:val="page number"/>
    <w:basedOn w:val="843"/>
    <w:uiPriority w:val="0"/>
    <w:qFormat/>
  </w:style>
  <w:style w:type="character" w:styleId="887">
    <w:name w:val="FollowedHyperlink"/>
    <w:basedOn w:val="843"/>
    <w:uiPriority w:val="99"/>
    <w:qFormat/>
    <w:rPr>
      <w:color w:val="800080"/>
      <w:u w:val="none"/>
    </w:rPr>
  </w:style>
  <w:style w:type="character" w:styleId="888">
    <w:name w:val="Emphasis"/>
    <w:basedOn w:val="843"/>
    <w:uiPriority w:val="20"/>
    <w:qFormat/>
    <w:rPr>
      <w:b/>
      <w:bCs/>
    </w:rPr>
  </w:style>
  <w:style w:type="character" w:styleId="889">
    <w:name w:val="HTML Definition"/>
    <w:basedOn w:val="843"/>
    <w:uiPriority w:val="99"/>
    <w:semiHidden/>
    <w:unhideWhenUsed/>
    <w:qFormat/>
  </w:style>
  <w:style w:type="character" w:styleId="890">
    <w:name w:val="HTML Typewriter"/>
    <w:basedOn w:val="843"/>
    <w:uiPriority w:val="99"/>
    <w:semiHidden/>
    <w:unhideWhenUsed/>
    <w:qFormat/>
    <w:rPr>
      <w:rFonts w:hint="default" w:ascii="monospace" w:hAnsi="monospace" w:eastAsia="monospace" w:cs="monospace"/>
      <w:sz w:val="20"/>
    </w:rPr>
  </w:style>
  <w:style w:type="character" w:styleId="891">
    <w:name w:val="HTML Acronym"/>
    <w:basedOn w:val="843"/>
    <w:uiPriority w:val="99"/>
    <w:semiHidden/>
    <w:unhideWhenUsed/>
    <w:qFormat/>
  </w:style>
  <w:style w:type="character" w:styleId="892">
    <w:name w:val="HTML Variable"/>
    <w:basedOn w:val="843"/>
    <w:uiPriority w:val="99"/>
    <w:semiHidden/>
    <w:unhideWhenUsed/>
    <w:qFormat/>
  </w:style>
  <w:style w:type="character" w:styleId="893">
    <w:name w:val="Hyperlink"/>
    <w:basedOn w:val="843"/>
    <w:uiPriority w:val="99"/>
    <w:qFormat/>
    <w:rPr>
      <w:color w:val="0000ff"/>
      <w:u w:val="none"/>
    </w:rPr>
  </w:style>
  <w:style w:type="character" w:styleId="894">
    <w:name w:val="HTML Code"/>
    <w:basedOn w:val="843"/>
    <w:uiPriority w:val="99"/>
    <w:semiHidden/>
    <w:unhideWhenUsed/>
    <w:qFormat/>
    <w:rPr>
      <w:rFonts w:hint="default" w:ascii="monospace" w:hAnsi="monospace" w:eastAsia="monospace" w:cs="monospace"/>
      <w:sz w:val="20"/>
    </w:rPr>
  </w:style>
  <w:style w:type="character" w:styleId="895">
    <w:name w:val="annotation reference"/>
    <w:uiPriority w:val="0"/>
    <w:qFormat/>
    <w:rPr>
      <w:sz w:val="21"/>
      <w:szCs w:val="21"/>
    </w:rPr>
  </w:style>
  <w:style w:type="character" w:styleId="896">
    <w:name w:val="HTML Cite"/>
    <w:basedOn w:val="843"/>
    <w:uiPriority w:val="99"/>
    <w:semiHidden/>
    <w:unhideWhenUsed/>
    <w:qFormat/>
  </w:style>
  <w:style w:type="character" w:styleId="897">
    <w:name w:val="footnote reference"/>
    <w:basedOn w:val="843"/>
    <w:uiPriority w:val="99"/>
    <w:unhideWhenUsed/>
    <w:qFormat/>
    <w:rPr>
      <w:vertAlign w:val="superscript"/>
    </w:rPr>
  </w:style>
  <w:style w:type="character" w:styleId="898">
    <w:name w:val="HTML Keyboard"/>
    <w:basedOn w:val="843"/>
    <w:uiPriority w:val="99"/>
    <w:semiHidden/>
    <w:unhideWhenUsed/>
    <w:qFormat/>
    <w:rPr>
      <w:rFonts w:hint="default" w:ascii="monospace" w:hAnsi="monospace" w:eastAsia="monospace" w:cs="monospace"/>
      <w:sz w:val="20"/>
    </w:rPr>
  </w:style>
  <w:style w:type="character" w:styleId="899">
    <w:name w:val="HTML Sample"/>
    <w:basedOn w:val="843"/>
    <w:uiPriority w:val="99"/>
    <w:semiHidden/>
    <w:unhideWhenUsed/>
    <w:qFormat/>
    <w:rPr>
      <w:rFonts w:ascii="monospace" w:hAnsi="monospace" w:eastAsia="monospace" w:cs="monospace"/>
      <w:u w:val="none"/>
      <w:shd w:val="clear" w:color="auto" w:fill="ffffff"/>
    </w:rPr>
  </w:style>
  <w:style w:type="paragraph" w:styleId="900"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901" w:customStyle="1">
    <w:name w:val="首行缩进"/>
    <w:basedOn w:val="833"/>
    <w:uiPriority w:val="0"/>
    <w:qFormat/>
    <w:pPr>
      <w:ind w:firstLine="480"/>
    </w:pPr>
    <w:rPr>
      <w:lang w:val="zh-CN"/>
    </w:rPr>
  </w:style>
  <w:style w:type="character" w:styleId="902" w:customStyle="1">
    <w:name w:val="标题 2 Char"/>
    <w:basedOn w:val="843"/>
    <w:link w:val="835"/>
    <w:uiPriority w:val="0"/>
    <w:qFormat/>
    <w:rPr>
      <w:rFonts w:ascii="Arial" w:hAnsi="Arial" w:eastAsia="幼圆"/>
      <w:b/>
      <w:sz w:val="44"/>
    </w:rPr>
  </w:style>
  <w:style w:type="character" w:styleId="903" w:customStyle="1">
    <w:name w:val="标题 1 Char"/>
    <w:basedOn w:val="843"/>
    <w:link w:val="834"/>
    <w:uiPriority w:val="0"/>
    <w:qFormat/>
    <w:rPr>
      <w:rFonts w:ascii="楷体_GB2312" w:eastAsia="楷体_GB2312"/>
      <w:sz w:val="28"/>
    </w:rPr>
  </w:style>
  <w:style w:type="character" w:styleId="904" w:customStyle="1">
    <w:name w:val="Heading 1 Char"/>
    <w:basedOn w:val="843"/>
    <w:uiPriority w:val="9"/>
    <w:qFormat/>
    <w:rPr>
      <w:rFonts w:ascii="Arial" w:hAnsi="Arial" w:eastAsia="Arial" w:cs="Arial"/>
      <w:sz w:val="40"/>
      <w:szCs w:val="40"/>
    </w:rPr>
  </w:style>
  <w:style w:type="character" w:styleId="905" w:customStyle="1">
    <w:name w:val="Heading 2 Char"/>
    <w:basedOn w:val="843"/>
    <w:uiPriority w:val="9"/>
    <w:qFormat/>
    <w:rPr>
      <w:rFonts w:ascii="Arial" w:hAnsi="Arial" w:eastAsia="Arial" w:cs="Arial"/>
      <w:sz w:val="34"/>
    </w:rPr>
  </w:style>
  <w:style w:type="character" w:styleId="906" w:customStyle="1">
    <w:name w:val="Heading 3 Char"/>
    <w:basedOn w:val="843"/>
    <w:uiPriority w:val="9"/>
    <w:qFormat/>
    <w:rPr>
      <w:rFonts w:ascii="Arial" w:hAnsi="Arial" w:eastAsia="Arial" w:cs="Arial"/>
      <w:sz w:val="30"/>
      <w:szCs w:val="30"/>
    </w:rPr>
  </w:style>
  <w:style w:type="character" w:styleId="907" w:customStyle="1">
    <w:name w:val="Heading 4 Char"/>
    <w:basedOn w:val="843"/>
    <w:uiPriority w:val="9"/>
    <w:qFormat/>
    <w:rPr>
      <w:rFonts w:ascii="Arial" w:hAnsi="Arial" w:eastAsia="Arial" w:cs="Arial"/>
      <w:b/>
      <w:bCs/>
      <w:sz w:val="26"/>
      <w:szCs w:val="26"/>
    </w:rPr>
  </w:style>
  <w:style w:type="character" w:styleId="908" w:customStyle="1">
    <w:name w:val="Heading 5 Char"/>
    <w:basedOn w:val="843"/>
    <w:uiPriority w:val="9"/>
    <w:qFormat/>
    <w:rPr>
      <w:rFonts w:ascii="Arial" w:hAnsi="Arial" w:eastAsia="Arial" w:cs="Arial"/>
      <w:b/>
      <w:bCs/>
      <w:sz w:val="24"/>
      <w:szCs w:val="24"/>
    </w:rPr>
  </w:style>
  <w:style w:type="character" w:styleId="909" w:customStyle="1">
    <w:name w:val="Heading 6 Char"/>
    <w:basedOn w:val="843"/>
    <w:link w:val="839"/>
    <w:uiPriority w:val="9"/>
    <w:qFormat/>
    <w:rPr>
      <w:rFonts w:ascii="Arial" w:hAnsi="Arial" w:eastAsia="Arial" w:cs="Arial"/>
      <w:b/>
      <w:bCs/>
      <w:sz w:val="22"/>
      <w:szCs w:val="22"/>
    </w:rPr>
  </w:style>
  <w:style w:type="character" w:styleId="910" w:customStyle="1">
    <w:name w:val="Heading 7 Char"/>
    <w:basedOn w:val="843"/>
    <w:link w:val="840"/>
    <w:uiPriority w:val="9"/>
    <w:qFormat/>
    <w:rPr>
      <w:rFonts w:ascii="Arial" w:hAnsi="Arial" w:eastAsia="Arial" w:cs="Arial"/>
      <w:b/>
      <w:bCs/>
      <w:i/>
      <w:iCs/>
      <w:sz w:val="22"/>
      <w:szCs w:val="22"/>
    </w:rPr>
  </w:style>
  <w:style w:type="character" w:styleId="911" w:customStyle="1">
    <w:name w:val="Heading 8 Char"/>
    <w:basedOn w:val="843"/>
    <w:link w:val="841"/>
    <w:uiPriority w:val="9"/>
    <w:qFormat/>
    <w:rPr>
      <w:rFonts w:ascii="Arial" w:hAnsi="Arial" w:eastAsia="Arial" w:cs="Arial"/>
      <w:i/>
      <w:iCs/>
      <w:sz w:val="22"/>
      <w:szCs w:val="22"/>
    </w:rPr>
  </w:style>
  <w:style w:type="character" w:styleId="912" w:customStyle="1">
    <w:name w:val="Heading 9 Char"/>
    <w:basedOn w:val="843"/>
    <w:link w:val="842"/>
    <w:uiPriority w:val="9"/>
    <w:qFormat/>
    <w:rPr>
      <w:rFonts w:ascii="Arial" w:hAnsi="Arial" w:eastAsia="Arial" w:cs="Arial"/>
      <w:i/>
      <w:iCs/>
      <w:sz w:val="21"/>
      <w:szCs w:val="21"/>
    </w:rPr>
  </w:style>
  <w:style w:type="paragraph" w:styleId="913">
    <w:name w:val="No Spacing"/>
    <w:uiPriority w:val="1"/>
    <w:qFormat/>
    <w:pPr>
      <w:spacing w:before="0" w:after="0" w:line="240" w:lineRule="auto"/>
    </w:pPr>
    <w:rPr>
      <w:rFonts w:hint="default" w:ascii="Times New Roman" w:hAnsi="Times New Roman" w:eastAsia="宋体" w:cs="Times New Roman"/>
    </w:rPr>
  </w:style>
  <w:style w:type="character" w:styleId="914" w:customStyle="1">
    <w:name w:val="Title Char"/>
    <w:basedOn w:val="843"/>
    <w:link w:val="879"/>
    <w:uiPriority w:val="10"/>
    <w:qFormat/>
    <w:rPr>
      <w:sz w:val="48"/>
      <w:szCs w:val="48"/>
    </w:rPr>
  </w:style>
  <w:style w:type="character" w:styleId="915" w:customStyle="1">
    <w:name w:val="Subtitle Char"/>
    <w:basedOn w:val="843"/>
    <w:uiPriority w:val="11"/>
    <w:qFormat/>
    <w:rPr>
      <w:sz w:val="24"/>
      <w:szCs w:val="24"/>
    </w:rPr>
  </w:style>
  <w:style w:type="paragraph" w:styleId="916">
    <w:name w:val="Quote"/>
    <w:basedOn w:val="833"/>
    <w:next w:val="833"/>
    <w:link w:val="917"/>
    <w:uiPriority w:val="29"/>
    <w:qFormat/>
    <w:pPr>
      <w:ind w:left="720" w:right="720"/>
    </w:pPr>
    <w:rPr>
      <w:i/>
    </w:rPr>
  </w:style>
  <w:style w:type="character" w:styleId="917" w:customStyle="1">
    <w:name w:val="Quote Char"/>
    <w:link w:val="916"/>
    <w:uiPriority w:val="29"/>
    <w:qFormat/>
    <w:rPr>
      <w:i/>
    </w:rPr>
  </w:style>
  <w:style w:type="paragraph" w:styleId="918">
    <w:name w:val="Intense Quote"/>
    <w:basedOn w:val="833"/>
    <w:next w:val="833"/>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Intense Quote Char"/>
    <w:link w:val="918"/>
    <w:uiPriority w:val="30"/>
    <w:qFormat/>
    <w:rPr>
      <w:i/>
    </w:rPr>
  </w:style>
  <w:style w:type="character" w:styleId="920" w:customStyle="1">
    <w:name w:val="Header Char"/>
    <w:basedOn w:val="843"/>
    <w:uiPriority w:val="99"/>
    <w:qFormat/>
  </w:style>
  <w:style w:type="character" w:styleId="921" w:customStyle="1">
    <w:name w:val="Footer Char"/>
    <w:basedOn w:val="843"/>
    <w:uiPriority w:val="99"/>
    <w:qFormat/>
  </w:style>
  <w:style w:type="character" w:styleId="922" w:customStyle="1">
    <w:name w:val="Caption Char"/>
    <w:uiPriority w:val="99"/>
    <w:qFormat/>
  </w:style>
  <w:style w:type="table" w:styleId="923" w:customStyle="1">
    <w:name w:val="Table Grid Light"/>
    <w:basedOn w:val="8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4" w:customStyle="1">
    <w:name w:val="Plain Table 1"/>
    <w:basedOn w:val="8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2"/>
    <w:basedOn w:val="8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3"/>
    <w:basedOn w:val="8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Plain Table 4"/>
    <w:basedOn w:val="8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Plain Table 5"/>
    <w:basedOn w:val="8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9" w:customStyle="1">
    <w:name w:val="Grid Table 1 Light"/>
    <w:basedOn w:val="8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1"/>
    <w:basedOn w:val="84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2"/>
    <w:basedOn w:val="84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3"/>
    <w:basedOn w:val="84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4"/>
    <w:basedOn w:val="84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5"/>
    <w:basedOn w:val="84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6"/>
    <w:basedOn w:val="84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6" w:customStyle="1">
    <w:name w:val="Grid Table 2"/>
    <w:basedOn w:val="8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7" w:customStyle="1">
    <w:name w:val="Grid Table 2 - Accent 1"/>
    <w:basedOn w:val="84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8" w:customStyle="1">
    <w:name w:val="Grid Table 2 - Accent 2"/>
    <w:basedOn w:val="84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2 - Accent 3"/>
    <w:basedOn w:val="84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2 - Accent 4"/>
    <w:basedOn w:val="84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2 - Accent 5"/>
    <w:basedOn w:val="84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Grid Table 2 - Accent 6"/>
    <w:basedOn w:val="84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Grid Table 3"/>
    <w:basedOn w:val="8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1"/>
    <w:basedOn w:val="84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2"/>
    <w:basedOn w:val="84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3"/>
    <w:basedOn w:val="84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4"/>
    <w:basedOn w:val="84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5"/>
    <w:basedOn w:val="84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6"/>
    <w:basedOn w:val="84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w:basedOn w:val="8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4 - Accent 1"/>
    <w:basedOn w:val="84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2" w:customStyle="1">
    <w:name w:val="Grid Table 4 - Accent 2"/>
    <w:basedOn w:val="84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3" w:customStyle="1">
    <w:name w:val="Grid Table 4 - Accent 3"/>
    <w:basedOn w:val="84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4" w:customStyle="1">
    <w:name w:val="Grid Table 4 - Accent 4"/>
    <w:basedOn w:val="84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5" w:customStyle="1">
    <w:name w:val="Grid Table 4 - Accent 5"/>
    <w:basedOn w:val="84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6" w:customStyle="1">
    <w:name w:val="Grid Table 4 - Accent 6"/>
    <w:basedOn w:val="84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7" w:customStyle="1">
    <w:name w:val="Grid Table 5 Dark"/>
    <w:basedOn w:val="8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5 Dark- Accent 1"/>
    <w:basedOn w:val="8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9" w:customStyle="1">
    <w:name w:val="Grid Table 5 Dark - Accent 2"/>
    <w:basedOn w:val="8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0" w:customStyle="1">
    <w:name w:val="Grid Table 5 Dark - Accent 3"/>
    <w:basedOn w:val="8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1" w:customStyle="1">
    <w:name w:val="Grid Table 5 Dark- Accent 4"/>
    <w:basedOn w:val="8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2" w:customStyle="1">
    <w:name w:val="Grid Table 5 Dark - Accent 5"/>
    <w:basedOn w:val="8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3" w:customStyle="1">
    <w:name w:val="Grid Table 5 Dark - Accent 6"/>
    <w:basedOn w:val="8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4" w:customStyle="1">
    <w:name w:val="Grid Table 6 Colorful"/>
    <w:basedOn w:val="8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5" w:customStyle="1">
    <w:name w:val="Grid Table 6 Colorful - Accent 1"/>
    <w:basedOn w:val="84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6" w:customStyle="1">
    <w:name w:val="Grid Table 6 Colorful - Accent 2"/>
    <w:basedOn w:val="84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7" w:customStyle="1">
    <w:name w:val="Grid Table 6 Colorful - Accent 3"/>
    <w:basedOn w:val="84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8" w:customStyle="1">
    <w:name w:val="Grid Table 6 Colorful - Accent 4"/>
    <w:basedOn w:val="84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9" w:customStyle="1">
    <w:name w:val="Grid Table 6 Colorful - Accent 5"/>
    <w:basedOn w:val="84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6 Colorful - Accent 6"/>
    <w:basedOn w:val="84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Grid Table 7 Colorful"/>
    <w:basedOn w:val="8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Grid Table 7 Colorful - Accent 1"/>
    <w:basedOn w:val="84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
    <w:basedOn w:val="84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
    <w:basedOn w:val="84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
    <w:basedOn w:val="84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
    <w:basedOn w:val="84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
    <w:basedOn w:val="84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8" w:customStyle="1">
    <w:name w:val="List Table 1 Light"/>
    <w:basedOn w:val="8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1 Light - Accent 1"/>
    <w:basedOn w:val="84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1 Light - Accent 2"/>
    <w:basedOn w:val="84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1" w:customStyle="1">
    <w:name w:val="List Table 1 Light - Accent 3"/>
    <w:basedOn w:val="84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2" w:customStyle="1">
    <w:name w:val="List Table 1 Light - Accent 4"/>
    <w:basedOn w:val="84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3" w:customStyle="1">
    <w:name w:val="List Table 1 Light - Accent 5"/>
    <w:basedOn w:val="84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List Table 1 Light - Accent 6"/>
    <w:basedOn w:val="84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List Table 2"/>
    <w:basedOn w:val="8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List Table 2 - Accent 1"/>
    <w:basedOn w:val="84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7" w:customStyle="1">
    <w:name w:val="List Table 2 - Accent 2"/>
    <w:basedOn w:val="84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8" w:customStyle="1">
    <w:name w:val="List Table 2 - Accent 3"/>
    <w:basedOn w:val="84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9" w:customStyle="1">
    <w:name w:val="List Table 2 - Accent 4"/>
    <w:basedOn w:val="84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0" w:customStyle="1">
    <w:name w:val="List Table 2 - Accent 5"/>
    <w:basedOn w:val="84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1" w:customStyle="1">
    <w:name w:val="List Table 2 - Accent 6"/>
    <w:basedOn w:val="84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2" w:customStyle="1">
    <w:name w:val="List Table 3"/>
    <w:basedOn w:val="8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3 - Accent 1"/>
    <w:basedOn w:val="84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3 - Accent 2"/>
    <w:basedOn w:val="84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5" w:customStyle="1">
    <w:name w:val="List Table 3 - Accent 3"/>
    <w:basedOn w:val="84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6" w:customStyle="1">
    <w:name w:val="List Table 3 - Accent 4"/>
    <w:basedOn w:val="84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7" w:customStyle="1">
    <w:name w:val="List Table 3 - Accent 5"/>
    <w:basedOn w:val="84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8" w:customStyle="1">
    <w:name w:val="List Table 3 - Accent 6"/>
    <w:basedOn w:val="84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9" w:customStyle="1">
    <w:name w:val="List Table 4"/>
    <w:basedOn w:val="8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4 - Accent 1"/>
    <w:basedOn w:val="84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4 - Accent 2"/>
    <w:basedOn w:val="84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2" w:customStyle="1">
    <w:name w:val="List Table 4 - Accent 3"/>
    <w:basedOn w:val="84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3" w:customStyle="1">
    <w:name w:val="List Table 4 - Accent 4"/>
    <w:basedOn w:val="84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4" w:customStyle="1">
    <w:name w:val="List Table 4 - Accent 5"/>
    <w:basedOn w:val="84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5" w:customStyle="1">
    <w:name w:val="List Table 4 - Accent 6"/>
    <w:basedOn w:val="84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6" w:customStyle="1">
    <w:name w:val="List Table 5 Dark"/>
    <w:basedOn w:val="8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1"/>
    <w:basedOn w:val="84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2"/>
    <w:basedOn w:val="84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3"/>
    <w:basedOn w:val="84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4"/>
    <w:basedOn w:val="84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5"/>
    <w:basedOn w:val="84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6"/>
    <w:basedOn w:val="84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6 Colorful"/>
    <w:basedOn w:val="8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4" w:customStyle="1">
    <w:name w:val="List Table 6 Colorful - Accent 1"/>
    <w:basedOn w:val="84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5" w:customStyle="1">
    <w:name w:val="List Table 6 Colorful - Accent 2"/>
    <w:basedOn w:val="84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6" w:customStyle="1">
    <w:name w:val="List Table 6 Colorful - Accent 3"/>
    <w:basedOn w:val="84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7" w:customStyle="1">
    <w:name w:val="List Table 6 Colorful - Accent 4"/>
    <w:basedOn w:val="84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8" w:customStyle="1">
    <w:name w:val="List Table 6 Colorful - Accent 5"/>
    <w:basedOn w:val="84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9" w:customStyle="1">
    <w:name w:val="List Table 6 Colorful - Accent 6"/>
    <w:basedOn w:val="84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0" w:customStyle="1">
    <w:name w:val="List Table 7 Colorful"/>
    <w:basedOn w:val="8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List Table 7 Colorful - Accent 1"/>
    <w:basedOn w:val="84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
    <w:basedOn w:val="84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
    <w:basedOn w:val="84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
    <w:basedOn w:val="84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
    <w:basedOn w:val="84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
    <w:basedOn w:val="84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7" w:customStyle="1">
    <w:name w:val="Lined - Accent"/>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Lined - Accent 1"/>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Lined - Accent 2"/>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Lined - Accent 3"/>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Lined - Accent 4"/>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Lined - Accent 5"/>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Lined - Accent 6"/>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amp; Lined - Accent"/>
    <w:basedOn w:val="84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Bordered &amp; Lined - Accent 1"/>
    <w:basedOn w:val="84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Bordered &amp; Lined - Accent 2"/>
    <w:basedOn w:val="84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Bordered &amp; Lined - Accent 3"/>
    <w:basedOn w:val="84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Bordered &amp; Lined - Accent 4"/>
    <w:basedOn w:val="84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Bordered &amp; Lined - Accent 5"/>
    <w:basedOn w:val="84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Bordered &amp; Lined - Accent 6"/>
    <w:basedOn w:val="84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w:basedOn w:val="84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2" w:customStyle="1">
    <w:name w:val="Bordered - Accent 1"/>
    <w:basedOn w:val="84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3" w:customStyle="1">
    <w:name w:val="Bordered - Accent 2"/>
    <w:basedOn w:val="84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4" w:customStyle="1">
    <w:name w:val="Bordered - Accent 3"/>
    <w:basedOn w:val="84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5" w:customStyle="1">
    <w:name w:val="Bordered - Accent 4"/>
    <w:basedOn w:val="84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6" w:customStyle="1">
    <w:name w:val="Bordered - Accent 5"/>
    <w:basedOn w:val="84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7" w:customStyle="1">
    <w:name w:val="Bordered - Accent 6"/>
    <w:basedOn w:val="84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8" w:customStyle="1">
    <w:name w:val="Footnote Text Char"/>
    <w:link w:val="869"/>
    <w:uiPriority w:val="99"/>
    <w:qFormat/>
    <w:rPr>
      <w:sz w:val="18"/>
    </w:rPr>
  </w:style>
  <w:style w:type="character" w:styleId="1049" w:customStyle="1">
    <w:name w:val="Endnote Text Char"/>
    <w:link w:val="862"/>
    <w:uiPriority w:val="99"/>
    <w:qFormat/>
    <w:rPr>
      <w:sz w:val="20"/>
    </w:rPr>
  </w:style>
  <w:style w:type="paragraph" w:styleId="1050" w:customStyle="1">
    <w:name w:val="TOC Heading"/>
    <w:uiPriority w:val="39"/>
    <w:unhideWhenUsed/>
    <w:qFormat/>
    <w:rPr>
      <w:rFonts w:hint="default" w:ascii="Times New Roman" w:hAnsi="Times New Roman" w:eastAsia="宋体" w:cs="Times New Roman"/>
    </w:rPr>
  </w:style>
  <w:style w:type="paragraph" w:styleId="1051" w:customStyle="1">
    <w:name w:val="正文首行缩进11"/>
    <w:basedOn w:val="1052"/>
    <w:next w:val="833"/>
    <w:uiPriority w:val="99"/>
    <w:unhideWhenUsed/>
    <w:qFormat/>
    <w:pPr>
      <w:ind w:firstLine="420"/>
    </w:pPr>
    <w:rPr>
      <w:szCs w:val="24"/>
    </w:rPr>
  </w:style>
  <w:style w:type="paragraph" w:styleId="1052" w:customStyle="1">
    <w:name w:val="正文文本111"/>
    <w:basedOn w:val="833"/>
    <w:next w:val="833"/>
    <w:uiPriority w:val="0"/>
    <w:qFormat/>
    <w:rPr>
      <w:rFonts w:eastAsia="楷体_GB2312"/>
      <w:b/>
      <w:bCs/>
      <w:color w:val="ff0000"/>
      <w:sz w:val="32"/>
      <w:szCs w:val="32"/>
      <w:lang w:val="zh-CN"/>
    </w:rPr>
  </w:style>
  <w:style w:type="paragraph" w:styleId="1053" w:customStyle="1">
    <w:name w:val="段"/>
    <w:next w:val="833"/>
    <w:uiPriority w:val="0"/>
    <w:qFormat/>
    <w:pPr>
      <w:ind w:firstLine="200"/>
      <w:jc w:val="both"/>
    </w:pPr>
    <w:rPr>
      <w:rFonts w:hint="default" w:ascii="宋体" w:hAnsi="Times New Roman" w:eastAsia="宋体" w:cs="Times New Roman"/>
      <w:sz w:val="21"/>
      <w:lang w:val="en-US" w:eastAsia="zh-CN" w:bidi="ar-SA"/>
    </w:rPr>
  </w:style>
  <w:style w:type="paragraph" w:styleId="1054" w:customStyle="1">
    <w:name w:val="Heading 4"/>
    <w:basedOn w:val="833"/>
    <w:next w:val="833"/>
    <w:uiPriority w:val="0"/>
    <w:qFormat/>
    <w:pPr>
      <w:keepLines/>
      <w:keepNext/>
      <w:spacing w:before="280" w:after="290" w:line="376" w:lineRule="auto"/>
    </w:pPr>
    <w:rPr>
      <w:rFonts w:ascii="Arial" w:hAnsi="Arial" w:eastAsia="黑体"/>
      <w:b/>
      <w:bCs/>
      <w:sz w:val="28"/>
      <w:szCs w:val="28"/>
    </w:rPr>
  </w:style>
  <w:style w:type="paragraph" w:styleId="1055" w:customStyle="1">
    <w:name w:val="正文1"/>
    <w:uiPriority w:val="99"/>
    <w:qFormat/>
    <w:pPr>
      <w:jc w:val="both"/>
    </w:pPr>
    <w:rPr>
      <w:rFonts w:hint="default" w:ascii="Calibri" w:hAnsi="Calibri" w:eastAsia="宋体" w:cs="Times New Roman"/>
      <w:sz w:val="21"/>
      <w:szCs w:val="21"/>
      <w:lang w:val="en-US" w:eastAsia="zh-CN" w:bidi="ar-SA"/>
    </w:rPr>
  </w:style>
  <w:style w:type="character" w:styleId="1056" w:customStyle="1">
    <w:name w:val="HTML 预设格式 Char"/>
    <w:link w:val="876"/>
    <w:uiPriority w:val="0"/>
    <w:qFormat/>
    <w:rPr>
      <w:rFonts w:ascii="黑体" w:eastAsia="黑体"/>
    </w:rPr>
  </w:style>
  <w:style w:type="character" w:styleId="1057" w:customStyle="1">
    <w:name w:val="批注主题 Char"/>
    <w:basedOn w:val="1058"/>
    <w:link w:val="880"/>
    <w:uiPriority w:val="0"/>
    <w:qFormat/>
    <w:rPr>
      <w:b/>
      <w:bCs/>
      <w:sz w:val="21"/>
      <w:szCs w:val="24"/>
    </w:rPr>
  </w:style>
  <w:style w:type="character" w:styleId="1058" w:customStyle="1">
    <w:name w:val="批注文字 Char"/>
    <w:basedOn w:val="843"/>
    <w:link w:val="849"/>
    <w:uiPriority w:val="0"/>
    <w:qFormat/>
    <w:rPr>
      <w:sz w:val="21"/>
      <w:szCs w:val="24"/>
    </w:rPr>
  </w:style>
  <w:style w:type="character" w:styleId="1059" w:customStyle="1">
    <w:name w:val="标题2 Char"/>
    <w:uiPriority w:val="0"/>
    <w:qFormat/>
    <w:rPr>
      <w:rFonts w:ascii="方正楷体_GBK" w:eastAsia="方正楷体_GBK"/>
      <w:sz w:val="32"/>
      <w:lang w:val="en-US" w:eastAsia="zh-CN" w:bidi="ar-SA"/>
    </w:rPr>
  </w:style>
  <w:style w:type="character" w:styleId="1060" w:customStyle="1">
    <w:name w:val="标题 5 Char"/>
    <w:basedOn w:val="843"/>
    <w:link w:val="838"/>
    <w:uiPriority w:val="0"/>
    <w:qFormat/>
    <w:rPr>
      <w:rFonts w:ascii="宋体"/>
      <w:b/>
      <w:bCs/>
      <w:sz w:val="21"/>
      <w:szCs w:val="24"/>
    </w:rPr>
  </w:style>
  <w:style w:type="character" w:styleId="1061" w:customStyle="1">
    <w:name w:val="页脚 Char"/>
    <w:link w:val="864"/>
    <w:uiPriority w:val="0"/>
    <w:qFormat/>
    <w:rPr>
      <w:sz w:val="18"/>
    </w:rPr>
  </w:style>
  <w:style w:type="character" w:styleId="1062" w:customStyle="1">
    <w:name w:val="批注框文本 Char"/>
    <w:link w:val="863"/>
    <w:uiPriority w:val="0"/>
    <w:qFormat/>
    <w:rPr>
      <w:sz w:val="18"/>
      <w:szCs w:val="18"/>
    </w:rPr>
  </w:style>
  <w:style w:type="character" w:styleId="1063" w:customStyle="1">
    <w:name w:val="标题 4 Char"/>
    <w:basedOn w:val="843"/>
    <w:link w:val="837"/>
    <w:uiPriority w:val="0"/>
    <w:qFormat/>
    <w:rPr>
      <w:rFonts w:ascii="Arial" w:hAnsi="Arial" w:eastAsia="黑体"/>
      <w:b/>
      <w:bCs/>
      <w:sz w:val="28"/>
      <w:szCs w:val="28"/>
    </w:rPr>
  </w:style>
  <w:style w:type="character" w:styleId="1064" w:customStyle="1">
    <w:name w:val="正文文本 2 Char"/>
    <w:basedOn w:val="843"/>
    <w:link w:val="875"/>
    <w:uiPriority w:val="0"/>
    <w:qFormat/>
    <w:rPr>
      <w:rFonts w:ascii="仿宋_GB2312" w:eastAsia="仿宋_GB2312"/>
      <w:sz w:val="44"/>
      <w:szCs w:val="24"/>
    </w:rPr>
  </w:style>
  <w:style w:type="character" w:styleId="1065" w:customStyle="1">
    <w:name w:val="标题 3 Char"/>
    <w:basedOn w:val="843"/>
    <w:link w:val="836"/>
    <w:uiPriority w:val="0"/>
    <w:qFormat/>
    <w:rPr>
      <w:b/>
      <w:sz w:val="32"/>
    </w:rPr>
  </w:style>
  <w:style w:type="character" w:styleId="1066" w:customStyle="1">
    <w:name w:val="文档结构图 Char"/>
    <w:basedOn w:val="843"/>
    <w:link w:val="848"/>
    <w:uiPriority w:val="0"/>
    <w:qFormat/>
    <w:rPr>
      <w:sz w:val="21"/>
      <w:szCs w:val="24"/>
      <w:shd w:val="clear" w:color="auto" w:fill="000080"/>
    </w:rPr>
  </w:style>
  <w:style w:type="character" w:styleId="1067" w:customStyle="1">
    <w:name w:val="副标题 Char"/>
    <w:basedOn w:val="843"/>
    <w:link w:val="868"/>
    <w:uiPriority w:val="0"/>
    <w:qFormat/>
    <w:rPr>
      <w:rFonts w:ascii="Cambria" w:hAnsi="Cambria"/>
      <w:b/>
      <w:bCs/>
      <w:sz w:val="32"/>
      <w:szCs w:val="32"/>
    </w:rPr>
  </w:style>
  <w:style w:type="character" w:styleId="1068" w:customStyle="1">
    <w:name w:val="副标题 Char1"/>
    <w:basedOn w:val="843"/>
    <w:uiPriority w:val="11"/>
    <w:qFormat/>
    <w:rPr>
      <w:rFonts w:ascii="Cambria" w:hAnsi="Cambria" w:cs="Times New Roman"/>
      <w:b/>
      <w:bCs/>
      <w:sz w:val="32"/>
      <w:szCs w:val="32"/>
    </w:rPr>
  </w:style>
  <w:style w:type="character" w:styleId="1069" w:customStyle="1">
    <w:name w:val="正文文本缩进 3 Char"/>
    <w:basedOn w:val="843"/>
    <w:link w:val="871"/>
    <w:uiPriority w:val="0"/>
    <w:qFormat/>
    <w:rPr>
      <w:rFonts w:ascii="仿宋_GB2312" w:eastAsia="仿宋_GB2312"/>
      <w:sz w:val="24"/>
      <w:szCs w:val="24"/>
    </w:rPr>
  </w:style>
  <w:style w:type="character" w:styleId="1070" w:customStyle="1">
    <w:name w:val="正文文本缩进 Char"/>
    <w:basedOn w:val="843"/>
    <w:link w:val="852"/>
    <w:uiPriority w:val="0"/>
    <w:qFormat/>
    <w:rPr>
      <w:rFonts w:ascii="楷体_GB2312" w:eastAsia="楷体_GB2312"/>
      <w:sz w:val="32"/>
    </w:rPr>
  </w:style>
  <w:style w:type="character" w:styleId="1071" w:customStyle="1">
    <w:name w:val="正文文本缩进 2 Char"/>
    <w:basedOn w:val="843"/>
    <w:link w:val="861"/>
    <w:uiPriority w:val="0"/>
    <w:qFormat/>
    <w:rPr>
      <w:rFonts w:ascii="宋体"/>
      <w:sz w:val="28"/>
      <w:szCs w:val="24"/>
    </w:rPr>
  </w:style>
  <w:style w:type="character" w:styleId="1072" w:customStyle="1">
    <w:name w:val="日期 Char"/>
    <w:basedOn w:val="843"/>
    <w:link w:val="860"/>
    <w:uiPriority w:val="0"/>
    <w:qFormat/>
    <w:rPr>
      <w:sz w:val="24"/>
    </w:rPr>
  </w:style>
  <w:style w:type="character" w:styleId="1073" w:customStyle="1">
    <w:name w:val="jj1"/>
    <w:uiPriority w:val="0"/>
    <w:qFormat/>
    <w:rPr>
      <w:sz w:val="20"/>
      <w:szCs w:val="20"/>
      <w:u w:val="none"/>
    </w:rPr>
  </w:style>
  <w:style w:type="character" w:styleId="1074" w:customStyle="1">
    <w:name w:val="正文文本 3 Char"/>
    <w:basedOn w:val="843"/>
    <w:link w:val="850"/>
    <w:uiPriority w:val="0"/>
    <w:qFormat/>
    <w:rPr>
      <w:rFonts w:ascii="仿宋_GB2312" w:eastAsia="仿宋_GB2312"/>
      <w:sz w:val="32"/>
    </w:rPr>
  </w:style>
  <w:style w:type="character" w:styleId="1075" w:customStyle="1">
    <w:name w:val="页眉 Char"/>
    <w:basedOn w:val="843"/>
    <w:link w:val="865"/>
    <w:uiPriority w:val="99"/>
    <w:qFormat/>
    <w:rPr>
      <w:sz w:val="18"/>
      <w:szCs w:val="18"/>
    </w:rPr>
  </w:style>
  <w:style w:type="character" w:styleId="1076" w:customStyle="1">
    <w:name w:val="正文文本 Char"/>
    <w:basedOn w:val="843"/>
    <w:link w:val="851"/>
    <w:uiPriority w:val="0"/>
    <w:qFormat/>
    <w:rPr>
      <w:rFonts w:ascii="楷体_GB2312" w:eastAsia="楷体_GB2312"/>
      <w:sz w:val="28"/>
    </w:rPr>
  </w:style>
  <w:style w:type="character" w:styleId="1077" w:customStyle="1">
    <w:name w:val="纯文本 Char"/>
    <w:basedOn w:val="843"/>
    <w:link w:val="858"/>
    <w:uiPriority w:val="0"/>
    <w:qFormat/>
    <w:rPr>
      <w:rFonts w:ascii="宋体"/>
      <w:sz w:val="21"/>
    </w:rPr>
  </w:style>
  <w:style w:type="paragraph" w:styleId="1078" w:customStyle="1">
    <w:name w:val="标题3"/>
    <w:basedOn w:val="833"/>
    <w:next w:val="833"/>
    <w:uiPriority w:val="0"/>
    <w:qFormat/>
    <w:rPr>
      <w:rFonts w:eastAsia="方正黑体_GBK"/>
    </w:rPr>
  </w:style>
  <w:style w:type="paragraph" w:styleId="1079" w:customStyle="1">
    <w:name w:val="xl83"/>
    <w:basedOn w:val="833"/>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80"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81" w:customStyle="1">
    <w:name w:val="TOC 标题1"/>
    <w:basedOn w:val="834"/>
    <w:next w:val="833"/>
    <w:uiPriority w:val="0"/>
    <w:qFormat/>
    <w:pPr>
      <w:jc w:val="left"/>
      <w:keepLines/>
      <w:spacing w:before="480" w:line="276" w:lineRule="auto"/>
      <w:widowControl/>
      <w:outlineLvl w:val="9"/>
    </w:pPr>
    <w:rPr>
      <w:rFonts w:ascii="Cambria" w:hAnsi="Cambria" w:eastAsia="宋体"/>
      <w:b/>
      <w:bCs/>
      <w:color w:val="365f91"/>
      <w:szCs w:val="28"/>
    </w:rPr>
  </w:style>
  <w:style w:type="paragraph" w:styleId="1082" w:customStyle="1">
    <w:name w:val="第四级"/>
    <w:basedOn w:val="833"/>
    <w:next w:val="833"/>
    <w:uiPriority w:val="0"/>
    <w:qFormat/>
    <w:pPr>
      <w:spacing w:line="360" w:lineRule="auto"/>
      <w:tabs>
        <w:tab w:val="left" w:pos="1134" w:leader="none"/>
      </w:tabs>
    </w:pPr>
    <w:rPr>
      <w:rFonts w:ascii="宋体" w:hAnsi="宋体" w:eastAsia="仿宋"/>
      <w:sz w:val="28"/>
      <w:szCs w:val="21"/>
    </w:rPr>
  </w:style>
  <w:style w:type="paragraph" w:styleId="1083" w:customStyle="1">
    <w:name w:val="Char Char Char Char1 Char Char Char"/>
    <w:basedOn w:val="848"/>
    <w:uiPriority w:val="0"/>
    <w:qFormat/>
    <w:pPr>
      <w:spacing w:line="360" w:lineRule="auto"/>
    </w:pPr>
    <w:rPr>
      <w:rFonts w:ascii="Tahoma" w:hAnsi="Tahoma"/>
      <w:sz w:val="24"/>
    </w:rPr>
  </w:style>
  <w:style w:type="paragraph" w:styleId="1084" w:customStyle="1">
    <w:name w:val="xl77"/>
    <w:basedOn w:val="833"/>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85" w:customStyle="1">
    <w:name w:val="xl47"/>
    <w:basedOn w:val="833"/>
    <w:uiPriority w:val="0"/>
    <w:qFormat/>
    <w:pPr>
      <w:jc w:val="center"/>
      <w:spacing w:before="100" w:beforeAutospacing="1" w:after="100" w:afterAutospacing="1"/>
      <w:widowControl/>
    </w:pPr>
    <w:rPr>
      <w:rFonts w:ascii="方正姚体" w:eastAsia="方正姚体"/>
      <w:b/>
      <w:bCs/>
      <w:sz w:val="36"/>
      <w:szCs w:val="36"/>
    </w:rPr>
  </w:style>
  <w:style w:type="paragraph" w:styleId="1086" w:customStyle="1">
    <w:name w:val="标题2"/>
    <w:basedOn w:val="833"/>
    <w:next w:val="833"/>
    <w:uiPriority w:val="0"/>
    <w:qFormat/>
    <w:pPr>
      <w:jc w:val="center"/>
    </w:pPr>
    <w:rPr>
      <w:rFonts w:eastAsia="方正楷体_GBK"/>
    </w:rPr>
  </w:style>
  <w:style w:type="paragraph" w:styleId="1087" w:customStyle="1">
    <w:name w:val="HTML 预先格式化"/>
    <w:basedOn w:val="8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88" w:customStyle="1">
    <w:name w:val="正文 1.1.1"/>
    <w:basedOn w:val="833"/>
    <w:next w:val="833"/>
    <w:uiPriority w:val="0"/>
    <w:qFormat/>
    <w:pPr>
      <w:spacing w:line="360" w:lineRule="auto"/>
      <w:tabs>
        <w:tab w:val="left" w:pos="851" w:leader="none"/>
      </w:tabs>
      <w:outlineLvl w:val="2"/>
    </w:pPr>
    <w:rPr>
      <w:rFonts w:ascii="宋体"/>
      <w:color w:val="000000"/>
      <w:sz w:val="28"/>
      <w:szCs w:val="21"/>
    </w:rPr>
  </w:style>
  <w:style w:type="paragraph" w:styleId="1089" w:customStyle="1">
    <w:name w:val="默认段落字体 Para Char Char Char Char Char Char Char Char Char1 Char Char Char Char Char Char Char"/>
    <w:basedOn w:val="848"/>
    <w:uiPriority w:val="0"/>
    <w:qFormat/>
    <w:rPr>
      <w:rFonts w:ascii="Tahoma" w:hAnsi="Tahoma"/>
      <w:sz w:val="24"/>
    </w:rPr>
  </w:style>
  <w:style w:type="paragraph" w:styleId="1090" w:customStyle="1">
    <w:name w:val="xl79"/>
    <w:basedOn w:val="83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91" w:customStyle="1">
    <w:name w:val="xl86"/>
    <w:basedOn w:val="83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2" w:customStyle="1">
    <w:name w:val="xl69"/>
    <w:basedOn w:val="83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93" w:customStyle="1">
    <w:name w:val="标题1"/>
    <w:basedOn w:val="833"/>
    <w:next w:val="833"/>
    <w:uiPriority w:val="0"/>
    <w:qFormat/>
    <w:pPr>
      <w:jc w:val="center"/>
      <w:spacing w:line="700" w:lineRule="atLeast"/>
      <w:tabs>
        <w:tab w:val="left" w:pos="9193" w:leader="none"/>
        <w:tab w:val="left" w:pos="9827" w:leader="none"/>
      </w:tabs>
    </w:pPr>
    <w:rPr>
      <w:rFonts w:eastAsia="方正小标宋_GBK"/>
      <w:sz w:val="44"/>
    </w:rPr>
  </w:style>
  <w:style w:type="paragraph" w:styleId="1094" w:customStyle="1">
    <w:name w:val="正文 第一章"/>
    <w:basedOn w:val="833"/>
    <w:next w:val="1095"/>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95" w:customStyle="1">
    <w:name w:val="正文 1.1"/>
    <w:basedOn w:val="833"/>
    <w:next w:val="1088"/>
    <w:uiPriority w:val="0"/>
    <w:qFormat/>
    <w:pPr>
      <w:ind w:left="350" w:hanging="350"/>
      <w:spacing w:line="360" w:lineRule="auto"/>
      <w:outlineLvl w:val="1"/>
    </w:pPr>
    <w:rPr>
      <w:rFonts w:ascii="仿宋" w:eastAsia="仿宋"/>
      <w:b/>
      <w:sz w:val="28"/>
      <w:szCs w:val="21"/>
    </w:rPr>
  </w:style>
  <w:style w:type="paragraph" w:styleId="1096" w:customStyle="1">
    <w:name w:val="Char1"/>
    <w:basedOn w:val="833"/>
    <w:uiPriority w:val="0"/>
    <w:qFormat/>
    <w:pPr>
      <w:tabs>
        <w:tab w:val="left" w:pos="360" w:leader="none"/>
      </w:tabs>
    </w:pPr>
    <w:rPr>
      <w:sz w:val="24"/>
    </w:rPr>
  </w:style>
  <w:style w:type="paragraph" w:styleId="1097" w:customStyle="1">
    <w:name w:val="xl43"/>
    <w:basedOn w:val="83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98" w:customStyle="1">
    <w:name w:val="xl74"/>
    <w:basedOn w:val="833"/>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99" w:customStyle="1">
    <w:name w:val="xl67"/>
    <w:basedOn w:val="83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0" w:customStyle="1">
    <w:name w:val="列出段落3"/>
    <w:basedOn w:val="833"/>
    <w:uiPriority w:val="0"/>
    <w:qFormat/>
    <w:pPr>
      <w:ind w:firstLine="420"/>
    </w:pPr>
    <w:rPr>
      <w:rFonts w:ascii="Calibri" w:hAnsi="Calibri"/>
      <w:szCs w:val="22"/>
    </w:rPr>
  </w:style>
  <w:style w:type="paragraph" w:styleId="1101" w:customStyle="1">
    <w:name w:val="普通正文"/>
    <w:basedOn w:val="833"/>
    <w:uiPriority w:val="0"/>
    <w:qFormat/>
    <w:pPr>
      <w:ind w:firstLine="480"/>
      <w:jc w:val="left"/>
      <w:spacing w:before="120" w:after="120" w:line="360" w:lineRule="auto"/>
    </w:pPr>
    <w:rPr>
      <w:rFonts w:ascii="Arial" w:hAnsi="Arial"/>
      <w:sz w:val="24"/>
    </w:rPr>
  </w:style>
  <w:style w:type="paragraph" w:styleId="1102">
    <w:name w:val="List Paragraph"/>
    <w:basedOn w:val="833"/>
    <w:uiPriority w:val="0"/>
    <w:qFormat/>
    <w:pPr>
      <w:ind w:firstLine="200"/>
    </w:pPr>
    <w:rPr>
      <w:rFonts w:ascii="Calibri" w:hAnsi="Calibri"/>
      <w:szCs w:val="22"/>
    </w:rPr>
  </w:style>
  <w:style w:type="paragraph" w:styleId="1103" w:customStyle="1">
    <w:name w:val="列出段落2"/>
    <w:basedOn w:val="833"/>
    <w:uiPriority w:val="0"/>
    <w:qFormat/>
    <w:pPr>
      <w:ind w:firstLine="420"/>
    </w:pPr>
    <w:rPr>
      <w:rFonts w:ascii="Calibri" w:hAnsi="Calibri"/>
      <w:szCs w:val="22"/>
    </w:rPr>
  </w:style>
  <w:style w:type="paragraph" w:styleId="1104" w:customStyle="1">
    <w:name w:val="xl71"/>
    <w:basedOn w:val="833"/>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105" w:customStyle="1">
    <w:name w:val="xl81"/>
    <w:basedOn w:val="83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06" w:customStyle="1">
    <w:name w:val="xl80"/>
    <w:basedOn w:val="83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107" w:customStyle="1">
    <w:name w:val="xl73"/>
    <w:basedOn w:val="833"/>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108" w:customStyle="1">
    <w:name w:val="BioQuote Tekst"/>
    <w:basedOn w:val="833"/>
    <w:uiPriority w:val="0"/>
    <w:qFormat/>
    <w:pPr>
      <w:ind w:right="-1"/>
    </w:pPr>
    <w:rPr>
      <w:rFonts w:ascii="Arial" w:hAnsi="Arial"/>
      <w:sz w:val="22"/>
      <w:szCs w:val="20"/>
      <w:lang w:eastAsia="en-US"/>
    </w:rPr>
  </w:style>
  <w:style w:type="paragraph" w:styleId="1109" w:customStyle="1">
    <w:name w:val="xl65"/>
    <w:basedOn w:val="83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customStyle="1">
    <w:name w:val="xl75"/>
    <w:basedOn w:val="833"/>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111" w:customStyle="1">
    <w:name w:val="xl87"/>
    <w:basedOn w:val="83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112" w:customStyle="1">
    <w:name w:val="xl78"/>
    <w:basedOn w:val="833"/>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113" w:customStyle="1">
    <w:name w:val="正文格式"/>
    <w:basedOn w:val="857"/>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114" w:customStyle="1">
    <w:name w:val="Char"/>
    <w:basedOn w:val="833"/>
    <w:uiPriority w:val="0"/>
    <w:qFormat/>
    <w:rPr>
      <w:rFonts w:ascii="Tahoma" w:hAnsi="Tahoma"/>
      <w:sz w:val="24"/>
      <w:szCs w:val="20"/>
    </w:rPr>
  </w:style>
  <w:style w:type="paragraph" w:styleId="1115"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116" w:customStyle="1">
    <w:name w:val="列出段落1"/>
    <w:basedOn w:val="833"/>
    <w:uiPriority w:val="0"/>
    <w:qFormat/>
    <w:pPr>
      <w:contextualSpacing/>
      <w:ind w:left="720"/>
      <w:jc w:val="left"/>
      <w:widowControl/>
    </w:pPr>
    <w:rPr>
      <w:rFonts w:ascii="Calibri" w:hAnsi="Calibri"/>
      <w:sz w:val="24"/>
      <w:lang w:eastAsia="en-US" w:bidi="en-US"/>
    </w:rPr>
  </w:style>
  <w:style w:type="paragraph" w:styleId="1117" w:customStyle="1">
    <w:name w:val="xl88"/>
    <w:basedOn w:val="83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8" w:customStyle="1">
    <w:name w:val="xl72"/>
    <w:basedOn w:val="833"/>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119" w:customStyle="1">
    <w:name w:val="正文空2格  1."/>
    <w:basedOn w:val="833"/>
    <w:uiPriority w:val="0"/>
    <w:qFormat/>
    <w:pPr>
      <w:ind w:firstLine="200"/>
      <w:spacing w:line="360" w:lineRule="auto"/>
    </w:pPr>
    <w:rPr>
      <w:rFonts w:ascii="宋体" w:hAnsi="宋体" w:eastAsia="仿宋" w:cs="宋体"/>
      <w:sz w:val="28"/>
      <w:szCs w:val="20"/>
    </w:rPr>
  </w:style>
  <w:style w:type="paragraph" w:styleId="112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21" w:customStyle="1">
    <w:name w:val="Coms Alinea"/>
    <w:uiPriority w:val="0"/>
    <w:qFormat/>
    <w:pPr>
      <w:widowControl w:val="off"/>
    </w:pPr>
    <w:rPr>
      <w:rFonts w:hint="default" w:ascii="Arial" w:hAnsi="Arial" w:eastAsia="宋体" w:cs="Arial"/>
      <w:lang w:val="en-US" w:eastAsia="zh-CN" w:bidi="ar-SA"/>
    </w:rPr>
  </w:style>
  <w:style w:type="paragraph" w:styleId="1122" w:customStyle="1">
    <w:name w:val="xl70"/>
    <w:basedOn w:val="83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123" w:customStyle="1">
    <w:name w:val="xl66"/>
    <w:basedOn w:val="833"/>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4" w:customStyle="1">
    <w:name w:val="xl64"/>
    <w:basedOn w:val="833"/>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125" w:customStyle="1">
    <w:name w:val="xl85"/>
    <w:basedOn w:val="83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126" w:customStyle="1">
    <w:name w:val="xl68"/>
    <w:basedOn w:val="83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27" w:customStyle="1">
    <w:name w:val="xl84"/>
    <w:basedOn w:val="833"/>
    <w:uiPriority w:val="0"/>
    <w:qFormat/>
    <w:pPr>
      <w:jc w:val="right"/>
      <w:spacing w:before="100" w:beforeAutospacing="1" w:after="100" w:afterAutospacing="1"/>
      <w:shd w:val="clear" w:color="ffffff" w:fill="ffffff"/>
      <w:widowControl/>
    </w:pPr>
    <w:rPr>
      <w:rFonts w:ascii="宋体" w:hAnsi="宋体" w:cs="宋体"/>
      <w:sz w:val="24"/>
    </w:rPr>
  </w:style>
  <w:style w:type="paragraph" w:styleId="1128" w:customStyle="1">
    <w:name w:val="Char Char Char Char"/>
    <w:basedOn w:val="848"/>
    <w:uiPriority w:val="0"/>
    <w:qFormat/>
    <w:pPr>
      <w:spacing w:line="360" w:lineRule="auto"/>
    </w:pPr>
    <w:rPr>
      <w:rFonts w:ascii="Tahoma" w:hAnsi="Tahoma"/>
      <w:sz w:val="24"/>
    </w:rPr>
  </w:style>
  <w:style w:type="paragraph" w:styleId="1129" w:customStyle="1">
    <w:name w:val="xl82"/>
    <w:basedOn w:val="833"/>
    <w:uiPriority w:val="0"/>
    <w:qFormat/>
    <w:pPr>
      <w:jc w:val="left"/>
      <w:spacing w:before="100" w:beforeAutospacing="1" w:after="100" w:afterAutospacing="1"/>
      <w:shd w:val="clear" w:color="ffffff" w:fill="ffffff"/>
      <w:widowControl/>
    </w:pPr>
    <w:rPr>
      <w:rFonts w:ascii="宋体" w:hAnsi="宋体" w:cs="宋体"/>
      <w:sz w:val="24"/>
    </w:rPr>
  </w:style>
  <w:style w:type="paragraph" w:styleId="1130" w:customStyle="1">
    <w:name w:val="Blockquote"/>
    <w:basedOn w:val="833"/>
    <w:uiPriority w:val="0"/>
    <w:qFormat/>
    <w:pPr>
      <w:ind w:left="360" w:right="360"/>
      <w:jc w:val="left"/>
      <w:spacing w:before="100" w:after="100"/>
    </w:pPr>
    <w:rPr>
      <w:sz w:val="24"/>
      <w:szCs w:val="20"/>
    </w:rPr>
  </w:style>
  <w:style w:type="paragraph" w:styleId="1131" w:customStyle="1">
    <w:name w:val="xl33"/>
    <w:basedOn w:val="8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132" w:customStyle="1">
    <w:name w:val="xl76"/>
    <w:basedOn w:val="833"/>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13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Char Char Char Char1 Char Char"/>
    <w:basedOn w:val="833"/>
    <w:uiPriority w:val="0"/>
    <w:qFormat/>
    <w:pPr>
      <w:tabs>
        <w:tab w:val="left" w:pos="360" w:leader="none"/>
      </w:tabs>
    </w:pPr>
    <w:rPr>
      <w:sz w:val="24"/>
    </w:rPr>
  </w:style>
  <w:style w:type="paragraph" w:styleId="1135" w:customStyle="1">
    <w:name w:val="样式 标题 2 + 黑色 行距: 1.5 倍行距"/>
    <w:basedOn w:val="835"/>
    <w:uiPriority w:val="0"/>
    <w:qFormat/>
    <w:pPr>
      <w:spacing w:line="360" w:lineRule="auto"/>
    </w:pPr>
    <w:rPr>
      <w:rFonts w:eastAsia="宋体"/>
      <w:color w:val="000000"/>
    </w:rPr>
  </w:style>
  <w:style w:type="character" w:styleId="1136" w:customStyle="1">
    <w:name w:val="hover"/>
    <w:basedOn w:val="843"/>
    <w:uiPriority w:val="0"/>
    <w:qFormat/>
    <w:rPr>
      <w:color w:val="5fb878"/>
    </w:rPr>
  </w:style>
  <w:style w:type="character" w:styleId="1137" w:customStyle="1">
    <w:name w:val="hover1"/>
    <w:basedOn w:val="843"/>
    <w:uiPriority w:val="0"/>
    <w:qFormat/>
    <w:rPr>
      <w:color w:val="ffffff"/>
    </w:rPr>
  </w:style>
  <w:style w:type="character" w:styleId="1138" w:customStyle="1">
    <w:name w:val="hover2"/>
    <w:basedOn w:val="843"/>
    <w:uiPriority w:val="0"/>
    <w:qFormat/>
    <w:rPr>
      <w:color w:val="5fb878"/>
    </w:rPr>
  </w:style>
  <w:style w:type="paragraph" w:styleId="1139" w:customStyle="1">
    <w:name w:val="Table Paragraph"/>
    <w:basedOn w:val="833"/>
    <w:uiPriority w:val="1"/>
    <w:qFormat/>
  </w:style>
  <w:style w:type="character" w:styleId="1140" w:customStyle="1">
    <w:name w:val="NormalCharacter"/>
    <w:uiPriority w:val="0"/>
    <w:semiHidden/>
    <w:qFormat/>
    <w:rPr>
      <w:sz w:val="21"/>
      <w:szCs w:val="24"/>
      <w:lang w:val="en-US" w:eastAsia="zh-CN" w:bidi="ar-SA"/>
    </w:rPr>
  </w:style>
  <w:style w:type="character" w:styleId="1141" w:customStyle="1">
    <w:name w:val="font11"/>
    <w:basedOn w:val="843"/>
    <w:uiPriority w:val="0"/>
    <w:qFormat/>
    <w:rPr>
      <w:rFonts w:hint="eastAsia" w:ascii="宋体" w:hAnsi="宋体" w:eastAsia="宋体" w:cs="宋体"/>
      <w:color w:val="000000"/>
      <w:sz w:val="20"/>
      <w:szCs w:val="20"/>
      <w:u w:val="none"/>
    </w:rPr>
  </w:style>
  <w:style w:type="paragraph" w:styleId="1142"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143" w:customStyle="1">
    <w:name w:val="纯文本1"/>
    <w:basedOn w:val="833"/>
    <w:uiPriority w:val="0"/>
    <w:qFormat/>
    <w:rPr>
      <w:rFonts w:ascii="宋体" w:hAnsi="Courier New" w:eastAsia="宋体" w:cs="Times New Roman"/>
      <w:szCs w:val="20"/>
    </w:rPr>
  </w:style>
  <w:style w:type="paragraph" w:styleId="1144" w:customStyle="1">
    <w:name w:val="标题 31"/>
    <w:basedOn w:val="833"/>
    <w:next w:val="833"/>
    <w:uiPriority w:val="9"/>
    <w:qFormat/>
    <w:pPr>
      <w:keepLines/>
      <w:keepNext/>
      <w:spacing w:before="260" w:after="260" w:line="416" w:lineRule="auto"/>
      <w:outlineLvl w:val="2"/>
    </w:pPr>
    <w:rPr>
      <w:b/>
      <w:bCs/>
      <w:sz w:val="32"/>
      <w:szCs w:val="32"/>
    </w:rPr>
  </w:style>
  <w:style w:type="paragraph" w:styleId="1145" w:customStyle="1">
    <w:name w:val="纯文本11"/>
    <w:basedOn w:val="833"/>
    <w:next w:val="1146"/>
    <w:uiPriority w:val="0"/>
    <w:qFormat/>
    <w:rPr>
      <w:rFonts w:ascii="宋体" w:hAnsi="Courier New"/>
      <w:sz w:val="21"/>
      <w:szCs w:val="20"/>
    </w:rPr>
  </w:style>
  <w:style w:type="paragraph" w:styleId="1146" w:customStyle="1">
    <w:name w:val="正文缩进11"/>
    <w:basedOn w:val="833"/>
    <w:uiPriority w:val="0"/>
    <w:qFormat/>
    <w:pPr>
      <w:ind w:firstLine="420"/>
      <w:spacing w:line="360" w:lineRule="atLeast"/>
    </w:pPr>
    <w:rPr>
      <w:sz w:val="21"/>
      <w:szCs w:val="20"/>
    </w:rPr>
  </w:style>
  <w:style w:type="paragraph" w:styleId="1147" w:customStyle="1">
    <w:name w:val="正文文本缩进 31"/>
    <w:basedOn w:val="833"/>
    <w:uiPriority w:val="0"/>
    <w:qFormat/>
    <w:pPr>
      <w:ind w:left="360"/>
      <w:spacing w:line="400" w:lineRule="exact"/>
    </w:pPr>
  </w:style>
  <w:style w:type="paragraph" w:styleId="1148" w:customStyle="1">
    <w:name w:val="目录 31"/>
    <w:basedOn w:val="833"/>
    <w:next w:val="833"/>
    <w:uiPriority w:val="39"/>
    <w:qFormat/>
    <w:pPr>
      <w:ind w:left="840"/>
    </w:pPr>
    <w:rPr>
      <w:rFonts w:ascii="Calibri" w:hAnsi="Calibri"/>
      <w:szCs w:val="22"/>
    </w:rPr>
  </w:style>
  <w:style w:type="paragraph" w:styleId="1149" w:customStyle="1">
    <w:name w:val="页脚1"/>
    <w:basedOn w:val="833"/>
    <w:uiPriority w:val="0"/>
    <w:qFormat/>
    <w:pPr>
      <w:jc w:val="left"/>
      <w:tabs>
        <w:tab w:val="center" w:pos="4153" w:leader="none"/>
        <w:tab w:val="right" w:pos="8306" w:leader="none"/>
      </w:tabs>
    </w:pPr>
    <w:rPr>
      <w:sz w:val="18"/>
      <w:szCs w:val="18"/>
    </w:rPr>
  </w:style>
  <w:style w:type="paragraph" w:styleId="1150" w:customStyle="1">
    <w:name w:val="列表接续 21"/>
    <w:basedOn w:val="833"/>
    <w:next w:val="833"/>
    <w:uiPriority w:val="0"/>
    <w:qFormat/>
    <w:pPr>
      <w:ind w:left="840"/>
      <w:spacing w:after="120"/>
    </w:pPr>
  </w:style>
  <w:style w:type="paragraph" w:styleId="1151" w:customStyle="1">
    <w:name w:val="批注文字1"/>
    <w:basedOn w:val="833"/>
    <w:uiPriority w:val="0"/>
    <w:qFormat/>
    <w:pPr>
      <w:jc w:val="left"/>
    </w:pPr>
    <w:rPr>
      <w:sz w:val="21"/>
    </w:rPr>
  </w:style>
  <w:style w:type="paragraph" w:styleId="1152" w:customStyle="1">
    <w:name w:val="正文首行缩进1"/>
    <w:basedOn w:val="1153"/>
    <w:uiPriority w:val="99"/>
    <w:unhideWhenUsed/>
    <w:qFormat/>
    <w:pPr>
      <w:ind w:firstLine="420"/>
    </w:pPr>
  </w:style>
  <w:style w:type="paragraph" w:styleId="1153" w:customStyle="1">
    <w:name w:val="正文文本1"/>
    <w:basedOn w:val="833"/>
    <w:uiPriority w:val="0"/>
    <w:qFormat/>
    <w:pPr>
      <w:jc w:val="center"/>
    </w:pPr>
    <w:rPr>
      <w:sz w:val="21"/>
    </w:rPr>
  </w:style>
  <w:style w:type="paragraph" w:styleId="1154" w:customStyle="1">
    <w:name w:val="正文文本缩进1"/>
    <w:basedOn w:val="833"/>
    <w:next w:val="1155"/>
    <w:uiPriority w:val="0"/>
    <w:qFormat/>
    <w:pPr>
      <w:ind w:firstLine="645"/>
    </w:pPr>
    <w:rPr>
      <w:rFonts w:ascii="楷体_GB2312" w:eastAsia="楷体_GB2312"/>
      <w:sz w:val="32"/>
      <w:szCs w:val="20"/>
    </w:rPr>
  </w:style>
  <w:style w:type="paragraph" w:styleId="1155" w:customStyle="1">
    <w:name w:val="寄信人地址1"/>
    <w:basedOn w:val="833"/>
    <w:uiPriority w:val="99"/>
    <w:qFormat/>
    <w:rPr>
      <w:rFonts w:ascii="Arial" w:hAnsi="Arial"/>
    </w:rPr>
  </w:style>
  <w:style w:type="numbering" w:styleId="11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卜思允</cp:lastModifiedBy>
  <cp:revision>11</cp:revision>
  <dcterms:created xsi:type="dcterms:W3CDTF">2024-03-07T06:53:00Z</dcterms:created>
  <dcterms:modified xsi:type="dcterms:W3CDTF">2025-12-01T07:48:59Z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SaveFontToCloudKey">
    <vt:lpwstr>462357053_btnclosed</vt:lpwstr>
  </property>
  <property fmtid="{D5CDD505-2E9C-101B-9397-08002B2CF9AE}" pid="4" name="ICV">
    <vt:lpwstr>E45C2A4992E84D33BEBE089C742753C2_13</vt:lpwstr>
  </property>
  <property fmtid="{D5CDD505-2E9C-101B-9397-08002B2CF9AE}" pid="5" name="KSOTemplateDocerSaveRecord">
    <vt:lpwstr>eyJoZGlkIjoiZDlhNmZjOWU3NzdjZWM4OGUxODUyMDk1ODJlMTE3MDgiLCJ1c2VySWQiOiIzODc4OTQ2OTMifQ==</vt:lpwstr>
  </property>
</Properties>
</file>