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color w:val="000000"/>
          <w:sz w:val="32"/>
          <w:szCs w:val="24"/>
          <w:highlight w:val="none"/>
        </w:rPr>
        <w:t xml:space="preserve">项目名称：江苏省海州高级中学物理数字化实验室</w:t>
      </w:r>
      <w:r>
        <w:rPr>
          <w:rFonts w:hint="eastAsia" w:ascii="Arial" w:hAnsi="Arial" w:eastAsia="宋体" w:cs="Times New Roman"/>
          <w:b/>
          <w:bCs/>
          <w:color w:val="000000"/>
          <w:sz w:val="32"/>
          <w:szCs w:val="24"/>
          <w:highlight w:val="none"/>
          <w:lang w:eastAsia="zh-CN"/>
        </w:rPr>
        <w:t xml:space="preserve">（二次）</w:t>
      </w:r>
      <w:r/>
    </w:p>
    <w:p>
      <w:pPr>
        <w:ind w:firstLine="1285"/>
        <w:spacing w:line="480" w:lineRule="auto"/>
        <w:rPr>
          <w:rFonts w:hint="default" w:ascii="黑体" w:hAnsi="Arial" w:eastAsia="黑体" w:cs="Times New Roman"/>
          <w:b/>
          <w:color w:val="000000"/>
          <w:sz w:val="44"/>
          <w:szCs w:val="21"/>
          <w:highlight w:val="none"/>
          <w:lang w:val="en-US"/>
        </w:rPr>
      </w:pPr>
      <w:r>
        <w:rPr>
          <w:rFonts w:hint="eastAsia" w:ascii="Arial" w:hAnsi="Arial" w:eastAsia="宋体" w:cs="Times New Roman"/>
          <w:b/>
          <w:bCs/>
          <w:sz w:val="32"/>
          <w:szCs w:val="24"/>
          <w:highlight w:val="none"/>
        </w:rPr>
        <w:t xml:space="preserve">项目编号：JSZC-320700-JZCG-G2024-0249</w:t>
      </w:r>
      <w:r>
        <w:rPr>
          <w:rFonts w:hint="eastAsia" w:ascii="黑体" w:hAnsi="Arial" w:eastAsia="宋体" w:cs="Times New Roman"/>
          <w:b/>
          <w:color w:val="000000"/>
          <w:sz w:val="44"/>
          <w:szCs w:val="21"/>
          <w:highlight w:val="none"/>
          <w:lang w:val="en-US" w:eastAsia="zh-CN"/>
        </w:rPr>
        <w:t xml:space="preserve">      </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highlight w:val="none"/>
        </w:rPr>
        <w:t xml:space="preserve">2025年</w:t>
      </w:r>
      <w:r>
        <w:rPr>
          <w:rFonts w:hint="eastAsia" w:ascii="Arial" w:hAnsi="Arial" w:eastAsia="宋体" w:cs="Times New Roman"/>
          <w:b/>
          <w:bCs/>
          <w:color w:val="000000"/>
          <w:sz w:val="32"/>
          <w:szCs w:val="24"/>
          <w:highlight w:val="none"/>
          <w:lang w:val="en-US" w:eastAsia="zh-CN"/>
        </w:rPr>
        <w:t xml:space="preserve">1</w:t>
      </w:r>
      <w:r>
        <w:rPr>
          <w:rFonts w:hint="eastAsia" w:ascii="Arial" w:hAnsi="Arial" w:eastAsia="宋体" w:cs="Times New Roman"/>
          <w:b/>
          <w:bCs/>
          <w:color w:val="000000"/>
          <w:sz w:val="32"/>
          <w:szCs w:val="24"/>
          <w:highlight w:val="none"/>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718"/>
        <w:rPr>
          <w:b w:val="0"/>
        </w:rPr>
      </w:pPr>
      <w:r>
        <w:rPr>
          <w:rFonts w:hint="eastAsia"/>
          <w:b w:val="0"/>
        </w:rPr>
        <w:t xml:space="preserve">目  录</w:t>
      </w:r>
      <w:r/>
    </w:p>
    <w:p>
      <w:pPr>
        <w:pStyle w:val="718"/>
      </w:pPr>
      <w:r/>
      <w:r/>
    </w:p>
    <w:p>
      <w:pPr>
        <w:pStyle w:val="718"/>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b w:val="0"/>
          <w:sz w:val="32"/>
        </w:rPr>
        <w:tab/>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718"/>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b w:val="0"/>
          <w:sz w:val="32"/>
        </w:rPr>
        <w:tab/>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4</w:t>
      </w:r>
      <w:r>
        <w:rPr>
          <w:b w:val="0"/>
          <w:sz w:val="32"/>
        </w:rPr>
        <w:fldChar w:fldCharType="end"/>
      </w:r>
      <w:r/>
    </w:p>
    <w:p>
      <w:pPr>
        <w:pStyle w:val="718"/>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b w:val="0"/>
          <w:sz w:val="32"/>
        </w:rPr>
        <w:tab/>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18</w:t>
      </w:r>
      <w:r>
        <w:rPr>
          <w:b w:val="0"/>
          <w:sz w:val="32"/>
        </w:rPr>
        <w:fldChar w:fldCharType="end"/>
      </w:r>
      <w:r/>
    </w:p>
    <w:p>
      <w:pPr>
        <w:pStyle w:val="718"/>
        <w:rPr>
          <w:rFonts w:hint="eastAsia"/>
          <w:b w:val="0"/>
          <w:sz w:val="32"/>
          <w:lang w:val="en-US" w:eastAsia="zh-CN"/>
        </w:rPr>
      </w:pPr>
      <w:r>
        <w:rPr>
          <w:rFonts w:hint="eastAsia"/>
          <w:b w:val="0"/>
          <w:sz w:val="32"/>
        </w:rPr>
        <w:t xml:space="preserve">第四章</w:t>
      </w:r>
      <w:r>
        <w:rPr>
          <w:b w:val="0"/>
          <w:sz w:val="32"/>
        </w:rPr>
        <w:t xml:space="preserve">  </w:t>
      </w:r>
      <w:r>
        <w:rPr>
          <w:rFonts w:hint="eastAsia"/>
          <w:b w:val="0"/>
          <w:sz w:val="32"/>
        </w:rPr>
        <w:t xml:space="preserve">采购需求</w:t>
      </w:r>
      <w:r>
        <w:rPr>
          <w:b w:val="0"/>
          <w:sz w:val="32"/>
        </w:rPr>
        <w:tab/>
      </w:r>
      <w:r>
        <w:rPr>
          <w:rFonts w:hint="eastAsia"/>
          <w:b w:val="0"/>
          <w:sz w:val="32"/>
          <w:lang w:val="en-US" w:eastAsia="zh-CN"/>
        </w:rPr>
        <w:t xml:space="preserve">36</w:t>
      </w:r>
      <w:r/>
    </w:p>
    <w:p>
      <w:pPr>
        <w:pStyle w:val="718"/>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b w:val="0"/>
          <w:sz w:val="32"/>
        </w:rPr>
        <w:tab/>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93</w:t>
      </w:r>
      <w:r>
        <w:rPr>
          <w:b w:val="0"/>
          <w:sz w:val="32"/>
        </w:rPr>
        <w:fldChar w:fldCharType="end"/>
      </w:r>
      <w:r/>
    </w:p>
    <w:p>
      <w:pPr>
        <w:pStyle w:val="718"/>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b w:val="0"/>
          <w:sz w:val="32"/>
        </w:rPr>
        <w:tab/>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96</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693"/>
        <w:jc w:val="center"/>
        <w:spacing w:line="360" w:lineRule="auto"/>
        <w:rPr>
          <w:rFonts w:ascii="黑体" w:hAnsi="黑体" w:eastAsia="黑体"/>
          <w:b w:val="0"/>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693"/>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asciiTheme="minorEastAsia" w:hAnsiTheme="minorEastAsia"/>
          <w:sz w:val="24"/>
          <w:szCs w:val="24"/>
          <w:highlight w:val="none"/>
          <w:lang w:val="en-US" w:eastAsia="zh-CN"/>
        </w:rPr>
        <w:t xml:space="preserve">江苏省海州高级中学</w:t>
      </w:r>
      <w:r>
        <w:rPr>
          <w:rFonts w:hint="eastAsia" w:asciiTheme="minorEastAsia" w:hAnsiTheme="minorEastAsia"/>
          <w:sz w:val="24"/>
          <w:szCs w:val="24"/>
          <w:highlight w:val="none"/>
        </w:rPr>
        <w:t xml:space="preserve">的委托，连云港市公共资源交易中心就江苏省海州高级中学物理数字化实验室</w:t>
      </w:r>
      <w:r>
        <w:rPr>
          <w:rFonts w:hint="eastAsia" w:eastAsia="宋体" w:asciiTheme="minorEastAsia" w:hAnsiTheme="minorEastAsia"/>
          <w:sz w:val="24"/>
          <w:szCs w:val="24"/>
          <w:highlight w:val="none"/>
          <w:lang w:eastAsia="zh-CN"/>
        </w:rPr>
        <w:t xml:space="preserve">（二次）</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eastAsia="zh-CN"/>
        </w:rPr>
        <w:t xml:space="preserve">项目编号：JSZC-320700-JZCG-G2024-0249</w:t>
      </w:r>
      <w:r>
        <w:rPr>
          <w:rFonts w:hint="eastAsia" w:asciiTheme="minorEastAsia" w:hAnsiTheme="minorEastAsia"/>
          <w:sz w:val="24"/>
          <w:szCs w:val="24"/>
          <w:highlight w:val="none"/>
        </w:rPr>
        <w:t xml:space="preserve">）项目进行公开招标采购，欢迎符合条件的供应商投标。</w:t>
      </w:r>
      <w:r/>
    </w:p>
    <w:tbl>
      <w:tblPr>
        <w:tblStyle w:val="7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9"/>
      </w:tblGrid>
      <w:tr>
        <w:trPr/>
        <w:tc>
          <w:tcPr>
            <w:tcW w:w="9639"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江苏省海州高级中学物理数字化实验室</w:t>
            </w:r>
            <w:r>
              <w:rPr>
                <w:rFonts w:hint="eastAsia" w:eastAsia="宋体" w:asciiTheme="minorEastAsia" w:hAnsiTheme="minorEastAsia"/>
                <w:sz w:val="24"/>
                <w:szCs w:val="24"/>
                <w:highlight w:val="none"/>
                <w:lang w:eastAsia="zh-CN"/>
              </w:rPr>
              <w:t xml:space="preserve">（二次）</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eastAsia="宋体" w:asciiTheme="minorEastAsia" w:hAnsiTheme="minorEastAsia"/>
                <w:b/>
                <w:sz w:val="24"/>
                <w:szCs w:val="24"/>
                <w:highlight w:val="none"/>
                <w:u w:val="single"/>
                <w:lang w:val="en-US" w:eastAsia="zh-CN"/>
              </w:rPr>
              <w:t xml:space="preserve">2025</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1</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23</w:t>
            </w:r>
            <w:r>
              <w:rPr>
                <w:rFonts w:hint="eastAsia" w:asciiTheme="minorEastAsia" w:hAnsiTheme="minorEastAsia"/>
                <w:b/>
                <w:sz w:val="24"/>
                <w:szCs w:val="24"/>
                <w:highlight w:val="none"/>
                <w:u w:val="single"/>
              </w:rPr>
              <w:t xml:space="preserve">日10:30:00</w:t>
            </w:r>
            <w:r>
              <w:rPr>
                <w:rFonts w:hint="eastAsia" w:asciiTheme="minorEastAsia" w:hAnsiTheme="minorEastAsia"/>
                <w:sz w:val="24"/>
                <w:szCs w:val="24"/>
                <w:highlight w:val="none"/>
                <w:u w:val="single"/>
              </w:rPr>
              <w:t xml:space="preserve">（北京时间）</w:t>
            </w:r>
            <w:r>
              <w:rPr>
                <w:rFonts w:hint="eastAsia" w:asciiTheme="minorEastAsia" w:hAnsiTheme="minorEastAsia"/>
                <w:sz w:val="24"/>
                <w:szCs w:val="24"/>
                <w:highlight w:val="none"/>
              </w:rPr>
              <w:t xml:space="preserve">前递交（上传）投标文件。</w:t>
            </w:r>
            <w:r/>
          </w:p>
        </w:tc>
      </w:tr>
    </w:tbl>
    <w:p>
      <w:pPr>
        <w:pStyle w:val="694"/>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一、项目基本情况</w:t>
      </w:r>
      <w:r/>
    </w:p>
    <w:p>
      <w:pPr>
        <w:ind w:firstLine="480"/>
        <w:spacing w:line="500" w:lineRule="exact"/>
        <w:rPr>
          <w:rFonts w:ascii="Segoe UI" w:hAnsi="Segoe UI" w:eastAsia="Segoe UI" w:cs="Segoe UI"/>
          <w:i w:val="0"/>
          <w:iCs w:val="0"/>
          <w:caps w:val="0"/>
          <w:spacing w:val="0"/>
          <w:sz w:val="21"/>
          <w:szCs w:val="21"/>
          <w:shd w:val="clear" w:color="auto" w:fill="ffffff"/>
        </w:rPr>
      </w:pP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JSZC-320700-JZCG-G2024-0249</w:t>
      </w:r>
      <w:r/>
    </w:p>
    <w:p>
      <w:pPr>
        <w:ind w:firstLine="480"/>
        <w:spacing w:line="500" w:lineRule="exact"/>
        <w:rPr>
          <w:rFonts w:hint="eastAsia" w:eastAsia="宋体" w:asciiTheme="minorEastAsia" w:hAnsiTheme="minorEastAsia"/>
          <w:sz w:val="24"/>
          <w:szCs w:val="24"/>
          <w:highlight w:val="none"/>
          <w:lang w:eastAsia="zh-CN"/>
        </w:rPr>
      </w:pPr>
      <w:r>
        <w:rPr>
          <w:rFonts w:hint="eastAsia" w:asciiTheme="minorEastAsia" w:hAnsiTheme="minorEastAsia"/>
          <w:sz w:val="24"/>
          <w:szCs w:val="24"/>
          <w:highlight w:val="none"/>
        </w:rPr>
        <w:t xml:space="preserve">项目名称：江苏省海州高级中学物理数字化实验室</w:t>
      </w:r>
      <w:r>
        <w:rPr>
          <w:rFonts w:hint="eastAsia" w:eastAsia="宋体" w:asciiTheme="minorEastAsia" w:hAnsiTheme="minorEastAsia"/>
          <w:sz w:val="24"/>
          <w:szCs w:val="24"/>
          <w:highlight w:val="none"/>
          <w:lang w:eastAsia="zh-CN"/>
        </w:rPr>
        <w:t xml:space="preserve">（二次）</w:t>
      </w:r>
      <w:r/>
    </w:p>
    <w:p>
      <w:pPr>
        <w:ind w:firstLine="480"/>
        <w:spacing w:line="500" w:lineRule="exact"/>
        <w:rPr>
          <w:rFonts w:hint="eastAsia" w:cs="Times New Roman" w:asciiTheme="minorEastAsia" w:hAnsiTheme="minorEastAsia"/>
          <w:color w:val="000000"/>
          <w:sz w:val="24"/>
          <w:szCs w:val="24"/>
          <w:highlight w:val="none"/>
        </w:rPr>
      </w:pPr>
      <w:r>
        <w:rPr>
          <w:rFonts w:hint="eastAsia" w:asciiTheme="minorEastAsia" w:hAnsiTheme="minorEastAsia"/>
          <w:sz w:val="24"/>
          <w:szCs w:val="24"/>
          <w:highlight w:val="none"/>
        </w:rPr>
        <w:t xml:space="preserve">预算金额：人民币</w:t>
      </w:r>
      <w:r>
        <w:rPr>
          <w:rFonts w:hint="eastAsia" w:asciiTheme="minorEastAsia" w:hAnsiTheme="minorEastAsia"/>
          <w:sz w:val="24"/>
          <w:szCs w:val="24"/>
          <w:highlight w:val="none"/>
          <w:lang w:val="en-US" w:eastAsia="zh-CN"/>
        </w:rPr>
        <w:t xml:space="preserve">80</w:t>
      </w:r>
      <w:r>
        <w:rPr>
          <w:rFonts w:hint="eastAsia" w:asciiTheme="minorEastAsia" w:hAnsiTheme="minorEastAsia"/>
          <w:sz w:val="24"/>
          <w:szCs w:val="24"/>
          <w:highlight w:val="none"/>
        </w:rPr>
        <w:t xml:space="preserve">万元，</w:t>
      </w:r>
      <w:r>
        <w:rPr>
          <w:rFonts w:hint="eastAsia" w:cs="Times New Roman" w:asciiTheme="minorEastAsia" w:hAnsiTheme="minorEastAsia"/>
          <w:color w:val="000000"/>
          <w:sz w:val="24"/>
          <w:szCs w:val="24"/>
          <w:highlight w:val="none"/>
        </w:rPr>
        <w:t xml:space="preserve">投标报价超</w:t>
      </w:r>
      <w:r>
        <w:rPr>
          <w:rFonts w:hint="eastAsia" w:cs="Times New Roman" w:asciiTheme="minorEastAsia" w:hAnsiTheme="minorEastAsia"/>
          <w:b w:val="0"/>
          <w:bCs w:val="0"/>
          <w:color w:val="000000"/>
          <w:sz w:val="24"/>
          <w:szCs w:val="24"/>
          <w:highlight w:val="none"/>
        </w:rPr>
        <w:t xml:space="preserve">过预算金额的</w:t>
      </w:r>
      <w:r>
        <w:rPr>
          <w:rFonts w:hint="eastAsia" w:cs="Times New Roman" w:asciiTheme="minorEastAsia" w:hAnsiTheme="minorEastAsia"/>
          <w:color w:val="000000"/>
          <w:sz w:val="24"/>
          <w:szCs w:val="24"/>
          <w:highlight w:val="none"/>
        </w:rPr>
        <w:t xml:space="preserve">投标无效。</w:t>
      </w:r>
      <w:r/>
    </w:p>
    <w:p>
      <w:pPr>
        <w:ind w:firstLine="480"/>
        <w:spacing w:line="500" w:lineRule="exact"/>
        <w:rPr>
          <w:rFonts w:hint="eastAsia" w:asciiTheme="minorEastAsia" w:hAnsiTheme="minorEastAsia" w:eastAsiaTheme="minorEastAsia"/>
          <w:sz w:val="24"/>
          <w:szCs w:val="24"/>
          <w:highlight w:val="none"/>
          <w:lang w:eastAsia="zh-CN"/>
        </w:rPr>
      </w:pPr>
      <w:r>
        <w:rPr>
          <w:rFonts w:hint="eastAsia"/>
          <w:sz w:val="24"/>
          <w:szCs w:val="24"/>
        </w:rPr>
        <w:t xml:space="preserve">最高限价：</w:t>
      </w:r>
      <w:r>
        <w:rPr>
          <w:rFonts w:hint="eastAsia"/>
          <w:sz w:val="24"/>
          <w:szCs w:val="24"/>
          <w:lang w:eastAsia="zh-CN"/>
        </w:rPr>
        <w:t xml:space="preserve">无</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采购方式：公开招标</w:t>
      </w:r>
      <w:r>
        <w:rPr>
          <w:rFonts w:cs="Times New Roman" w:asciiTheme="minorEastAsia" w:hAnsiTheme="minorEastAsia"/>
          <w:color w:val="000000"/>
          <w:sz w:val="24"/>
          <w:szCs w:val="24"/>
          <w:highlight w:val="none"/>
        </w:rPr>
      </w:r>
      <w:r/>
    </w:p>
    <w:p>
      <w:pPr>
        <w:ind w:firstLine="480"/>
        <w:spacing w:line="500" w:lineRule="exact"/>
        <w:rPr>
          <w:rFonts w:cs="Times New Roman" w:asciiTheme="minorEastAsia" w:hAnsiTheme="minorEastAsia"/>
          <w:color w:val="000000"/>
          <w:sz w:val="24"/>
          <w:szCs w:val="24"/>
          <w:highlight w:val="none"/>
        </w:rPr>
      </w:pPr>
      <w:r>
        <w:rPr>
          <w:rFonts w:hint="eastAsia" w:asciiTheme="minorEastAsia" w:hAnsiTheme="minorEastAsia"/>
          <w:sz w:val="24"/>
          <w:szCs w:val="24"/>
          <w:highlight w:val="none"/>
        </w:rPr>
      </w:r>
      <w:r>
        <w:rPr>
          <w:rFonts w:hint="eastAsia" w:asciiTheme="minorEastAsia" w:hAnsiTheme="minorEastAsia"/>
          <w:sz w:val="24"/>
          <w:szCs w:val="24"/>
          <w:highlight w:val="none"/>
        </w:rPr>
        <w:t xml:space="preserve">采购需求：江苏省海州高级中学物理数字化实验室</w:t>
      </w:r>
      <w:r>
        <w:rPr>
          <w:rFonts w:hint="eastAsia" w:asciiTheme="minorEastAsia" w:hAnsiTheme="minorEastAsia"/>
          <w:sz w:val="24"/>
          <w:szCs w:val="24"/>
          <w:highlight w:val="none"/>
          <w:lang w:eastAsia="zh-CN"/>
        </w:rPr>
        <w:t xml:space="preserve">建设</w:t>
      </w:r>
      <w:r>
        <w:rPr>
          <w:rFonts w:hint="eastAsia" w:asciiTheme="minorEastAsia" w:hAnsiTheme="minorEastAsia"/>
          <w:sz w:val="24"/>
          <w:szCs w:val="24"/>
          <w:highlight w:val="none"/>
        </w:rPr>
        <w:t xml:space="preserve">，包括但不限于</w:t>
      </w:r>
      <w:r>
        <w:rPr>
          <w:rFonts w:hint="eastAsia" w:ascii="宋体" w:hAnsi="宋体" w:eastAsia="宋体" w:cs="Times New Roman"/>
          <w:color w:val="000000"/>
          <w:sz w:val="24"/>
          <w:szCs w:val="24"/>
          <w:highlight w:val="none"/>
          <w:lang w:val="en-US" w:eastAsia="zh-CN"/>
        </w:rPr>
        <w:t xml:space="preserve">实验用电脑、采集器、传感器等货物</w:t>
      </w:r>
      <w:r>
        <w:rPr>
          <w:rFonts w:hint="eastAsia" w:asciiTheme="minorEastAsia" w:hAnsiTheme="minorEastAsia"/>
          <w:sz w:val="24"/>
          <w:szCs w:val="24"/>
          <w:highlight w:val="none"/>
          <w:lang w:val="en-US" w:eastAsia="zh-CN"/>
        </w:rPr>
        <w:t xml:space="preserve">的供货、运输、安装、调试、验收等内容。</w:t>
      </w:r>
      <w:r>
        <w:rPr>
          <w:rFonts w:ascii="SimSun" w:hAnsi="SimSun" w:eastAsia="SimSun" w:cs="SimSun"/>
          <w:color w:val="000000"/>
          <w:sz w:val="24"/>
        </w:rPr>
        <w:t xml:space="preserve">具体详见第四章采购需求。</w:t>
      </w:r>
      <w:r>
        <w:rPr>
          <w:rFonts w:cs="Times New Roman" w:asciiTheme="minorEastAsia" w:hAnsiTheme="minorEastAsia"/>
          <w:color w:val="000000"/>
          <w:sz w:val="24"/>
          <w:szCs w:val="24"/>
          <w:highlight w:val="none"/>
        </w:rPr>
      </w:r>
      <w:r/>
    </w:p>
    <w:p>
      <w:pPr>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对本项目资格要求、采购需求、评标方法与评标标准等部分的询问、质疑请与采购人联系，由采购人负责答复。</w:t>
      </w:r>
      <w:r/>
    </w:p>
    <w:p>
      <w:pPr>
        <w:ind w:firstLine="480"/>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sz w:val="24"/>
          <w:szCs w:val="24"/>
          <w:highlight w:val="none"/>
        </w:rPr>
        <w:t xml:space="preserve">合同履行期限：合同签订后</w:t>
      </w:r>
      <w:r>
        <w:rPr>
          <w:rFonts w:hint="eastAsia" w:asciiTheme="minorEastAsia" w:hAnsiTheme="minorEastAsia"/>
          <w:sz w:val="24"/>
          <w:szCs w:val="24"/>
          <w:highlight w:val="none"/>
          <w:lang w:val="en-US" w:eastAsia="zh-CN"/>
        </w:rPr>
        <w:t xml:space="preserve">60</w:t>
      </w:r>
      <w:r>
        <w:rPr>
          <w:rFonts w:hint="eastAsia" w:asciiTheme="minorEastAsia" w:hAnsiTheme="minorEastAsia"/>
          <w:sz w:val="24"/>
          <w:szCs w:val="24"/>
          <w:highlight w:val="none"/>
        </w:rPr>
        <w:t xml:space="preserve">天内完成</w:t>
      </w:r>
      <w:r>
        <w:rPr>
          <w:rFonts w:hint="eastAsia" w:asciiTheme="minorEastAsia" w:hAnsiTheme="minorEastAsia"/>
          <w:sz w:val="24"/>
          <w:szCs w:val="24"/>
          <w:highlight w:val="none"/>
          <w:lang w:val="en-US" w:eastAsia="zh-CN"/>
        </w:rPr>
        <w:t xml:space="preserve">改造</w:t>
      </w:r>
      <w:r>
        <w:rPr>
          <w:rFonts w:hint="eastAsia" w:asciiTheme="minorEastAsia" w:hAnsiTheme="minorEastAsia"/>
          <w:sz w:val="24"/>
          <w:szCs w:val="24"/>
          <w:highlight w:val="none"/>
        </w:rPr>
        <w:t xml:space="preserve">安装调试，达到预期效果</w:t>
      </w:r>
      <w:r>
        <w:rPr>
          <w:rFonts w:hint="eastAsia" w:asciiTheme="minorEastAsia" w:hAnsiTheme="minorEastAsia"/>
          <w:sz w:val="24"/>
          <w:szCs w:val="24"/>
          <w:highlight w:val="none"/>
          <w:lang w:eastAsia="zh-CN"/>
        </w:rPr>
        <w:t xml:space="preserve">。</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本项目不接受联合体投标。</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eastAsia="宋体" w:asciiTheme="minorEastAsia" w:hAnsiTheme="minorEastAsia"/>
          <w:sz w:val="24"/>
          <w:szCs w:val="24"/>
          <w:lang w:val="en-US" w:eastAsia="zh-CN"/>
        </w:rPr>
        <w:t xml:space="preserve">2023或2024</w:t>
      </w:r>
      <w:r>
        <w:rPr>
          <w:rFonts w:hint="eastAsia" w:asciiTheme="minorEastAsia" w:hAnsiTheme="minorEastAsia"/>
          <w:sz w:val="24"/>
          <w:szCs w:val="24"/>
        </w:rPr>
        <w:t xml:space="preserve">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hint="eastAsia" w:asciiTheme="minorEastAsia" w:hAnsiTheme="minorEastAsia"/>
          <w:sz w:val="24"/>
          <w:szCs w:val="24"/>
        </w:rPr>
      </w:pPr>
      <w:r>
        <w:rPr>
          <w:rFonts w:hint="eastAsia" w:cs="Times New Roman" w:asciiTheme="minorEastAsia" w:hAnsiTheme="minorEastAsia"/>
          <w:sz w:val="24"/>
          <w:szCs w:val="24"/>
        </w:rPr>
        <w:t xml:space="preserve">7.资格审查现场查询信用中国、中国政府采购网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及具有其他不符合《中华人民共和国政府采购法》第二十二条规定情形的，拒绝其参与政府采购活动。（投标文件中无需提供证明材料）</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（二）落实政府采购政策需满足的资格要求：</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属于预留部分份额专门面向中小微企业采购。项目属性为货物，对于预留份额，要求投标人提供的货物由符合政策要求的中小微企业制造，且中小微企业承担的合同份额占合同金额的比例不低于90%（其中预留给小微企业的部分不低于60%）。具体符合条件的情形详见《政府采购促进中小企业发展管理办法》。</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投标人投标文件中同时提供：1.符合上述比例的《投标分项报价表》；2.《中小企业声明函》或《残疾人福利性单位声明函》或属于监狱企业的证明文件。上述1-2项证明材料未提供或缺项均投标无效，详见第六章 投标文件格式）</w:t>
      </w:r>
      <w:r/>
    </w:p>
    <w:p>
      <w:pPr>
        <w:ind w:firstLine="480"/>
        <w:jc w:val="left"/>
        <w:spacing w:line="500" w:lineRule="exact"/>
        <w:rPr>
          <w:rFonts w:hint="eastAsia" w:asciiTheme="minorEastAsia" w:hAnsiTheme="minorEastAsia"/>
          <w:sz w:val="24"/>
          <w:szCs w:val="24"/>
          <w14:ligatures w14:val="none"/>
        </w:rPr>
      </w:pPr>
      <w:r>
        <w:rPr>
          <w:rFonts w:hint="eastAsia" w:asciiTheme="minorEastAsia" w:hAnsiTheme="minorEastAsia"/>
          <w:sz w:val="24"/>
          <w:szCs w:val="24"/>
        </w:rPr>
        <w:t xml:space="preserve">注：</w:t>
      </w:r>
      <w:r>
        <w:rPr>
          <w:rFonts w:hint="eastAsia" w:asciiTheme="minorEastAsia" w:hAnsiTheme="minorEastAsia"/>
          <w:sz w:val="24"/>
          <w:szCs w:val="24"/>
        </w:rPr>
        <w:t xml:space="preserve">1.上述中小微企业应符合本项目采购标的对应的行业</w:t>
      </w:r>
      <w:r>
        <w:rPr>
          <w:rFonts w:hint="eastAsia" w:asciiTheme="minorEastAsia" w:hAnsiTheme="minorEastAsia"/>
          <w:sz w:val="24"/>
          <w:szCs w:val="24"/>
        </w:rPr>
        <w:t xml:space="preserve">（工业</w:t>
      </w:r>
      <w:r>
        <w:rPr>
          <w:rFonts w:hint="eastAsia" w:asciiTheme="minorEastAsia" w:hAnsiTheme="minorEastAsia"/>
          <w:sz w:val="24"/>
          <w:szCs w:val="24"/>
        </w:rPr>
        <w:t xml:space="preserve">及软件和信息技术服务业</w:t>
      </w:r>
      <w:r>
        <w:rPr>
          <w:rFonts w:hint="eastAsia" w:asciiTheme="minorEastAsia" w:hAnsiTheme="minorEastAsia"/>
          <w:sz w:val="24"/>
          <w:szCs w:val="24"/>
        </w:rPr>
        <w:t xml:space="preserve">）</w:t>
      </w:r>
      <w:r>
        <w:rPr>
          <w:rFonts w:hint="eastAsia" w:asciiTheme="minorEastAsia" w:hAnsiTheme="minorEastAsia"/>
          <w:sz w:val="24"/>
          <w:szCs w:val="24"/>
        </w:rPr>
        <w:t xml:space="preserve">的政策划分标准，依据《关于印发中小企业划型标准规定的通知》（工信部联企业〔2011〕300号）行业划型标准如下：（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heme="minorEastAsia" w:hAnsiTheme="minorEastAsia"/>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heme="minorEastAsia" w:hAnsiTheme="minorEastAsia"/>
          <w:sz w:val="24"/>
          <w:szCs w:val="24"/>
          <w14:ligatures w14:val="none"/>
        </w:rPr>
      </w:r>
      <w:r/>
    </w:p>
    <w:p>
      <w:pPr>
        <w:ind w:firstLine="480"/>
        <w:jc w:val="left"/>
        <w:spacing w:line="500" w:lineRule="exact"/>
        <w:rPr>
          <w:rFonts w:hint="eastAsia" w:asciiTheme="minorEastAsia" w:hAnsiTheme="minorEastAsia"/>
          <w:sz w:val="24"/>
          <w:szCs w:val="24"/>
          <w14:ligatures w14:val="none"/>
        </w:rPr>
      </w:pPr>
      <w:r>
        <w:rPr>
          <w:rFonts w:hint="eastAsia" w:asciiTheme="minorEastAsia" w:hAnsiTheme="minorEastAsia"/>
          <w:sz w:val="24"/>
          <w:szCs w:val="24"/>
        </w:rPr>
        <w:t xml:space="preserve">2.享受扶持政策获得政府采购合同的，小微企业不得将合同分包给大中型企业，中型企业不得将合同分包给大型企业。</w:t>
      </w:r>
      <w:r>
        <w:rPr>
          <w:rFonts w:hint="eastAsia"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w:t>
      </w:r>
      <w:r>
        <w:rPr>
          <w:rFonts w:hint="eastAsia" w:eastAsia="宋体" w:asciiTheme="minorEastAsia" w:hAnsiTheme="minorEastAsia"/>
          <w:sz w:val="24"/>
          <w:szCs w:val="24"/>
          <w:highlight w:val="none"/>
          <w:lang w:val="en-US" w:eastAsia="zh-CN"/>
        </w:rPr>
        <w:t xml:space="preserve">2025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月10</w:t>
      </w:r>
      <w:r>
        <w:rPr>
          <w:rFonts w:hint="eastAsia" w:asciiTheme="minorEastAsia" w:hAnsiTheme="minorEastAsia"/>
          <w:sz w:val="24"/>
          <w:szCs w:val="24"/>
          <w:highlight w:val="none"/>
        </w:rPr>
        <w:t xml:space="preserve">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w:t>
      </w:r>
      <w:r>
        <w:rPr>
          <w:rFonts w:hint="eastAsia" w:eastAsia="宋体" w:asciiTheme="minorEastAsia" w:hAnsiTheme="minorEastAsia"/>
          <w:sz w:val="24"/>
          <w:szCs w:val="24"/>
          <w:highlight w:val="none"/>
          <w:lang w:val="en-US" w:eastAsia="zh-CN"/>
        </w:rPr>
        <w:t xml:space="preserve">2025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23</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开标时间：提交投标文件截止时间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江苏省海州高级中学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址：连云港市海州经济技术开发区青圃路1号</w:t>
      </w:r>
      <w:r/>
    </w:p>
    <w:p>
      <w:pPr>
        <w:ind w:firstLine="480"/>
        <w:spacing w:line="500" w:lineRule="exact"/>
        <w:rPr>
          <w:sz w:val="24"/>
          <w:szCs w:val="24"/>
        </w:rPr>
      </w:pPr>
      <w:r>
        <w:rPr>
          <w:rFonts w:hint="eastAsia"/>
          <w:sz w:val="24"/>
          <w:szCs w:val="24"/>
        </w:rPr>
        <w:t xml:space="preserve">联 系 人：</w:t>
      </w:r>
      <w:r>
        <w:rPr>
          <w:rFonts w:hint="eastAsia" w:asciiTheme="minorEastAsia" w:hAnsiTheme="minorEastAsia"/>
          <w:sz w:val="24"/>
          <w:szCs w:val="24"/>
          <w:highlight w:val="none"/>
          <w:lang w:val="en-US" w:eastAsia="zh-CN"/>
        </w:rPr>
        <w:t xml:space="preserve">刘主任</w:t>
      </w:r>
      <w:r/>
    </w:p>
    <w:p>
      <w:pPr>
        <w:ind w:firstLine="480"/>
        <w:jc w:val="left"/>
        <w:spacing w:line="500" w:lineRule="exact"/>
        <w:rPr>
          <w:rFonts w:hint="default"/>
          <w:sz w:val="24"/>
          <w:szCs w:val="24"/>
          <w:lang w:val="en-US"/>
        </w:rPr>
      </w:pPr>
      <w:r>
        <w:rPr>
          <w:rFonts w:hint="eastAsia"/>
          <w:sz w:val="24"/>
          <w:szCs w:val="24"/>
        </w:rPr>
        <w:t xml:space="preserve">联系电话：</w:t>
      </w:r>
      <w:r>
        <w:rPr>
          <w:rFonts w:hint="eastAsia" w:asciiTheme="minorEastAsia" w:hAnsiTheme="minorEastAsia"/>
          <w:sz w:val="24"/>
          <w:szCs w:val="24"/>
          <w:highlight w:val="none"/>
          <w:lang w:val="en-US" w:eastAsia="zh-CN"/>
        </w:rPr>
        <w:t xml:space="preserve">18061382850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jc w:val="left"/>
        <w:spacing w:line="500" w:lineRule="exact"/>
        <w:rPr>
          <w:rFonts w:hint="eastAsia" w:eastAsiaTheme="minorEastAsia"/>
          <w:sz w:val="24"/>
          <w:szCs w:val="24"/>
          <w:lang w:eastAsia="zh-CN"/>
        </w:rPr>
      </w:pPr>
      <w:r>
        <w:rPr>
          <w:rFonts w:hint="eastAsia"/>
          <w:sz w:val="24"/>
          <w:szCs w:val="24"/>
        </w:rPr>
        <w:t xml:space="preserve">联 系 人：</w:t>
      </w:r>
      <w:r>
        <w:rPr>
          <w:rFonts w:hint="eastAsia"/>
          <w:sz w:val="24"/>
          <w:szCs w:val="24"/>
          <w:lang w:eastAsia="zh-CN"/>
        </w:rPr>
        <w:t xml:space="preserve">吴蕾</w:t>
      </w:r>
      <w:r/>
    </w:p>
    <w:p>
      <w:pPr>
        <w:ind w:firstLine="480"/>
        <w:jc w:val="left"/>
        <w:spacing w:line="500" w:lineRule="exact"/>
        <w:rPr>
          <w:rFonts w:hint="default" w:cs="Times New Roman" w:asciiTheme="minorEastAsia" w:hAnsiTheme="minorEastAsia" w:eastAsiaTheme="minorEastAsia"/>
          <w:sz w:val="24"/>
          <w:szCs w:val="24"/>
          <w:lang w:val="en-US" w:eastAsia="zh-CN"/>
        </w:rPr>
      </w:pPr>
      <w:r>
        <w:rPr>
          <w:rFonts w:hint="eastAsia"/>
          <w:sz w:val="24"/>
          <w:szCs w:val="24"/>
        </w:rPr>
        <w:t xml:space="preserve">联系电话：</w:t>
      </w:r>
      <w:r>
        <w:rPr>
          <w:rFonts w:cs="Times New Roman" w:asciiTheme="minorEastAsia" w:hAnsiTheme="minorEastAsia"/>
          <w:sz w:val="24"/>
          <w:szCs w:val="24"/>
        </w:rPr>
        <w:t xml:space="preserve">0518-8586</w:t>
      </w:r>
      <w:r>
        <w:rPr>
          <w:rFonts w:hint="eastAsia" w:cs="Times New Roman" w:asciiTheme="minorEastAsia" w:hAnsiTheme="minorEastAsia"/>
          <w:sz w:val="24"/>
          <w:szCs w:val="24"/>
          <w:lang w:val="en-US" w:eastAsia="zh-CN"/>
        </w:rPr>
        <w:t xml:space="preserve">8285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sz w:val="24"/>
          <w:szCs w:val="24"/>
        </w:rPr>
      </w:pPr>
      <w:r>
        <w:rPr>
          <w:rFonts w:hint="eastAsia"/>
          <w:sz w:val="24"/>
          <w:szCs w:val="24"/>
        </w:rPr>
        <w:t xml:space="preserve">联 系 人：</w:t>
      </w:r>
      <w:r>
        <w:rPr>
          <w:rFonts w:hint="eastAsia"/>
          <w:sz w:val="24"/>
          <w:szCs w:val="24"/>
          <w:lang w:eastAsia="zh-CN"/>
        </w:rPr>
        <w:t xml:space="preserve">吴蕾</w:t>
      </w:r>
      <w:r/>
    </w:p>
    <w:p>
      <w:pPr>
        <w:ind w:firstLine="480"/>
        <w:jc w:val="left"/>
        <w:spacing w:line="500" w:lineRule="exact"/>
        <w:rPr>
          <w:rFonts w:hint="default"/>
          <w:sz w:val="24"/>
          <w:szCs w:val="24"/>
          <w:lang w:val="en-US"/>
        </w:rPr>
      </w:pPr>
      <w:r>
        <w:rPr>
          <w:rFonts w:hint="eastAsia"/>
          <w:sz w:val="24"/>
          <w:szCs w:val="24"/>
        </w:rPr>
        <w:t xml:space="preserve">联系电话：</w:t>
      </w:r>
      <w:r>
        <w:rPr>
          <w:rFonts w:cs="Times New Roman" w:asciiTheme="minorEastAsia" w:hAnsiTheme="minorEastAsia"/>
          <w:sz w:val="24"/>
          <w:szCs w:val="24"/>
        </w:rPr>
        <w:t xml:space="preserve">0518-8586</w:t>
      </w:r>
      <w:r>
        <w:rPr>
          <w:rFonts w:hint="eastAsia" w:cs="Times New Roman" w:asciiTheme="minorEastAsia" w:hAnsiTheme="minorEastAsia"/>
          <w:sz w:val="24"/>
          <w:szCs w:val="24"/>
          <w:lang w:val="en-US" w:eastAsia="zh-CN"/>
        </w:rPr>
        <w:t xml:space="preserve">8285</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br w:type="page" w:clear="all"/>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pStyle w:val="693"/>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一、总则</w:t>
      </w:r>
      <w:r/>
    </w:p>
    <w:p>
      <w:pPr>
        <w:ind w:firstLine="482"/>
        <w:spacing w:line="500" w:lineRule="exact"/>
        <w:rPr>
          <w:rFonts w:asciiTheme="minorEastAsia" w:hAnsiTheme="minorEastAsia"/>
          <w:b/>
          <w:sz w:val="40"/>
          <w:szCs w:val="32"/>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sz w:val="24"/>
          <w:szCs w:val="24"/>
        </w:rPr>
      </w:pPr>
      <w:r>
        <w:rPr>
          <w:rFonts w:hint="eastAsia" w:asciiTheme="minorEastAsia" w:hAnsiTheme="minorEastAsia"/>
          <w:sz w:val="24"/>
        </w:rPr>
        <w:t xml:space="preserve">5.1 投标人一旦参加本项目采购活动，即被认为接受了</w:t>
      </w:r>
      <w:r>
        <w:rPr>
          <w:rFonts w:hint="eastAsia"/>
          <w:sz w:val="24"/>
          <w:szCs w:val="24"/>
        </w:rPr>
        <w:t xml:space="preserve">本招标文件的规定和约束。</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（1）投标的货物总价；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（2）货物的标准附件、备品备件、专用工具、运输、装卸等各种费用；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（3）必要的保险费用和各项税金；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（4）投标总价要求包含安装维保费用。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13.2 投标人应按照招标文件规定格式填报投标分项报价表。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rPr>
        <w:t xml:space="preserve">14.1 技术要求是指对采购标的的功能和质量要求，包括性能、材料、结构</w:t>
      </w:r>
      <w:r>
        <w:rPr>
          <w:rFonts w:hint="eastAsia" w:asciiTheme="minorEastAsia" w:hAnsiTheme="minorEastAsia"/>
          <w:sz w:val="24"/>
          <w:szCs w:val="24"/>
        </w:rPr>
        <w:t xml:space="preserve">、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开标后，交易中心将组织评委会进行评标。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26、对投标文件的初审</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 投标文件初审分为资格审查和符合性审查。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本招标文件中斜体且有下划线部分为实质性要求和条件，投标人必须逐条做出满足实质性要求和条件的响应，否则将按无效响应处理。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Theme="minorEastAsia" w:hAnsiTheme="minorEastAsia"/>
          <w:sz w:val="24"/>
          <w:szCs w:val="24"/>
        </w:rPr>
        <w:t xml:space="preserve">限制了合同中买方和交易中心的权利或投标人的义务，纠正这些偏离或保留将会对其他实质性响应要求的投标人的竞争地位产生不公正的影响。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asciiTheme="minorEastAsia" w:hAnsiTheme="minorEastAsia"/>
          <w:sz w:val="24"/>
          <w:szCs w:val="24"/>
        </w:rPr>
        <w:t xml:space="preserve">29.3 中标人在中标后七个工作日内，需向采购人和交易中心</w:t>
      </w:r>
      <w:r>
        <w:rPr>
          <w:rFonts w:hint="eastAsia"/>
          <w:sz w:val="24"/>
          <w:szCs w:val="24"/>
        </w:rPr>
        <w:t xml:space="preserve">各提供一份与电子投标文件一致的纸质打印胶装投标文件，封面、骑缝需加盖公章。</w:t>
      </w:r>
      <w:r/>
    </w:p>
    <w:p>
      <w:pPr>
        <w:pStyle w:val="694"/>
        <w:spacing w:before="0" w:after="0" w:line="360" w:lineRule="auto"/>
        <w:rPr>
          <w:rFonts w:ascii="黑体" w:hAnsi="黑体" w:eastAsia="黑体"/>
          <w:b w:val="0"/>
        </w:rPr>
      </w:pPr>
      <w:r>
        <w:rPr>
          <w:rFonts w:hint="eastAsia" w:ascii="黑体" w:hAnsi="黑体" w:eastAsia="黑体"/>
          <w:b w:val="0"/>
        </w:rPr>
        <w:t xml:space="preserve">七、授予合同</w:t>
      </w:r>
      <w:r/>
    </w:p>
    <w:p>
      <w:pPr>
        <w:pStyle w:val="695"/>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Pr>
      <w:r>
        <w:rPr>
          <w:rFonts w:hint="eastAsia"/>
          <w:sz w:val="24"/>
          <w:szCs w:val="24"/>
        </w:rPr>
        <w:t xml:space="preserve">30.3 履约保证金自合同生效之日起至合同约定的中标人主要义务履行完毕止，采购人应</w:t>
      </w:r>
      <w:r>
        <w:rPr>
          <w:rFonts w:hint="eastAsia"/>
          <w:sz w:val="24"/>
          <w:szCs w:val="24"/>
          <w:highlight w:val="none"/>
        </w:rPr>
        <w:t xml:space="preserve">当按合同约定及时退还履约保证金。</w:t>
      </w:r>
      <w:r/>
    </w:p>
    <w:p>
      <w:pPr>
        <w:ind w:firstLine="480"/>
        <w:jc w:val="left"/>
        <w:spacing w:line="500" w:lineRule="exact"/>
        <w:rPr>
          <w:sz w:val="24"/>
          <w:szCs w:val="24"/>
          <w:highlight w:val="none"/>
        </w:rP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Pr>
      <w:r>
        <w:rPr>
          <w:rFonts w:hint="eastAsia"/>
          <w:sz w:val="24"/>
          <w:szCs w:val="24"/>
          <w:highlight w:val="none"/>
        </w:rPr>
        <w:t xml:space="preserve">30.5 本项目履约保证金要求详见招标文件第四章 采购需求。</w:t>
      </w:r>
      <w:r/>
    </w:p>
    <w:p>
      <w:pPr>
        <w:pStyle w:val="695"/>
        <w:ind w:firstLine="562"/>
        <w:jc w:val="left"/>
        <w:spacing w:before="0" w:after="0" w:line="360" w:lineRule="auto"/>
        <w:rPr>
          <w:sz w:val="28"/>
          <w:szCs w:val="28"/>
          <w:highlight w:val="none"/>
        </w:rPr>
      </w:pPr>
      <w:r>
        <w:rPr>
          <w:rFonts w:hint="eastAsia"/>
          <w:sz w:val="28"/>
          <w:szCs w:val="28"/>
          <w:highlight w:val="none"/>
        </w:rPr>
        <w:t xml:space="preserve">31、签订合同</w:t>
      </w:r>
      <w:r/>
    </w:p>
    <w:p>
      <w:pPr>
        <w:ind w:firstLine="480"/>
        <w:jc w:val="left"/>
        <w:spacing w:line="50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95"/>
        <w:ind w:firstLine="562"/>
        <w:jc w:val="left"/>
        <w:spacing w:before="0" w:after="0" w:line="360" w:lineRule="auto"/>
        <w:rPr>
          <w:sz w:val="28"/>
          <w:szCs w:val="28"/>
          <w:highlight w:val="none"/>
        </w:rPr>
      </w:pPr>
      <w:r>
        <w:rPr>
          <w:rFonts w:hint="eastAsia"/>
          <w:sz w:val="28"/>
          <w:szCs w:val="28"/>
          <w:highlight w:val="none"/>
        </w:rPr>
        <w:t xml:space="preserve">32、合同标的的追加</w:t>
      </w:r>
      <w:r/>
    </w:p>
    <w:p>
      <w:pPr>
        <w:ind w:firstLine="480"/>
        <w:jc w:val="left"/>
        <w:spacing w:line="50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5"/>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694"/>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695"/>
        <w:ind w:firstLine="562"/>
        <w:jc w:val="left"/>
        <w:spacing w:before="0" w:after="0" w:line="360" w:lineRule="auto"/>
        <w:rPr>
          <w:sz w:val="28"/>
          <w:szCs w:val="28"/>
          <w:highlight w:val="none"/>
        </w:rPr>
      </w:pPr>
      <w:r>
        <w:rPr>
          <w:rFonts w:hint="eastAsia"/>
          <w:sz w:val="28"/>
          <w:szCs w:val="28"/>
          <w:highlight w:val="none"/>
        </w:rPr>
        <w:t xml:space="preserve">34、询问</w:t>
      </w:r>
      <w:r/>
    </w:p>
    <w:p>
      <w:pPr>
        <w:ind w:firstLine="480"/>
        <w:jc w:val="left"/>
        <w:spacing w:line="500" w:lineRule="exact"/>
        <w:rPr>
          <w:sz w:val="24"/>
          <w:szCs w:val="24"/>
          <w:highlight w:val="none"/>
        </w:rPr>
      </w:pPr>
      <w:r>
        <w:rPr>
          <w:rFonts w:hint="eastAsia"/>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695"/>
        <w:ind w:firstLine="562"/>
        <w:jc w:val="left"/>
        <w:spacing w:before="0" w:after="0" w:line="360" w:lineRule="auto"/>
        <w:rPr>
          <w:sz w:val="28"/>
          <w:szCs w:val="28"/>
          <w:highlight w:val="none"/>
        </w:rPr>
      </w:pPr>
      <w:r>
        <w:rPr>
          <w:rFonts w:hint="eastAsia"/>
          <w:sz w:val="28"/>
          <w:szCs w:val="28"/>
          <w:highlight w:val="none"/>
        </w:rPr>
        <w:t xml:space="preserve">35、质疑提出</w:t>
      </w:r>
      <w:r/>
    </w:p>
    <w:p>
      <w:pPr>
        <w:ind w:firstLine="480"/>
        <w:jc w:val="left"/>
        <w:spacing w:line="500" w:lineRule="exact"/>
        <w:rPr>
          <w:sz w:val="24"/>
          <w:szCs w:val="24"/>
          <w:highlight w:val="none"/>
        </w:rP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95"/>
        <w:ind w:firstLine="562"/>
        <w:jc w:val="left"/>
        <w:spacing w:before="0" w:after="0" w:line="360" w:lineRule="auto"/>
        <w:rPr>
          <w:sz w:val="24"/>
          <w:szCs w:val="24"/>
          <w:highlight w:val="none"/>
        </w:rPr>
      </w:pPr>
      <w:r>
        <w:rPr>
          <w:rFonts w:hint="eastAsia"/>
          <w:sz w:val="28"/>
          <w:szCs w:val="28"/>
          <w:highlight w:val="none"/>
        </w:rPr>
        <w:t xml:space="preserve">36、质疑函的受理和答复</w:t>
      </w:r>
      <w:r/>
    </w:p>
    <w:p>
      <w:pPr>
        <w:ind w:firstLine="480"/>
        <w:jc w:val="left"/>
        <w:spacing w:line="500" w:lineRule="exact"/>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36.5 采购人、交易中心依法受理的质疑，将按照政府采购有关规定，在法定期限内作出答复。</w:t>
      </w:r>
      <w:r/>
    </w:p>
    <w:p>
      <w:pPr>
        <w:ind w:firstLine="480"/>
        <w:jc w:val="left"/>
        <w:spacing w:line="500" w:lineRule="exact"/>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695"/>
        <w:ind w:firstLine="562"/>
        <w:jc w:val="left"/>
        <w:spacing w:before="0" w:after="0" w:line="360" w:lineRule="auto"/>
        <w:rPr>
          <w:sz w:val="28"/>
          <w:szCs w:val="28"/>
          <w:highlight w:val="none"/>
        </w:rPr>
      </w:pPr>
      <w:r>
        <w:rPr>
          <w:rFonts w:hint="eastAsia"/>
          <w:sz w:val="28"/>
          <w:szCs w:val="28"/>
          <w:highlight w:val="none"/>
        </w:rPr>
        <w:t xml:space="preserve">37、质疑处理</w:t>
      </w:r>
      <w:r/>
    </w:p>
    <w:p>
      <w:pPr>
        <w:ind w:firstLine="480"/>
        <w:jc w:val="left"/>
        <w:spacing w:line="500" w:lineRule="exact"/>
        <w:rPr>
          <w:sz w:val="24"/>
          <w:szCs w:val="24"/>
          <w:highlight w:val="none"/>
        </w:rP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37.7 未尽事宜，依照有关法律、法规执行。</w:t>
      </w:r>
      <w:r/>
    </w:p>
    <w:p>
      <w:pPr>
        <w:pStyle w:val="694"/>
        <w:spacing w:before="0" w:after="0" w:line="360" w:lineRule="auto"/>
        <w:rPr>
          <w:rFonts w:ascii="黑体" w:hAnsi="黑体" w:eastAsia="黑体"/>
          <w:b w:val="0"/>
        </w:rPr>
      </w:pPr>
      <w:r/>
      <w:bookmarkStart w:id="2" w:name="_Toc163482575"/>
      <w:r>
        <w:rPr>
          <w:rFonts w:hint="eastAsia" w:ascii="黑体" w:hAnsi="黑体" w:eastAsia="黑体"/>
          <w:b w:val="0"/>
        </w:rPr>
        <w:t xml:space="preserve">九、政府采购政策功能</w:t>
      </w:r>
      <w:r/>
    </w:p>
    <w:p>
      <w:pPr>
        <w:pStyle w:val="695"/>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rFonts w:hint="eastAsia" w:eastAsiaTheme="minorEastAsia"/>
          <w:b w:val="0"/>
          <w:bCs/>
          <w:sz w:val="24"/>
          <w:szCs w:val="24"/>
          <w:highlight w:val="none"/>
          <w:lang w:eastAsia="zh-CN"/>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Theme="minorEastAsia" w:hAnsiTheme="minorEastAsia"/>
          <w:b w:val="0"/>
          <w:bCs/>
          <w:color w:val="000000"/>
          <w:sz w:val="24"/>
          <w:szCs w:val="24"/>
          <w:highlight w:val="none"/>
          <w:shd w:val="clear" w:color="auto" w:fill="ffffff"/>
          <w:lang w:eastAsia="zh-CN"/>
        </w:rPr>
        <w:t xml:space="preserve">。</w:t>
      </w:r>
      <w:r>
        <w:rPr>
          <w:rFonts w:hint="eastAsia" w:asciiTheme="minorEastAsia" w:hAnsiTheme="minorEastAsia"/>
          <w:b w:val="0"/>
          <w:bCs/>
          <w:color w:val="000000"/>
          <w:sz w:val="24"/>
          <w:szCs w:val="24"/>
          <w:highlight w:val="none"/>
          <w:shd w:val="clear" w:color="auto" w:fill="ffffff"/>
        </w:rPr>
        <w:t xml:space="preserve">本项目预留部分份额专门面向中小微企业采购。</w:t>
      </w:r>
      <w:r/>
    </w:p>
    <w:p>
      <w:pPr>
        <w:ind w:firstLine="482"/>
        <w:spacing w:line="500" w:lineRule="exact"/>
        <w:rPr>
          <w:rFonts w:asciiTheme="minorEastAsia" w:hAnsiTheme="minorEastAsia"/>
          <w:b w:val="0"/>
          <w:bCs/>
          <w:sz w:val="24"/>
          <w:szCs w:val="24"/>
          <w:highlight w:val="none"/>
        </w:rPr>
      </w:pPr>
      <w:r>
        <w:rPr>
          <w:rFonts w:hint="eastAsia"/>
          <w:sz w:val="24"/>
          <w:szCs w:val="24"/>
          <w:highlight w:val="none"/>
        </w:rPr>
        <w:t xml:space="preserve">38.2</w:t>
      </w:r>
      <w:r>
        <w:rPr>
          <w:rFonts w:hint="eastAsia" w:asciiTheme="minorEastAsia" w:hAnsiTheme="minorEastAsia"/>
          <w:b w:val="0"/>
          <w:bCs/>
          <w:color w:val="000000"/>
          <w:sz w:val="24"/>
          <w:szCs w:val="24"/>
          <w:highlight w:val="none"/>
          <w:shd w:val="clear" w:color="auto" w:fill="ffffff"/>
        </w:rPr>
        <w:t xml:space="preserve">本项目</w:t>
      </w:r>
      <w:r>
        <w:rPr>
          <w:rFonts w:hint="eastAsia"/>
          <w:b w:val="0"/>
          <w:bCs/>
          <w:sz w:val="24"/>
          <w:highlight w:val="none"/>
        </w:rPr>
        <w:t xml:space="preserve">不执行价格评审优惠措施。</w:t>
      </w:r>
      <w:r/>
    </w:p>
    <w:p>
      <w:pPr>
        <w:ind w:firstLine="480"/>
        <w:jc w:val="left"/>
        <w:spacing w:line="500" w:lineRule="exact"/>
        <w:rPr>
          <w:rFonts w:hint="eastAsia"/>
          <w:sz w:val="24"/>
          <w:szCs w:val="24"/>
          <w:highlight w:val="none"/>
        </w:rPr>
      </w:pPr>
      <w:r>
        <w:rPr>
          <w:rFonts w:hint="eastAsia"/>
          <w:sz w:val="24"/>
          <w:szCs w:val="24"/>
          <w:highlight w:val="none"/>
        </w:rPr>
        <w:t xml:space="preserve">38.</w:t>
      </w:r>
      <w:r>
        <w:rPr>
          <w:rFonts w:hint="eastAsia"/>
          <w:sz w:val="24"/>
          <w:szCs w:val="24"/>
          <w:highlight w:val="none"/>
          <w:lang w:val="en-US" w:eastAsia="zh-CN"/>
        </w:rPr>
        <w:t xml:space="preserve">3</w:t>
      </w:r>
      <w:r>
        <w:rPr>
          <w:rFonts w:hint="eastAsia"/>
          <w:sz w:val="24"/>
          <w:szCs w:val="24"/>
          <w:highlight w:val="none"/>
        </w:rPr>
        <w:t xml:space="preserve">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（1）投标人提供的货物由中型企业、小型企业、微型企业制造的，提供《中小企业声明函》（第六章 投标文</w:t>
      </w:r>
      <w:r>
        <w:rPr>
          <w:rFonts w:hint="eastAsia"/>
          <w:b w:val="0"/>
          <w:bCs w:val="0"/>
          <w:sz w:val="24"/>
          <w:szCs w:val="24"/>
          <w:highlight w:val="none"/>
        </w:rPr>
        <w:t xml:space="preserve">件格式）</w:t>
      </w:r>
      <w:r>
        <w:rPr>
          <w:rFonts w:hint="eastAsia" w:asciiTheme="minorEastAsia" w:hAnsiTheme="minorEastAsia"/>
          <w:b w:val="0"/>
          <w:bCs w:val="0"/>
          <w:color w:val="000000"/>
          <w:sz w:val="24"/>
          <w:szCs w:val="24"/>
          <w:highlight w:val="none"/>
          <w:shd w:val="clear" w:color="auto" w:fill="ffffff"/>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w:t>
      </w:r>
      <w:r>
        <w:rPr>
          <w:rFonts w:hint="eastAsia"/>
          <w:sz w:val="24"/>
          <w:szCs w:val="24"/>
          <w:highlight w:val="none"/>
          <w:lang w:val="en-US" w:eastAsia="zh-CN"/>
        </w:rPr>
        <w:t xml:space="preserve">4</w:t>
      </w:r>
      <w:r>
        <w:rPr>
          <w:rFonts w:hint="eastAsia"/>
          <w:sz w:val="24"/>
          <w:szCs w:val="24"/>
          <w:highlight w:val="none"/>
        </w:rPr>
        <w:t xml:space="preserve"> 享受扶持政策获得政府采购合同的，小微型企业不得将合同分包给大中型企业，中型企业不得将合同分包给大型企业。</w:t>
      </w:r>
      <w:r/>
    </w:p>
    <w:p>
      <w:pPr>
        <w:pStyle w:val="695"/>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95"/>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rFonts w:hint="eastAsia"/>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rPr>
          <w:rFonts w:hint="eastAsia"/>
          <w:sz w:val="24"/>
          <w:szCs w:val="24"/>
        </w:rPr>
      </w:pPr>
      <w:r>
        <w:rPr>
          <w:rFonts w:hint="eastAsia"/>
          <w:sz w:val="24"/>
          <w:szCs w:val="24"/>
        </w:rPr>
        <w:br w:type="page" w:clear="all"/>
      </w:r>
      <w:r/>
    </w:p>
    <w:p>
      <w:pPr>
        <w:ind w:firstLine="480"/>
        <w:jc w:val="left"/>
        <w:spacing w:line="500" w:lineRule="exact"/>
        <w:rPr>
          <w:rFonts w:hint="eastAsia"/>
          <w:sz w:val="24"/>
          <w:szCs w:val="24"/>
        </w:rPr>
      </w:pPr>
      <w:r>
        <w:rPr>
          <w:rFonts w:hint="eastAsia"/>
          <w:sz w:val="24"/>
          <w:szCs w:val="24"/>
        </w:rPr>
      </w:r>
      <w:r/>
    </w:p>
    <w:p>
      <w:pPr>
        <w:pStyle w:val="693"/>
        <w:jc w:val="center"/>
        <w:spacing w:line="360" w:lineRule="auto"/>
        <w:rPr>
          <w:rFonts w:ascii="黑体" w:hAnsi="黑体" w:eastAsia="黑体"/>
          <w:b w:val="0"/>
        </w:rPr>
      </w:pPr>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1"/>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703"/>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2"/>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4"/>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703"/>
        <w:tblW w:w="95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5174"/>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5174"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5174"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5174"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5174"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93"/>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w:t>
      </w:r>
      <w:r>
        <w:rPr>
          <w:rFonts w:hint="eastAsia" w:asciiTheme="minorEastAsia" w:hAnsiTheme="minorEastAsia"/>
          <w:b/>
          <w:bCs/>
          <w:sz w:val="24"/>
          <w:szCs w:val="24"/>
        </w:rPr>
        <w:t xml:space="preserve">斜体且有下划线部分</w:t>
      </w:r>
      <w:r>
        <w:rPr>
          <w:rFonts w:hint="eastAsia" w:asciiTheme="minorEastAsia" w:hAnsiTheme="minorEastAsia"/>
          <w:sz w:val="24"/>
          <w:szCs w:val="24"/>
        </w:rPr>
        <w:t xml:space="preserve">为实质性要求和条件，由采购人根据实际情况设置，投标人必须逐条明确作出满足实质性要求和条件的响应，否则将按无效投标处理。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3.本项目核心产品为：</w:t>
      </w:r>
      <w:r>
        <w:rPr>
          <w:rFonts w:hint="eastAsia" w:asciiTheme="minorEastAsia" w:hAnsiTheme="minorEastAsia"/>
          <w:b/>
          <w:sz w:val="24"/>
          <w:szCs w:val="24"/>
          <w:u w:val="single"/>
        </w:rPr>
        <w:t xml:space="preserve"> </w:t>
      </w:r>
      <w:r>
        <w:rPr>
          <w:rFonts w:hint="eastAsia" w:asciiTheme="minorEastAsia" w:hAnsiTheme="minorEastAsia"/>
          <w:b/>
          <w:sz w:val="24"/>
          <w:szCs w:val="24"/>
          <w:u w:val="single"/>
          <w:lang w:val="en-US" w:eastAsia="zh-CN"/>
        </w:rPr>
        <w:t xml:space="preserve">实验学生电脑</w:t>
      </w:r>
      <w:r>
        <w:rPr>
          <w:rFonts w:hint="eastAsia" w:asciiTheme="minorEastAsia" w:hAnsiTheme="minorEastAsia"/>
          <w:b/>
          <w:sz w:val="24"/>
          <w:szCs w:val="24"/>
          <w:u w:val="single"/>
        </w:rPr>
        <w:t xml:space="preserve">  </w:t>
      </w:r>
      <w:r>
        <w:rPr>
          <w:rFonts w:hint="eastAsia" w:asciiTheme="minorEastAsia" w:hAnsiTheme="minorEastAsia"/>
          <w:b/>
          <w:sz w:val="24"/>
          <w:szCs w:val="24"/>
        </w:rPr>
        <w:t xml:space="preserve">。</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pStyle w:val="728"/>
      </w:pPr>
      <w:r/>
      <w:r/>
    </w:p>
    <w:p>
      <w:pPr>
        <w:pStyle w:val="728"/>
        <w:ind w:left="0" w:firstLine="0"/>
        <w:jc w:val="center"/>
      </w:pPr>
      <w:r>
        <w:rPr>
          <w:rFonts w:ascii="黑体" w:hAnsi="黑体" w:eastAsia="黑体"/>
          <w:color w:val="000000" w:themeColor="text1"/>
          <w:sz w:val="24"/>
          <w14:textFill>
            <w14:solidFill>
              <w14:schemeClr w14:val="tx1"/>
            </w14:solidFill>
          </w14:textFill>
        </w:rPr>
        <w:t xml:space="preserve">采购需求中须满足的实质性要求和条件</w:t>
      </w:r>
      <w:r/>
    </w:p>
    <w:tbl>
      <w:tblPr>
        <w:tblStyle w:val="703"/>
        <w:tblW w:w="92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0"/>
        <w:gridCol w:w="2160"/>
        <w:gridCol w:w="6449"/>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4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实质性要求和条件</w:t>
            </w:r>
            <w:r/>
          </w:p>
        </w:tc>
      </w:tr>
      <w:tr>
        <w:trPr>
          <w:trHeight w:val="18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
              </w:rPr>
              <w:t xml:space="preserve">实验教师电脑</w:t>
            </w:r>
            <w:r/>
          </w:p>
        </w:tc>
        <w:tc>
          <w:tcPr>
            <w:shd w:val="clear" w:color="auto" w:fill="auto"/>
            <w:tcBorders>
              <w:top w:val="single" w:color="000000" w:sz="4" w:space="0"/>
              <w:left w:val="single" w:color="000000" w:sz="4" w:space="0"/>
              <w:bottom w:val="single" w:color="000000" w:sz="4" w:space="0"/>
              <w:right w:val="single" w:color="000000" w:sz="4" w:space="0"/>
            </w:tcBorders>
            <w:tcW w:w="6449" w:type="dxa"/>
            <w:vAlign w:val="center"/>
            <w:textDirection w:val="lrTb"/>
            <w:noWrap w:val="false"/>
          </w:tcPr>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信息:CPU物理核数≥8核16线程，CPU主频≥3.0GHz、8MB 二级缓存、支持的内存最高速率≥2666MT/S。</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内存配置容量:≥16GB;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内存类型:支持DDR4及以上;</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内存条配置数量（板载内存不涉及）:≥2;</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主板集成模块:集成资源扩展模块、计算处理模块、音频扩展模块等，主板的互联拓扑可通过处理器或交换电路实现;</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主板芯片组情况:对应处理器配套芯片组或对应处理器SoC;</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主板其他内置接口</w:t>
            </w:r>
            <w:r>
              <w:rPr>
                <w:rFonts w:hint="eastAsia" w:ascii="宋体" w:hAnsi="宋体" w:cs="宋体"/>
                <w:b/>
                <w:bCs/>
                <w:i/>
                <w:iCs/>
                <w:color w:val="000000"/>
                <w:sz w:val="22"/>
                <w:szCs w:val="22"/>
                <w:highlight w:val="none"/>
                <w:u w:val="single"/>
                <w:lang w:val="en-US" w:eastAsia="zh-CN" w:bidi="ar"/>
              </w:rPr>
              <w:t xml:space="preserve">：供应商给出相关 SATA、M.2、USB 接口数量及占用状态；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单内存插槽最大可支持容量（板载内存不涉及）:≥16GB;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内存插槽满配时提供的最高内存总容量:≥32GB;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固态盘数量:≥1个;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固态存储容量:≥512GB;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w:t>
            </w:r>
            <w:r>
              <w:rPr>
                <w:rFonts w:hint="eastAsia" w:ascii="宋体" w:hAnsi="宋体" w:cs="宋体"/>
                <w:b/>
                <w:bCs/>
                <w:i/>
                <w:iCs/>
                <w:color w:val="000000"/>
                <w:sz w:val="22"/>
                <w:szCs w:val="22"/>
                <w:highlight w:val="none"/>
                <w:u w:val="single"/>
                <w:lang w:val="en-US" w:eastAsia="zh-CN" w:bidi="ar"/>
              </w:rPr>
              <w:t xml:space="preserve">:采用插卡或板载等形态，可选用符合M.2 或 2.5 寸 SATA 或 mSATA 等标准的插卡形态;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机械硬盘数量≥1；</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机械硬盘容量：≥2TB。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机械硬盘转速</w:t>
            </w:r>
            <w:r>
              <w:rPr>
                <w:rFonts w:hint="eastAsia" w:ascii="宋体" w:hAnsi="宋体" w:cs="宋体"/>
                <w:b/>
                <w:bCs/>
                <w:i/>
                <w:iCs/>
                <w:color w:val="000000"/>
                <w:sz w:val="22"/>
                <w:szCs w:val="22"/>
                <w:highlight w:val="none"/>
                <w:u w:val="single"/>
                <w:lang w:val="en-US" w:eastAsia="zh-CN" w:bidi="ar"/>
              </w:rPr>
              <w:t xml:space="preserve">:≥5400rpm;</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机械硬盘形态</w:t>
            </w:r>
            <w:r>
              <w:rPr>
                <w:rFonts w:hint="eastAsia" w:ascii="宋体" w:hAnsi="宋体" w:cs="宋体"/>
                <w:b/>
                <w:bCs/>
                <w:i/>
                <w:iCs/>
                <w:color w:val="000000"/>
                <w:sz w:val="22"/>
                <w:szCs w:val="22"/>
                <w:highlight w:val="none"/>
                <w:u w:val="single"/>
                <w:lang w:val="en-US" w:eastAsia="zh-CN"/>
              </w:rPr>
              <w:t xml:space="preserve">:2.5 英寸或 3.5 英寸等;</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固态存储形态:M.2 插卡形态;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存储设备其他参数要求:a)固态盘应符合SJ/T 11654相关规定；b)机械硬盘准备时间应不大于30s；侧面固定螺丝孔数量可为4 孔或6 孔；工作状态环境温度应满足5℃~55℃；其它参数应符合GB/T 12628 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显卡类型:</w:t>
            </w:r>
            <w:r>
              <w:rPr>
                <w:rFonts w:hint="eastAsia" w:ascii="宋体" w:hAnsi="宋体" w:cs="宋体"/>
                <w:b/>
                <w:bCs/>
                <w:i/>
                <w:iCs/>
                <w:color w:val="000000"/>
                <w:sz w:val="22"/>
                <w:szCs w:val="22"/>
                <w:highlight w:val="none"/>
                <w:u w:val="single"/>
                <w:lang w:val="en-US" w:eastAsia="zh-CN" w:bidi="ar"/>
              </w:rPr>
              <w:t xml:space="preserve">≥2G</w:t>
            </w:r>
            <w:r>
              <w:rPr>
                <w:rFonts w:hint="eastAsia" w:ascii="宋体" w:hAnsi="宋体" w:eastAsia="宋体" w:cs="宋体"/>
                <w:b/>
                <w:bCs/>
                <w:i/>
                <w:iCs/>
                <w:color w:val="000000"/>
                <w:sz w:val="22"/>
                <w:szCs w:val="22"/>
                <w:highlight w:val="none"/>
                <w:u w:val="single"/>
                <w:lang w:val="en-US" w:eastAsia="zh-CN" w:bidi="ar"/>
              </w:rPr>
              <w:t xml:space="preserve">独立显卡;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独立显卡显存位宽</w:t>
            </w:r>
            <w:r>
              <w:rPr>
                <w:rFonts w:hint="eastAsia" w:ascii="宋体" w:hAnsi="宋体" w:cs="宋体"/>
                <w:b/>
                <w:bCs/>
                <w:i/>
                <w:iCs/>
                <w:color w:val="000000"/>
                <w:sz w:val="22"/>
                <w:szCs w:val="22"/>
                <w:highlight w:val="none"/>
                <w:u w:val="single"/>
                <w:lang w:val="en-US" w:eastAsia="zh-CN"/>
              </w:rPr>
              <w:t xml:space="preserve">:显存位宽≥16 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独立显卡显存容量</w:t>
            </w:r>
            <w:r>
              <w:rPr>
                <w:rFonts w:hint="eastAsia" w:ascii="宋体" w:hAnsi="宋体" w:cs="宋体"/>
                <w:b/>
                <w:bCs/>
                <w:i/>
                <w:iCs/>
                <w:color w:val="000000"/>
                <w:sz w:val="22"/>
                <w:szCs w:val="22"/>
                <w:highlight w:val="none"/>
                <w:u w:val="single"/>
                <w:lang w:val="en-US" w:eastAsia="zh-CN"/>
              </w:rPr>
              <w:t xml:space="preserve">:显存容量≥2GB;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独立显卡显存类型:显存类型为DDR3/DDR4/GDDR5/GDDR6/LPDDR4其中的一种;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显示屏屏占比:≥80%;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显示屏分辨率:≥1920x1080;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显示屏尺寸:≥27 英寸;</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显示屏屏幕比例:16:9/3:2/21:9/16:10等;</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显示器外观颜色:黑色;</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显示屏防蓝光:支持防蓝光模式，蓝光加权辐射亮度比应≤0.0012W/(·cd·sr)（瓦每坎特拉每球面度）;</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显示屏低频闪:显示屏应支持低频闪≤-35dB;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显示屏防炫目:显示屏镜面反射率≤10%;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鼠标数量:≥1个;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键盘数量:≥1个;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键盘按键数目:61键/86键/101键/104键等;</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键盘连接方式:有线;</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键盘键程:2.3mm~ 4.0mm;</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键盘按键压力:按键压力应在0.54 N±0.14N;</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有线键盘连接线:≥1.5米;</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键盘颜色:黑色;</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鼠标连接方式:有线;</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有线鼠标连接线:≥1.5米;</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鼠标DPI分辨率:800至1600;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鼠标颜色:黑色;</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鼠标其他要求:其它参数应符合GB/T 26245 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有线网卡数量:≥1;</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USB接口数量:前置面板：USB3.0≥6个；后置面板：USB2.0≥4个；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视频接口数量:≥1;</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音频接口数量:≥1;</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状态指示灯:在产品显著位置提供状态指示功能，如运行状态，并由供应商提供详细参数;</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整机结构:</w:t>
            </w:r>
            <w:r>
              <w:rPr>
                <w:rFonts w:hint="eastAsia" w:ascii="宋体" w:hAnsi="宋体" w:eastAsia="宋体" w:cs="宋体"/>
                <w:b/>
                <w:bCs/>
                <w:i/>
                <w:iCs/>
                <w:color w:val="000000"/>
                <w:sz w:val="22"/>
                <w:szCs w:val="22"/>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整机内部走线应规整，固线结</w:t>
            </w:r>
            <w:r>
              <w:rPr>
                <w:rFonts w:hint="eastAsia" w:ascii="宋体" w:hAnsi="宋体" w:eastAsia="宋体" w:cs="宋体"/>
                <w:b/>
                <w:bCs/>
                <w:i/>
                <w:iCs/>
                <w:color w:val="000000"/>
                <w:sz w:val="22"/>
                <w:szCs w:val="22"/>
                <w:highlight w:val="none"/>
                <w:u w:val="single"/>
                <w:lang w:val="en-US" w:eastAsia="zh-CN" w:bidi="ar"/>
              </w:rPr>
              <w:t xml:space="preserve">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机箱防护要求:机箱应符合GB/T 4208中IP20防护要求;</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整机噪音:产品工作在空闲状态下，产品的声功率级应不超过4.5 Bel</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整机能效限定值:产品能效限定值应达到GB 28380-2012标准中能效等级1至3级;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机身材质:塑料或者金属;</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机身颜色:黑色;</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机箱尺寸容量:≤30L;</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CPU物理核数:≥8;</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CPU主频:≥3.0GHz;</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末级缓存容量:≥4MB;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CPU支持的内存最高速率:≥2666MT/s;</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内存读写速率:≥2666MT/s;</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显示分辨率:≥1920x1080;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显卡显示芯片核心频率:≥780MHz;</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显存等效频率:≥1600MT/s;</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显卡可同时支持多屏显示数量:显卡应支持大于等于2块屏幕同时显示，分辨率不低于1920*1080 ;</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显示屏刷新率:≥75Hz;</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显示屏位深:≥8位;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显示屏色域:≥99% sRGB;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显示屏色准:△E≤4 ;</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显示屏响应时间:≤8ms ;</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显示屏亮度:≥300尼特;</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显示屏亮度一致性:≥70%;</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显示屏对比度:≥1000：1 ;</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显示屏其他参数:其它参数应符合SJ/T 11292 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有线网卡速率:最高速率应不低于1000Mbps，应支持10Mbps、100Mbps、1000Mbps 速率自适应;</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内存扩展接口(板载内存不涉及):≥2个;</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主板USB瞬间过流保护:支持有瞬间过流保护功能;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主板防静电保护:支持防静电保护功能;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显卡外接显示接口:显卡至少支持VGA、HDMI、DVI、DP、Type-C 中1 种显示接口，并与显示器接口相匹配;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显示器接口:显示器应与显卡外接显示接口匹配;</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显示器支架:固定式支架或者旋转/升级支架固定式支架底座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显示器参数调节:a)提供OSD 选单按钮用于调节色彩、模式等；b)支持色温、亮度、对比度调节;</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存储功能:通过PCIe 固态存储或SATA 硬磁盘提供存储功能;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网络功能：a)支持网络连接、网络开启/关闭功能；b)支持访问网络和数据交换功能;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数据传输:支持数据传输能力，并提供数据流量和异常日志记录功能;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有线网卡接口类型:支持RJ45接口;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网络设备拆装:网络设备可物理拆装（包括无线网卡和蓝牙模块等）;</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音频接口类型:支持3.5mm孔径3段式或者4段式接口;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视频接口类型:至少支持VGA、HDMI、DVI、DP、Type-C中1种显示接口；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HDMI、DP、Type-C显示接口要求:若提供HDMI或DP或Type-C作为显示接口，应支持音频和视频同步输出;</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电源线适配能力:电源适配器电线组件应符合GB/T15934的要求;</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中文信息处理要求:符合GB18030的相关规定;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操作系统备份及还原功能:支持操作系统备份及还原功能;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固件备份还原能力:支持备份及还原固件的功能;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操作系统及驱动升级:支持通过网络、闪存盘等方式对操作系统、驱动进行升级;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固件升级:支持通过网络、闪存盘等方式对固件进行升级;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BIOS支持关闭通讯接口:支持BIOS关闭以太网及USB接口;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固件查看信息:支持查看固件版本、内存信息、主板信息、处理器信息和系统时间信息等功能;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固件设置启动顺序:支持设置启动顺序功能，并按照设置的启动顺序启动;</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固件设置口令:支持设置口令、修改口令、验证口令功能;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固件设置网络引导:支持网络引导启动和关闭功能;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固态存储寿命:TBW≥80TB;</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机械硬盘寿命:通电时间≥5万小时;</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显示屏屏幕失效点:符合GB/T 9813.2 的要求;</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键盘按键寿命:≥1000万次;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鼠标按键寿命:≥500万次;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鼠标键盘线材寿命:键盘鼠标所用线材经±60°弯折不低于3000次，功能、外观完好;</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风扇寿命:≥4万小时;</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电磁兼容性要求的抗扰度:符合GB/T 9254.2的规定;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环境条件要求的气候环境适应性:符合GB/T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环境条件要求的振动适应性:符合GB/T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环境条件要求的冲击适应性:符合GB/T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环境条件要求的碰撞适应性:符合GB/T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环境条件要求的运输包装件跌落适应性:符合GB/T 9813.1中规定;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MTBF测试:MTBF(m1)≥3万小时;</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数据库兼容:兼容3个及以上厂商的数据库产品;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中间件兼容:兼容3个及以上厂商中间件产品;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平台软件兼容:兼容3个及以上厂商云计算及大数据平台;</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标志、包装、运输和贮存:符合GB/T 9813.1 和商品包装政府采购需求标准的相关规定;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服务周期:a) 设备停产后应继续提供质量保障服务（含备品备件），服务终止时间与最后一批设备交付时间间隔不低于6年；b) 产品停止服务时间应提前1 年告知；c) 应明确产品发布日期;</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预装操作系统:预装符合桌面操作系统政府采购需求标准的正版操作系统;</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厂家升级软件与扩容服务:供应商提供上门升级部件/软件与扩容的增值服务;</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整机质量服务要求:免费服务周期（含换件和维修）应不小于3年;</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合格证书要求:供应商提供产品合格证;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开箱组装/使用指导要求:供应商提供开箱组装/使用指导;</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驱动下载服务要求:供应商提供驱动光盘或下载方式;</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兼容适配软件下载服务要求:供应商提供兼容适配软件下载渠道（光盘、网站）跨架构平台应用兼容:供应商提供跨架构平台的应用兼容工具，支持一种或者一种以上不同架构平台的应用;</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限用物质的限量要求:符合GB/T 26572中规定；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常用软件兼容</w:t>
            </w:r>
            <w:r>
              <w:rPr>
                <w:rFonts w:hint="eastAsia" w:ascii="宋体" w:hAnsi="宋体" w:cs="宋体"/>
                <w:b/>
                <w:bCs/>
                <w:i/>
                <w:iCs/>
                <w:color w:val="000000"/>
                <w:sz w:val="22"/>
                <w:szCs w:val="22"/>
                <w:highlight w:val="none"/>
                <w:u w:val="single"/>
                <w:lang w:eastAsia="zh-CN"/>
              </w:rPr>
              <w:t xml:space="preserve">：支持流式软件、版式软件、浏览器、邮件采购人端、解压软件、多媒体、图形图像处理等常用软件；</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配置检查工具</w:t>
            </w:r>
            <w:r>
              <w:rPr>
                <w:rFonts w:hint="eastAsia" w:ascii="宋体" w:hAnsi="宋体" w:cs="宋体"/>
                <w:b/>
                <w:bCs/>
                <w:i/>
                <w:iCs/>
                <w:color w:val="000000"/>
                <w:sz w:val="22"/>
                <w:szCs w:val="22"/>
                <w:highlight w:val="none"/>
                <w:u w:val="single"/>
                <w:lang w:eastAsia="zh-CN"/>
              </w:rPr>
              <w:t xml:space="preserve">：供应商提供自检测试工具；</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培训服务</w:t>
            </w:r>
            <w:r>
              <w:rPr>
                <w:rFonts w:hint="eastAsia" w:ascii="宋体" w:hAnsi="宋体" w:cs="宋体"/>
                <w:b/>
                <w:bCs/>
                <w:i/>
                <w:iCs/>
                <w:color w:val="000000"/>
                <w:sz w:val="22"/>
                <w:szCs w:val="22"/>
                <w:highlight w:val="none"/>
                <w:u w:val="single"/>
                <w:lang w:eastAsia="zh-CN"/>
              </w:rPr>
              <w:t xml:space="preserve">：供应商提供培训材料、产品手册、培训视频等培训相关内容；</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典型问题解决手册</w:t>
            </w:r>
            <w:r>
              <w:rPr>
                <w:rFonts w:hint="eastAsia" w:ascii="宋体" w:hAnsi="宋体" w:cs="宋体"/>
                <w:b/>
                <w:bCs/>
                <w:i/>
                <w:iCs/>
                <w:color w:val="000000"/>
                <w:sz w:val="22"/>
                <w:szCs w:val="22"/>
                <w:highlight w:val="none"/>
                <w:u w:val="single"/>
                <w:lang w:eastAsia="zh-CN"/>
              </w:rPr>
              <w:t xml:space="preserve">：供应商提供典型问题解决说明文档或视频；</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产品部件保障</w:t>
            </w:r>
            <w:r>
              <w:rPr>
                <w:rFonts w:hint="eastAsia" w:ascii="宋体" w:hAnsi="宋体" w:cs="宋体"/>
                <w:b/>
                <w:bCs/>
                <w:i/>
                <w:iCs/>
                <w:color w:val="000000"/>
                <w:sz w:val="22"/>
                <w:szCs w:val="22"/>
                <w:highlight w:val="none"/>
                <w:u w:val="single"/>
                <w:lang w:eastAsia="zh-CN"/>
              </w:rPr>
              <w:t xml:space="preserve">：供应商保障产品主要部件，提供 6 年的备件服务能力（自购买之日起），或提供可兼容原设备的升级换代产品；</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抗干扰性</w:t>
            </w:r>
            <w:r>
              <w:rPr>
                <w:rFonts w:hint="eastAsia" w:ascii="宋体" w:hAnsi="宋体" w:cs="宋体"/>
                <w:b/>
                <w:bCs/>
                <w:i/>
                <w:iCs/>
                <w:color w:val="000000"/>
                <w:sz w:val="22"/>
                <w:szCs w:val="22"/>
                <w:highlight w:val="none"/>
                <w:u w:val="single"/>
                <w:lang w:eastAsia="zh-CN"/>
              </w:rPr>
              <w:t xml:space="preserve">：当产品部件出现供应风险时，供应商应通知采购人并提供风险应对方案确保产品的服务保障；</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供应能力证明</w:t>
            </w:r>
            <w:r>
              <w:rPr>
                <w:rFonts w:hint="eastAsia" w:ascii="宋体" w:hAnsi="宋体" w:cs="宋体"/>
                <w:b/>
                <w:bCs/>
                <w:i/>
                <w:iCs/>
                <w:color w:val="000000"/>
                <w:sz w:val="22"/>
                <w:szCs w:val="22"/>
                <w:highlight w:val="none"/>
                <w:u w:val="single"/>
                <w:lang w:eastAsia="zh-CN"/>
              </w:rPr>
              <w:t xml:space="preserve">：供应商提供供应链稳定承诺书，确保产品的部件在产品服务周期内稳定供货；</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密码算法实现</w:t>
            </w:r>
            <w:r>
              <w:rPr>
                <w:rFonts w:hint="eastAsia" w:ascii="宋体" w:hAnsi="宋体" w:cs="宋体"/>
                <w:b/>
                <w:bCs/>
                <w:i/>
                <w:iCs/>
                <w:color w:val="000000"/>
                <w:sz w:val="22"/>
                <w:szCs w:val="22"/>
                <w:highlight w:val="none"/>
                <w:u w:val="single"/>
                <w:lang w:eastAsia="zh-CN"/>
              </w:rPr>
              <w:t xml:space="preserve">：CPU 芯片应符合 GM/T 0008 的相关规定，或芯片密码模块应符合 GB/T 37092或 GM/T 0028 的相关规定；</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信息安全基本要求</w:t>
            </w:r>
            <w:r>
              <w:rPr>
                <w:rFonts w:hint="eastAsia" w:ascii="宋体" w:hAnsi="宋体" w:cs="宋体"/>
                <w:b/>
                <w:bCs/>
                <w:i/>
                <w:iCs/>
                <w:color w:val="000000"/>
                <w:sz w:val="22"/>
                <w:szCs w:val="22"/>
                <w:highlight w:val="none"/>
                <w:u w:val="single"/>
                <w:lang w:eastAsia="zh-CN"/>
              </w:rPr>
              <w:t xml:space="preserve">：a) 产品应符合 GB/T 39276 的 5.2 的规定；b) 生产厂商应建立漏洞跟踪表，保证产品版本涉及到的漏洞(如驱动程序等)可查看；c) 产品不得包含已知的恶意代码或漏洞，不存在未声明的指令、功能、接口；</w:t>
            </w:r>
            <w:r/>
          </w:p>
          <w:p>
            <w:pPr>
              <w:numPr>
                <w:ilvl w:val="0"/>
                <w:numId w:val="6"/>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rPr>
              <w:t xml:space="preserve">固件安全启动</w:t>
            </w:r>
            <w:r>
              <w:rPr>
                <w:rFonts w:hint="eastAsia" w:ascii="宋体" w:hAnsi="宋体" w:cs="宋体"/>
                <w:b/>
                <w:bCs/>
                <w:i/>
                <w:iCs/>
                <w:color w:val="000000"/>
                <w:sz w:val="22"/>
                <w:szCs w:val="22"/>
                <w:highlight w:val="none"/>
                <w:u w:val="single"/>
                <w:lang w:eastAsia="zh-CN"/>
              </w:rPr>
              <w:t xml:space="preserve">：支持固件安全启动功能，固件启动过程中只有通过启动校验才能正常启动；</w:t>
            </w:r>
            <w:r>
              <w:rPr>
                <w:rFonts w:hint="eastAsia" w:ascii="宋体" w:hAnsi="宋体" w:eastAsia="宋体" w:cs="宋体"/>
                <w:b/>
                <w:bCs/>
                <w:i/>
                <w:iCs/>
                <w:color w:val="000000"/>
                <w:sz w:val="22"/>
                <w:szCs w:val="22"/>
                <w:highlight w:val="none"/>
                <w:u w:val="single"/>
                <w:lang w:val="en-US" w:eastAsia="zh-CN" w:bidi="ar-SA"/>
              </w:rPr>
            </w:r>
            <w:r/>
          </w:p>
          <w:p>
            <w:pPr>
              <w:numPr>
                <w:ilvl w:val="0"/>
                <w:numId w:val="0"/>
              </w:numPr>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SA"/>
              </w:rPr>
              <w:t xml:space="preserve">提供节能产品认证证书扫描件并加盖投标人公章。</w:t>
            </w:r>
            <w:r/>
          </w:p>
          <w:p>
            <w:pPr>
              <w:numPr>
                <w:ilvl w:val="0"/>
                <w:numId w:val="0"/>
              </w:numPr>
              <w:ind w:firstLine="442"/>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SA"/>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4"/>
                <w:szCs w:val="24"/>
                <w:highlight w:val="none"/>
                <w:u w:val="single"/>
                <w:lang w:val="en-US" w:eastAsia="zh-CN" w:bidi="ar"/>
              </w:rPr>
              <w:t xml:space="preserve">实验学生电脑（核心产品）</w:t>
            </w:r>
            <w:r/>
          </w:p>
        </w:tc>
        <w:tc>
          <w:tcPr>
            <w:shd w:val="clear" w:color="auto" w:fill="auto"/>
            <w:tcBorders>
              <w:top w:val="single" w:color="000000" w:sz="4" w:space="0"/>
              <w:left w:val="single" w:color="000000" w:sz="4" w:space="0"/>
              <w:bottom w:val="single" w:color="000000" w:sz="4" w:space="0"/>
              <w:right w:val="single" w:color="000000" w:sz="4" w:space="0"/>
            </w:tcBorders>
            <w:tcW w:w="6449" w:type="dxa"/>
            <w:vAlign w:val="center"/>
            <w:textDirection w:val="lrTb"/>
            <w:noWrap w:val="false"/>
          </w:tcPr>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信息:CPU物理核数≥8核16线程，CPU主频≥3.0GHz、8MB 二级缓存、支持的内存最高速率≥2666MT/S。</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内存配置容量:≥16GB;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内存类型:支持DDR4及以上;</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内存条配置数量（板载内存不涉及）:≥2;</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主板集成模块:集成资源扩展模块、计算处理模块、音频扩展模块等，主板的互联拓扑可通过处理器或交换电路实现;</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主板芯片组情况:对应处理器配套芯片组或对应处理器SoC;</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主板其他内置接口</w:t>
            </w:r>
            <w:r>
              <w:rPr>
                <w:rFonts w:hint="eastAsia" w:ascii="宋体" w:hAnsi="宋体" w:cs="宋体"/>
                <w:b/>
                <w:bCs/>
                <w:i/>
                <w:iCs/>
                <w:color w:val="000000"/>
                <w:sz w:val="22"/>
                <w:szCs w:val="22"/>
                <w:highlight w:val="none"/>
                <w:u w:val="single"/>
                <w:lang w:val="en-US" w:eastAsia="zh-CN" w:bidi="ar"/>
              </w:rPr>
              <w:t xml:space="preserve">：供应商给出相关 SATA、M.2、USB 接口数量及占用状态；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单内存插槽最大可支持容量（板载内存不涉及）:≥16GB;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内存插槽满配时提供的最高内存总容量:≥32GB;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固态盘数量:≥1个;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固态存储容量:≥512GB;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w:t>
            </w:r>
            <w:r>
              <w:rPr>
                <w:rFonts w:hint="eastAsia" w:ascii="宋体" w:hAnsi="宋体" w:cs="宋体"/>
                <w:b/>
                <w:bCs/>
                <w:i/>
                <w:iCs/>
                <w:color w:val="000000"/>
                <w:sz w:val="22"/>
                <w:szCs w:val="22"/>
                <w:highlight w:val="none"/>
                <w:u w:val="single"/>
                <w:lang w:val="en-US" w:eastAsia="zh-CN" w:bidi="ar"/>
              </w:rPr>
              <w:t xml:space="preserve">:采用插卡或板载等形态，可选用符合M.2 或 2.5 寸 SATA 或 mSATA 等标准的插卡形态;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固态存储形态:M.2 插卡形态;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存储设备其他参数要求:a)固态盘应符合SJ/T 11654相关规定；b)机械硬盘准备时间应不大于30s；侧面固定螺丝孔数量可为4 孔或6 孔；工作状态环境温度应满足5℃~55℃；其它参数应符合GB/T 12628 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显卡类型:</w:t>
            </w:r>
            <w:r>
              <w:rPr>
                <w:rFonts w:hint="eastAsia" w:ascii="宋体" w:hAnsi="宋体" w:cs="宋体"/>
                <w:b/>
                <w:bCs/>
                <w:i/>
                <w:iCs/>
                <w:color w:val="000000"/>
                <w:sz w:val="22"/>
                <w:szCs w:val="22"/>
                <w:highlight w:val="none"/>
                <w:u w:val="single"/>
                <w:lang w:val="en-US" w:eastAsia="zh-CN" w:bidi="ar"/>
              </w:rPr>
              <w:t xml:space="preserve">≥2G</w:t>
            </w:r>
            <w:r>
              <w:rPr>
                <w:rFonts w:hint="eastAsia" w:ascii="宋体" w:hAnsi="宋体" w:eastAsia="宋体" w:cs="宋体"/>
                <w:b/>
                <w:bCs/>
                <w:i/>
                <w:iCs/>
                <w:color w:val="000000"/>
                <w:sz w:val="22"/>
                <w:szCs w:val="22"/>
                <w:highlight w:val="none"/>
                <w:u w:val="single"/>
                <w:lang w:val="en-US" w:eastAsia="zh-CN" w:bidi="ar"/>
              </w:rPr>
              <w:t xml:space="preserve">独立显卡;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独立显卡显存位宽</w:t>
            </w:r>
            <w:r>
              <w:rPr>
                <w:rFonts w:hint="eastAsia" w:ascii="宋体" w:hAnsi="宋体" w:cs="宋体"/>
                <w:b/>
                <w:bCs/>
                <w:i/>
                <w:iCs/>
                <w:color w:val="000000"/>
                <w:sz w:val="22"/>
                <w:szCs w:val="22"/>
                <w:highlight w:val="none"/>
                <w:u w:val="single"/>
                <w:lang w:val="en-US" w:eastAsia="zh-CN"/>
              </w:rPr>
              <w:t xml:space="preserve">:显存位宽≥16 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独立显卡显存容量</w:t>
            </w:r>
            <w:r>
              <w:rPr>
                <w:rFonts w:hint="eastAsia" w:ascii="宋体" w:hAnsi="宋体" w:cs="宋体"/>
                <w:b/>
                <w:bCs/>
                <w:i/>
                <w:iCs/>
                <w:color w:val="000000"/>
                <w:sz w:val="22"/>
                <w:szCs w:val="22"/>
                <w:highlight w:val="none"/>
                <w:u w:val="single"/>
                <w:lang w:val="en-US" w:eastAsia="zh-CN"/>
              </w:rPr>
              <w:t xml:space="preserve">:显存容量≥2GB;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独立显卡显存类型:显存类型为DDR3/DDR4/GDDR5/GDDR6/LPDDR4其中的一种;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显示屏屏占比:≥80%;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显示屏分辨率:≥1920x1080;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显示屏尺寸:≥2</w:t>
            </w:r>
            <w:r>
              <w:rPr>
                <w:rFonts w:hint="eastAsia" w:ascii="宋体" w:hAnsi="宋体" w:cs="宋体"/>
                <w:b/>
                <w:bCs/>
                <w:i/>
                <w:iCs/>
                <w:color w:val="000000"/>
                <w:sz w:val="22"/>
                <w:szCs w:val="22"/>
                <w:highlight w:val="none"/>
                <w:u w:val="single"/>
                <w:lang w:val="en-US" w:eastAsia="zh-CN" w:bidi="ar"/>
              </w:rPr>
              <w:t xml:space="preserve">3.8</w:t>
            </w:r>
            <w:r>
              <w:rPr>
                <w:rFonts w:hint="eastAsia" w:ascii="宋体" w:hAnsi="宋体" w:eastAsia="宋体" w:cs="宋体"/>
                <w:b/>
                <w:bCs/>
                <w:i/>
                <w:iCs/>
                <w:color w:val="000000"/>
                <w:sz w:val="22"/>
                <w:szCs w:val="22"/>
                <w:highlight w:val="none"/>
                <w:u w:val="single"/>
                <w:lang w:val="en-US" w:eastAsia="zh-CN" w:bidi="ar"/>
              </w:rPr>
              <w:t xml:space="preserve">英寸;</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显示屏屏幕比例:16:9/3:2/21:9/16:10等;</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显示器外观颜色:黑色;</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显示屏防蓝光:支持防蓝光模式，蓝光加权辐射亮度比应≤0.0012W/(·cd·sr)（瓦每坎特拉每球面度）;</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显示屏低频闪:显示屏应支持低频闪≤-35dB;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显示屏防炫目:显示屏镜面反射率≤10%;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鼠标数量:≥1个;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键盘数量:≥1个;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键盘按键数目:61键/86键/101键/104键等;</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键盘连接方式:有线;</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键盘键程:2.3mm~ 4.0mm;</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键盘按键压力:按键压力应在0.54 N±0.14N;</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有线键盘连接线:≥1.5米;</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键盘颜色:黑色;</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鼠标连接方式:有线;</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有线鼠标连接线:≥1.5米;</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鼠标DPI分辨率:800至1600;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鼠标颜色:黑色;</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鼠标其他要求:其它参数应符合GB/T 26245 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有线网卡数量:≥1;</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USB接口数量:前置面板：USB3.0≥6个；后置面板：USB2.0≥4个；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视频接口数量:≥1;</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音频接口数量:≥1;</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状态指示灯:在产品显著位置提供状态指示功能，如运行状态，并由供应商提供详细参数;</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整机结构:</w:t>
            </w:r>
            <w:r>
              <w:rPr>
                <w:rFonts w:hint="eastAsia" w:ascii="宋体" w:hAnsi="宋体" w:eastAsia="宋体" w:cs="宋体"/>
                <w:b/>
                <w:bCs/>
                <w:i/>
                <w:iCs/>
                <w:color w:val="000000"/>
                <w:sz w:val="22"/>
                <w:szCs w:val="22"/>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整机内部走线应规整，固线结</w:t>
            </w:r>
            <w:r>
              <w:rPr>
                <w:rFonts w:hint="eastAsia" w:ascii="宋体" w:hAnsi="宋体" w:eastAsia="宋体" w:cs="宋体"/>
                <w:b/>
                <w:bCs/>
                <w:i/>
                <w:iCs/>
                <w:color w:val="000000"/>
                <w:sz w:val="22"/>
                <w:szCs w:val="22"/>
                <w:highlight w:val="none"/>
                <w:u w:val="single"/>
                <w:lang w:val="en-US" w:eastAsia="zh-CN" w:bidi="ar"/>
              </w:rPr>
              <w:t xml:space="preserve">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机箱防护要求:机箱应符合GB/T 4208中IP20防护要求;</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整机噪音:产品工作在空闲状态下，产品的声功率级应不超过4.5 Bel</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整机能效限定值:产品能效限定值应达到GB 28380-2012标准中能效等级1至3级;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机身材质:塑料或者金属;</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机身颜色:黑色;</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机箱尺寸容量:≤30L;</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CPU物理核数:≥8;</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CPU主频:≥3.0GHz;</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末级缓存容量:≥4MB;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CPU支持的内存最高速率:≥2666MT/s;</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内存读写速率:≥2666MT/s;</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显示分辨率:≥1920x1080;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显卡显示芯片核心频率:≥780MHz;</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显存等效频率:≥1600MT/s;</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显卡可同时支持多屏显示数量:显卡应支持大于等于2块屏幕同时显示，分辨率不低于1920*1080 ;</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显示屏刷新率:≥75Hz;</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显示屏位深:≥8位;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显示屏色域:≥99% sRGB;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显示屏色准:△E≤4 ;</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显示屏响应时间:≤8ms ;</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显示屏亮度:≥300尼特;</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显示屏亮度一致性:≥70%;</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显示屏对比度:≥1000：1 ;</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显示屏其他参数:其它参数应符合SJ/T 11292 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有线网卡速率:最高速率应不低于1000Mbps，应支持10Mbps、100Mbps、1000Mbps 速率自适应;</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内存扩展接口(板载内存不涉及):≥2个;</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主板USB瞬间过流保护:支持有瞬间过流保护功能;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主板防静电保护:支持防静电保护功能;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显卡外接显示接口:显卡至少支持VGA、HDMI、DVI、DP、Type-C 中1 种显示接口，并与显示器接口相匹配;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显示器接口:显示器应与显卡外接显示接口匹配;</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显示器支架:固定式支架或者旋转/升级支架固定式支架底座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显示器参数调节:a)提供OSD 选单按钮用于调节色彩、模式等；b)支持色温、亮度、对比度调节;</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存储功能:通过PCIe 固态存储或SATA 硬磁盘提供存储功能;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网络功能：a)支持网络连接、网络开启/关闭功能；b)支持访问网络和数据交换功能;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数据传输:支持数据传输能力，并提供数据流量和异常日志记录功能;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有线网卡接口类型:支持RJ45接口;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网络设备拆装:网络设备可物理拆装（包括无线网卡和蓝牙模块等）;</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音频接口类型:支持3.5mm孔径3段式或者4段式接口;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视频接口类型:至少支持VGA、HDMI、DVI、DP、Type-C中1种显示接口；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HDMI、DP、Type-C显示接口要求:若提供HDMI或DP或Type-C作为显示接口，应支持音频和视频同步输出;</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电源线适配能力:电源适配器电线组件应符合GB/T15934的要求;</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中文信息处理要求:符合GB18030的相关规定;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操作系统备份及还原功能:支持操作系统备份及还原功能;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固件备份还原能力:支持备份及还原固件的功能;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操作系统及驱动升级:支持通过网络、闪存盘等方式对操作系统、驱动进行升级;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固件升级:支持通过网络、闪存盘等方式对固件进行升级;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BIOS支持关闭通讯接口:支持BIOS关闭以太网及USB接口;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固件查看信息:支持查看固件版本、内存信息、主板信息、处理器信息和系统时间信息等功能;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固件设置启动顺序:支持设置启动顺序功能，并按照设置的启动顺序启动;</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固件设置口令:支持设置口令、修改口令、验证口令功能;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固件设置网络引导:支持网络引导启动和关闭功能;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固态存储寿命:TBW≥80TB;</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机械硬盘寿命:通电时间≥5万小时;</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显示屏屏幕失效点:符合GB/T 9813.2 的要求;</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键盘按键寿命:≥1000万次;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鼠标按键寿命:≥500万次;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鼠标键盘线材寿命:键盘鼠标所用线材经±60°弯折不低于3000次，功能、外观完好;</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风扇寿命:≥4万小时;</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电磁兼容性要求的抗扰度:符合GB/T 9254.2的规定;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环境条件要求的气候环境适应性:符合GB/T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环境条件要求的振动适应性:符合GB/T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环境条件要求的冲击适应性:符合GB/T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环境条件要求的碰撞适应性:符合GB/T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环境条件要求的运输包装件跌落适应性:符合GB/T 9813.1中规定;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MTBF测试:MTBF(m1)≥3万小时;</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数据库兼容:兼容3个及以上厂商的数据库产品;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中间件兼容:兼容3个及以上厂商中间件产品;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平台软件兼容:兼容3个及以上厂商云计算及大数据平台;</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标志、包装、运输和贮存:符合GB/T 9813.1 和商品包装政府采购需求标准的相关规定;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服务周期:a) 设备停产后应继续提供质量保障服务（含备品备件），服务终止时间与最后一批设备交付时间间隔不低于6年；b) 产品停止服务时间应提前1 年告知；c) 应明确产品发布日期;</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预装操作系统:预装符合桌面操作系统政府采购需求标准的正版操作系统;</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厂家升级软件与扩容服务:供应商提供上门升级部件/软件与扩容的增值服务;</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整机质量服务要求:免费服务周期（含换件和维修）应不小于3年;</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合格证书要求:供应商提供产品合格证;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开箱组装/使用指导要求:供应商提供开箱组装/使用指导;</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驱动下载服务要求:供应商提供驱动光盘或下载方式;</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兼容适配软件下载服务要求:供应商提供兼容适配软件下载渠道（光盘、网站）跨架构平台应用兼容:供应商提供跨架构平台的应用兼容工具，支持一种或者一种以上不同架构平台的应用;</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限用物质的限量要求:符合GB/T 26572中规定；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常用软件兼容</w:t>
            </w:r>
            <w:r>
              <w:rPr>
                <w:rFonts w:hint="eastAsia" w:ascii="宋体" w:hAnsi="宋体" w:cs="宋体"/>
                <w:b/>
                <w:bCs/>
                <w:i/>
                <w:iCs/>
                <w:color w:val="000000"/>
                <w:sz w:val="22"/>
                <w:szCs w:val="22"/>
                <w:highlight w:val="none"/>
                <w:u w:val="single"/>
                <w:lang w:eastAsia="zh-CN"/>
              </w:rPr>
              <w:t xml:space="preserve">：支持流式软件、版式软件、浏览器、邮件采购人端、解压软件、多媒体、图形图像处理等常用软件；</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配置检查工具</w:t>
            </w:r>
            <w:r>
              <w:rPr>
                <w:rFonts w:hint="eastAsia" w:ascii="宋体" w:hAnsi="宋体" w:cs="宋体"/>
                <w:b/>
                <w:bCs/>
                <w:i/>
                <w:iCs/>
                <w:color w:val="000000"/>
                <w:sz w:val="22"/>
                <w:szCs w:val="22"/>
                <w:highlight w:val="none"/>
                <w:u w:val="single"/>
                <w:lang w:eastAsia="zh-CN"/>
              </w:rPr>
              <w:t xml:space="preserve">：供应商提供自检测试工具；</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培训服务</w:t>
            </w:r>
            <w:r>
              <w:rPr>
                <w:rFonts w:hint="eastAsia" w:ascii="宋体" w:hAnsi="宋体" w:cs="宋体"/>
                <w:b/>
                <w:bCs/>
                <w:i/>
                <w:iCs/>
                <w:color w:val="000000"/>
                <w:sz w:val="22"/>
                <w:szCs w:val="22"/>
                <w:highlight w:val="none"/>
                <w:u w:val="single"/>
                <w:lang w:eastAsia="zh-CN"/>
              </w:rPr>
              <w:t xml:space="preserve">：供应商提供培训材料、产品手册、培训视频等培训相关内容；</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典型问题解决手册</w:t>
            </w:r>
            <w:r>
              <w:rPr>
                <w:rFonts w:hint="eastAsia" w:ascii="宋体" w:hAnsi="宋体" w:cs="宋体"/>
                <w:b/>
                <w:bCs/>
                <w:i/>
                <w:iCs/>
                <w:color w:val="000000"/>
                <w:sz w:val="22"/>
                <w:szCs w:val="22"/>
                <w:highlight w:val="none"/>
                <w:u w:val="single"/>
                <w:lang w:eastAsia="zh-CN"/>
              </w:rPr>
              <w:t xml:space="preserve">：供应商提供典型问题解决说明文档或视频；</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产品部件保障</w:t>
            </w:r>
            <w:r>
              <w:rPr>
                <w:rFonts w:hint="eastAsia" w:ascii="宋体" w:hAnsi="宋体" w:cs="宋体"/>
                <w:b/>
                <w:bCs/>
                <w:i/>
                <w:iCs/>
                <w:color w:val="000000"/>
                <w:sz w:val="22"/>
                <w:szCs w:val="22"/>
                <w:highlight w:val="none"/>
                <w:u w:val="single"/>
                <w:lang w:eastAsia="zh-CN"/>
              </w:rPr>
              <w:t xml:space="preserve">：供应商保障产品主要部件，提供 6 年的备件服务能力（自购买之日起），或提供可兼容原设备的升级换代产品；</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抗干扰性</w:t>
            </w:r>
            <w:r>
              <w:rPr>
                <w:rFonts w:hint="eastAsia" w:ascii="宋体" w:hAnsi="宋体" w:cs="宋体"/>
                <w:b/>
                <w:bCs/>
                <w:i/>
                <w:iCs/>
                <w:color w:val="000000"/>
                <w:sz w:val="22"/>
                <w:szCs w:val="22"/>
                <w:highlight w:val="none"/>
                <w:u w:val="single"/>
                <w:lang w:eastAsia="zh-CN"/>
              </w:rPr>
              <w:t xml:space="preserve">：当产品部件出现供应风险时，供应商应通知采购人并提供风险应对方案确保产品的服务保障；</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供应能力证明</w:t>
            </w:r>
            <w:r>
              <w:rPr>
                <w:rFonts w:hint="eastAsia" w:ascii="宋体" w:hAnsi="宋体" w:cs="宋体"/>
                <w:b/>
                <w:bCs/>
                <w:i/>
                <w:iCs/>
                <w:color w:val="000000"/>
                <w:sz w:val="22"/>
                <w:szCs w:val="22"/>
                <w:highlight w:val="none"/>
                <w:u w:val="single"/>
                <w:lang w:eastAsia="zh-CN"/>
              </w:rPr>
              <w:t xml:space="preserve">：供应商提供供应链稳定承诺书，确保产品的部件在产品服务周期内稳定供货；</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密码算法实现</w:t>
            </w:r>
            <w:r>
              <w:rPr>
                <w:rFonts w:hint="eastAsia" w:ascii="宋体" w:hAnsi="宋体" w:cs="宋体"/>
                <w:b/>
                <w:bCs/>
                <w:i/>
                <w:iCs/>
                <w:color w:val="000000"/>
                <w:sz w:val="22"/>
                <w:szCs w:val="22"/>
                <w:highlight w:val="none"/>
                <w:u w:val="single"/>
                <w:lang w:eastAsia="zh-CN"/>
              </w:rPr>
              <w:t xml:space="preserve">：CPU 芯片应符合 GM/T 0008 的相关规定，或芯片密码模块应符合 GB/T 37092或 GM/T 0028 的相关规定；</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信息安全基本要求</w:t>
            </w:r>
            <w:r>
              <w:rPr>
                <w:rFonts w:hint="eastAsia" w:ascii="宋体" w:hAnsi="宋体" w:cs="宋体"/>
                <w:b/>
                <w:bCs/>
                <w:i/>
                <w:iCs/>
                <w:color w:val="000000"/>
                <w:sz w:val="22"/>
                <w:szCs w:val="22"/>
                <w:highlight w:val="none"/>
                <w:u w:val="single"/>
                <w:lang w:eastAsia="zh-CN"/>
              </w:rPr>
              <w:t xml:space="preserve">：a) 产品应符合 GB/T 39276 的 5.2 的规定；b) 生产厂商应建立漏洞跟踪表，保证产品版本涉及到的漏洞(如驱动程序等)可查看；c) 产品不得包含已知的恶意代码或漏洞，不存在未声明的指令、功能、接口；</w:t>
            </w:r>
            <w:r/>
          </w:p>
          <w:p>
            <w:pPr>
              <w:numPr>
                <w:ilvl w:val="0"/>
                <w:numId w:val="7"/>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rPr>
              <w:t xml:space="preserve">固件安全启动</w:t>
            </w:r>
            <w:r>
              <w:rPr>
                <w:rFonts w:hint="eastAsia" w:ascii="宋体" w:hAnsi="宋体" w:cs="宋体"/>
                <w:b/>
                <w:bCs/>
                <w:i/>
                <w:iCs/>
                <w:color w:val="000000"/>
                <w:sz w:val="22"/>
                <w:szCs w:val="22"/>
                <w:highlight w:val="none"/>
                <w:u w:val="single"/>
                <w:lang w:eastAsia="zh-CN"/>
              </w:rPr>
              <w:t xml:space="preserve">：支持固件安全启动功能，固件启动过程中只有通过启动校验才能正常启动；</w:t>
            </w:r>
            <w:r>
              <w:rPr>
                <w:rFonts w:hint="eastAsia" w:ascii="宋体" w:hAnsi="宋体" w:eastAsia="宋体" w:cs="宋体"/>
                <w:b/>
                <w:bCs/>
                <w:i/>
                <w:iCs/>
                <w:color w:val="000000"/>
                <w:sz w:val="22"/>
                <w:szCs w:val="22"/>
                <w:highlight w:val="none"/>
                <w:u w:val="single"/>
                <w:lang w:val="en-US" w:eastAsia="zh-CN" w:bidi="ar-SA"/>
              </w:rPr>
            </w:r>
            <w:r/>
          </w:p>
          <w:p>
            <w:pPr>
              <w:ind w:left="0" w:firstLine="0"/>
              <w:jc w:val="left"/>
              <w:keepLines w:val="0"/>
              <w:keepNext w:val="0"/>
              <w:widowControl/>
              <w:rPr>
                <w:rFonts w:hint="eastAsia" w:ascii="宋体" w:hAnsi="宋体" w:eastAsia="宋体" w:cs="宋体"/>
                <w:b/>
                <w:bCs/>
                <w:i/>
                <w:iCs/>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SA"/>
              </w:rPr>
              <w:t xml:space="preserve">提供节能产品认证证书扫描件并加盖投标人公章。</w:t>
            </w:r>
            <w:r/>
          </w:p>
          <w:p>
            <w:pPr>
              <w:numPr>
                <w:ilvl w:val="0"/>
                <w:numId w:val="0"/>
              </w:numPr>
              <w:jc w:val="left"/>
              <w:keepLines w:val="0"/>
              <w:keepNext w:val="0"/>
              <w:widowControl/>
              <w:rPr>
                <w:rFonts w:hint="default" w:ascii="宋体" w:hAnsi="宋体" w:eastAsia="宋体" w:cs="宋体"/>
                <w:b/>
                <w:bCs/>
                <w:i/>
                <w:iCs/>
                <w:color w:val="000000"/>
                <w:sz w:val="22"/>
                <w:szCs w:val="22"/>
                <w:highlight w:val="none"/>
                <w:u w:val="single"/>
                <w:lang w:val="en-US" w:eastAsia="zh-CN" w:bidi="ar-SA"/>
              </w:rPr>
              <w:suppressLineNumbers w:val="0"/>
            </w:pPr>
            <w:r>
              <w:rPr>
                <w:rFonts w:hint="default" w:ascii="宋体" w:hAnsi="宋体" w:eastAsia="宋体" w:cs="宋体"/>
                <w:b/>
                <w:bCs/>
                <w:i/>
                <w:iCs/>
                <w:color w:val="000000"/>
                <w:sz w:val="22"/>
                <w:szCs w:val="22"/>
                <w:highlight w:val="none"/>
                <w:u w:val="single"/>
                <w:lang w:val="en-US" w:eastAsia="zh-CN" w:bidi="ar-SA"/>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49" w:type="dxa"/>
            <w:vAlign w:val="center"/>
            <w:textDirection w:val="lrTb"/>
            <w:noWrap w:val="false"/>
          </w:tcPr>
          <w:p>
            <w:pPr>
              <w:jc w:val="left"/>
              <w:spacing w:line="360" w:lineRule="auto"/>
              <w:rPr>
                <w:rFonts w:hint="eastAsia" w:ascii="宋体" w:hAnsi="宋体" w:eastAsia="宋体" w:cs="宋体"/>
                <w:b/>
                <w:bCs/>
                <w:i/>
                <w:iCs/>
                <w:color w:val="000000"/>
                <w:sz w:val="22"/>
                <w:szCs w:val="22"/>
                <w:highlight w:val="none"/>
                <w:u w:val="single"/>
                <w:lang w:val="en-US" w:eastAsia="zh-CN" w:bidi="ar"/>
              </w:rPr>
            </w:pPr>
            <w:r>
              <w:rPr>
                <w:rFonts w:ascii="Calibri" w:hAnsi="Calibri" w:cs="Calibri"/>
                <w:b/>
                <w:bCs/>
                <w:i/>
                <w:iCs/>
                <w:color w:val="000000"/>
                <w:sz w:val="22"/>
                <w:szCs w:val="22"/>
                <w:highlight w:val="none"/>
                <w:u w:val="single"/>
              </w:rPr>
              <w:t xml:space="preserve">合同签订后</w:t>
            </w:r>
            <w:r>
              <w:rPr>
                <w:rFonts w:hint="eastAsia" w:ascii="Calibri" w:hAnsi="Calibri" w:cs="Calibri"/>
                <w:b/>
                <w:bCs/>
                <w:i/>
                <w:iCs/>
                <w:color w:val="000000"/>
                <w:sz w:val="22"/>
                <w:szCs w:val="22"/>
                <w:highlight w:val="none"/>
                <w:u w:val="single"/>
                <w:lang w:val="en-US" w:eastAsia="zh-CN"/>
              </w:rPr>
              <w:t xml:space="preserve">6</w:t>
            </w:r>
            <w:r>
              <w:rPr>
                <w:rFonts w:ascii="Calibri" w:hAnsi="Calibri" w:cs="Calibri"/>
                <w:b/>
                <w:bCs/>
                <w:i/>
                <w:iCs/>
                <w:color w:val="000000"/>
                <w:sz w:val="22"/>
                <w:szCs w:val="22"/>
                <w:highlight w:val="none"/>
                <w:u w:val="single"/>
              </w:rPr>
              <w:t xml:space="preserve">0天内完成安装调试，达到预期效果。</w:t>
            </w:r>
            <w:r>
              <w:rPr>
                <w:rFonts w:hint="eastAsia"/>
                <w:b/>
                <w:bCs/>
                <w:i/>
                <w:iCs/>
                <w:sz w:val="22"/>
                <w:szCs w:val="22"/>
                <w:highlight w:val="none"/>
                <w:u w:val="single"/>
              </w:rPr>
              <w:t xml:space="preserve">（投标文件中提供加盖投标人公章的承诺函，格式自拟，否则投标无效）</w:t>
            </w:r>
            <w:r/>
          </w:p>
        </w:tc>
      </w:tr>
    </w:tbl>
    <w:p>
      <w:pPr>
        <w:ind w:left="0" w:right="0" w:firstLine="0"/>
        <w:spacing w:before="0" w:after="0" w:line="85" w:lineRule="atLeast"/>
        <w:rPr>
          <w:rFonts w:ascii="宋体" w:hAnsi="宋体" w:cs="宋体"/>
          <w:color w:val="000000"/>
          <w:sz w:val="20"/>
          <w:szCs w:val="20"/>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highlight w:val="none"/>
        </w:rPr>
      </w:r>
      <w:r>
        <w:rPr>
          <w:rFonts w:ascii="宋体" w:hAnsi="宋体" w:eastAsia="宋体" w:cs="宋体"/>
          <w:color w:val="000000"/>
          <w:sz w:val="20"/>
          <w:szCs w:val="20"/>
          <w:highlight w:val="none"/>
        </w:rPr>
      </w:r>
      <w:r/>
    </w:p>
    <w:p>
      <w:pPr>
        <w:ind w:left="0" w:right="0" w:firstLine="0"/>
        <w:spacing w:before="0" w:after="0" w:line="85" w:lineRule="atLeast"/>
        <w:rPr>
          <w:rFonts w:ascii="宋体" w:hAnsi="宋体" w:eastAsia="宋体" w:cs="宋体"/>
          <w:color w:val="000000"/>
          <w:sz w:val="20"/>
          <w:szCs w:val="20"/>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注：根据财政部、工业和信息化部《关于印发&lt;台式计算机政府采购需求标准（2023年版）&gt;的通知</w:t>
      </w:r>
      <w:r>
        <w:rPr>
          <w:rFonts w:ascii="宋体" w:hAnsi="宋体" w:eastAsia="宋体" w:cs="宋体"/>
          <w:color w:val="000000"/>
          <w:sz w:val="20"/>
          <w:szCs w:val="20"/>
        </w:rPr>
        <w:t xml:space="preserve">》</w:t>
      </w:r>
      <w:r>
        <w:rPr>
          <w:rFonts w:ascii="宋体" w:hAnsi="宋体" w:eastAsia="宋体" w:cs="宋体"/>
          <w:color w:val="000000"/>
          <w:sz w:val="20"/>
          <w:szCs w:val="20"/>
        </w:rPr>
        <w:t xml:space="preserve">（财库</w:t>
      </w:r>
      <w:r>
        <w:rPr>
          <w:rFonts w:ascii="宋体" w:hAnsi="宋体" w:eastAsia="宋体" w:cs="宋体"/>
          <w:color w:val="000000"/>
          <w:sz w:val="20"/>
          <w:szCs w:val="20"/>
        </w:rPr>
        <w:t xml:space="preserve">〔2023〕29号</w:t>
      </w:r>
      <w:r>
        <w:rPr>
          <w:rFonts w:ascii="宋体" w:hAnsi="宋体" w:eastAsia="宋体" w:cs="宋体"/>
          <w:color w:val="000000"/>
          <w:sz w:val="20"/>
          <w:szCs w:val="20"/>
        </w:rPr>
        <w:t xml:space="preserve">）要求，供应商在投标、响应环节出具关于所提供台式计算机满足采购文件要求承诺函的，即视为相关产品符合要求。</w:t>
      </w:r>
      <w:r>
        <w:rPr>
          <w:rFonts w:ascii="宋体" w:hAnsi="宋体" w:cs="宋体"/>
          <w:sz w:val="20"/>
          <w:szCs w:val="20"/>
        </w:rPr>
      </w:r>
      <w:r/>
    </w:p>
    <w:p>
      <w:pPr>
        <w:ind w:firstLine="0"/>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ind w:firstLine="281"/>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hint="default" w:ascii="宋体" w:hAnsi="宋体" w:eastAsia="宋体" w:cs="Times New Roman"/>
          <w:color w:val="000000"/>
          <w:sz w:val="24"/>
          <w:szCs w:val="24"/>
          <w:highlight w:val="none"/>
          <w:lang w:val="en-US" w:eastAsia="zh-CN"/>
        </w:rPr>
      </w:pPr>
      <w:r>
        <w:rPr>
          <w:rFonts w:hint="eastAsia" w:asciiTheme="minorEastAsia" w:hAnsiTheme="minorEastAsia"/>
          <w:sz w:val="24"/>
          <w:szCs w:val="24"/>
          <w:highlight w:val="none"/>
        </w:rPr>
        <w:t xml:space="preserve">江苏省海州高级中学物理数字化实验室</w:t>
      </w:r>
      <w:r>
        <w:rPr>
          <w:rFonts w:hint="eastAsia" w:ascii="宋体" w:hAnsi="宋体" w:eastAsia="宋体" w:cs="Times New Roman"/>
          <w:color w:val="000000"/>
          <w:sz w:val="24"/>
          <w:szCs w:val="24"/>
          <w:highlight w:val="none"/>
          <w:lang w:val="en-US" w:eastAsia="zh-CN"/>
        </w:rPr>
        <w:t xml:space="preserve">建设，目前物理实验室已建设十多年，设备老化、破损，已经满足不了目前学生日常上课、学业考试考场需求，急需改造建设。需采购一批新的实验用电脑、</w:t>
      </w:r>
      <w:r>
        <w:rPr>
          <w:rFonts w:hint="eastAsia" w:ascii="宋体" w:hAnsi="宋体" w:eastAsia="宋体" w:cs="宋体"/>
          <w:i w:val="0"/>
          <w:iCs w:val="0"/>
          <w:color w:val="000000"/>
          <w:sz w:val="24"/>
          <w:szCs w:val="24"/>
          <w:u w:val="none"/>
          <w:lang w:val="en-US" w:eastAsia="zh-CN" w:bidi="ar"/>
        </w:rPr>
        <w:t xml:space="preserve">实验器材</w:t>
      </w:r>
      <w:r>
        <w:rPr>
          <w:rFonts w:hint="eastAsia" w:ascii="宋体" w:hAnsi="宋体" w:eastAsia="宋体" w:cs="Times New Roman"/>
          <w:color w:val="000000"/>
          <w:sz w:val="24"/>
          <w:szCs w:val="24"/>
          <w:highlight w:val="none"/>
          <w:lang w:val="en-US" w:eastAsia="zh-CN"/>
        </w:rPr>
        <w:t xml:space="preserve">、传感器等货物</w:t>
      </w:r>
      <w:r>
        <w:rPr>
          <w:rFonts w:hint="eastAsia" w:asciiTheme="minorEastAsia" w:hAnsiTheme="minorEastAsia"/>
          <w:sz w:val="24"/>
          <w:szCs w:val="24"/>
          <w:highlight w:val="none"/>
          <w:lang w:val="en-US" w:eastAsia="zh-CN"/>
        </w:rPr>
        <w:t xml:space="preserve">的供货、运输、安装、调试、验收等内容，以此满足师生日常上课以及学业考试使用。</w:t>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703"/>
        <w:tblW w:w="79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0"/>
        <w:gridCol w:w="3026"/>
        <w:gridCol w:w="1303"/>
        <w:gridCol w:w="1303"/>
        <w:gridCol w:w="1678"/>
      </w:tblGrid>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bookmarkStart w:id="8" w:name="_Toc139966432"/>
            <w:r/>
            <w:bookmarkStart w:id="9" w:name="_Toc139967216"/>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中小企业划分标准所属行业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实验室标配基础设施</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智能安全用电保护器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实验教师电脑</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实验学生电脑（核心产品）</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有源音响</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实验室安全监控</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静电地板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7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教师用加强型传感器部分（可无线及有线采集数据）</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数据采集分析仪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蓝牙接收器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传感器数据显示模块(通用)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三维磁感应强度传感器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微力传感器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位移传感器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光电门传感器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声波/声级传感器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压强传感器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加速度传感器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一体式位移传感器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多量程电压传感器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数字静电实验器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G-M传感器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频率传感器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交流电压传感器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电子罗盘传感器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集中充电装置</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铝合金箱</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68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软件和信息技术服务业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7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教师用加强型配套器材</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智能力盘实验器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多用力学轨道</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智能机械能守恒实验器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斜面上力的分解实验器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环形线圈</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通电螺线管</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数字化摩擦力实验器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远红外实验用加热器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安培力实验器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电磁定位系统</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魔板-单摆实验器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魔板—自由落体运动实验器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魔板—圆周运动实验器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方块电路</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法拉第电磁感应（定律）实验器Ⅰ</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法拉第电磁感应（定律）实验器Ⅱ</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智能电源</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查理定律实验器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玻璃导电实验器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温差电流实验器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电磁感应与楞次定律实验器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无线智能小车（红色）</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无线智能小车（蓝色）</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智能风扇模块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智能弹射模块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矢量显示模块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智能驱动模块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轨道及附件</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魔板-</w:t>
            </w:r>
            <w:r>
              <w:rPr>
                <w:rStyle w:val="906"/>
                <w:lang w:val="en-US" w:eastAsia="zh-CN" w:bidi="ar"/>
              </w:rPr>
              <w:t xml:space="preserve">凹凸桥实验器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测力板</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等势线描绘仪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光学实验系统-高中版</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Mini牛顿管实验器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无线向心力实验器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7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学生用基本配置传感器部分</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传感器数据显示模块(通用)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磁感应强度传感器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微力传感器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位移传感器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光电门传感器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压强传感器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多量程电压传感器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铝合金箱</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7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学生用标准配套实验器材部分</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多用力学轨道</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斜面上力的分解实验器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机械能守恒实验器I</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环形线圈</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通电螺线管</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电磁感应与楞次定律实验器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数字化摩擦力实验器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向心力实验器V2.0</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平抛运动实验器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安培力实验器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jc w:val="center"/>
          <w:trHeight w:val="420"/>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电阻定律实验器</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bl>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tbl>
      <w:tblPr>
        <w:tblStyle w:val="703"/>
        <w:tblW w:w="97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0"/>
        <w:gridCol w:w="2318"/>
        <w:gridCol w:w="6726"/>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技术参数及功能指标</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实验室标配基础设施</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智能安全用电保护器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于交流50HZ/60HZ，额定电流0~80A的电路中，当发生电路漏电、过载、雷击、火灾、短路以及火线、零线单独或同时受潮，甚至浸入水中时“保护器”应能自动检测到异常，并在0.01秒时间内进入保护状态，从而避免人身伤害和设备损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保护器”外壳采用ABS工程阻燃塑料模压制成。固定在实验室电器控制器右侧。对各项功能应有明显的标注。功能设置采用按键式。所有参数均由液晶（带背景灯光）显示屏显示。具有声、光故障报警功能。电流从1~80A线性调节，漏电流10~90MA线性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2、技术参数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额定电压：AC220V50Hz/60Hz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工作电源范围：AC40V~AC320V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本机功耗： ＜3W</w:t>
            </w:r>
            <w:r>
              <w:rPr>
                <w:rFonts w:hint="eastAsia" w:ascii="宋体" w:hAnsi="宋体" w:eastAsia="宋体" w:cs="宋体"/>
                <w:i w:val="0"/>
                <w:iCs w:val="0"/>
                <w:color w:val="000000"/>
                <w:sz w:val="24"/>
                <w:szCs w:val="24"/>
                <w:u w:val="none"/>
                <w:lang w:val="en-US" w:eastAsia="zh-CN" w:bidi="ar"/>
              </w:rPr>
              <w:br/>
            </w:r>
            <w:r>
              <w:rPr>
                <w:rStyle w:val="897"/>
                <w:rFonts w:hint="eastAsia" w:ascii="宋体" w:hAnsi="宋体" w:eastAsia="宋体" w:cs="宋体"/>
                <w:sz w:val="24"/>
                <w:szCs w:val="24"/>
                <w:lang w:val="en-US" w:eastAsia="zh-CN" w:bidi="ar"/>
              </w:rPr>
              <w:t xml:space="preserve">额定输出电流：IN80A</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漏电动作时间：≤0.01S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过压设定范围：AC220~280V</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过压动作时间：≤0.01S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欠压设定范围：AC145~220V</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欠压动作时间：≤0.01S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过流设定范围：1A~80A</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过流动作时间：2~5S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短路保护电流：≥3IN</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短路动作时间：≤0.1S</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故障信息保存数：≥9999</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RS485波特率：≥9600</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通讯地址范围：1~247</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显示误差：≤5%</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漏电设定范围：10~90mA</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浸水保护时间：≤0.01S 火、零线单独或同时浸水保证无触电现象发生。</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工作环境：温度 -20℃~55℃</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湿度：≤95%Rh</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大气压力：90KPa~106KPa</w:t>
            </w:r>
            <w:r>
              <w:rPr>
                <w:rStyle w:val="898"/>
                <w:rFonts w:hint="eastAsia" w:ascii="宋体" w:hAnsi="宋体" w:eastAsia="宋体" w:cs="宋体"/>
                <w:sz w:val="24"/>
                <w:szCs w:val="24"/>
                <w:lang w:val="en-US" w:eastAsia="zh-CN" w:bidi="ar"/>
              </w:rPr>
              <w:br/>
            </w:r>
            <w:r>
              <w:rPr>
                <w:rStyle w:val="898"/>
                <w:rFonts w:hint="eastAsia" w:ascii="宋体" w:hAnsi="宋体" w:eastAsia="宋体" w:cs="宋体"/>
                <w:sz w:val="24"/>
                <w:szCs w:val="24"/>
                <w:lang w:val="en-US" w:eastAsia="zh-CN" w:bidi="ar"/>
              </w:rPr>
              <w:t xml:space="preserve">▲3、</w:t>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投标文件中</w:t>
            </w:r>
            <w:r>
              <w:rPr>
                <w:rStyle w:val="898"/>
                <w:rFonts w:hint="eastAsia" w:ascii="宋体" w:hAnsi="宋体" w:eastAsia="宋体" w:cs="宋体"/>
                <w:sz w:val="24"/>
                <w:szCs w:val="24"/>
                <w:lang w:val="en-US" w:eastAsia="zh-CN" w:bidi="ar"/>
              </w:rPr>
              <w:t xml:space="preserve">提供CQC标志认证证书扫描件并加盖投标人公章。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iCs/>
                <w:color w:val="000000"/>
                <w:sz w:val="24"/>
                <w:szCs w:val="24"/>
                <w:u w:val="single"/>
                <w:lang w:val="en-US" w:eastAsia="zh-CN" w:bidi="ar"/>
              </w:rPr>
              <w:t xml:space="preserve">实验教师电脑</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信息:CPU物理核数≥8核16线程，CPU主频≥3.0GHz、8MB 二级缓存、支持的内存最高速率≥2666MT/S。</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内存配置容量:≥16GB;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内存类型:支持DDR4及以上;</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内存条配置数量（板载内存不涉及）:≥2;</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主板集成模块:集成资源扩展模块、计算处理模块、音频扩展模块等，主板的互联拓扑可通过处理器或交换电路实现;</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主板芯片组情况:对应处理器配套芯片组或对应处理器SoC;</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主板其他内置接口</w:t>
            </w:r>
            <w:r>
              <w:rPr>
                <w:rFonts w:hint="eastAsia" w:ascii="宋体" w:hAnsi="宋体" w:cs="宋体"/>
                <w:b/>
                <w:bCs/>
                <w:i/>
                <w:iCs/>
                <w:color w:val="000000"/>
                <w:sz w:val="22"/>
                <w:szCs w:val="22"/>
                <w:highlight w:val="none"/>
                <w:u w:val="single"/>
                <w:lang w:val="en-US" w:eastAsia="zh-CN" w:bidi="ar"/>
              </w:rPr>
              <w:t xml:space="preserve">：供应商给出相关 SATA、M.2、USB 接口数量及占用状态；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单内存插槽最大可支持容量（板载内存不涉及）:≥16GB;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内存插槽满配时提供的最高内存总容量:≥32GB;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固态盘数量:≥1个;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固态存储容量:≥512GB;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w:t>
            </w:r>
            <w:r>
              <w:rPr>
                <w:rFonts w:hint="eastAsia" w:ascii="宋体" w:hAnsi="宋体" w:cs="宋体"/>
                <w:b/>
                <w:bCs/>
                <w:i/>
                <w:iCs/>
                <w:color w:val="000000"/>
                <w:sz w:val="22"/>
                <w:szCs w:val="22"/>
                <w:highlight w:val="none"/>
                <w:u w:val="single"/>
                <w:lang w:val="en-US" w:eastAsia="zh-CN" w:bidi="ar"/>
              </w:rPr>
              <w:t xml:space="preserve">:采用插卡或板载等形态，可选用符合M.2 或 2.5 寸 SATA 或 mSATA 等标准的插卡形态;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机械硬盘数量≥1；</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机械硬盘容量：≥2TB。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机械硬盘转速</w:t>
            </w:r>
            <w:r>
              <w:rPr>
                <w:rFonts w:hint="eastAsia" w:ascii="宋体" w:hAnsi="宋体" w:cs="宋体"/>
                <w:b/>
                <w:bCs/>
                <w:i/>
                <w:iCs/>
                <w:color w:val="000000"/>
                <w:sz w:val="22"/>
                <w:szCs w:val="22"/>
                <w:highlight w:val="none"/>
                <w:u w:val="single"/>
                <w:lang w:val="en-US" w:eastAsia="zh-CN" w:bidi="ar"/>
              </w:rPr>
              <w:t xml:space="preserve">:≥5400rpm;</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机械硬盘形态</w:t>
            </w:r>
            <w:r>
              <w:rPr>
                <w:rFonts w:hint="eastAsia" w:ascii="宋体" w:hAnsi="宋体" w:cs="宋体"/>
                <w:b/>
                <w:bCs/>
                <w:i/>
                <w:iCs/>
                <w:color w:val="000000"/>
                <w:sz w:val="22"/>
                <w:szCs w:val="22"/>
                <w:highlight w:val="none"/>
                <w:u w:val="single"/>
                <w:lang w:val="en-US" w:eastAsia="zh-CN"/>
              </w:rPr>
              <w:t xml:space="preserve">:2.5 英寸或 3.5 英寸等;</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固态存储形态:M.2 插卡形态;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存储设备其他参数要求:a)固态盘应符合SJ/T 11654相关规定；b)机械硬盘准备时间应不大于30s；侧面固定螺丝孔数量可为4 孔或6 孔；工作状态环境温度应满足5℃~55℃；其它参数应符合GB/T 12628 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显卡类型:</w:t>
            </w:r>
            <w:r>
              <w:rPr>
                <w:rFonts w:hint="eastAsia" w:ascii="宋体" w:hAnsi="宋体" w:cs="宋体"/>
                <w:b/>
                <w:bCs/>
                <w:i/>
                <w:iCs/>
                <w:color w:val="000000"/>
                <w:sz w:val="22"/>
                <w:szCs w:val="22"/>
                <w:highlight w:val="none"/>
                <w:u w:val="single"/>
                <w:lang w:val="en-US" w:eastAsia="zh-CN" w:bidi="ar"/>
              </w:rPr>
              <w:t xml:space="preserve">≥2G</w:t>
            </w:r>
            <w:r>
              <w:rPr>
                <w:rFonts w:hint="eastAsia" w:ascii="宋体" w:hAnsi="宋体" w:eastAsia="宋体" w:cs="宋体"/>
                <w:b/>
                <w:bCs/>
                <w:i/>
                <w:iCs/>
                <w:color w:val="000000"/>
                <w:sz w:val="22"/>
                <w:szCs w:val="22"/>
                <w:highlight w:val="none"/>
                <w:u w:val="single"/>
                <w:lang w:val="en-US" w:eastAsia="zh-CN" w:bidi="ar"/>
              </w:rPr>
              <w:t xml:space="preserve">独立显卡;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独立显卡显存位宽</w:t>
            </w:r>
            <w:r>
              <w:rPr>
                <w:rFonts w:hint="eastAsia" w:ascii="宋体" w:hAnsi="宋体" w:cs="宋体"/>
                <w:b/>
                <w:bCs/>
                <w:i/>
                <w:iCs/>
                <w:color w:val="000000"/>
                <w:sz w:val="22"/>
                <w:szCs w:val="22"/>
                <w:highlight w:val="none"/>
                <w:u w:val="single"/>
                <w:lang w:val="en-US" w:eastAsia="zh-CN"/>
              </w:rPr>
              <w:t xml:space="preserve">:显存位宽≥16 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独立显卡显存容量</w:t>
            </w:r>
            <w:r>
              <w:rPr>
                <w:rFonts w:hint="eastAsia" w:ascii="宋体" w:hAnsi="宋体" w:cs="宋体"/>
                <w:b/>
                <w:bCs/>
                <w:i/>
                <w:iCs/>
                <w:color w:val="000000"/>
                <w:sz w:val="22"/>
                <w:szCs w:val="22"/>
                <w:highlight w:val="none"/>
                <w:u w:val="single"/>
                <w:lang w:val="en-US" w:eastAsia="zh-CN"/>
              </w:rPr>
              <w:t xml:space="preserve">:显存容量≥2GB;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独立显卡显存类型:显存类型为DDR3/DDR4/GDDR5/GDDR6/LPDDR4其中的一种;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显示屏屏占比:≥80%;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显示屏分辨率:≥1920x1080;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显示屏尺寸:≥27 英寸;</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显示屏屏幕比例:16:9/3:2/21:9/16:10等;</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显示器外观颜色:黑色;</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显示屏防蓝光:支持防蓝光模式，蓝光加权辐射亮度比应≤0.0012W/(·cd·sr)（瓦每坎特拉每球面度）;</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显示屏低频闪:显示屏应支持低频闪≤-35dB;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显示屏防炫目:显示屏镜面反射率≤10%;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鼠标数量:≥1个;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键盘数量:≥1个;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键盘按键数目:61键/86键/101键/104键等;</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键盘连接方式:有线;</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键盘键程:2.3mm~ 4.0mm;</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键盘按键压力:按键压力应在0.54 N±0.14N;</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有线键盘连接线:≥1.5米;</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键盘颜色:黑色;</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鼠标连接方式:有线;</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有线鼠标连接线:≥1.5米;</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鼠标DPI分辨率:800至1600;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鼠标颜色:黑色;</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鼠标其他要求:其它参数应符合GB/T 26245 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有线网卡数量:≥1;</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USB接口数量:前置面板：USB3.0≥6个；后置面板：USB2.0≥4个；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视频接口数量:≥1;</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音频接口数量:≥1;</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状态指示灯:在产品显著位置提供状态指示功能，如运行状态，并由供应商提供详细参数;</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整机结构</w:t>
            </w:r>
            <w:r>
              <w:rPr>
                <w:rFonts w:hint="eastAsia" w:ascii="宋体" w:hAnsi="宋体" w:eastAsia="宋体" w:cs="宋体"/>
                <w:b/>
                <w:bCs/>
                <w:i/>
                <w:iCs/>
                <w:color w:val="000000"/>
                <w:sz w:val="22"/>
                <w:szCs w:val="22"/>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w:t>
            </w:r>
            <w:r>
              <w:rPr>
                <w:rFonts w:hint="eastAsia" w:ascii="宋体" w:hAnsi="宋体" w:eastAsia="宋体" w:cs="宋体"/>
                <w:b/>
                <w:bCs/>
                <w:i/>
                <w:iCs/>
                <w:color w:val="000000"/>
                <w:sz w:val="22"/>
                <w:szCs w:val="22"/>
                <w:highlight w:val="none"/>
                <w:u w:val="single"/>
                <w:lang w:val="en-US" w:eastAsia="zh-CN" w:bidi="ar"/>
              </w:rPr>
              <w:t xml:space="preserve">结构和位置要合理可靠并做防割线处理，需便于理线和插拔操作，走线应不影响系统各主要部件组装和拆卸；i)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机箱防护要求:机箱应符合GB/T 4208中IP20防护要求;</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整机噪音:产品工作在空闲状态下，产品的声功率级应不超过4.5 Bel</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整机能效限定值:产品能效限定值应达到GB 28380-2012标准中能效等级1至3级;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机身材质:塑料或者金属;</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机身颜色:黑色;</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机箱尺寸容量:≤30L;</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CPU物理核数:≥8;</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CPU主频:≥3.0GHz;</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末级缓存容量:≥4MB;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CPU支持的内存最高速率:≥2666MT/s;</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内存读写速率:≥2666MT/s;</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显示分辨率:≥1920x1080;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显卡显示芯片核心频率:≥780MHz;</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显存等效频率:≥1600MT/s;</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显卡可同时支持多屏显示数量:显卡应支持大于等于2块屏幕同时显示，分辨率不低于1920*1080 ;</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显示屏刷新率:≥75Hz;</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显示屏位深:≥8位;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显示屏色域:≥99% sRGB;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显示屏色准:△E≤4 ;</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显示屏响应时间:≤8ms ;</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显示屏亮度:≥300尼特;</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显示屏亮度一致性:≥70%;</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显示屏对比度:≥1000：1 ;</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显示屏其他参数:其它参数应符合SJ/T 11292 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有线网卡速率:最高速率应不低于1000Mbps，应支持10Mbps、100Mbps、1000Mbps 速率自适应;</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内存扩展接口(板载内存不涉及):≥2个;</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主板USB瞬间过流保护:支持有瞬间过流保护功能;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主板防静电保护:支持防静电保护功能;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显卡外接显示接口:显卡至少支持VGA、HDMI、DVI、DP、Type-C 中1 种显示接口，并与显示器接口相匹配;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显示器接口:显示器应与显卡外接显示接口匹配;</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显示器支架:固定式支架或者旋转/升级支架固定式支架底座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显示器参数调节:a)提供OSD 选单按钮用于调节色彩、模式等；b)支持色温、亮度、对比度调节;</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存储功能:通过PCIe 固态存储或SATA 硬磁盘提供存储功能;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网络功能：a)支持网络连接、网络开启/关闭功能；b)支持访问网络和数据交换功能;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数据传输:支持数据传输能力，并提供数据流量和异常日志记录功能;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有线网卡接口类型:支持RJ45接口;</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网络设备拆装:网络设备可物理拆装（包括无线网卡和蓝牙模块等）;</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音频接口类型:支持3.5mm孔径3段式或者4段式接口;</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视频接口类型:至少支持VGA、HDMI、DVI、DP、Type-C中1种显示接口；</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HDMI、DP、Type-C显示接口要求:若提供HDMI或DP或Type-C作为显示接口，应支持音频和视频同步输出;</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电源线适配能力:电源适配器电线组件应符合GB/T15934的要求;</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中文信息处理要求:符合GB18030的相关规定;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操作系统备份及还原功能:支持操作系统备份及还原功能;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固件备份还原能力:支持备份及还原固件的功能;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操作系统及驱动升级:支持通过网络、闪存盘等方式对操作系统、驱动进行升级;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固件升级:支持通过网络、闪存盘等方式对固件进行升级;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BIOS支持关闭通讯接口:支持BIOS关闭以太网及USB接口;</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固件查看信息:支持查看固件版本、内存信息、主板信息、处理器信息和系统时间信息等功能;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固件设置启动顺序:支持设置启动顺序功能，并按照设置的启动顺序启动;</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固件设置口令:支持设置口令、修改口令、验证口令功能;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固件设置网络引导:支持网络引导启动和关闭功能;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固态存储寿命:TBW≥80TB;</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机械硬盘寿命:通电时间≥5万小时;</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显示屏屏幕失效点:符合GB/T 9813.2 的要求;</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键盘按键寿命:≥1000万次;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鼠标按键寿命:≥500万次;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鼠标键盘线材寿命:键盘鼠标所用线材经±60°弯折不低于3000次，功能、外观完好;</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风扇寿命:≥4万小时;</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电磁兼容性要求的抗扰度:符合GB/T 9254.2的规定;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环境条件要求的气候环境适应性:符合GB/T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环境条件要求的振动适应性:符合GB/T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环境条件要求的冲击适应性:符合GB/T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环境条件要求的碰撞适应性:符合GB/T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环境条件要求的运输包装件跌落适应性:符合GB/T 9813.1中规定;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MTBF测试:MTBF(m1)≥3万小时;</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数据库兼容:兼容3个及以上厂商的数据库产品;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中间件兼容:兼容3个及以上厂商中间件产品;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平台软件兼容:兼容3个及以上厂商云计算及大数据平台;</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标志、包装、运输和贮存:符合GB/T 9813.1 和商品包装政府采购需求标准的相关规定;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服务周期:a) 设备停产后应继续提供质量保障服务（含备品备件），服务终止时间与最后一批设备交付时间间隔不低于6年；b) 产品停止服务时间应提前1 年告知；c) 应明确产品发布日期;</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预装操作系统:预装符合桌面操作系统政府采购需求标准的正版操作系统;</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厂家升级软件与扩容服务:供应商提供上门升级部件/软件与扩容的增值服务;</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整机质量服务要求:免费服务周期（含换件和维修）应不小于3年;</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合格证书要求:供应商提供产品合格证;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开箱组装/使用指导要求:供应商提供开箱组装/使用指导;</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驱动下载服务要求:供应商提供驱动光盘或下载方式;</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兼容适配软件下载服务要求:供应商提供兼容适配软件下载渠道（光盘、网站）跨架构平台应用兼容:供应商提供跨架构平台的应用兼容工具，支持一种或者一种以上不同架构平台的应用;</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限用物质的限量要求:符合GB/T 26572中规定；</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常用软件兼容</w:t>
            </w:r>
            <w:r>
              <w:rPr>
                <w:rFonts w:hint="eastAsia" w:ascii="宋体" w:hAnsi="宋体" w:cs="宋体"/>
                <w:b/>
                <w:bCs/>
                <w:i/>
                <w:iCs/>
                <w:color w:val="000000"/>
                <w:sz w:val="22"/>
                <w:szCs w:val="22"/>
                <w:highlight w:val="none"/>
                <w:u w:val="single"/>
                <w:lang w:eastAsia="zh-CN"/>
              </w:rPr>
              <w:t xml:space="preserve">：支持流式软件、版式软件、浏览器、邮件采购人端、解压软件、多媒体、图形图像处理等常用软件；</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配置检查工具</w:t>
            </w:r>
            <w:r>
              <w:rPr>
                <w:rFonts w:hint="eastAsia" w:ascii="宋体" w:hAnsi="宋体" w:cs="宋体"/>
                <w:b/>
                <w:bCs/>
                <w:i/>
                <w:iCs/>
                <w:color w:val="000000"/>
                <w:sz w:val="22"/>
                <w:szCs w:val="22"/>
                <w:highlight w:val="none"/>
                <w:u w:val="single"/>
                <w:lang w:eastAsia="zh-CN"/>
              </w:rPr>
              <w:t xml:space="preserve">：供应商提供自检测试工具；</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培训服务</w:t>
            </w:r>
            <w:r>
              <w:rPr>
                <w:rFonts w:hint="eastAsia" w:ascii="宋体" w:hAnsi="宋体" w:cs="宋体"/>
                <w:b/>
                <w:bCs/>
                <w:i/>
                <w:iCs/>
                <w:color w:val="000000"/>
                <w:sz w:val="22"/>
                <w:szCs w:val="22"/>
                <w:highlight w:val="none"/>
                <w:u w:val="single"/>
                <w:lang w:eastAsia="zh-CN"/>
              </w:rPr>
              <w:t xml:space="preserve">：供应商提供培训材料、产品手册、培训视频等培训相关内容；</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典型问题解决手册</w:t>
            </w:r>
            <w:r>
              <w:rPr>
                <w:rFonts w:hint="eastAsia" w:ascii="宋体" w:hAnsi="宋体" w:cs="宋体"/>
                <w:b/>
                <w:bCs/>
                <w:i/>
                <w:iCs/>
                <w:color w:val="000000"/>
                <w:sz w:val="22"/>
                <w:szCs w:val="22"/>
                <w:highlight w:val="none"/>
                <w:u w:val="single"/>
                <w:lang w:eastAsia="zh-CN"/>
              </w:rPr>
              <w:t xml:space="preserve">：供应商提供典型问题解决说明文档或视频；</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产品部件保障</w:t>
            </w:r>
            <w:r>
              <w:rPr>
                <w:rFonts w:hint="eastAsia" w:ascii="宋体" w:hAnsi="宋体" w:cs="宋体"/>
                <w:b/>
                <w:bCs/>
                <w:i/>
                <w:iCs/>
                <w:color w:val="000000"/>
                <w:sz w:val="22"/>
                <w:szCs w:val="22"/>
                <w:highlight w:val="none"/>
                <w:u w:val="single"/>
                <w:lang w:eastAsia="zh-CN"/>
              </w:rPr>
              <w:t xml:space="preserve">：供应商保障产品主要部件，提供 6 年的备件服务能力（自购买之日起），或提供可兼容原设备的升级换代产品；</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抗干扰性</w:t>
            </w:r>
            <w:r>
              <w:rPr>
                <w:rFonts w:hint="eastAsia" w:ascii="宋体" w:hAnsi="宋体" w:cs="宋体"/>
                <w:b/>
                <w:bCs/>
                <w:i/>
                <w:iCs/>
                <w:color w:val="000000"/>
                <w:sz w:val="22"/>
                <w:szCs w:val="22"/>
                <w:highlight w:val="none"/>
                <w:u w:val="single"/>
                <w:lang w:eastAsia="zh-CN"/>
              </w:rPr>
              <w:t xml:space="preserve">：当产品部件出现供应风险时，供应商应通知采购人并提供风险应对方案确保产品的服务保障；</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供应能力证明</w:t>
            </w:r>
            <w:r>
              <w:rPr>
                <w:rFonts w:hint="eastAsia" w:ascii="宋体" w:hAnsi="宋体" w:cs="宋体"/>
                <w:b/>
                <w:bCs/>
                <w:i/>
                <w:iCs/>
                <w:color w:val="000000"/>
                <w:sz w:val="22"/>
                <w:szCs w:val="22"/>
                <w:highlight w:val="none"/>
                <w:u w:val="single"/>
                <w:lang w:eastAsia="zh-CN"/>
              </w:rPr>
              <w:t xml:space="preserve">：供应商提供供应链稳定承诺书，确保产品的部件在产品服务周期内稳定供货；</w:t>
            </w:r>
            <w:r/>
          </w:p>
          <w:p>
            <w:pPr>
              <w:numPr>
                <w:ilvl w:val="0"/>
                <w:numId w:val="8"/>
              </w:numPr>
              <w:ind w:left="425" w:hanging="425"/>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密码算法实现</w:t>
            </w:r>
            <w:r>
              <w:rPr>
                <w:rFonts w:hint="eastAsia" w:ascii="宋体" w:hAnsi="宋体" w:cs="宋体"/>
                <w:b/>
                <w:bCs/>
                <w:i/>
                <w:iCs/>
                <w:color w:val="000000"/>
                <w:sz w:val="22"/>
                <w:szCs w:val="22"/>
                <w:highlight w:val="none"/>
                <w:u w:val="single"/>
                <w:lang w:eastAsia="zh-CN"/>
              </w:rPr>
              <w:t xml:space="preserve">：CPU 芯片应符合 GM/T 0008 的相关规定，或芯片密码模块应符合 GB/T 37092或 GM/T 0028 的相关规定；</w:t>
            </w:r>
            <w:r/>
          </w:p>
          <w:p>
            <w:pPr>
              <w:numPr>
                <w:ilvl w:val="0"/>
                <w:numId w:val="8"/>
              </w:numPr>
              <w:ind w:left="425" w:hanging="425"/>
              <w:jc w:val="left"/>
              <w:keepLines w:val="0"/>
              <w:keepNext w:val="0"/>
              <w:widowControl/>
              <w:rPr>
                <w:rFonts w:hint="eastAsia" w:ascii="宋体" w:hAnsi="宋体" w:eastAsia="宋体" w:cs="宋体"/>
                <w:b/>
                <w:bCs/>
                <w:i/>
                <w:iCs/>
                <w:color w:val="000000"/>
                <w:sz w:val="24"/>
                <w:szCs w:val="24"/>
                <w:u w:val="single"/>
              </w:rPr>
              <w:suppressLineNumbers w:val="0"/>
            </w:pPr>
            <w:r>
              <w:rPr>
                <w:rFonts w:hint="eastAsia" w:ascii="宋体" w:hAnsi="宋体" w:eastAsia="宋体" w:cs="宋体"/>
                <w:b/>
                <w:bCs/>
                <w:i/>
                <w:iCs/>
                <w:color w:val="000000"/>
                <w:sz w:val="22"/>
                <w:szCs w:val="22"/>
                <w:highlight w:val="none"/>
                <w:u w:val="single"/>
              </w:rPr>
              <w:t xml:space="preserve">信息安全基本要求</w:t>
            </w:r>
            <w:r>
              <w:rPr>
                <w:rFonts w:hint="eastAsia" w:ascii="宋体" w:hAnsi="宋体" w:cs="宋体"/>
                <w:b/>
                <w:bCs/>
                <w:i/>
                <w:iCs/>
                <w:color w:val="000000"/>
                <w:sz w:val="22"/>
                <w:szCs w:val="22"/>
                <w:highlight w:val="none"/>
                <w:u w:val="single"/>
                <w:lang w:eastAsia="zh-CN"/>
              </w:rPr>
              <w:t xml:space="preserve">：a) 产品应符合 GB/T 39276 的 5.2 的规定；b) 生产厂商应建立漏洞跟踪表，保证产品版本涉及到的漏洞(如驱动程序等)可查看；c) 产品不得包含已知的恶意代码或漏洞，不存在未声明的指令、功能、接口；</w:t>
            </w:r>
            <w:r/>
          </w:p>
          <w:p>
            <w:pPr>
              <w:numPr>
                <w:ilvl w:val="0"/>
                <w:numId w:val="8"/>
              </w:numPr>
              <w:ind w:left="425" w:hanging="425"/>
              <w:jc w:val="left"/>
              <w:keepLines w:val="0"/>
              <w:keepNext w:val="0"/>
              <w:widowControl/>
              <w:rPr>
                <w:rFonts w:hint="eastAsia" w:ascii="宋体" w:hAnsi="宋体" w:cs="宋体"/>
                <w:b/>
                <w:bCs/>
                <w:i/>
                <w:iCs/>
                <w:color w:val="000000"/>
                <w:sz w:val="22"/>
                <w:szCs w:val="22"/>
                <w:highlight w:val="none"/>
                <w:u w:val="single"/>
                <w:lang w:eastAsia="zh-CN"/>
              </w:rPr>
              <w:suppressLineNumbers w:val="0"/>
            </w:pPr>
            <w:r>
              <w:rPr>
                <w:rFonts w:hint="eastAsia" w:ascii="宋体" w:hAnsi="宋体" w:eastAsia="宋体" w:cs="宋体"/>
                <w:b/>
                <w:bCs/>
                <w:i/>
                <w:iCs/>
                <w:color w:val="000000"/>
                <w:sz w:val="22"/>
                <w:szCs w:val="22"/>
                <w:highlight w:val="none"/>
                <w:u w:val="single"/>
              </w:rPr>
              <w:t xml:space="preserve">固件安全启动</w:t>
            </w:r>
            <w:r>
              <w:rPr>
                <w:rFonts w:hint="eastAsia" w:ascii="宋体" w:hAnsi="宋体" w:cs="宋体"/>
                <w:b/>
                <w:bCs/>
                <w:i/>
                <w:iCs/>
                <w:color w:val="000000"/>
                <w:sz w:val="22"/>
                <w:szCs w:val="22"/>
                <w:highlight w:val="none"/>
                <w:u w:val="single"/>
                <w:lang w:eastAsia="zh-CN"/>
              </w:rPr>
              <w:t xml:space="preserve">：支持固件安全启动功能，固件启动过程中只有通过启动校验才能正常启动；</w:t>
            </w:r>
            <w:r>
              <w:rPr>
                <w:rFonts w:hint="eastAsia" w:ascii="宋体" w:hAnsi="宋体" w:eastAsia="宋体" w:cs="宋体"/>
                <w:b/>
                <w:bCs/>
                <w:i/>
                <w:iCs/>
                <w:color w:val="000000"/>
                <w:sz w:val="24"/>
                <w:szCs w:val="24"/>
                <w:u w:val="single"/>
              </w:rPr>
            </w:r>
            <w:r/>
          </w:p>
          <w:p>
            <w:pPr>
              <w:ind w:left="0" w:firstLine="0"/>
              <w:jc w:val="left"/>
              <w:keepLines w:val="0"/>
              <w:keepNext w:val="0"/>
              <w:widowControl/>
              <w:rPr>
                <w:rFonts w:hint="eastAsia" w:ascii="宋体" w:hAnsi="宋体" w:eastAsia="宋体" w:cs="宋体"/>
                <w:b/>
                <w:bCs/>
                <w:i/>
                <w:color w:val="000000"/>
                <w:sz w:val="24"/>
                <w:szCs w:val="24"/>
                <w:u w:val="single"/>
              </w:rPr>
              <w:suppressLineNumbers w:val="0"/>
            </w:pPr>
            <w:r>
              <w:rPr>
                <w:rFonts w:hint="eastAsia" w:ascii="宋体" w:hAnsi="宋体" w:cs="宋体"/>
                <w:b/>
                <w:bCs/>
                <w:i/>
                <w:iCs/>
                <w:color w:val="000000"/>
                <w:sz w:val="22"/>
                <w:szCs w:val="22"/>
                <w:highlight w:val="none"/>
                <w:u w:val="single"/>
                <w:lang w:eastAsia="zh-CN"/>
              </w:rPr>
            </w:r>
            <w:r>
              <w:rPr>
                <w:rFonts w:hint="eastAsia" w:ascii="宋体" w:hAnsi="宋体" w:eastAsia="宋体" w:cs="宋体"/>
                <w:b/>
                <w:bCs/>
                <w:i/>
                <w:iCs/>
                <w:color w:val="000000"/>
                <w:sz w:val="24"/>
                <w:szCs w:val="24"/>
                <w:highlight w:val="none"/>
                <w:u w:val="single"/>
                <w:lang w:val="en-US" w:eastAsia="zh-CN" w:bidi="ar"/>
              </w:rPr>
              <w:t xml:space="preserve">提供节能产品认证证书扫描件并加盖投标人公章。</w:t>
            </w:r>
            <w:r>
              <w:rPr>
                <w:rFonts w:hint="eastAsia" w:ascii="宋体" w:hAnsi="宋体" w:eastAsia="宋体" w:cs="宋体"/>
                <w:b/>
                <w:bCs/>
                <w:i/>
                <w:iCs/>
                <w:color w:val="000000"/>
                <w:sz w:val="24"/>
                <w:szCs w:val="24"/>
                <w:u w:val="single"/>
              </w:rPr>
            </w:r>
            <w:r/>
          </w:p>
          <w:p>
            <w:pPr>
              <w:ind w:left="425" w:firstLine="0"/>
              <w:jc w:val="left"/>
              <w:keepLines w:val="0"/>
              <w:keepNext w:val="0"/>
              <w:widowControl/>
              <w:rPr>
                <w:rFonts w:hint="eastAsia" w:ascii="宋体" w:hAnsi="宋体" w:eastAsia="宋体" w:cs="宋体"/>
                <w:b/>
                <w:bCs/>
                <w:i/>
                <w:color w:val="000000"/>
                <w:sz w:val="24"/>
                <w:szCs w:val="24"/>
                <w:u w:val="single"/>
              </w:rPr>
              <w:suppressLineNumbers w:val="0"/>
            </w:pPr>
            <w:r>
              <w:rPr>
                <w:rFonts w:hint="eastAsia" w:ascii="宋体" w:hAnsi="宋体" w:eastAsia="宋体" w:cs="宋体"/>
                <w:b/>
                <w:bCs/>
                <w:i/>
                <w:iCs/>
                <w:color w:val="000000"/>
                <w:sz w:val="24"/>
                <w:szCs w:val="24"/>
                <w:highlight w:val="none"/>
                <w:u w:val="single"/>
                <w:lang w:val="en-US" w:eastAsia="zh-CN" w:bidi="ar"/>
              </w:rPr>
            </w:r>
            <w:r>
              <w:rPr>
                <w:rFonts w:hint="eastAsia" w:ascii="宋体" w:hAnsi="宋体" w:eastAsia="宋体" w:cs="宋体"/>
                <w:b/>
                <w:bCs/>
                <w:i/>
                <w:iCs/>
                <w:color w:val="000000"/>
                <w:sz w:val="24"/>
                <w:szCs w:val="24"/>
                <w:highlight w:val="none"/>
                <w:u w:val="single"/>
                <w:lang w:val="en-US" w:eastAsia="zh-CN" w:bidi="ar"/>
              </w:rPr>
            </w:r>
            <w:r/>
          </w:p>
        </w:tc>
      </w:tr>
      <w:tr>
        <w:trPr>
          <w:trHeight w:val="295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iCs/>
                <w:color w:val="000000"/>
                <w:sz w:val="24"/>
                <w:szCs w:val="24"/>
                <w:u w:val="single"/>
                <w:lang w:val="en-US" w:eastAsia="zh-CN" w:bidi="ar"/>
              </w:rPr>
              <w:t xml:space="preserve">实验学生电脑（核心产品）</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信息:CPU物理核数≥8核16线程，CPU主频≥3.0GHz、8MB 二级缓存、支持的内存最高速率≥2666MT/S。</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内存配置容量:≥16GB;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内存类型:支持DDR4及以上;</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内存条配置数量（板载内存不涉及）:≥2;</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主板集成模块:集成资源扩展模块、计算处理模块、音频扩展模块等，主板的互联拓扑可通过处理器或交换电路实现;</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主板芯片组情况:对应处理器配套芯片组或对应处理器SoC;</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主板其他内置接口</w:t>
            </w:r>
            <w:r>
              <w:rPr>
                <w:rFonts w:hint="eastAsia" w:ascii="宋体" w:hAnsi="宋体" w:cs="宋体"/>
                <w:b/>
                <w:bCs/>
                <w:i/>
                <w:iCs/>
                <w:color w:val="000000"/>
                <w:sz w:val="22"/>
                <w:szCs w:val="22"/>
                <w:highlight w:val="none"/>
                <w:u w:val="single"/>
                <w:lang w:val="en-US" w:eastAsia="zh-CN" w:bidi="ar"/>
              </w:rPr>
              <w:t xml:space="preserve">：供应商给出相关 SATA、M.2、USB 接口数量及占用状态；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单内存插槽最大可支持容量（板载内存不涉及）:≥16GB;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内存插槽满配时提供的最高内存总容量:≥32GB;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固态盘数量:≥1个;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固态存储容量:≥512GB;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lang w:val="en-US" w:eastAsia="zh-CN" w:bidi="ar"/>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w:t>
            </w:r>
            <w:r>
              <w:rPr>
                <w:rFonts w:hint="eastAsia" w:ascii="宋体" w:hAnsi="宋体" w:cs="宋体"/>
                <w:b/>
                <w:bCs/>
                <w:i/>
                <w:iCs/>
                <w:color w:val="000000"/>
                <w:sz w:val="22"/>
                <w:szCs w:val="22"/>
                <w:highlight w:val="none"/>
                <w:u w:val="single"/>
                <w:lang w:val="en-US" w:eastAsia="zh-CN" w:bidi="ar"/>
              </w:rPr>
              <w:t xml:space="preserve">:采用插卡或板载等形态，可选用符合M.2 或 2.5 寸 SATA 或 mSATA 等标准的插卡形态;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固态存储形态:M.2 插卡形态;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存储设备其他参数要求:a)固态盘应符合SJ/T 11654相关规定；b)机械硬盘准备时间应不大于30s；侧面固定螺丝孔数量可为4 孔或6 孔；工作状态环境温度应满足5℃~55℃；其它参数应符合GB/T 12628 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显卡类型:</w:t>
            </w:r>
            <w:r>
              <w:rPr>
                <w:rFonts w:hint="eastAsia" w:ascii="宋体" w:hAnsi="宋体" w:cs="宋体"/>
                <w:b/>
                <w:bCs/>
                <w:i/>
                <w:iCs/>
                <w:color w:val="000000"/>
                <w:sz w:val="22"/>
                <w:szCs w:val="22"/>
                <w:highlight w:val="none"/>
                <w:u w:val="single"/>
                <w:lang w:val="en-US" w:eastAsia="zh-CN" w:bidi="ar"/>
              </w:rPr>
              <w:t xml:space="preserve">≥2G</w:t>
            </w:r>
            <w:r>
              <w:rPr>
                <w:rFonts w:hint="eastAsia" w:ascii="宋体" w:hAnsi="宋体" w:eastAsia="宋体" w:cs="宋体"/>
                <w:b/>
                <w:bCs/>
                <w:i/>
                <w:iCs/>
                <w:color w:val="000000"/>
                <w:sz w:val="22"/>
                <w:szCs w:val="22"/>
                <w:highlight w:val="none"/>
                <w:u w:val="single"/>
                <w:lang w:val="en-US" w:eastAsia="zh-CN" w:bidi="ar"/>
              </w:rPr>
              <w:t xml:space="preserve">独立显卡;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独立显卡显存位宽</w:t>
            </w:r>
            <w:r>
              <w:rPr>
                <w:rFonts w:hint="eastAsia" w:ascii="宋体" w:hAnsi="宋体" w:cs="宋体"/>
                <w:b/>
                <w:bCs/>
                <w:i/>
                <w:iCs/>
                <w:color w:val="000000"/>
                <w:sz w:val="22"/>
                <w:szCs w:val="22"/>
                <w:highlight w:val="none"/>
                <w:u w:val="single"/>
                <w:lang w:val="en-US" w:eastAsia="zh-CN"/>
              </w:rPr>
              <w:t xml:space="preserve">:显存位宽≥16 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独立显卡显存容量</w:t>
            </w:r>
            <w:r>
              <w:rPr>
                <w:rFonts w:hint="eastAsia" w:ascii="宋体" w:hAnsi="宋体" w:cs="宋体"/>
                <w:b/>
                <w:bCs/>
                <w:i/>
                <w:iCs/>
                <w:color w:val="000000"/>
                <w:sz w:val="22"/>
                <w:szCs w:val="22"/>
                <w:highlight w:val="none"/>
                <w:u w:val="single"/>
                <w:lang w:val="en-US" w:eastAsia="zh-CN"/>
              </w:rPr>
              <w:t xml:space="preserve">:显存容量≥2GB;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独立显卡显存类型:显存类型为DDR3/DDR4/GDDR5/GDDR6/LPDDR4其中的一种;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显示屏屏占比:≥80%;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显示屏分辨率:≥1920x1080;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显示屏尺寸:≥2</w:t>
            </w:r>
            <w:r>
              <w:rPr>
                <w:rFonts w:hint="eastAsia" w:ascii="宋体" w:hAnsi="宋体" w:cs="宋体"/>
                <w:b/>
                <w:bCs/>
                <w:i/>
                <w:iCs/>
                <w:color w:val="000000"/>
                <w:sz w:val="22"/>
                <w:szCs w:val="22"/>
                <w:highlight w:val="none"/>
                <w:u w:val="single"/>
                <w:lang w:val="en-US" w:eastAsia="zh-CN" w:bidi="ar"/>
              </w:rPr>
              <w:t xml:space="preserve">3.8</w:t>
            </w:r>
            <w:r>
              <w:rPr>
                <w:rFonts w:hint="eastAsia" w:ascii="宋体" w:hAnsi="宋体" w:eastAsia="宋体" w:cs="宋体"/>
                <w:b/>
                <w:bCs/>
                <w:i/>
                <w:iCs/>
                <w:color w:val="000000"/>
                <w:sz w:val="22"/>
                <w:szCs w:val="22"/>
                <w:highlight w:val="none"/>
                <w:u w:val="single"/>
                <w:lang w:val="en-US" w:eastAsia="zh-CN" w:bidi="ar"/>
              </w:rPr>
              <w:t xml:space="preserve">英寸;</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显示屏屏幕比例:16:9/3:2/21:9/16:10等;</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显示器外观颜色:黑色;</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显示屏防蓝光:支持防蓝光模式，蓝光加权辐射亮度比应≤0.0012W/(·cd·sr)（瓦每坎特拉每球面度）;</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显示屏低频闪:显示屏应支持低频闪≤-35dB;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显示屏防炫目:显示屏镜面反射率≤10%;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鼠标数量:≥1个;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键盘数量:≥1个;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键盘按键数目:61键/86键/101键/104键等;</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键盘连接方式:有线;</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键盘键程:2.3mm~ 4.0mm;</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键盘按键压力:按键压力应在0.54 N±0.14N;</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有线键盘连接线:≥1.5米;</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键盘颜色:黑色;</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鼠标连接方式:有线;</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有线鼠标连接线:≥1.5米;</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鼠标DPI分辨率:800至1600;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鼠标颜色:黑色;</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鼠标其他要求:其它参数应符合GB/T 26245 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有线网卡数量:≥1;</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USB接口数量:前置面板：USB3.0≥6个；后置面板：USB2.0≥4个；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视频接口数量:≥1;</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音频接口数量:≥1;</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状态指示灯:在产品显著位置提供状态指示功能，如运行状态，并由供应商提供详细参数;</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整机结构:</w:t>
            </w:r>
            <w:r>
              <w:rPr>
                <w:rFonts w:hint="eastAsia" w:ascii="宋体" w:hAnsi="宋体" w:eastAsia="宋体" w:cs="宋体"/>
                <w:b/>
                <w:bCs/>
                <w:i/>
                <w:iCs/>
                <w:color w:val="000000"/>
                <w:sz w:val="22"/>
                <w:szCs w:val="22"/>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整机内部走线应规整，固线结</w:t>
            </w:r>
            <w:r>
              <w:rPr>
                <w:rFonts w:hint="eastAsia" w:ascii="宋体" w:hAnsi="宋体" w:eastAsia="宋体" w:cs="宋体"/>
                <w:b/>
                <w:bCs/>
                <w:i/>
                <w:iCs/>
                <w:color w:val="000000"/>
                <w:sz w:val="22"/>
                <w:szCs w:val="22"/>
                <w:highlight w:val="none"/>
                <w:u w:val="single"/>
                <w:lang w:val="en-US" w:eastAsia="zh-CN" w:bidi="ar"/>
              </w:rPr>
              <w:t xml:space="preserve">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机箱防护要求:机箱应符合GB/T 4208中IP20防护要求;</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整机噪音:产品工作在空闲状态下，产品的声功率级应不超过4.5 Bel</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整机能效限定值:产品能效限定值应达到GB 28380-2012标准中能效等级1至3级;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机身材质:塑料或者金属;</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机身颜色:黑色;</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机箱尺寸容量:≤30L;</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CPU物理核数:≥8;</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CPU主频:≥3.0GHz;</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 末级缓存容量:≥4MB;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CPU支持的内存最高速率:≥2666MT/s;</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内存读写速率:≥2666MT/s;</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显示分辨率:≥1920x1080;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显卡显示芯片核心频率:≥780MHz;</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显存等效频率:≥1600MT/s;</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显卡可同时支持多屏显示数量:显卡应支持大于等于2块屏幕同时显示，分辨率不低于1920*1080 ;</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显示屏刷新率:≥75Hz;</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显示屏位深:≥8位;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显示屏色域:≥99% sRGB;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显示屏色准:△E≤4 ;</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显示屏响应时间:≤8ms ;</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显示屏亮度:≥300尼特;</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显示屏亮度一致性:≥70%;</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显示屏对比度:≥1000：1 ;</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显示屏其他参数:其它参数应符合SJ/T 11292 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有线网卡速率:最高速率应不低于1000Mbps，应支持10Mbps、100Mbps、1000Mbps 速率自适应;</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内存扩展接口(板载内存不涉及):≥2个;</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主板USB瞬间过流保护:支持有瞬间过流保护功能;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主板防静电保护:支持防静电保护功能;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显卡外接显示接口:显卡至少支持VGA、HDMI、DVI、DP、Type-C 中1 种显示接口，并与显示器接口相匹配;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显示器接口:显示器应与显卡外接显示接口匹配;</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显示器支架:固定式支架或者旋转/升级支架固定式支架底座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显示器参数调节:a)提供OSD 选单按钮用于调节色彩、模式等；b)支持色温、亮度、对比度调节;</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存储功能:通过PCIe 固态存储或SATA 硬磁盘提供存储功能;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网络功能：a)支持网络连接、网络开启/关闭功能；b)支持访问网络和数据交换功能;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数据传输:支持数据传输能力，并提供数据流量和异常日志记录功能;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有线网卡接口类型:支持RJ45接口;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网络设备拆装:网络设备可物理拆装（包括无线网卡和蓝牙模块等）;</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音频接口类型:支持3.5mm孔径3段式或者4段式接口;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视频接口类型:至少支持VGA、HDMI、DVI、DP、Type-C中1种显示接口；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HDMI、DP、Type-C显示接口要求:若提供HDMI或DP或Type-C作为显示接口，应支持音频和视频同步输出;</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电源线适配能力:电源适配器电线组件应符合GB/T15934的要求;</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中文信息处理要求:符合GB18030的相关规定;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操作系统备份及还原功能:支持操作系统备份及还原功能;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固件备份还原能力:支持备份及还原固件的功能;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操作系统及驱动升级:支持通过网络、闪存盘等方式对操作系统、驱动进行升级;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固件升级:支持通过网络、闪存盘等方式对固件进行升级;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BIOS支持关闭通讯接口:支持BIOS关闭以太网及USB接口;</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固件查看信息:支持查看固件版本、内存信息、主板信息、处理器信息和系统时间信息等功能;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固件设置启动顺序:支持设置启动顺序功能，并按照设置的启动顺序启动;</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固件设置口令:支持设置口令、修改口令、验证口令功能;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固件设置网络引导:支持网络引导启动和关闭功能;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固态存储寿命:TBW≥80TB;</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机械硬盘寿命:通电时间≥5万小时;</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显示屏屏幕失效点:符合GB/T 9813.2 的要求;</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键盘按键寿命:≥1000万次;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鼠标按键寿命:≥500万次;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鼠标键盘线材寿命:键盘鼠标所用线材经±60°弯折不低于3000次，功能、外观完好;</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风扇寿命:≥4万小时;</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电磁兼容性要求的抗扰度:符合GB/T 9254.2的规定;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环境条件要求的气候环境适应性:符合GB/T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环境条件要求的振动适应性:符合GB/T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环境条件要求的冲击适应性:符合GB/T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环境条件要求的碰撞适应性:符合GB/T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环境条件要求的运输包装件跌落适应性:符合GB/T 9813.1中规定;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MTBF测试:MTBF(m1)≥3万小时;</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数据库兼容:兼容3个及以上厂商的数据库产品;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中间件兼容:兼容3个及以上厂商中间件产品;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平台软件兼容:兼容3个及以上厂商云计算及大数据平台;</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标志、包装、运输和贮存:符合GB/T 9813.1 和商品包装政府采购需求标准的相关规定;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服务周期:a) 设备停产后应继续提供质量保障服务（含备品备件），服务终止时间与最后一批设备交付时间间隔不低于6年；b) 产品停止服务时间应提前1 年告知；c) 应明确产品发布日期;</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预装操作系统:预装符合桌面操作系统政府采购需求标准的正版操作系统;</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厂家升级软件与扩容服务:供应商提供上门升级部件/软件与扩容的增值服务;</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整机质量服务要求:免费服务周期（含换件和维修）应不小于3年;</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合格证书要求:供应商提供产品合格证;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开箱组装/使用指导要求:供应商提供开箱组装/使用指导;</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驱动下载服务要求:供应商提供驱动光盘或下载方式;</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兼容适配软件下载服务要求:供应商提供兼容适配软件下载渠道（光盘、网站）跨架构平台应用兼容:供应商提供跨架构平台的应用兼容工具，支持一种或者一种以上不同架构平台的应用;</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lang w:val="en-US" w:eastAsia="zh-CN" w:bidi="ar"/>
              </w:rPr>
              <w:t xml:space="preserve">限用物质的限量要求:符合GB/T 26572中规定；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常用软件兼容</w:t>
            </w:r>
            <w:r>
              <w:rPr>
                <w:rFonts w:hint="eastAsia" w:ascii="宋体" w:hAnsi="宋体" w:cs="宋体"/>
                <w:b/>
                <w:bCs/>
                <w:i/>
                <w:iCs/>
                <w:color w:val="000000"/>
                <w:sz w:val="22"/>
                <w:szCs w:val="22"/>
                <w:highlight w:val="none"/>
                <w:u w:val="single"/>
                <w:lang w:eastAsia="zh-CN"/>
              </w:rPr>
              <w:t xml:space="preserve">：支持流式软件、版式软件、浏览器、邮件采购人端、解压软件、多媒体、图形图像处理等常用软件；</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配置检查工具</w:t>
            </w:r>
            <w:r>
              <w:rPr>
                <w:rFonts w:hint="eastAsia" w:ascii="宋体" w:hAnsi="宋体" w:cs="宋体"/>
                <w:b/>
                <w:bCs/>
                <w:i/>
                <w:iCs/>
                <w:color w:val="000000"/>
                <w:sz w:val="22"/>
                <w:szCs w:val="22"/>
                <w:highlight w:val="none"/>
                <w:u w:val="single"/>
                <w:lang w:eastAsia="zh-CN"/>
              </w:rPr>
              <w:t xml:space="preserve">：供应商提供自检测试工具；</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培训服务</w:t>
            </w:r>
            <w:r>
              <w:rPr>
                <w:rFonts w:hint="eastAsia" w:ascii="宋体" w:hAnsi="宋体" w:cs="宋体"/>
                <w:b/>
                <w:bCs/>
                <w:i/>
                <w:iCs/>
                <w:color w:val="000000"/>
                <w:sz w:val="22"/>
                <w:szCs w:val="22"/>
                <w:highlight w:val="none"/>
                <w:u w:val="single"/>
                <w:lang w:eastAsia="zh-CN"/>
              </w:rPr>
              <w:t xml:space="preserve">：供应商提供培训材料、产品手册、培训视频等培训相关内容；</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典型问题解决手册</w:t>
            </w:r>
            <w:r>
              <w:rPr>
                <w:rFonts w:hint="eastAsia" w:ascii="宋体" w:hAnsi="宋体" w:cs="宋体"/>
                <w:b/>
                <w:bCs/>
                <w:i/>
                <w:iCs/>
                <w:color w:val="000000"/>
                <w:sz w:val="22"/>
                <w:szCs w:val="22"/>
                <w:highlight w:val="none"/>
                <w:u w:val="single"/>
                <w:lang w:eastAsia="zh-CN"/>
              </w:rPr>
              <w:t xml:space="preserve">：供应商提供典型问题解决说明文档或视频；</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产品部件保障</w:t>
            </w:r>
            <w:r>
              <w:rPr>
                <w:rFonts w:hint="eastAsia" w:ascii="宋体" w:hAnsi="宋体" w:cs="宋体"/>
                <w:b/>
                <w:bCs/>
                <w:i/>
                <w:iCs/>
                <w:color w:val="000000"/>
                <w:sz w:val="22"/>
                <w:szCs w:val="22"/>
                <w:highlight w:val="none"/>
                <w:u w:val="single"/>
                <w:lang w:eastAsia="zh-CN"/>
              </w:rPr>
              <w:t xml:space="preserve">：供应商保障产品主要部件，提供 6 年的备件服务能力（自购买之日起），或提供可兼容原设备的升级换代产品；</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抗干扰性</w:t>
            </w:r>
            <w:r>
              <w:rPr>
                <w:rFonts w:hint="eastAsia" w:ascii="宋体" w:hAnsi="宋体" w:cs="宋体"/>
                <w:b/>
                <w:bCs/>
                <w:i/>
                <w:iCs/>
                <w:color w:val="000000"/>
                <w:sz w:val="22"/>
                <w:szCs w:val="22"/>
                <w:highlight w:val="none"/>
                <w:u w:val="single"/>
                <w:lang w:eastAsia="zh-CN"/>
              </w:rPr>
              <w:t xml:space="preserve">：当产品部件出现供应风险时，供应商应通知采购人并提供风险应对方案确保产品的服务保障；</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供应能力证明</w:t>
            </w:r>
            <w:r>
              <w:rPr>
                <w:rFonts w:hint="eastAsia" w:ascii="宋体" w:hAnsi="宋体" w:cs="宋体"/>
                <w:b/>
                <w:bCs/>
                <w:i/>
                <w:iCs/>
                <w:color w:val="000000"/>
                <w:sz w:val="22"/>
                <w:szCs w:val="22"/>
                <w:highlight w:val="none"/>
                <w:u w:val="single"/>
                <w:lang w:eastAsia="zh-CN"/>
              </w:rPr>
              <w:t xml:space="preserve">：供应商提供供应链稳定承诺书，确保产品的部件在产品服务周期内稳定供货；</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密码算法实现</w:t>
            </w:r>
            <w:r>
              <w:rPr>
                <w:rFonts w:hint="eastAsia" w:ascii="宋体" w:hAnsi="宋体" w:cs="宋体"/>
                <w:b/>
                <w:bCs/>
                <w:i/>
                <w:iCs/>
                <w:color w:val="000000"/>
                <w:sz w:val="22"/>
                <w:szCs w:val="22"/>
                <w:highlight w:val="none"/>
                <w:u w:val="single"/>
                <w:lang w:eastAsia="zh-CN"/>
              </w:rPr>
              <w:t xml:space="preserve">：CPU 芯片应符合 GM/T 0008 的相关规定，或芯片密码模块应符合 GB/T 37092或 GM/T 0028 的相关规定；</w:t>
            </w:r>
            <w:r/>
          </w:p>
          <w:p>
            <w:pPr>
              <w:numPr>
                <w:ilvl w:val="0"/>
                <w:numId w:val="9"/>
              </w:numPr>
              <w:ind w:left="454" w:hanging="454"/>
              <w:jc w:val="left"/>
              <w:keepLines w:val="0"/>
              <w:keepNext w:val="0"/>
              <w:widowControl/>
              <w:rPr>
                <w:rFonts w:hint="eastAsia" w:ascii="宋体" w:hAnsi="宋体" w:eastAsia="宋体" w:cs="宋体"/>
                <w:b/>
                <w:bCs/>
                <w:i/>
                <w:iCs/>
                <w:color w:val="000000"/>
                <w:sz w:val="22"/>
                <w:szCs w:val="22"/>
                <w:highlight w:val="none"/>
                <w:u w:val="single"/>
              </w:rPr>
              <w:suppressLineNumbers w:val="0"/>
            </w:pPr>
            <w:r>
              <w:rPr>
                <w:rFonts w:hint="eastAsia" w:ascii="宋体" w:hAnsi="宋体" w:eastAsia="宋体" w:cs="宋体"/>
                <w:b/>
                <w:bCs/>
                <w:i/>
                <w:iCs/>
                <w:color w:val="000000"/>
                <w:sz w:val="22"/>
                <w:szCs w:val="22"/>
                <w:highlight w:val="none"/>
                <w:u w:val="single"/>
              </w:rPr>
              <w:t xml:space="preserve">信息安全基本要求</w:t>
            </w:r>
            <w:r>
              <w:rPr>
                <w:rFonts w:hint="eastAsia" w:ascii="宋体" w:hAnsi="宋体" w:cs="宋体"/>
                <w:b/>
                <w:bCs/>
                <w:i/>
                <w:iCs/>
                <w:color w:val="000000"/>
                <w:sz w:val="22"/>
                <w:szCs w:val="22"/>
                <w:highlight w:val="none"/>
                <w:u w:val="single"/>
                <w:lang w:eastAsia="zh-CN"/>
              </w:rPr>
              <w:t xml:space="preserve">：a) 产品应符合 GB/T 39276 的 5.2 的规定；b) 生产厂商应建立漏洞跟踪表，保证产品版本涉及到的漏洞(如驱动程序等)可查看；c) 产品不得包含已知的恶意代码或漏洞，不存在未声明的指令、功能、接口；</w:t>
            </w:r>
            <w:r/>
          </w:p>
          <w:p>
            <w:pPr>
              <w:numPr>
                <w:ilvl w:val="0"/>
                <w:numId w:val="9"/>
              </w:numPr>
              <w:ind w:left="454" w:hanging="454"/>
              <w:jc w:val="left"/>
              <w:keepLines w:val="0"/>
              <w:keepNext w:val="0"/>
              <w:widowControl/>
              <w:rPr>
                <w:rFonts w:hint="eastAsia" w:ascii="宋体" w:hAnsi="宋体" w:cs="宋体"/>
                <w:b/>
                <w:bCs/>
                <w:i/>
                <w:iCs/>
                <w:color w:val="000000"/>
                <w:sz w:val="22"/>
                <w:szCs w:val="22"/>
                <w:highlight w:val="none"/>
                <w:u w:val="single"/>
                <w:lang w:eastAsia="zh-CN"/>
              </w:rPr>
              <w:suppressLineNumbers w:val="0"/>
            </w:pPr>
            <w:r>
              <w:rPr>
                <w:rFonts w:hint="eastAsia" w:ascii="宋体" w:hAnsi="宋体" w:eastAsia="宋体" w:cs="宋体"/>
                <w:b/>
                <w:bCs/>
                <w:i/>
                <w:iCs/>
                <w:color w:val="000000"/>
                <w:sz w:val="22"/>
                <w:szCs w:val="22"/>
                <w:highlight w:val="none"/>
                <w:u w:val="single"/>
              </w:rPr>
              <w:t xml:space="preserve">固件安全启动</w:t>
            </w:r>
            <w:r>
              <w:rPr>
                <w:rFonts w:hint="eastAsia" w:ascii="宋体" w:hAnsi="宋体" w:cs="宋体"/>
                <w:b/>
                <w:bCs/>
                <w:i/>
                <w:iCs/>
                <w:color w:val="000000"/>
                <w:sz w:val="22"/>
                <w:szCs w:val="22"/>
                <w:highlight w:val="none"/>
                <w:u w:val="single"/>
                <w:lang w:eastAsia="zh-CN"/>
              </w:rPr>
              <w:t xml:space="preserve">：支持固件安全启动功能，固件启动过程中只有通过启动校验才能正常启动；</w:t>
            </w:r>
            <w:r>
              <w:rPr>
                <w:rFonts w:hint="eastAsia" w:ascii="宋体" w:hAnsi="宋体" w:eastAsia="宋体" w:cs="宋体"/>
                <w:b/>
                <w:bCs/>
                <w:i/>
                <w:iCs/>
                <w:color w:val="000000"/>
                <w:sz w:val="22"/>
                <w:szCs w:val="22"/>
                <w:highlight w:val="none"/>
                <w:u w:val="single"/>
                <w:lang w:val="en-US" w:eastAsia="zh-CN" w:bidi="ar-SA"/>
              </w:rPr>
            </w:r>
            <w:r/>
          </w:p>
          <w:p>
            <w:pPr>
              <w:ind w:left="0" w:firstLine="0"/>
              <w:jc w:val="left"/>
              <w:keepLines w:val="0"/>
              <w:keepNext w:val="0"/>
              <w:widowControl/>
              <w:rPr>
                <w:rFonts w:hint="eastAsia" w:ascii="宋体" w:hAnsi="宋体" w:eastAsia="宋体" w:cs="宋体"/>
                <w:b/>
                <w:bCs/>
                <w:i/>
                <w:color w:val="000000"/>
                <w:sz w:val="22"/>
                <w:szCs w:val="22"/>
                <w:highlight w:val="none"/>
                <w:u w:val="single"/>
                <w:lang w:val="en-US" w:eastAsia="zh-CN" w:bidi="ar-SA"/>
              </w:rPr>
              <w:suppressLineNumbers w:val="0"/>
            </w:pPr>
            <w:r>
              <w:rPr>
                <w:rFonts w:hint="eastAsia" w:ascii="宋体" w:hAnsi="宋体" w:cs="宋体"/>
                <w:b/>
                <w:bCs/>
                <w:i/>
                <w:iCs/>
                <w:color w:val="000000"/>
                <w:sz w:val="22"/>
                <w:szCs w:val="22"/>
                <w:highlight w:val="none"/>
                <w:u w:val="single"/>
                <w:lang w:eastAsia="zh-CN"/>
              </w:rPr>
            </w:r>
            <w:r>
              <w:rPr>
                <w:rFonts w:hint="eastAsia" w:ascii="宋体" w:hAnsi="宋体" w:eastAsia="宋体" w:cs="宋体"/>
                <w:b/>
                <w:bCs/>
                <w:i/>
                <w:iCs/>
                <w:color w:val="000000"/>
                <w:sz w:val="22"/>
                <w:szCs w:val="22"/>
                <w:highlight w:val="none"/>
                <w:u w:val="single"/>
                <w:lang w:val="en-US" w:eastAsia="zh-CN" w:bidi="ar-SA"/>
              </w:rPr>
              <w:t xml:space="preserve">提供节能产品认证证书扫描件并加盖投标人公章。</w:t>
            </w:r>
            <w:r>
              <w:rPr>
                <w:rFonts w:hint="eastAsia" w:ascii="宋体" w:hAnsi="宋体" w:eastAsia="宋体" w:cs="宋体"/>
                <w:b/>
                <w:bCs/>
                <w:i/>
                <w:iCs/>
                <w:color w:val="000000"/>
                <w:sz w:val="22"/>
                <w:szCs w:val="22"/>
                <w:highlight w:val="none"/>
                <w:u w:val="single"/>
                <w:lang w:val="en-US" w:eastAsia="zh-CN" w:bidi="ar-SA"/>
              </w:rPr>
            </w:r>
            <w:r/>
          </w:p>
          <w:p>
            <w:pPr>
              <w:ind w:left="454" w:firstLine="0"/>
              <w:jc w:val="left"/>
              <w:keepLines w:val="0"/>
              <w:keepNext w:val="0"/>
              <w:widowControl/>
              <w:rPr>
                <w:rFonts w:hint="eastAsia" w:ascii="宋体" w:hAnsi="宋体" w:eastAsia="宋体" w:cs="宋体"/>
                <w:b/>
                <w:bCs/>
                <w:i/>
                <w:color w:val="000000"/>
                <w:sz w:val="22"/>
                <w:szCs w:val="22"/>
                <w:highlight w:val="none"/>
                <w:u w:val="single"/>
                <w:lang w:val="en-US" w:eastAsia="zh-CN" w:bidi="ar-SA"/>
              </w:rPr>
              <w:suppressLineNumbers w:val="0"/>
            </w:pPr>
            <w:r>
              <w:rPr>
                <w:rFonts w:hint="eastAsia" w:ascii="宋体" w:hAnsi="宋体" w:eastAsia="宋体" w:cs="宋体"/>
                <w:b/>
                <w:bCs/>
                <w:i/>
                <w:iCs/>
                <w:color w:val="000000"/>
                <w:sz w:val="22"/>
                <w:szCs w:val="22"/>
                <w:highlight w:val="none"/>
                <w:u w:val="single"/>
                <w:lang w:val="en-US" w:eastAsia="zh-CN" w:bidi="ar-SA"/>
              </w:rPr>
            </w:r>
            <w:r>
              <w:rPr>
                <w:rFonts w:hint="eastAsia" w:ascii="宋体" w:hAnsi="宋体" w:eastAsia="宋体" w:cs="宋体"/>
                <w:b/>
                <w:bCs/>
                <w:i/>
                <w:iCs/>
                <w:color w:val="000000"/>
                <w:sz w:val="22"/>
                <w:szCs w:val="22"/>
                <w:highlight w:val="none"/>
                <w:u w:val="single"/>
                <w:lang w:val="en-US" w:eastAsia="zh-CN" w:bidi="ar-SA"/>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有源音响</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技术参数：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（一）电声部分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1、扬声器单元：4×4英寸 25芯 80磁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2、阻抗：4×8欧姆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3、灵敏度：94dB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4、失真度：＜0.1%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5、谐振频率（Fo）：75HZ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6、频率响应：75Hz～17KHZ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（二）电子部分：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1、功率通道：4*20W（独立）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2、DSP芯片：两进四出音频DSP处理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3、输入通道：3.5/Bluetooth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4、支持微信小程序</w:t>
            </w:r>
            <w:r>
              <w:rPr>
                <w:rFonts w:hint="eastAsia" w:ascii="宋体" w:hAnsi="宋体" w:eastAsia="宋体" w:cs="宋体"/>
                <w:i w:val="0"/>
                <w:iCs w:val="0"/>
                <w:color w:val="000000"/>
                <w:sz w:val="24"/>
                <w:szCs w:val="24"/>
                <w:u w:val="none"/>
                <w:lang w:val="en-US" w:eastAsia="zh-CN" w:bidi="ar"/>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(三）音箱部分：</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1.为控制教室内坐在前排与后排学生之间听觉差异，声场不均匀度要求室内各学生座位测量点（至少选取8个测试点）的稳态声压级最大值与最小值差值范围为4dB之内；</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▲2.为保证教师授课过程中扩声语音的清晰度，扩声系统语言传输指数STIPA：调制传递函数MTF测量值大于0.6；（投标文件中提供具有CMA标识的第三方检测机构出具的检测报告扫描件并加盖投标人公章）</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▲3.为控制相邻教室的声波干涉：相邻教室声串扰的声压级应不大于40 dB（A)；（投标文件中提供具有CMA标识的第三方检测机构出具的检测报告扫描件并加盖投标人公章）</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4.为保证师生的听觉的安全健康声压，学生座位的听音面(1.2 米等高线位置)最大声压级应小于 82 dB(A)。</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5.扬声器指向性：360度全指向覆盖。</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6.总谐波失真：应符合GB 50371的有关规定，系统所产生的所有谐波幅度的均方根除以基波幅度，THD&lt;0.1%.</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7.噪声比：信号噪声比S/N＞75 dB。</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8.系统噪声功率级：系统噪声功率级应不大于 30 dB(A)。</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9.蓝牙功能：蓝牙5.0版本，支持蓝牙无线接收，方便老师分享移动设备（手机/电脑）上的音频，蓝牙支持密码模式，防止学生连接，支持手机通过蓝牙无线连接音箱，实现控制有源音箱的音量，方便教师对音箱的管控。</w:t>
            </w:r>
            <w:r>
              <w:rPr>
                <w:rStyle w:val="899"/>
                <w:rFonts w:hint="eastAsia" w:ascii="宋体" w:hAnsi="宋体" w:eastAsia="宋体" w:cs="宋体"/>
                <w:color w:val="000000" w:themeColor="text1"/>
                <w:sz w:val="24"/>
                <w:szCs w:val="24"/>
                <w:lang w:val="en-US" w:eastAsia="zh-CN" w:bidi="ar"/>
                <w14:textFill>
                  <w14:solidFill>
                    <w14:schemeClr w14:val="tx1"/>
                  </w14:solidFill>
                </w14:textFill>
              </w:rPr>
              <w:br/>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10.无线麦克风发射功率应小于20mW，单次充电后可使用不少于6小时。</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实验室安全监控</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1、400万1/1.8′CMOS 3寸4倍红外半球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2、内置电动云台和一体化变焦镜头。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3、用深度学习算法，以海量图片及视频资源为路基，通过机器自身提取目标特征，形成深层可供学习的图像，极大的提升了目标的检出率。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4、人脸抓拍（正脸抓拍）： a)支持对运动人脸进行检测、抓拍、评分、筛选，输出最优的人脸 b)支持人脸去误报、快速抓拍人脸 c)支持快速抓拍和最佳抓拍两种模式，并支持2种模式同时开启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5、传感器类型：≥1/1.8＂ progressive scan CMOS</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6、最低照度：彩色：≤0.001 Lux @（F1.2，AGC ON）；黑白：≤0.0001 Lux @（F1.2，AGC ON）；0 Lux with IR</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7、宽动态：≥120dB超宽动态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8、焦距：2.8~12 mm，4倍光学变倍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9、水平范围：≥355°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10、垂直范围：0°-90°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11、水平速度：水平键控速度：0.1°-60°/s,速度可设;水平预置点速度：60°/s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12、垂直速度：垂直键控速度：0.1°-50°/s,速度可设;垂直预置点速度：50°/s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13、音频输入：内置mic，1路音频输入，音频峰值:2-2.4V[p-p]，输入阻抗:1KΩ±10%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▲14、支持人脸区域自动曝光功能，可根据人脸区域的光照变化自动调节曝光参数。（</w:t>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u w:val="none"/>
                <w:lang w:val="en-US" w:eastAsia="zh-CN" w:bidi="ar"/>
              </w:rPr>
              <w:t xml:space="preserve">提供具有CMA标识的第三方检测机构出具的检测报告扫描件并加盖投标人公章）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▲15、当红外灯开启后，透明罩出现水雾、灰尘、刮痕时，采集的图像不应出现重影。（</w:t>
            </w:r>
            <w:r>
              <w:rPr>
                <w:rStyle w:val="899"/>
                <w:rFonts w:hint="eastAsia" w:ascii="宋体" w:hAnsi="宋体" w:eastAsia="宋体" w:cs="宋体"/>
                <w:color w:val="000000" w:themeColor="text1"/>
                <w:sz w:val="24"/>
                <w:szCs w:val="24"/>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u w:val="none"/>
                <w:lang w:val="en-US" w:eastAsia="zh-CN" w:bidi="ar"/>
              </w:rPr>
              <w:t xml:space="preserve">提供具有CMA标识的第三方检测机构出具的检测报告扫描件并加盖投标人公章）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16、支持声音报警功能，自定义语音，报警重复次数可设置。</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24口全千兆交换机，不少于24个自适应百兆/千兆端口，不小于2个千兆上行SFP光口</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静电地板 </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支架承载能力不低于200KN，龙骨厚度不低与0.8,地板规格600mm×600mm×35mm。</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教师用加强型传感器部分（可无线及有线采集数据）</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1.半透明外壳设计，内含状态、电源指示灯。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2.科学实验专用采集器，四通道并行采集，全数字通道，采样频率80K。</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3.采集器支持USB即插即用，自动监测传感器接入或拔出，无须外接电源。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4.可根据实验教学需要，选择接插有线接口或无线接收实现与传感器通讯。支持有线/无线状态下的四通道并行采集。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5.可进行四路声波传感器同步显示的高频采集实验。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数据采集分析仪</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接收实验数据并进行数据汇总、处理、分析，完成中学物理探究实验。内存8G或以上，存储容量256G或以上。</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蓝牙接收器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适配器搭载高性能蓝牙5.0芯片，内置天线。实现20米无障碍环境下远距离传输，连接稳定顺畅，响应迅速，支持同时连接6个蓝牙设备。自动向下兼容4.0/4.1/4.2设备，可配合带有蓝牙4.0及以上的产品（例如无线向心力实验器、静电计等）。蓝牙适配器使用USB接口，即插即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1.通过与各种传感器组合，使之具备独立数据显示功能。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2.自带1.77寸（±0.1寸）彩屏。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3.BT自锁接头，支持热插拔连接，接入任一可识别传感器，屏幕会显示该传感器的实时数据和单位并且显示数据应有变化。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4.具备自锁功能防止传感器脱落，并且可与计算机直接通讯。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5.可充电锂电池供电，可充电电池（3.6V）供电。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6.模块具备保存至少7万组数据的功能，可对保存的实验数据进行导出到计算机内、查看和处理数据。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7.屏幕可切换二维码，与安卓、苹果、Windows系统移动采集终端无线数据同步传输。</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1.量程：-5μA~+5μA；分度：0.01μA。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w:t>
            </w:r>
            <w:r>
              <w:rPr>
                <w:rFonts w:hint="eastAsia" w:ascii="宋体" w:hAnsi="宋体" w:eastAsia="宋体" w:cs="宋体"/>
                <w:i w:val="0"/>
                <w:iCs w:val="0"/>
                <w:color w:val="000000"/>
                <w:sz w:val="24"/>
                <w:szCs w:val="24"/>
                <w:highlight w:val="none"/>
                <w:u w:val="none"/>
                <w:lang w:val="en-US" w:eastAsia="zh-CN" w:bidi="ar"/>
              </w:rPr>
              <w:t xml:space="preserve">可</w:t>
            </w:r>
            <w:r>
              <w:rPr>
                <w:rFonts w:hint="eastAsia" w:ascii="宋体" w:hAnsi="宋体" w:cs="宋体"/>
                <w:i w:val="0"/>
                <w:iCs w:val="0"/>
                <w:color w:val="000000"/>
                <w:sz w:val="24"/>
                <w:szCs w:val="24"/>
                <w:highlight w:val="none"/>
                <w:u w:val="none"/>
                <w:lang w:val="en-US" w:eastAsia="zh-CN" w:bidi="ar"/>
              </w:rPr>
              <w:t xml:space="preserve">实现</w:t>
            </w:r>
            <w:r>
              <w:rPr>
                <w:rFonts w:hint="eastAsia" w:ascii="宋体" w:hAnsi="宋体" w:eastAsia="宋体" w:cs="宋体"/>
                <w:i w:val="0"/>
                <w:iCs w:val="0"/>
                <w:color w:val="000000"/>
                <w:sz w:val="24"/>
                <w:szCs w:val="24"/>
                <w:highlight w:val="none"/>
                <w:u w:val="none"/>
                <w:lang w:val="en-US" w:eastAsia="zh-CN" w:bidi="ar"/>
              </w:rPr>
              <w:t xml:space="preserve">与多种实验装置组装固定</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三维磁感应强度传感器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1.量程：-50mT~+50 mT；分度：0.01 mT。</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2.可测量三个方向磁感应强度大小，可显示分值和合值。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▲8.低温存储试验、高温存储试验、恒定湿热试验检验合格。（</w:t>
            </w:r>
            <w:r>
              <w:rPr>
                <w:rStyle w:val="89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提供具有CMA标识的第三方检测机构出具的检测报告扫描件并加盖投标人公章）。</w:t>
            </w:r>
            <w:r/>
          </w:p>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t xml:space="preserve">功能检测至少包含：</w:t>
            </w:r>
            <w:r>
              <w:rPr>
                <w:rFonts w:hint="eastAsia" w:ascii="宋体" w:hAnsi="宋体" w:eastAsia="宋体" w:cs="宋体"/>
                <w:i w:val="0"/>
                <w:iCs w:val="0"/>
                <w:color w:val="000000"/>
                <w:sz w:val="24"/>
                <w:szCs w:val="24"/>
                <w:highlight w:val="none"/>
                <w:u w:val="none"/>
                <w:lang w:val="en-US" w:eastAsia="zh-CN" w:bidi="ar"/>
              </w:rPr>
              <w:t xml:space="preserve">可测量三维（以显示X轴、Y轴、Z轴磁场数据）空间磁场分布；支持有线通讯、无线通讯和屏幕数据显示工作方式；连接插口采用BT接口，具有方向性和自锁功能，支持硬件调零和软件调零。（</w:t>
            </w:r>
            <w:r>
              <w:rPr>
                <w:rStyle w:val="89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numPr>
                <w:ilvl w:val="0"/>
                <w:numId w:val="10"/>
              </w:numPr>
              <w:jc w:val="left"/>
              <w:keepLines w:val="0"/>
              <w:keepNext w:val="0"/>
              <w:pageBreakBefore w:val="0"/>
              <w:spacing w:line="4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量程：-20N~+20N；分度：0.01N。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2.传感器手柄式结构，可用于测拉力（显示正值）和压力（显示负值）。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w:t>
            </w:r>
            <w:r>
              <w:rPr>
                <w:rFonts w:hint="eastAsia" w:ascii="宋体" w:hAnsi="宋体" w:eastAsia="宋体" w:cs="宋体"/>
                <w:i w:val="0"/>
                <w:iCs w:val="0"/>
                <w:color w:val="000000"/>
                <w:sz w:val="24"/>
                <w:szCs w:val="24"/>
                <w:highlight w:val="none"/>
                <w:u w:val="none"/>
                <w:lang w:val="en-US" w:eastAsia="zh-CN" w:bidi="ar"/>
              </w:rPr>
              <w:t xml:space="preserve">可</w:t>
            </w:r>
            <w:r>
              <w:rPr>
                <w:rFonts w:hint="eastAsia" w:ascii="宋体" w:hAnsi="宋体" w:cs="宋体"/>
                <w:i w:val="0"/>
                <w:iCs w:val="0"/>
                <w:color w:val="000000"/>
                <w:sz w:val="24"/>
                <w:szCs w:val="24"/>
                <w:highlight w:val="none"/>
                <w:u w:val="none"/>
                <w:lang w:val="en-US" w:eastAsia="zh-CN" w:bidi="ar"/>
              </w:rPr>
              <w:t xml:space="preserve">实现</w:t>
            </w:r>
            <w:r>
              <w:rPr>
                <w:rFonts w:hint="eastAsia" w:ascii="宋体" w:hAnsi="宋体" w:eastAsia="宋体" w:cs="宋体"/>
                <w:i w:val="0"/>
                <w:iCs w:val="0"/>
                <w:color w:val="000000"/>
                <w:sz w:val="24"/>
                <w:szCs w:val="24"/>
                <w:highlight w:val="none"/>
                <w:u w:val="none"/>
                <w:lang w:val="en-US" w:eastAsia="zh-CN" w:bidi="ar"/>
              </w:rPr>
              <w:t xml:space="preserve">与多种实验装置组装固定</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▲8.低温存储试验、高温存储试验、恒定湿热试验检验合格。（投标文件中提供具有CMA标识的第三方检测机构出具的检测报告扫描件并加盖投标人公章）</w:t>
            </w:r>
            <w:r/>
          </w:p>
          <w:p>
            <w:pPr>
              <w:numPr>
                <w:ilvl w:val="0"/>
                <w:numId w:val="0"/>
              </w:num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t xml:space="preserve">功能检测至少包含：</w:t>
            </w:r>
            <w:r>
              <w:rPr>
                <w:rFonts w:hint="eastAsia" w:ascii="宋体" w:hAnsi="宋体" w:eastAsia="宋体" w:cs="宋体"/>
                <w:i w:val="0"/>
                <w:iCs w:val="0"/>
                <w:color w:val="000000"/>
                <w:sz w:val="24"/>
                <w:szCs w:val="24"/>
                <w:highlight w:val="none"/>
                <w:u w:val="none"/>
                <w:lang w:val="en-US" w:eastAsia="zh-CN" w:bidi="ar"/>
              </w:rPr>
              <w:t xml:space="preserve">支持有线通讯、无线通讯和屏幕数据显示工作方式；连接插口采用BT接口，具有方向性和自锁功能，支持硬件调零和软件调零。（</w:t>
            </w:r>
            <w:r>
              <w:rPr>
                <w:rStyle w:val="89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微力传感器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707"/>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1.量程：-2N~+2N；分度：0.001N。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2.传感器手柄式结构，可用于测拉力（显示正值）和压力（显示负值）。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w:t>
            </w:r>
            <w:r>
              <w:rPr>
                <w:rFonts w:hint="eastAsia" w:ascii="宋体" w:hAnsi="宋体" w:eastAsia="宋体" w:cs="宋体"/>
                <w:i w:val="0"/>
                <w:iCs w:val="0"/>
                <w:color w:val="000000"/>
                <w:sz w:val="24"/>
                <w:szCs w:val="24"/>
                <w:highlight w:val="none"/>
                <w:u w:val="none"/>
                <w:lang w:val="en-US" w:eastAsia="zh-CN" w:bidi="ar"/>
              </w:rPr>
              <w:t xml:space="preserve">，可</w:t>
            </w:r>
            <w:r>
              <w:rPr>
                <w:rFonts w:hint="eastAsia" w:ascii="宋体" w:hAnsi="宋体" w:cs="宋体"/>
                <w:i w:val="0"/>
                <w:iCs w:val="0"/>
                <w:color w:val="000000"/>
                <w:sz w:val="24"/>
                <w:szCs w:val="24"/>
                <w:highlight w:val="none"/>
                <w:u w:val="none"/>
                <w:lang w:val="en-US" w:eastAsia="zh-CN" w:bidi="ar"/>
              </w:rPr>
              <w:t xml:space="preserve">实现</w:t>
            </w:r>
            <w:r>
              <w:rPr>
                <w:rFonts w:hint="eastAsia" w:ascii="宋体" w:hAnsi="宋体" w:eastAsia="宋体" w:cs="宋体"/>
                <w:i w:val="0"/>
                <w:iCs w:val="0"/>
                <w:color w:val="000000"/>
                <w:sz w:val="24"/>
                <w:szCs w:val="24"/>
                <w:highlight w:val="none"/>
                <w:u w:val="none"/>
                <w:lang w:val="en-US" w:eastAsia="zh-CN" w:bidi="ar"/>
              </w:rPr>
              <w:t xml:space="preserve">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1.量程：0cm ~200cm，分度：1mm。无测量盲区。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2.由发射器和接收器构成，接收器与采集器连接，发射器由电池供电。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3.传感器易与现有实验装置（运动小车、弹簧振子等）组合。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w:t>
            </w:r>
            <w:r>
              <w:rPr>
                <w:rFonts w:hint="eastAsia" w:ascii="宋体" w:hAnsi="宋体" w:eastAsia="宋体" w:cs="宋体"/>
                <w:i w:val="0"/>
                <w:iCs w:val="0"/>
                <w:color w:val="000000"/>
                <w:sz w:val="24"/>
                <w:szCs w:val="24"/>
                <w:highlight w:val="none"/>
                <w:u w:val="none"/>
                <w:lang w:val="en-US" w:eastAsia="zh-CN" w:bidi="ar"/>
              </w:rPr>
              <w:t xml:space="preserve">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1.分度：2μs，用于测量挡光片（U型、I型）的挡光时间。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2.支持与采集器的有线通讯、无线通讯工作方式。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5.传感器支持Windows、苹果系统。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声波/声级传感器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1.声波频率测量范围：20Hz~20kHz。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2.声级测量范围：20 dB ~130dB，分度：0.1dB。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3.传感器通过自带硬件，按钮切换测量声音的波形和强度，研究声音的频率、周期、振幅等特征。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4.支持与采集器的有线通讯、无线通讯工作方式。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5.同时无线接入4只声波传感器，可观察到4路声音波形，同步采集无延迟。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8.传感器支持Windows、苹果系统。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1.量程：-50℃~+200℃；分度：0.1℃。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2.不锈钢探针，可测各种物体或溶液的温度。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 kPa ~700 kPa；分度：0.1 kPa。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2.可用于直接测量气体的绝对压强，配件：20mL注射器。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加速度传感器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1.量程-50m/s2~+50m/s2，三维；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2.支持与采集器的有线通讯、无线通讯两种工作方式；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3.传感器自带M6螺纹孔，实现与多种实验装置的组装固定；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4.传感器连接线插口具有方向性和自锁功能，可以防止传感器脱落保证数据传输稳定。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一体式位移传感器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1.量程：0.15m~6m，分度：1mm。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2。传感器支持与采集器的有线通讯、无线通讯两种工作方式。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4.传感器连接线插口具有方向性和自锁功能，可以防止传感器脱落保证数据传输稳定。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1.测量范围：-3A~+3A；分度：0.01A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测量范围：-300mA~+300mA；分度：1mA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测量范围：-30mA ~+30mA；分度：0.1 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2.要求：为避免软件虚拟处理，传感器自带硬件选择档位，按钮切换量程。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1.量程1：-20V~+20V、分度：0.01V；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量程2：-2V~+2V、分度：0.001V；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量程3：-0.2V~+0.2V、分度：0.0001V；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2.要求：为避免软件虚拟处理，传感器自带硬件选择档位，按钮切换量程。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数字静电实验器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1.测量范围：±100nC，分辨率：1nC。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2.产品尺寸：11cm*11.4cm*2.8cm,偏差不大于0.5cm。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w:t>
            </w:r>
            <w:r>
              <w:rPr>
                <w:rFonts w:hint="eastAsia" w:ascii="宋体" w:hAnsi="宋体" w:eastAsia="宋体" w:cs="宋体"/>
                <w:i w:val="0"/>
                <w:iCs w:val="0"/>
                <w:color w:val="000000"/>
                <w:sz w:val="24"/>
                <w:szCs w:val="24"/>
                <w:highlight w:val="none"/>
                <w:u w:val="none"/>
                <w:lang w:val="en-US" w:eastAsia="zh-CN" w:bidi="ar"/>
              </w:rPr>
              <w:t xml:space="preserve">5寸液晶</w:t>
            </w:r>
            <w:r>
              <w:rPr>
                <w:rFonts w:hint="eastAsia" w:ascii="宋体" w:hAnsi="宋体" w:eastAsia="宋体" w:cs="宋体"/>
                <w:i w:val="0"/>
                <w:iCs w:val="0"/>
                <w:color w:val="000000"/>
                <w:sz w:val="24"/>
                <w:szCs w:val="24"/>
                <w:u w:val="none"/>
                <w:lang w:val="en-US" w:eastAsia="zh-CN" w:bidi="ar"/>
              </w:rPr>
              <w:t xml:space="preserve">屏一体化设计，屏幕尺寸偏差不大于0.2吋。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4.自配锂电池供电，带电量1100mAh。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配专用充电</w:t>
            </w:r>
            <w:r>
              <w:rPr>
                <w:rFonts w:hint="eastAsia" w:ascii="宋体" w:hAnsi="宋体" w:eastAsia="宋体" w:cs="宋体"/>
                <w:i w:val="0"/>
                <w:iCs w:val="0"/>
                <w:color w:val="000000"/>
                <w:sz w:val="24"/>
                <w:szCs w:val="24"/>
                <w:u w:val="none"/>
                <w:lang w:val="en-US" w:eastAsia="zh-CN" w:bidi="ar"/>
              </w:rPr>
              <w:t xml:space="preserve">器、静电器底座、无线接收器、专用软件、导电小球（直径不小于0.5cm）。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6.可测量带电物体的电荷量和极性，具有硬件调零的功能。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7.输入端可连接金属小球或法拉第冰桶，以无线方式与计算机进行同步通讯显示，断电后数据无丢失。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8.可完成静电感应、电荷守</w:t>
            </w:r>
            <w:r>
              <w:rPr>
                <w:rFonts w:hint="eastAsia" w:ascii="宋体" w:hAnsi="宋体" w:eastAsia="宋体" w:cs="宋体"/>
                <w:i w:val="0"/>
                <w:iCs w:val="0"/>
                <w:color w:val="000000"/>
                <w:sz w:val="24"/>
                <w:szCs w:val="24"/>
                <w:highlight w:val="none"/>
                <w:u w:val="none"/>
                <w:lang w:val="en-US" w:eastAsia="zh-CN" w:bidi="ar"/>
              </w:rPr>
              <w:t xml:space="preserve">恒等势体</w:t>
            </w:r>
            <w:r>
              <w:rPr>
                <w:rFonts w:hint="eastAsia" w:ascii="宋体" w:hAnsi="宋体" w:eastAsia="宋体" w:cs="宋体"/>
                <w:i w:val="0"/>
                <w:iCs w:val="0"/>
                <w:color w:val="000000"/>
                <w:sz w:val="24"/>
                <w:szCs w:val="24"/>
                <w:u w:val="none"/>
                <w:lang w:val="en-US" w:eastAsia="zh-CN" w:bidi="ar"/>
              </w:rPr>
              <w:t xml:space="preserve">研究、静电屏蔽、光电效应等实验。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G-M传感器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测量范围：0~40000次/分；用于测量β、γ粒子脉冲数，支持与采集器的有线通讯、无线通讯工作方式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频率传感器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测量范围：1Hz~1MHz；分度：1 Hz，用于测量交流电压信号。支持与采集器的有线通讯、无线通讯和独立数据显示三种工作方式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交流电压传感器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测量范围：0～36V；分度：0.1V。用于测量交流电压的有效值，支持与采集器的有线通讯、无线通讯和独立数据显示三种工作方式。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注意：本传感器所测电压需在安全电压（36V）范围内，严禁测量220V交流电压；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交流电流传感器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测量范围：0～2A；分度：0.01A。用于测量交流电流的有效值，支持与采集器的有线通讯、无线通讯和独立数据显示三种工作方式。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注意：本传感器所测电压需在安全电压（36V）范围内，严禁测量220V交流电流</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电子罗盘传感器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测量范围：0~359°；分度：1°，支持与采集器的有线通讯、无线通讯和独立数据显示三种工作方式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集中充电装置</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1.支持为数据收集与中转组件中子模块等提供集中充电功能。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2.单口最大充电功率≥10W。</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由铝合金主架、铝塑板面构成，内设隔断海绵内衬</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根据实验教学需求及学生的认知心理特征，提供中学版物理、化学、生物专用软件和通用软件；专用软件采用了图形化的设计理念，软件平台里面包含了大量专用实验模板，预设了操作流程，方便学生操作使用，通用软件具备视频区域。可进行数据处理，满足学科教材与课外探究的要求；传感器插入后能自动识别和运行；软</w:t>
            </w:r>
            <w:r>
              <w:rPr>
                <w:rFonts w:hint="eastAsia" w:ascii="宋体" w:hAnsi="宋体" w:eastAsia="宋体" w:cs="宋体"/>
                <w:i w:val="0"/>
                <w:iCs w:val="0"/>
                <w:color w:val="000000"/>
                <w:sz w:val="24"/>
                <w:szCs w:val="24"/>
                <w:highlight w:val="none"/>
                <w:u w:val="none"/>
                <w:lang w:val="en-US" w:eastAsia="zh-CN" w:bidi="ar"/>
              </w:rPr>
              <w:t xml:space="preserve">件无需设</w:t>
            </w:r>
            <w:r>
              <w:rPr>
                <w:rFonts w:hint="eastAsia" w:ascii="宋体" w:hAnsi="宋体" w:eastAsia="宋体" w:cs="宋体"/>
                <w:i w:val="0"/>
                <w:iCs w:val="0"/>
                <w:color w:val="000000"/>
                <w:sz w:val="24"/>
                <w:szCs w:val="24"/>
                <w:u w:val="none"/>
                <w:lang w:val="en-US" w:eastAsia="zh-CN" w:bidi="ar"/>
              </w:rPr>
              <w:t xml:space="preserve">置参数自动检测传感器，并提供仪表、数值、曲线多种显示风格；软件须具有双组合曲线功能及完整的可对数据图线进行拟合的功能（一次函数、二次函数、三次函数、反比函数、反比平方、对数、正弦函数、指数、复合指数等），并自动显示拟合的函数表达式；具有中学常用的预设公式，并</w:t>
            </w:r>
            <w:r>
              <w:rPr>
                <w:rFonts w:hint="eastAsia" w:ascii="宋体" w:hAnsi="宋体" w:eastAsia="宋体" w:cs="宋体"/>
                <w:i w:val="0"/>
                <w:iCs w:val="0"/>
                <w:color w:val="000000"/>
                <w:sz w:val="24"/>
                <w:szCs w:val="24"/>
                <w:u w:val="none"/>
                <w:lang w:val="en-US" w:eastAsia="zh-CN" w:bidi="ar"/>
              </w:rPr>
              <w:t xml:space="preserve">可根据实验需求自由定义公式；软件内设可调整采样频率范围是0.1~20K;具有完善的数据处理功能（可对图线中数据进行求导、积分、平均值、绘制包络线、最大值、最小值的计算），可对无效数据图线的数据进行删除或恢复；可以对实验设置进行保存，生成实验模板；具有实验数据采集过程录播、回放功能；软件可生成实验报告，提供实验报告模板，可导入实验表格数据及插入实验图线并进行分析；学生可在软件中发送实验报告；提供实验帮助--可在软件中随时查询理化生实验图片及实验说明，方便教学参考使用。具备同时录制实验操作及数据显示、处理功能。</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教师用加强型配套器材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智能力盘实验器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1.由力/倾角传感器(双测量传感器须一体化设计，测量范围：-20N~+20N/-180°~+180°；分度：0.01N/0.1°；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2.直柄式结构，同时可测得力与倾角数据，测力时拉力显示正值、压力显示负值；测倾角时，竖直向下方向定为0°，顺时针方向的角度为正值，逆时针方向的角度为负值；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3.支持与采集器的有线通讯、无线通讯工作方式)、精密力盘、挂臂、固定装置组成；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4.与铁架台、数据采集器配合使用。可同时测量两个方向的分力大小与角度值，完成动态条件下力的分解实验。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多用力学轨道</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1.基本配置：含1.2m铝合金轨道一条、轨道小车（滚轴）两台；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2.弹簧两根、50克配重片四块、挡光片四片（宽度分别为2、4、6、8cm）；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3.轨道座架一套、L型挂架两个及I型支架四个、滑轮一套、小车收集器一套；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4.小沙筒及4个5克配重块一组、小车缓冲装置一套、碰撞弹簧圈两个；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5.紧固件一套，受迫振动配套策动源一套。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智能机械能守恒实验器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1.由铝合金底座、合金机械能实验板、释放器、圆柱型摆、固定臂、螺栓等构成。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2.实验器固定装置上的USB口与计算机可通过USB数据线建立通讯。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3.释放装置可固定及释放摆锤，摆锤落下后可以被收纳装置接收住。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4.软件表格中显示挡光片高度依次为0.15m、0.12m、0.09m、0.06m、0.03m、0m，显示挡光片宽度d=0.01m、物体质量M=0.03kg。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5.软件可记录摆锤通过不同高度挡光片时的速度，计算出摆锤位于不同挡光片位置时的动能、势能与机械能并绘制相应的曲线变化。</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斜面上力的分解实验器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1.由主架和环形重物块构成。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2.环形物块质量：78g±5g。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3.外形尺寸：389mm*71mm*261mm(±5mm)。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4.标尺角度：0、30、45、60、90。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5.内置力传感器连接滚轴转动自然。能通过两个内置力传感器测量重物在两个垂直方向上分离的大小。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环形线圈</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1.高灵敏度、无源、塑壳封装、带屏蔽；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2.与微电流传感器配合，可测得切割地磁场产生的感生电流，也可测得不同电器的电磁辐射强度。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通电螺线管</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1.外形尺寸：112mm*40mm*45mm(±1mm)；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2.可接学生电源，通过磁传感器测量，螺线管中间位置可产生匀强磁场。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1.由60cm铝合金轨道、摩擦台底座、多种摩擦块、匀速电机组成（无需外接电源）。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2.与力传感器配合使用，可实现探究摩擦面、物体重量、运动速度、接触面积等因素对摩擦力大小的影响，配合力传感器可实现有线方式、无线方式、数据独立显示模式。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远红外实验用加热器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1.外形尺寸：161mm*125mm*136.5mm(±1mm),由炉体、底座和电源线构成；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2.220V交流供电，功率80W，加热半小时后炉腔内温度不低于120℃；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3.圆筒型远红外辐射加热炉芯，便于对加热体均匀加热。</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4.可完成查理定律、晶体熔解和凝固、比热容等高精度热学定量实验。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由底座、磁铁组、标有角度的转盘、矩形线框、挂钩、支架组成，配合电流传感器和</w:t>
            </w:r>
            <w:r>
              <w:rPr>
                <w:rFonts w:hint="eastAsia" w:ascii="宋体" w:hAnsi="宋体" w:eastAsia="宋体" w:cs="宋体"/>
                <w:i w:val="0"/>
                <w:iCs w:val="0"/>
                <w:color w:val="000000"/>
                <w:sz w:val="24"/>
                <w:szCs w:val="24"/>
                <w:highlight w:val="none"/>
                <w:u w:val="none"/>
                <w:lang w:val="en-US" w:eastAsia="zh-CN" w:bidi="ar"/>
              </w:rPr>
              <w:t xml:space="preserve">微力传</w:t>
            </w:r>
            <w:r>
              <w:rPr>
                <w:rFonts w:hint="eastAsia" w:ascii="宋体" w:hAnsi="宋体" w:eastAsia="宋体" w:cs="宋体"/>
                <w:i w:val="0"/>
                <w:iCs w:val="0"/>
                <w:color w:val="000000"/>
                <w:sz w:val="24"/>
                <w:szCs w:val="24"/>
                <w:u w:val="none"/>
                <w:lang w:val="en-US" w:eastAsia="zh-CN" w:bidi="ar"/>
              </w:rPr>
              <w:t xml:space="preserve">感器使用，研究安培力与导线长度、供电电流大小以及电流方向与磁场夹角的关系。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1.实验装置由信号发射器、定位板、弹射器、软件及附件构成。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2.产品通讯供电方式为US</w:t>
            </w:r>
            <w:r>
              <w:rPr>
                <w:rFonts w:hint="eastAsia" w:ascii="宋体" w:hAnsi="宋体" w:eastAsia="宋体" w:cs="宋体"/>
                <w:i w:val="0"/>
                <w:iCs w:val="0"/>
                <w:color w:val="000000"/>
                <w:sz w:val="24"/>
                <w:szCs w:val="24"/>
                <w:highlight w:val="none"/>
                <w:u w:val="none"/>
                <w:lang w:val="en-US" w:eastAsia="zh-CN" w:bidi="ar"/>
              </w:rPr>
              <w:t xml:space="preserve">B接口</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3.定位板尺寸:640mm*390mm(±2mm)；定位范围：500*300cm（±2mm）。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4.定位</w:t>
            </w:r>
            <w:r>
              <w:rPr>
                <w:rFonts w:hint="eastAsia" w:ascii="宋体" w:hAnsi="宋体" w:eastAsia="宋体" w:cs="宋体"/>
                <w:i w:val="0"/>
                <w:iCs w:val="0"/>
                <w:color w:val="000000"/>
                <w:sz w:val="24"/>
                <w:szCs w:val="24"/>
                <w:highlight w:val="none"/>
                <w:u w:val="none"/>
                <w:lang w:val="en-US" w:eastAsia="zh-CN" w:bidi="ar"/>
              </w:rPr>
              <w:t xml:space="preserve">板有气</w:t>
            </w:r>
            <w:r>
              <w:rPr>
                <w:rFonts w:hint="eastAsia" w:ascii="宋体" w:hAnsi="宋体" w:eastAsia="宋体" w:cs="宋体"/>
                <w:i w:val="0"/>
                <w:iCs w:val="0"/>
                <w:color w:val="000000"/>
                <w:sz w:val="24"/>
                <w:szCs w:val="24"/>
                <w:u w:val="none"/>
                <w:lang w:val="en-US" w:eastAsia="zh-CN" w:bidi="ar"/>
              </w:rPr>
              <w:t xml:space="preserve">泡水平仪，可根据气泡位置调整定位板水平状态。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5.弹射器可根据需要上下调节位置。弹射器具有三档弹力调节功能，可使弹射出的信号发射器具有不同的初速度。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6.弹射器的弹射角度可调，并有角度指示功能。发射器的定位偏差为±0.05mm。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7.软件可设定坐标零点，软件可实时显示信号发射器在定位板上的位置及动态坐标值变化。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8.可将所得数据“导出”及“导入”至Excel表格中。可完成平抛运动、自由落体、斜抛、单摆、离心轨道、运动合成、圆周运动、惯性定律等研究二维平面内运动规律的实验。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9.为便于实验操作，实验器可通过USB线直接接入计算机，实验器研究对象直径不应大于3cm。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▲10.低温存储试验、高温存储试验、恒定湿热试验检验合格。（投标文件中提供具有CMA标识的第三方检测机构出具的检测报告扫描件并加盖投标人公章）；</w:t>
            </w:r>
            <w:r/>
          </w:p>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u w:val="none"/>
                <w:lang w:val="en-US" w:eastAsia="zh-CN" w:bidi="ar"/>
              </w:rPr>
              <w:t xml:space="preserve">功能检测至少包含：</w:t>
            </w:r>
            <w:r>
              <w:rPr>
                <w:rFonts w:hint="eastAsia" w:ascii="宋体" w:hAnsi="宋体" w:eastAsia="宋体" w:cs="宋体"/>
                <w:i w:val="0"/>
                <w:iCs w:val="0"/>
                <w:color w:val="000000"/>
                <w:sz w:val="24"/>
                <w:szCs w:val="24"/>
                <w:highlight w:val="none"/>
                <w:u w:val="none"/>
                <w:lang w:val="en-US" w:eastAsia="zh-CN" w:bidi="ar"/>
              </w:rPr>
              <w:t xml:space="preserve">采样频率可设置50HZ、100HZ、150HZ、200HZ；可记录信号源位置且进行运动轨迹曲线绘制；具有数据计算、清屏功能；软件至少包括平抛、斜抛、离心轨道、伽利略斜面、自由落体、圆周、阻尼、运动的合成、单摆、机械能守恒实验。 （</w:t>
            </w:r>
            <w:r>
              <w:rPr>
                <w:rStyle w:val="89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魔板-单摆实验器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由立柱、支架、摆杆（含转轴、T型连接杆、碳纤维杆、信号源夹、配重块）、刻度盘、角码及紧固件构成。与电磁定位板、信号源配合使用，可进行单摆实验。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魔板—自由落体运动实验器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器由释放装置总成（含翻盖牌、释放装置、释放按钮、信号源夹）、接收筐、接收筐固定装置及紧固件构成。与电磁定位板、信号源配合使用，可进行“自由落体运动”实验，系统自动记录信号源的运动轨迹，软件自动绘制“s-t图线”、“v-t图线”，并根据实验数据计算出加速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魔板—圆周运动实验器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实验器由旋臂支架总成（含支架、旋臂、挡柱、水平泡、圆心定位器、信号源固定</w:t>
            </w:r>
            <w:r>
              <w:rPr>
                <w:rFonts w:hint="eastAsia" w:ascii="宋体" w:hAnsi="宋体" w:eastAsia="宋体" w:cs="宋体"/>
                <w:i w:val="0"/>
                <w:iCs w:val="0"/>
                <w:color w:val="000000"/>
                <w:sz w:val="24"/>
                <w:szCs w:val="24"/>
                <w:highlight w:val="none"/>
                <w:u w:val="none"/>
                <w:lang w:val="en-US" w:eastAsia="zh-CN" w:bidi="ar"/>
              </w:rPr>
              <w:t xml:space="preserve">夹、香蕉</w:t>
            </w:r>
            <w:r>
              <w:rPr>
                <w:rFonts w:hint="eastAsia" w:ascii="宋体" w:hAnsi="宋体" w:eastAsia="宋体" w:cs="宋体"/>
                <w:i w:val="0"/>
                <w:iCs w:val="0"/>
                <w:color w:val="000000"/>
                <w:sz w:val="24"/>
                <w:szCs w:val="24"/>
                <w:u w:val="none"/>
                <w:lang w:val="en-US" w:eastAsia="zh-CN" w:bidi="ar"/>
              </w:rPr>
              <w:t xml:space="preserve">插孔）、底座支架及附件（含导线、紧固件）构成。配合电磁定位板、信号源、多功能学生电源使用，可进行实验一“圆周运动速度的方向”，系统自动记录整个过程中信号源进行圆周运动及被抛出后的运动轨迹；实验二“圆周运动的投影”，实验软件自动绘制出信号源进行圆周运动时的投影曲线，并自动计算出信号源旋转半径，以及圆周运动的“角速度”、“转速”和“周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方块电路</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块电路系一种方便进行各种电路连接实验和演示，并可反复使用的实验系统。由12类27种共43块电路模块及配套齐全的配件组成，包含扩展插片、柱形磁铁、充电器、USB数据线等附件组成。各个模块可通过磁吸方式拼接在一起，模块表面印有电子元件的标志，可实现对应电子元件的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压表、电流表可同时由数据线连接至电脑，通过PC端软件展示分析实验数据；也可通过扫描屏显二维码的方式连接到移动终端（安卓或IOS系统），进行实验数据采集；电流表、电压表模块支持一键调取二维码，支持硬件调零、软件调零，支持电表小数点显示位数的手动调整；电流表模块支持三种测量范围自由切换±2A、±200mA、±20mA，满足不同实验的测量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可完成小灯泡的电压电流曲线描绘、测电池的电动势和内阻、研究电容充放电与串并联、验证欧姆定律、电动势和电源内、外电压的关系、楞次定律、调光电路、调速电路、温控电路、光控电路、楼道灯、测量小灯泡的额定功率、二极管特性曲线描绘、三极管特性曲线描绘等电学实验，满足学生课程及课外自主研究电路的需求。</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法拉第电磁感应（定律）实验器Ⅰ</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铝合金底座、可变3种匝数的活动线圈、可调距离的强磁铁组成、竖直运动轨道、光电门传感器及支架、挡光杆、固定螺栓等组成，通过内置传感器测量数据，直接与计算机USB口通讯；可完成探究磁场变化率或线圈匝数与感生电动势关系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法拉第电磁感应（定律）实验器Ⅱ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由铝合金底座、原副线圈、通过内置传感器测量感生电动势数据，直接与计算机USB口连接通讯，与磁感强度传感器、智能电源配合使用，完成电磁感应实验。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智能电源</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不小于2吋带屏设计，可实时显示输出波形模式；分为手动模式和智能模式输出。手动模式地流输出：1.5V~16V连续可调。智能模式输出：可分别调节单周期的梯形波、单周期三角波及至少五种周期三角波三种模式输出，波形上升与下降斜率分别可调。是法拉第电磁感应定律实验器Ⅱ的必备模块，二者组合使用，可完成研究磁通量的变化率与感生电动势的关系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查理定律实验器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由试管、快速温度探头、压强传感器连接器组成，结合温度与压强传感器，探究气体压强与温度的关系.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由底座、专用实验板组成，外形尺寸：104mm*114mm*172mm(±5mm)，底座上设有两个接线柱，与微电流传感器配合使用能够完成玻璃导电实验。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温差电流实验器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由底座、不同材料金属框组成，与微电流传感器配合使用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电磁感应与楞次定律实验器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1.该实验器由档位开关、线圈、接线柱和电路板组成。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2.与电流传感器配合使用，用于研究电磁感应现象。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3.档位开关分别与不同匝数相的线圈连接，探究线圈匝数与感应电流的关系。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4.可根据曲线的变化趋势分析感应电流的方向，并由此验证楞次定律。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无线智能小车（红色）</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含智能小车</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辆（红色）、</w:t>
            </w:r>
            <w:r>
              <w:rPr>
                <w:rStyle w:val="900"/>
                <w:rFonts w:hint="eastAsia" w:ascii="宋体" w:hAnsi="宋体" w:eastAsia="宋体" w:cs="宋体"/>
                <w:sz w:val="24"/>
                <w:szCs w:val="24"/>
                <w:lang w:val="en-US" w:eastAsia="zh-CN" w:bidi="ar"/>
              </w:rPr>
              <w:t xml:space="preserve">USB</w:t>
            </w:r>
            <w:r>
              <w:rPr>
                <w:rStyle w:val="901"/>
                <w:rFonts w:hint="eastAsia" w:ascii="宋体" w:hAnsi="宋体" w:eastAsia="宋体" w:cs="宋体"/>
                <w:sz w:val="24"/>
                <w:szCs w:val="24"/>
                <w:lang w:val="en-US" w:eastAsia="zh-CN" w:bidi="ar"/>
              </w:rPr>
              <w:t xml:space="preserve">充电线</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根。智能小车内置多种测量电路，能够同时测量位移、速度、加速度、力、角速度物理量，并通过小车内置的蓝牙无线模块，与计算机、平板电脑或手机无线连接，在软件上显示出测量数据或图线。可完成力学、运动学的多个实验。内置弹射装置，可通过按键或软件启动，为小车提供三种初始速度。智能小车有</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个智能附件连接接口，可连接智能风扇模块、智能弹射模块、智能驱动模块、矢量显示模块。可在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机专用软件上编程，对智能模块进行参数设置和控制。包含在计算机运行的专用软件及在移动设备上运行的APP，配合智能小车及配套装置完成力学、运动学的多个实验。</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智能小车主要技术参数：</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1、力：测量范围：±20N；分辨率：0.001N；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2、位移：分度：0.1cm；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3、速度：最大速度：±3m/S；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4、加速度：测量范围：±156.8m/S2 （±16g）；分度0.01m/S2；</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5、陀螺仪：测量范围：±2000°/S，分度1°/S；</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以上数据无线最高采样率：200Hz。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无线智能小车（蓝色）</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含智能小车</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辆（蓝色）、</w:t>
            </w:r>
            <w:r>
              <w:rPr>
                <w:rStyle w:val="900"/>
                <w:rFonts w:hint="eastAsia" w:ascii="宋体" w:hAnsi="宋体" w:eastAsia="宋体" w:cs="宋体"/>
                <w:sz w:val="24"/>
                <w:szCs w:val="24"/>
                <w:lang w:val="en-US" w:eastAsia="zh-CN" w:bidi="ar"/>
              </w:rPr>
              <w:t xml:space="preserve">USB</w:t>
            </w:r>
            <w:r>
              <w:rPr>
                <w:rStyle w:val="901"/>
                <w:rFonts w:hint="eastAsia" w:ascii="宋体" w:hAnsi="宋体" w:eastAsia="宋体" w:cs="宋体"/>
                <w:sz w:val="24"/>
                <w:szCs w:val="24"/>
                <w:lang w:val="en-US" w:eastAsia="zh-CN" w:bidi="ar"/>
              </w:rPr>
              <w:t xml:space="preserve">充电线</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根。智能小车内置多种测量电路，能够同时测量位移、速度、加速度、力、角速度物理量，并通过小车内置的蓝牙无线模块，与计算机、平板电脑或手机无线连接，在软件上显示出测量数据或图线。可完成力学、运动学的多个实验。内置弹射装置，可通过按键或软件启动，为小车提供三种初始速度。智能小车有</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个智能附件连接接口，可连接智能风扇模块、智能弹射模块、智能驱动模块、矢量显示模块。可在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机专用软件上编程，对智能模块进行参数设置和控制。包含在计算机运行的专用软件及在移动设备上运行的APP，配合智能小车及配套装置完成力学、运动学的多个实验。</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智能小车主要技术参数：</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1、力：测量范围：±20N；分辨率：0.001N；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2、位移：分度：0.1cm；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3、速度：最大速度：±3m/S； </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4、加速度：测量范围：±156.8m/S2 （±16g）；分度0.01m/S2；</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5、陀螺仪：测量范围：±2000°/S，分度1°/S；</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以上数据无线最高采样率：200Hz。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智能风扇模块</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含风扇装置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套、挡风板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个及固定柱</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个、紧固螺栓</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只、专用连接线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条。风扇装置通过专用连接线与智能小车连接，可在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机专用软件上进行运行控制和参数设置。</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风速：3档；</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风向：正向或反向。</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智能弹射模块</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含弹射装置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套、调平螺栓</w:t>
            </w:r>
            <w:r>
              <w:rPr>
                <w:rStyle w:val="900"/>
                <w:rFonts w:hint="eastAsia" w:ascii="宋体" w:hAnsi="宋体" w:eastAsia="宋体" w:cs="宋体"/>
                <w:sz w:val="24"/>
                <w:szCs w:val="24"/>
                <w:lang w:val="en-US" w:eastAsia="zh-CN" w:bidi="ar"/>
              </w:rPr>
              <w:t xml:space="preserve">4</w:t>
            </w:r>
            <w:r>
              <w:rPr>
                <w:rStyle w:val="901"/>
                <w:rFonts w:hint="eastAsia" w:ascii="宋体" w:hAnsi="宋体" w:eastAsia="宋体" w:cs="宋体"/>
                <w:sz w:val="24"/>
                <w:szCs w:val="24"/>
                <w:lang w:val="en-US" w:eastAsia="zh-CN" w:bidi="ar"/>
              </w:rPr>
              <w:t xml:space="preserve">只、紧固螺栓</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只、弹簧</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条、专用连接线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条。弹射装置通过专用连接线与智能小车连接，可在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机专用软件上进行弹射控制和参数设置。</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弹射高度：50cm；</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弹射方式：可编程连续弹射次数及弹射间隔时间。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矢量显示模块</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含矢量显示装置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套、紧固螺栓</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个、专用连接线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条。矢量模块通过专用连接线与智能小车连接，并在专用软件上进行显示设置。</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显示数据：力、加速度或速度；</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显示方式：红色或绿色LED指示数据大小和方向，LED点亮的多少与小车的数据大小成正比，红色或绿色显示数据的方向；OLED屏显示当前数据类型；</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设置方式：按键或专用软件设置显示数据类型。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智能驱动模块</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含驱动装置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套、专用连接线</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条。驱动装置通过专用连接线与智能小车连接，可在</w:t>
            </w:r>
            <w:r>
              <w:rPr>
                <w:rStyle w:val="900"/>
                <w:rFonts w:hint="eastAsia" w:ascii="宋体" w:hAnsi="宋体" w:eastAsia="宋体" w:cs="宋体"/>
                <w:sz w:val="24"/>
                <w:szCs w:val="24"/>
                <w:lang w:val="en-US" w:eastAsia="zh-CN" w:bidi="ar"/>
              </w:rPr>
              <w:t xml:space="preserve">PC</w:t>
            </w:r>
            <w:r>
              <w:rPr>
                <w:rStyle w:val="901"/>
                <w:rFonts w:hint="eastAsia" w:ascii="宋体" w:hAnsi="宋体" w:eastAsia="宋体" w:cs="宋体"/>
                <w:sz w:val="24"/>
                <w:szCs w:val="24"/>
                <w:lang w:val="en-US" w:eastAsia="zh-CN" w:bidi="ar"/>
              </w:rPr>
              <w:t xml:space="preserve">机专用软件上进行运动控制和参数设置。</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速度范围：0~100；分度：1；</w:t>
            </w:r>
            <w:r>
              <w:rPr>
                <w:rStyle w:val="901"/>
                <w:rFonts w:hint="eastAsia" w:ascii="宋体" w:hAnsi="宋体" w:eastAsia="宋体" w:cs="宋体"/>
                <w:sz w:val="24"/>
                <w:szCs w:val="24"/>
                <w:lang w:val="en-US" w:eastAsia="zh-CN" w:bidi="ar"/>
              </w:rPr>
              <w:br/>
            </w:r>
            <w:r>
              <w:rPr>
                <w:rStyle w:val="901"/>
                <w:rFonts w:hint="eastAsia" w:ascii="宋体" w:hAnsi="宋体" w:eastAsia="宋体" w:cs="宋体"/>
                <w:sz w:val="24"/>
                <w:szCs w:val="24"/>
                <w:lang w:val="en-US" w:eastAsia="zh-CN" w:bidi="ar"/>
              </w:rPr>
              <w:t xml:space="preserve">运行方向：正向或反向。</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轨道及附件</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w:t>
            </w:r>
            <w:r>
              <w:rPr>
                <w:rStyle w:val="900"/>
                <w:rFonts w:hint="eastAsia" w:ascii="宋体" w:hAnsi="宋体" w:eastAsia="宋体" w:cs="宋体"/>
                <w:sz w:val="24"/>
                <w:szCs w:val="24"/>
                <w:lang w:val="en-US" w:eastAsia="zh-CN" w:bidi="ar"/>
              </w:rPr>
              <w:t xml:space="preserve">1.2m</w:t>
            </w:r>
            <w:r>
              <w:rPr>
                <w:rStyle w:val="901"/>
                <w:rFonts w:hint="eastAsia" w:ascii="宋体" w:hAnsi="宋体" w:eastAsia="宋体" w:cs="宋体"/>
                <w:sz w:val="24"/>
                <w:szCs w:val="24"/>
                <w:lang w:val="en-US" w:eastAsia="zh-CN" w:bidi="ar"/>
              </w:rPr>
              <w:t xml:space="preserve">专用轨道</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条、、弹簧</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条、固定柱</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只、</w:t>
            </w:r>
            <w:r>
              <w:rPr>
                <w:rStyle w:val="900"/>
                <w:rFonts w:hint="eastAsia" w:ascii="宋体" w:hAnsi="宋体" w:eastAsia="宋体" w:cs="宋体"/>
                <w:sz w:val="24"/>
                <w:szCs w:val="24"/>
                <w:lang w:val="en-US" w:eastAsia="zh-CN" w:bidi="ar"/>
              </w:rPr>
              <w:t xml:space="preserve">5</w:t>
            </w:r>
            <w:r>
              <w:rPr>
                <w:rStyle w:val="901"/>
                <w:rFonts w:hint="eastAsia" w:ascii="宋体" w:hAnsi="宋体" w:eastAsia="宋体" w:cs="宋体"/>
                <w:sz w:val="24"/>
                <w:szCs w:val="24"/>
                <w:lang w:val="en-US" w:eastAsia="zh-CN" w:bidi="ar"/>
              </w:rPr>
              <w:t xml:space="preserve">克配重块</w:t>
            </w:r>
            <w:r>
              <w:rPr>
                <w:rStyle w:val="900"/>
                <w:rFonts w:hint="eastAsia" w:ascii="宋体" w:hAnsi="宋体" w:eastAsia="宋体" w:cs="宋体"/>
                <w:sz w:val="24"/>
                <w:szCs w:val="24"/>
                <w:lang w:val="en-US" w:eastAsia="zh-CN" w:bidi="ar"/>
              </w:rPr>
              <w:t xml:space="preserve">4</w:t>
            </w:r>
            <w:r>
              <w:rPr>
                <w:rStyle w:val="901"/>
                <w:rFonts w:hint="eastAsia" w:ascii="宋体" w:hAnsi="宋体" w:eastAsia="宋体" w:cs="宋体"/>
                <w:sz w:val="24"/>
                <w:szCs w:val="24"/>
                <w:lang w:val="en-US" w:eastAsia="zh-CN" w:bidi="ar"/>
              </w:rPr>
              <w:t xml:space="preserve">只、</w:t>
            </w:r>
            <w:r>
              <w:rPr>
                <w:rStyle w:val="900"/>
                <w:rFonts w:hint="eastAsia" w:ascii="宋体" w:hAnsi="宋体" w:eastAsia="宋体" w:cs="宋体"/>
                <w:sz w:val="24"/>
                <w:szCs w:val="24"/>
                <w:lang w:val="en-US" w:eastAsia="zh-CN" w:bidi="ar"/>
              </w:rPr>
              <w:t xml:space="preserve">50</w:t>
            </w:r>
            <w:r>
              <w:rPr>
                <w:rStyle w:val="901"/>
                <w:rFonts w:hint="eastAsia" w:ascii="宋体" w:hAnsi="宋体" w:eastAsia="宋体" w:cs="宋体"/>
                <w:sz w:val="24"/>
                <w:szCs w:val="24"/>
                <w:lang w:val="en-US" w:eastAsia="zh-CN" w:bidi="ar"/>
              </w:rPr>
              <w:t xml:space="preserve">克配重块</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块、</w:t>
            </w:r>
            <w:r>
              <w:rPr>
                <w:rStyle w:val="900"/>
                <w:rFonts w:hint="eastAsia" w:ascii="宋体" w:hAnsi="宋体" w:eastAsia="宋体" w:cs="宋体"/>
                <w:sz w:val="24"/>
                <w:szCs w:val="24"/>
                <w:lang w:val="en-US" w:eastAsia="zh-CN" w:bidi="ar"/>
              </w:rPr>
              <w:t xml:space="preserve">100</w:t>
            </w:r>
            <w:r>
              <w:rPr>
                <w:rStyle w:val="901"/>
                <w:rFonts w:hint="eastAsia" w:ascii="宋体" w:hAnsi="宋体" w:eastAsia="宋体" w:cs="宋体"/>
                <w:sz w:val="24"/>
                <w:szCs w:val="24"/>
                <w:lang w:val="en-US" w:eastAsia="zh-CN" w:bidi="ar"/>
              </w:rPr>
              <w:t xml:space="preserve">克配重块</w:t>
            </w:r>
            <w:r>
              <w:rPr>
                <w:rStyle w:val="900"/>
                <w:rFonts w:hint="eastAsia" w:ascii="宋体" w:hAnsi="宋体" w:eastAsia="宋体" w:cs="宋体"/>
                <w:sz w:val="24"/>
                <w:szCs w:val="24"/>
                <w:lang w:val="en-US" w:eastAsia="zh-CN" w:bidi="ar"/>
              </w:rPr>
              <w:t xml:space="preserve">2</w:t>
            </w:r>
            <w:r>
              <w:rPr>
                <w:rStyle w:val="901"/>
                <w:rFonts w:hint="eastAsia" w:ascii="宋体" w:hAnsi="宋体" w:eastAsia="宋体" w:cs="宋体"/>
                <w:sz w:val="24"/>
                <w:szCs w:val="24"/>
                <w:lang w:val="en-US" w:eastAsia="zh-CN" w:bidi="ar"/>
              </w:rPr>
              <w:t xml:space="preserve">块、沙桶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只、滑轮</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套、磁碰座架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只、轨道倾角调节器</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w:t>
            </w:r>
            <w:r>
              <w:rPr>
                <w:rStyle w:val="900"/>
                <w:rFonts w:hint="eastAsia" w:ascii="宋体" w:hAnsi="宋体" w:eastAsia="宋体" w:cs="宋体"/>
                <w:sz w:val="24"/>
                <w:szCs w:val="24"/>
                <w:lang w:val="en-US" w:eastAsia="zh-CN" w:bidi="ar"/>
              </w:rPr>
              <w:t xml:space="preserve">T</w:t>
            </w:r>
            <w:r>
              <w:rPr>
                <w:rStyle w:val="901"/>
                <w:rFonts w:hint="eastAsia" w:ascii="宋体" w:hAnsi="宋体" w:eastAsia="宋体" w:cs="宋体"/>
                <w:sz w:val="24"/>
                <w:szCs w:val="24"/>
                <w:lang w:val="en-US" w:eastAsia="zh-CN" w:bidi="ar"/>
              </w:rPr>
              <w:t xml:space="preserve">型支撑架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w:t>
            </w:r>
            <w:r>
              <w:rPr>
                <w:rStyle w:val="900"/>
                <w:rFonts w:hint="eastAsia" w:ascii="宋体" w:hAnsi="宋体" w:eastAsia="宋体" w:cs="宋体"/>
                <w:sz w:val="24"/>
                <w:szCs w:val="24"/>
                <w:lang w:val="en-US" w:eastAsia="zh-CN" w:bidi="ar"/>
              </w:rPr>
              <w:t xml:space="preserve">L</w:t>
            </w:r>
            <w:r>
              <w:rPr>
                <w:rStyle w:val="901"/>
                <w:rFonts w:hint="eastAsia" w:ascii="宋体" w:hAnsi="宋体" w:eastAsia="宋体" w:cs="宋体"/>
                <w:sz w:val="24"/>
                <w:szCs w:val="24"/>
                <w:lang w:val="en-US" w:eastAsia="zh-CN" w:bidi="ar"/>
              </w:rPr>
              <w:t xml:space="preserve">型支架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w:t>
            </w:r>
            <w:r>
              <w:rPr>
                <w:rStyle w:val="900"/>
                <w:rFonts w:hint="eastAsia" w:ascii="宋体" w:hAnsi="宋体" w:eastAsia="宋体" w:cs="宋体"/>
                <w:sz w:val="24"/>
                <w:szCs w:val="24"/>
                <w:lang w:val="en-US" w:eastAsia="zh-CN" w:bidi="ar"/>
              </w:rPr>
              <w:t xml:space="preserve">I</w:t>
            </w:r>
            <w:r>
              <w:rPr>
                <w:rStyle w:val="901"/>
                <w:rFonts w:hint="eastAsia" w:ascii="宋体" w:hAnsi="宋体" w:eastAsia="宋体" w:cs="宋体"/>
                <w:sz w:val="24"/>
                <w:szCs w:val="24"/>
                <w:lang w:val="en-US" w:eastAsia="zh-CN" w:bidi="ar"/>
              </w:rPr>
              <w:t xml:space="preserve">型支架</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只、策动源</w:t>
            </w:r>
            <w:r>
              <w:rPr>
                <w:rStyle w:val="900"/>
                <w:rFonts w:hint="eastAsia" w:ascii="宋体" w:hAnsi="宋体" w:eastAsia="宋体" w:cs="宋体"/>
                <w:sz w:val="24"/>
                <w:szCs w:val="24"/>
                <w:lang w:val="en-US" w:eastAsia="zh-CN" w:bidi="ar"/>
              </w:rPr>
              <w:t xml:space="preserve">1</w:t>
            </w:r>
            <w:r>
              <w:rPr>
                <w:rStyle w:val="901"/>
                <w:rFonts w:hint="eastAsia" w:ascii="宋体" w:hAnsi="宋体" w:eastAsia="宋体" w:cs="宋体"/>
                <w:sz w:val="24"/>
                <w:szCs w:val="24"/>
                <w:lang w:val="en-US" w:eastAsia="zh-CN" w:bidi="ar"/>
              </w:rPr>
              <w:t xml:space="preserve">套、紧固件一宗。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魔板</w:t>
            </w:r>
            <w:r>
              <w:rPr>
                <w:rStyle w:val="900"/>
                <w:rFonts w:hint="eastAsia" w:ascii="宋体" w:hAnsi="宋体" w:eastAsia="宋体" w:cs="宋体"/>
                <w:sz w:val="24"/>
                <w:szCs w:val="24"/>
                <w:lang w:val="en-US" w:eastAsia="zh-CN" w:bidi="ar"/>
              </w:rPr>
              <w:t xml:space="preserve">-</w:t>
            </w:r>
            <w:r>
              <w:rPr>
                <w:rStyle w:val="901"/>
                <w:rFonts w:hint="eastAsia" w:ascii="宋体" w:hAnsi="宋体" w:eastAsia="宋体" w:cs="宋体"/>
                <w:sz w:val="24"/>
                <w:szCs w:val="24"/>
                <w:lang w:val="en-US" w:eastAsia="zh-CN" w:bidi="ar"/>
              </w:rPr>
              <w:t xml:space="preserve">凹凸桥实验器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由桥形支架、滚轮、条形锁紧装置、</w:t>
            </w:r>
            <w:r>
              <w:rPr>
                <w:rStyle w:val="900"/>
                <w:rFonts w:hint="eastAsia" w:ascii="宋体" w:hAnsi="宋体" w:eastAsia="宋体" w:cs="宋体"/>
                <w:sz w:val="24"/>
                <w:szCs w:val="24"/>
                <w:lang w:val="en-US" w:eastAsia="zh-CN" w:bidi="ar"/>
              </w:rPr>
              <w:t xml:space="preserve">USB Type-C</w:t>
            </w:r>
            <w:r>
              <w:rPr>
                <w:rStyle w:val="901"/>
                <w:rFonts w:hint="eastAsia" w:ascii="宋体" w:hAnsi="宋体" w:eastAsia="宋体" w:cs="宋体"/>
                <w:sz w:val="24"/>
                <w:szCs w:val="24"/>
                <w:lang w:val="en-US" w:eastAsia="zh-CN" w:bidi="ar"/>
              </w:rPr>
              <w:t xml:space="preserve">数据线构成，是魔板系统的拓展实验装置之一，与魔板配合使用，可用于探究物体运动过程中受力与所处位置之间的关系，能够定量展示物体在凹桥、凸桥上的超重、失重状态，可以测量轨道任意位置的受力情况。</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测力板</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测量范围：</w:t>
            </w:r>
            <w:r>
              <w:rPr>
                <w:rStyle w:val="902"/>
                <w:rFonts w:hint="eastAsia" w:ascii="宋体" w:hAnsi="宋体" w:eastAsia="宋体" w:cs="宋体"/>
                <w:sz w:val="24"/>
                <w:szCs w:val="24"/>
                <w:lang w:val="en-US" w:eastAsia="zh-CN" w:bidi="ar"/>
              </w:rPr>
              <w:t xml:space="preserve">-200N~+850N / -850N~+3500N</w:t>
            </w:r>
            <w:r>
              <w:rPr>
                <w:rFonts w:hint="eastAsia" w:ascii="宋体" w:hAnsi="宋体" w:eastAsia="宋体" w:cs="宋体"/>
                <w:i w:val="0"/>
                <w:iCs w:val="0"/>
                <w:color w:val="000000"/>
                <w:sz w:val="24"/>
                <w:szCs w:val="24"/>
                <w:u w:val="none"/>
                <w:lang w:val="en-US" w:eastAsia="zh-CN" w:bidi="ar"/>
              </w:rPr>
              <w:t xml:space="preserve">，分度：</w:t>
            </w:r>
            <w:r>
              <w:rPr>
                <w:rStyle w:val="902"/>
                <w:rFonts w:hint="eastAsia" w:ascii="宋体" w:hAnsi="宋体" w:eastAsia="宋体" w:cs="宋体"/>
                <w:sz w:val="24"/>
                <w:szCs w:val="24"/>
                <w:lang w:val="en-US" w:eastAsia="zh-CN" w:bidi="ar"/>
              </w:rPr>
              <w:t xml:space="preserve">0.1N</w:t>
            </w:r>
            <w:r>
              <w:rPr>
                <w:rFonts w:hint="eastAsia" w:ascii="宋体" w:hAnsi="宋体" w:eastAsia="宋体" w:cs="宋体"/>
                <w:i w:val="0"/>
                <w:iCs w:val="0"/>
                <w:color w:val="000000"/>
                <w:sz w:val="24"/>
                <w:szCs w:val="24"/>
                <w:u w:val="none"/>
                <w:lang w:val="en-US" w:eastAsia="zh-CN" w:bidi="ar"/>
              </w:rPr>
              <w:t xml:space="preserve">；用于人体称重、人体跳跃过程中的超重失重现象等实验。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等势线描绘仪</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由智能定位板、导电纸（耗材）、测量笔、负极连线、正电极柱、负电极柱、电极定位助手、强磁铁、条形电极、环形电极、USB Type-C数据线构成。电压测量范围：-20V~+20V；分度：0.01V。与等势线描绘专用软件配套使用，可完成等量异种点电荷电场、匀强电场、点电荷电场中的等势线描绘等实验。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光学实验系统-高中版</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由长度1.2米轨道、可调光源座、光缝座、光屏座、相对光照度分布传感器、单缝、双缝、USB数据线构成。可完成高中物理中光的干涉、衍射实验。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Mini牛顿管实验器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ni牛顿管实验器由牛顿管（含透明管、微型无线压强传感器、抽气阀门）、抽气装置、观测物体（金属、泡沫或羽毛）等构成。可以观察物体在空气中、近似真空状态下以及其他压强状态情况的下落过程。用于完成探究自由落体实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通过安装移动终端，实时显示牛顿管内的压强及压强变化。</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无线向心力实验器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1、由三角稳固底座、金属支架、旋臂、配重杆、平衡杆、挡光臂、旋臂座、砝码、连接装置、紧固件、蓝牙适配器、电机控制系统构成。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2、旋臂内置光电门传感器测量系统、力传感器测量系统及无线发射电路，可自由旋转。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3、无线接收器与计算机USB接口通讯，无需另配数据采集器与传感器测量系统，内置光电门传感器测量系统可以精确记录每次挡光时间，并通过软件计算出旋臂的角速度；力传感器同步测量向心力的大小。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4、可以选择手动与电机驱动两种旋转模式；电机转动速度（0~30挡位）及转动方向可调。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5、可通过控制变量法，可描绘向心力与质量、角速度、运动半径的关系曲线，探究向心力与质量、角速度、角速度、运动半径的关系。</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学生用基本配置传感器部分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1.半透明外壳设计，内含状态、电源指示灯。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2.科学实验专用采集器，四通道并行采集，全数字通道，采样频率80K。</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3.采集器支持USB即插即用，自动监测传感器接入或拔出，无须外接电源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4.可根据实验教学需要，选择接插有线接口或无线接收实现与传感器通讯。支持有线/无线状态下的四通道并行采集。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5.可进行四路声波传感器同步显示的高频采集实验。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功能检测至少包含：采集器支持采集器级联，可以实现不低于10套数据采集器同时连接；有线通讯下各路通道采样频率可达20K,满足不低于10通道声波/声级传感器数据并行采集，采集器可通过更换有线接口或无线接口实现有线通讯和无线通讯两种数据通讯方式。（投标文件中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1.通过与各种传感器组合，使之具备独立数据显示功能。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2.自带1.77寸（±0.1寸）彩屏。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3.BT自锁接头，支持热插拔连接，接入任一可识别传感器，屏幕会显示该传感器的实时数据和单位并且显示数据应有变化。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4.具备自锁功能防止传感器脱落，并且可与计算机直接通讯。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5.可充电锂电池供电，可充电电池（3.6V）供电。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6.模块具备保存7万组数据的功能，可对保存的实验数据进行导出到计算机内、查看和处理数据。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7.带二维码可以与安卓、苹果系统移动采集终端无线数据同步传输。</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1.量程：-5μA~+5μA；分度：0.01μA。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1.量程：-15mT~+15 mT；分度：0.01 mT；</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4.传感器自带M6螺纹孔，轻松实现与多种实验装置的组装固定；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微力传感器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1.量程：-2N~+2N；分度：0.001N。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2.传感器手柄式结构，可用于测拉力（显示正值）和压力（显示负值）。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1.量程：-20N~+20N；分度：0.01N。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2.传感器手柄式结构，可用于测拉力（显示正值）和压力（显示负值）。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1.量程：0cm ~200cm，分度：1mm。无测量盲区。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2.由发射器和接收器构成，接收器与采集器连接，发射器由电池供电。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3.传感器易与现有实验装置（运动小车、弹簧振子等）组合。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1.分度：2μs，用于测量挡光片（U型、I型）的挡光时间。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2.支持与采集器的有线通讯、无线通讯工作方式。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5.传感器支持Windows、苹果系统。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1.量程：-50℃~+200℃；分度：0.1℃。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2.不锈钢探针，可测各种物体或溶液的温度。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1.量程：0 kPa ~700 kPa；分度：0.1 kPa。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2.可用于直接测量气体的绝对压强，配件：20mL注射器。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3.传感器支持与采集器的有线通讯、无线通讯和独立数据显示三种工作方式。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1.测量范围：-3A~+3A；分度：0.01A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测量范围：-300mA~+300mA；分度：1mA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测量范围：-30mA ~+30mA；分度：0.1 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2.要求：为避免软件虚拟处理，传感器自带硬件选择档位，按钮切换量程。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▲8.低温存储试验、高温存储试验、恒定湿热试验检验合格。</w:t>
            </w:r>
            <w:r>
              <w:rPr>
                <w:rFonts w:hint="eastAsia" w:ascii="宋体" w:hAnsi="宋体" w:eastAsia="宋体" w:cs="宋体"/>
                <w:i w:val="0"/>
                <w:iCs w:val="0"/>
                <w:color w:val="000000"/>
                <w:sz w:val="24"/>
                <w:szCs w:val="24"/>
                <w:highlight w:val="none"/>
                <w:u w:val="none"/>
                <w:lang w:val="en-US" w:eastAsia="zh-CN" w:bidi="ar"/>
              </w:rPr>
              <w:t xml:space="preserve">（投标文件中提供具有CMA标识的第三方检测机构出具的检测报告扫描件并加盖投标人公章）</w:t>
            </w:r>
            <w:r>
              <w:rPr>
                <w:rFonts w:hint="eastAsia" w:ascii="宋体" w:hAnsi="宋体" w:eastAsia="宋体" w:cs="宋体"/>
                <w:i w:val="0"/>
                <w:iCs w:val="0"/>
                <w:color w:val="000000"/>
                <w:sz w:val="24"/>
                <w:szCs w:val="24"/>
                <w:u w:val="none"/>
                <w:lang w:val="en-US" w:eastAsia="zh-CN" w:bidi="ar"/>
              </w:rPr>
              <w:t xml:space="preserve">；</w:t>
            </w:r>
            <w:r/>
          </w:p>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▲9.功能检测至少包含：支持有线通讯、无线通讯和屏幕数据显示工作方式，连接插口采用BT接口，具有方向性和自锁功能，支持硬件调零和软件调零，满足Windows、Android、iOS平台。</w:t>
            </w:r>
            <w:r>
              <w:rPr>
                <w:rFonts w:hint="eastAsia" w:ascii="宋体" w:hAnsi="宋体" w:eastAsia="宋体" w:cs="宋体"/>
                <w:i w:val="0"/>
                <w:iCs w:val="0"/>
                <w:color w:val="000000"/>
                <w:sz w:val="24"/>
                <w:szCs w:val="24"/>
                <w:highlight w:val="none"/>
                <w:u w:val="none"/>
                <w:lang w:val="en-US" w:eastAsia="zh-CN" w:bidi="ar"/>
              </w:rPr>
              <w:t xml:space="preserve">（投标文件中提供具有CMA标识的第三方检测机构出具的检测报告扫描件并加盖投标人公章）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1.量程1：-20V~+20V、分度：0.01V；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量程2：-2V~+2V、分度：0.001V；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量程3：-0.2V~+0.2V、分度：0.0001V；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2.要求：为避免软件虚拟处理，传感器自带硬件选择档位，按钮切换量程。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3.支持与采集器的有线通讯、无线通讯和独立数据显示三种工作方式。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4.传感器自带硬件调零按钮并支持硬件调零功能。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5.传感器自带M6螺纹孔，可实现与多种实验装置组装固定。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6.传感器连接线插口具有方向性和自锁功能，可以防止传感器脱落保证数据传输稳定。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7.传感器支持Windows、Android、苹果系统。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由铝合金主架、铝塑板面构成，内设隔断海棉内衬</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9714"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学生用标准配套实验器材部分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多用力学轨道</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1.基本配置：含1.2m铝合金轨道一条、轨道小车（滚轴）两台；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2.弹簧两根、50克配重片四块、挡光片四片（宽度分别为2、4、6、8cm）；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3.轨道座架一套、L型挂架两个及I型支架四个、滑轮一套、小车收集器一套；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4.小沙筒及4个5克配重块一组、小车缓冲装置一套、碰撞弹簧圈两个；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5.紧固件一套，受迫振动配套策动源一套。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▲6.铅、汞、砷、甲醛释放未检出。</w:t>
            </w:r>
            <w:r>
              <w:rPr>
                <w:rFonts w:hint="eastAsia" w:ascii="宋体" w:hAnsi="宋体" w:eastAsia="宋体" w:cs="宋体"/>
                <w:i w:val="0"/>
                <w:iCs w:val="0"/>
                <w:color w:val="000000"/>
                <w:sz w:val="24"/>
                <w:szCs w:val="24"/>
                <w:highlight w:val="none"/>
                <w:u w:val="none"/>
                <w:lang w:val="en-US" w:eastAsia="zh-CN" w:bidi="ar"/>
              </w:rPr>
              <w:t xml:space="preserve">（投标文件中提供具有CMA标识的第三方检测机构出具的检测报告扫描件并加盖投标人公章）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斜面上力的分解实验器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1.由主架和环形重物块构成。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2.环形物块质量：78g±5g。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3.外形尺寸：389mm*71mm*261mm(±5mm)。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4.标尺角度：0、30、45、60、90。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5.内置力传感器连接滚轴转动自然。能通过两个内置力传感器测量重物在两个垂直方向上分离的大小。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机械能守恒实验器I</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1.由主板、副板、光电门传感器固定臂、磁铁夹固定臂（含磁铁夹）、摆锤（含摆锤线）、定位档、中央螺母、中央螺栓、摆锤线固定栓、测平器、蝶形螺栓、通用螺栓构成。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2.主板标尺刻度：0mm、50mm、100mm、150mm，误差为±1mm；副板标尺刻度：0mm、50mm、100mm、150mm，误差为±1mm。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3.光电门固定在主板的后方，当调节中心螺栓和螺母的紧度时，固定臂既能任意调节，又能根据实验要求固定在主板的任意位置。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4.光电门传感器固定臂长454mm ±2mm。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5.磁铁夹固定臂长404 mm ±2mm。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6.摆锤的材质为金属铁质，摆锤直径：8mm±0.5mm，质量：8.2g±0.5g。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7.定位档片，能够准确定位，精确改变摆长。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8.测平器测平器外侧边缘应齐平，光滑，以便将光电门传感器精确定位。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9.与光电门传感器配合使用，可完成对机械能守恒定律定性和定量的探究。</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环形线圈</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1.高灵敏度、无源、塑壳封装、带屏蔽；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2.与微电流传感器配合，可测得切割地磁场产生的感生电流，也可测得不同电器的电磁辐射强度。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通电螺线管</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1.外形尺寸：112mm*40mm*45mm(±1mm)；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2.可接学生电源，通过磁传感器测量，螺线管中间位置可产生匀强磁场。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电磁感应与楞次定律实验器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1.该实验器由档位开关、线圈、接线柱和电路板组成。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2.与电流传感器配合使用，用于研究电磁感应现象。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3.档位开关分别与不同匝数相的线圈连接，探究线圈匝数与感应电流的关系。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4.可根据曲线的变化趋势分析感应电流的方向，并由此验证楞次定律。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1.由60cm铝合金轨道、摩擦台底座、多种摩擦块、匀速电机组成（无需外接电源）。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2.与力传感器配合使用，可实现探究摩擦面、物体重量、运动速度、接触面积等因素对摩擦力大小的影响，配合力传感器可实现有线方式、无线方式、数据独立显示模式。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▲3.铅、汞、砷、甲醛释放未检出。（投标文件中提供具有CMA标识的第三方检测机构出具的检测报告扫描件并加盖投标人公章）</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向心力实验器</w:t>
            </w:r>
            <w:r>
              <w:rPr>
                <w:rStyle w:val="902"/>
                <w:rFonts w:hint="eastAsia" w:ascii="宋体" w:hAnsi="宋体" w:eastAsia="宋体" w:cs="宋体"/>
                <w:sz w:val="24"/>
                <w:szCs w:val="24"/>
                <w:lang w:val="en-US" w:eastAsia="zh-CN" w:bidi="ar"/>
              </w:rPr>
              <w:t xml:space="preserve">V2.0</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由主梁架、底座、砝码、旋臂、连接装置、紧固件与电机控制系统等构成。可以选择手动与电机驱动两种旋转模式；电机转动速度（</w:t>
            </w:r>
            <w:r>
              <w:rPr>
                <w:rStyle w:val="904"/>
                <w:rFonts w:hint="eastAsia" w:ascii="宋体" w:hAnsi="宋体" w:eastAsia="宋体" w:cs="宋体"/>
                <w:sz w:val="24"/>
                <w:szCs w:val="24"/>
                <w:lang w:val="en-US" w:eastAsia="zh-CN" w:bidi="ar"/>
              </w:rPr>
              <w:t xml:space="preserve">0~30rad/s</w:t>
            </w:r>
            <w:r>
              <w:rPr>
                <w:rStyle w:val="905"/>
                <w:rFonts w:hint="eastAsia" w:ascii="宋体" w:hAnsi="宋体" w:eastAsia="宋体" w:cs="宋体"/>
                <w:sz w:val="24"/>
                <w:szCs w:val="24"/>
                <w:lang w:val="en-US" w:eastAsia="zh-CN" w:bidi="ar"/>
              </w:rPr>
              <w:t xml:space="preserve">）及转动方向可调。可通过控制变量法，研究向心力分别与角速度、质量以及旋转半径的关系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由座架、支架、平抛轨道、光电门支架、内置式触碰传感器、小球、标尺游标、磁性回收器等组成。与光电门传感器配合，可测量平抛运动小球的初速度、运行时间与水平距离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由底座、磁铁组、标有角度的转盘、矩形线框、挂钩、支架组成，配合电流传感器和微力传感器使用，研究安培力与导线长度、供电电流大小以及电流方向与磁场夹角的关系。</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left"/>
              <w:keepLines w:val="0"/>
              <w:keepNext w:val="0"/>
              <w:pageBreakBefore w:val="0"/>
              <w:spacing w:line="4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由直径不同的铁、铁铬、镍铬三种金属丝组成，配合电流、电压传感器使用，探究导体的电阻与长度、截面积的关系</w:t>
            </w:r>
            <w:r/>
          </w:p>
        </w:tc>
      </w:tr>
    </w:tbl>
    <w:p>
      <w:pPr>
        <w:numPr>
          <w:ilvl w:val="0"/>
          <w:numId w:val="0"/>
        </w:numPr>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numPr>
          <w:ilvl w:val="0"/>
          <w:numId w:val="0"/>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四、</w:t>
      </w:r>
      <w:r>
        <w:rPr>
          <w:rFonts w:hint="eastAsia" w:ascii="Times New Roman" w:hAnsi="Times New Roman" w:eastAsia="宋体" w:cs="Times New Roman"/>
          <w:b/>
          <w:sz w:val="28"/>
          <w:szCs w:val="28"/>
        </w:rPr>
        <w:t xml:space="preserve">辅材、配件</w:t>
      </w:r>
      <w:r/>
    </w:p>
    <w:p>
      <w:pPr>
        <w:numPr>
          <w:ilvl w:val="0"/>
          <w:numId w:val="0"/>
        </w:numPr>
        <w:ind w:firstLine="480"/>
        <w:jc w:val="left"/>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硬件设备中包含本项目设备集成所需的所有配品、配件和以及网线、电源线等，若在具体实施时，所需配品配件及网线、电源线缺损时，由中标人负责增加解决。因不同投标人的设备设计原理未必完全相同，可视自身情况配置辅材，应能充分满足采购人需求的功能及参数要求。此部分包含在投标报价中。</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五、供货要求</w:t>
      </w:r>
      <w:r/>
    </w:p>
    <w:p>
      <w:pPr>
        <w:ind w:firstLine="482"/>
        <w:jc w:val="left"/>
        <w:spacing w:line="360" w:lineRule="auto"/>
        <w:rPr>
          <w:rFonts w:hint="eastAsia"/>
          <w:b/>
          <w:bCs w:val="0"/>
          <w:i/>
          <w:iCs w:val="0"/>
          <w:szCs w:val="21"/>
          <w:u w:val="single"/>
        </w:rPr>
      </w:pPr>
      <w:r>
        <w:rPr>
          <w:rFonts w:hint="eastAsia"/>
          <w:b/>
          <w:bCs w:val="0"/>
          <w:i/>
          <w:iCs w:val="0"/>
          <w:sz w:val="24"/>
          <w:szCs w:val="24"/>
          <w:u w:val="single"/>
        </w:rPr>
        <w:t xml:space="preserve">1</w:t>
      </w:r>
      <w:r>
        <w:rPr>
          <w:rFonts w:hint="eastAsia"/>
          <w:b/>
          <w:bCs w:val="0"/>
          <w:i/>
          <w:iCs w:val="0"/>
          <w:sz w:val="24"/>
          <w:szCs w:val="24"/>
          <w:u w:val="single"/>
          <w:lang w:eastAsia="zh-CN"/>
        </w:rPr>
        <w:t xml:space="preserve">.</w:t>
      </w:r>
      <w:r>
        <w:rPr>
          <w:rFonts w:hint="eastAsia"/>
          <w:b/>
          <w:bCs w:val="0"/>
          <w:i/>
          <w:iCs w:val="0"/>
          <w:sz w:val="24"/>
          <w:szCs w:val="24"/>
          <w:u w:val="single"/>
        </w:rPr>
        <w:t xml:space="preserve">交货期：</w:t>
      </w:r>
      <w:r>
        <w:rPr>
          <w:rFonts w:ascii="Calibri" w:hAnsi="Calibri" w:cs="Calibri"/>
          <w:b/>
          <w:bCs w:val="0"/>
          <w:i/>
          <w:iCs w:val="0"/>
          <w:color w:val="000000"/>
          <w:sz w:val="24"/>
          <w:szCs w:val="24"/>
          <w:u w:val="single"/>
        </w:rPr>
        <w:t xml:space="preserve">合同签订后</w:t>
      </w:r>
      <w:r>
        <w:rPr>
          <w:rFonts w:hint="eastAsia" w:ascii="Calibri" w:hAnsi="Calibri" w:cs="Calibri"/>
          <w:b/>
          <w:bCs w:val="0"/>
          <w:i/>
          <w:iCs w:val="0"/>
          <w:color w:val="000000"/>
          <w:sz w:val="24"/>
          <w:szCs w:val="24"/>
          <w:u w:val="single"/>
          <w:lang w:val="en-US" w:eastAsia="zh-CN"/>
        </w:rPr>
        <w:t xml:space="preserve">6</w:t>
      </w:r>
      <w:r>
        <w:rPr>
          <w:rFonts w:ascii="Calibri" w:hAnsi="Calibri" w:cs="Calibri"/>
          <w:b/>
          <w:bCs w:val="0"/>
          <w:i/>
          <w:iCs w:val="0"/>
          <w:color w:val="000000"/>
          <w:sz w:val="24"/>
          <w:szCs w:val="24"/>
          <w:u w:val="single"/>
        </w:rPr>
        <w:t xml:space="preserve">0天内完成安装调试，达到预期效果。</w:t>
      </w:r>
      <w:r>
        <w:rPr>
          <w:rFonts w:hint="eastAsia"/>
          <w:b/>
          <w:bCs w:val="0"/>
          <w:i/>
          <w:iCs w:val="0"/>
          <w:sz w:val="24"/>
          <w:szCs w:val="24"/>
          <w:u w:val="single"/>
        </w:rPr>
        <w:t xml:space="preserve">（投标文件中提供加盖投标人公章的承诺函，格式自拟，否则投标无效）</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交货方式：现场交货。</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交货地点：</w:t>
      </w:r>
      <w:r>
        <w:rPr>
          <w:rFonts w:hint="eastAsia" w:ascii="宋体" w:hAnsi="宋体" w:eastAsia="宋体" w:cs="Times New Roman"/>
          <w:sz w:val="24"/>
          <w:szCs w:val="24"/>
          <w:highlight w:val="none"/>
          <w:lang w:val="en-US" w:eastAsia="zh-CN"/>
        </w:rPr>
        <w:t xml:space="preserve">江苏省海州高级中学</w:t>
      </w:r>
      <w:r>
        <w:rPr>
          <w:rFonts w:hint="eastAsia" w:ascii="宋体" w:hAnsi="宋体" w:eastAsia="宋体" w:cs="Times New Roman"/>
          <w:sz w:val="24"/>
          <w:szCs w:val="24"/>
          <w:highlight w:val="none"/>
        </w:rPr>
        <w:t xml:space="preserve">，具体地点以合同书约定为准。</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1</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2</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3</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采购人使用该货物的任何一部分，当受第三方提出的侵犯其专利权、商标权或工业设计权的投诉时，一切后果由中标人负责。</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4</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安装和调试：中标供应商按采购人要求时间及地点负责全过程的施工、安装、调试、试运行工作</w:t>
      </w:r>
      <w:r/>
    </w:p>
    <w:p>
      <w:pPr>
        <w:pStyle w:val="893"/>
        <w:rPr>
          <w:rFonts w:hint="eastAsia" w:ascii="Times New Roman" w:hAnsi="Times New Roman" w:eastAsia="宋体" w:cs="Times New Roman"/>
          <w:b w:val="0"/>
          <w:bCs/>
          <w:i w:val="0"/>
          <w:sz w:val="24"/>
          <w:szCs w:val="24"/>
          <w:u w:val="none"/>
          <w:lang w:val="en-US" w:eastAsia="zh-CN" w:bidi="ar-SA"/>
        </w:rPr>
      </w:pPr>
      <w:r>
        <w:rPr>
          <w:rFonts w:hint="eastAsia" w:ascii="Times New Roman" w:hAnsi="Times New Roman" w:eastAsia="宋体" w:cs="Times New Roman"/>
          <w:b w:val="0"/>
          <w:bCs/>
          <w:i w:val="0"/>
          <w:sz w:val="24"/>
          <w:szCs w:val="24"/>
          <w:u w:val="none"/>
          <w:lang w:val="en-US" w:eastAsia="zh-CN" w:bidi="ar-SA"/>
        </w:rPr>
        <w:t xml:space="preserve">5</w:t>
      </w:r>
      <w:r>
        <w:rPr>
          <w:rFonts w:hint="eastAsia" w:ascii="Times New Roman" w:hAnsi="Times New Roman" w:cs="Times New Roman"/>
          <w:b w:val="0"/>
          <w:bCs/>
          <w:i w:val="0"/>
          <w:sz w:val="24"/>
          <w:szCs w:val="24"/>
          <w:u w:val="none"/>
          <w:lang w:val="en-US" w:eastAsia="zh-CN" w:bidi="ar-SA"/>
        </w:rPr>
        <w:t xml:space="preserve">.</w:t>
      </w:r>
      <w:r>
        <w:rPr>
          <w:rFonts w:hint="eastAsia" w:ascii="Times New Roman" w:hAnsi="Times New Roman" w:eastAsia="宋体" w:cs="Times New Roman"/>
          <w:b w:val="0"/>
          <w:bCs/>
          <w:i w:val="0"/>
          <w:sz w:val="24"/>
          <w:szCs w:val="24"/>
          <w:u w:val="none"/>
          <w:lang w:val="en-US" w:eastAsia="zh-CN" w:bidi="ar-SA"/>
        </w:rPr>
        <w:t xml:space="preserve">实施进度要求：</w:t>
      </w:r>
      <w:r>
        <w:rPr>
          <w:rFonts w:hint="eastAsia" w:ascii="Times New Roman" w:hAnsi="Times New Roman" w:cs="Times New Roman"/>
          <w:b w:val="0"/>
          <w:bCs/>
          <w:i w:val="0"/>
          <w:sz w:val="24"/>
          <w:szCs w:val="24"/>
          <w:u w:val="none"/>
          <w:lang w:val="en-US" w:eastAsia="zh-CN" w:bidi="ar-SA"/>
        </w:rPr>
        <w:t xml:space="preserve">中标人</w:t>
      </w:r>
      <w:r>
        <w:rPr>
          <w:rFonts w:hint="eastAsia" w:ascii="Times New Roman" w:hAnsi="Times New Roman" w:eastAsia="宋体" w:cs="Times New Roman"/>
          <w:b w:val="0"/>
          <w:bCs/>
          <w:i w:val="0"/>
          <w:sz w:val="24"/>
          <w:szCs w:val="24"/>
          <w:u w:val="none"/>
          <w:lang w:val="en-US" w:eastAsia="zh-CN" w:bidi="ar-SA"/>
        </w:rPr>
        <w:t xml:space="preserve">进场</w:t>
      </w:r>
      <w:r>
        <w:rPr>
          <w:rFonts w:hint="eastAsia" w:ascii="Times New Roman" w:hAnsi="Times New Roman" w:cs="Times New Roman"/>
          <w:b w:val="0"/>
          <w:bCs/>
          <w:i w:val="0"/>
          <w:sz w:val="24"/>
          <w:szCs w:val="24"/>
          <w:u w:val="none"/>
          <w:lang w:val="en-US" w:eastAsia="zh-CN" w:bidi="ar-SA"/>
        </w:rPr>
        <w:t xml:space="preserve">组织项目实施</w:t>
      </w:r>
      <w:r>
        <w:rPr>
          <w:rFonts w:hint="eastAsia" w:ascii="Times New Roman" w:hAnsi="Times New Roman" w:eastAsia="宋体" w:cs="Times New Roman"/>
          <w:b w:val="0"/>
          <w:bCs/>
          <w:i w:val="0"/>
          <w:sz w:val="24"/>
          <w:szCs w:val="24"/>
          <w:u w:val="none"/>
          <w:lang w:val="en-US" w:eastAsia="zh-CN" w:bidi="ar-SA"/>
        </w:rPr>
        <w:t xml:space="preserve">要提供</w:t>
      </w:r>
      <w:r>
        <w:rPr>
          <w:rFonts w:hint="eastAsia" w:ascii="Times New Roman" w:hAnsi="Times New Roman" w:cs="Times New Roman"/>
          <w:b w:val="0"/>
          <w:bCs/>
          <w:i w:val="0"/>
          <w:sz w:val="24"/>
          <w:szCs w:val="24"/>
          <w:u w:val="none"/>
          <w:lang w:val="en-US" w:eastAsia="zh-CN" w:bidi="ar-SA"/>
        </w:rPr>
        <w:t xml:space="preserve">项目</w:t>
      </w:r>
      <w:r>
        <w:rPr>
          <w:rFonts w:hint="eastAsia" w:ascii="Times New Roman" w:hAnsi="Times New Roman" w:eastAsia="宋体" w:cs="Times New Roman"/>
          <w:b w:val="0"/>
          <w:bCs/>
          <w:i w:val="0"/>
          <w:sz w:val="24"/>
          <w:szCs w:val="24"/>
          <w:u w:val="none"/>
          <w:lang w:val="en-US" w:eastAsia="zh-CN" w:bidi="ar-SA"/>
        </w:rPr>
        <w:t xml:space="preserve">进度计划表，</w:t>
      </w:r>
      <w:r>
        <w:rPr>
          <w:rFonts w:hint="eastAsia" w:ascii="Times New Roman" w:hAnsi="Times New Roman" w:cs="Times New Roman"/>
          <w:b w:val="0"/>
          <w:bCs/>
          <w:i w:val="0"/>
          <w:sz w:val="24"/>
          <w:szCs w:val="24"/>
          <w:u w:val="none"/>
          <w:lang w:val="en-US" w:eastAsia="zh-CN" w:bidi="ar-SA"/>
        </w:rPr>
        <w:t xml:space="preserve">项目</w:t>
      </w:r>
      <w:r>
        <w:rPr>
          <w:rFonts w:hint="eastAsia" w:ascii="Times New Roman" w:hAnsi="Times New Roman" w:eastAsia="宋体" w:cs="Times New Roman"/>
          <w:b w:val="0"/>
          <w:bCs/>
          <w:i w:val="0"/>
          <w:sz w:val="24"/>
          <w:szCs w:val="24"/>
          <w:u w:val="none"/>
          <w:lang w:val="en-US" w:eastAsia="zh-CN" w:bidi="ar-SA"/>
        </w:rPr>
        <w:t xml:space="preserve">进度计划表需要</w:t>
      </w:r>
      <w:r>
        <w:rPr>
          <w:rFonts w:hint="eastAsia" w:ascii="Times New Roman" w:hAnsi="Times New Roman" w:cs="Times New Roman"/>
          <w:b w:val="0"/>
          <w:bCs/>
          <w:i w:val="0"/>
          <w:sz w:val="24"/>
          <w:szCs w:val="24"/>
          <w:u w:val="none"/>
          <w:lang w:val="en-US" w:eastAsia="zh-CN" w:bidi="ar-SA"/>
        </w:rPr>
        <w:t xml:space="preserve">提前提交采购人</w:t>
      </w:r>
      <w:r>
        <w:rPr>
          <w:rFonts w:hint="eastAsia" w:ascii="Times New Roman" w:hAnsi="Times New Roman" w:eastAsia="宋体" w:cs="Times New Roman"/>
          <w:b w:val="0"/>
          <w:bCs/>
          <w:i w:val="0"/>
          <w:sz w:val="24"/>
          <w:szCs w:val="24"/>
          <w:u w:val="none"/>
          <w:lang w:val="en-US" w:eastAsia="zh-CN" w:bidi="ar-SA"/>
        </w:rPr>
        <w:t xml:space="preserve">确认。</w:t>
      </w:r>
      <w:r>
        <w:rPr>
          <w:rFonts w:hint="eastAsia" w:ascii="Times New Roman" w:hAnsi="Times New Roman" w:cs="Times New Roman"/>
          <w:b w:val="0"/>
          <w:bCs/>
          <w:i w:val="0"/>
          <w:sz w:val="24"/>
          <w:szCs w:val="24"/>
          <w:u w:val="none"/>
          <w:lang w:val="en-US" w:eastAsia="zh-CN" w:bidi="ar-SA"/>
        </w:rPr>
        <w:t xml:space="preserve">中标人</w:t>
      </w:r>
      <w:r>
        <w:rPr>
          <w:rFonts w:hint="eastAsia" w:ascii="Times New Roman" w:hAnsi="Times New Roman" w:eastAsia="宋体" w:cs="Times New Roman"/>
          <w:b w:val="0"/>
          <w:bCs/>
          <w:i w:val="0"/>
          <w:sz w:val="24"/>
          <w:szCs w:val="24"/>
          <w:u w:val="none"/>
          <w:lang w:val="en-US" w:eastAsia="zh-CN" w:bidi="ar-SA"/>
        </w:rPr>
        <w:t xml:space="preserve">保证</w:t>
      </w:r>
      <w:r>
        <w:rPr>
          <w:rFonts w:hint="eastAsia" w:ascii="Times New Roman" w:hAnsi="Times New Roman" w:cs="Times New Roman"/>
          <w:b w:val="0"/>
          <w:bCs/>
          <w:i w:val="0"/>
          <w:sz w:val="24"/>
          <w:szCs w:val="24"/>
          <w:u w:val="none"/>
          <w:lang w:val="en-US" w:eastAsia="zh-CN" w:bidi="ar-SA"/>
        </w:rPr>
        <w:t xml:space="preserve">拟派的</w:t>
      </w:r>
      <w:r>
        <w:rPr>
          <w:rFonts w:hint="eastAsia" w:ascii="Times New Roman" w:hAnsi="Times New Roman" w:eastAsia="宋体" w:cs="Times New Roman"/>
          <w:b w:val="0"/>
          <w:bCs/>
          <w:i w:val="0"/>
          <w:sz w:val="24"/>
          <w:szCs w:val="24"/>
          <w:u w:val="none"/>
          <w:lang w:val="en-US" w:eastAsia="zh-CN" w:bidi="ar-SA"/>
        </w:rPr>
        <w:t xml:space="preserve">项目实施</w:t>
      </w:r>
      <w:r>
        <w:rPr>
          <w:rFonts w:hint="eastAsia" w:ascii="Times New Roman" w:hAnsi="Times New Roman" w:cs="Times New Roman"/>
          <w:b w:val="0"/>
          <w:bCs/>
          <w:i w:val="0"/>
          <w:sz w:val="24"/>
          <w:szCs w:val="24"/>
          <w:u w:val="none"/>
          <w:lang w:val="en-US" w:eastAsia="zh-CN" w:bidi="ar-SA"/>
        </w:rPr>
        <w:t xml:space="preserve">人员及</w:t>
      </w:r>
      <w:r>
        <w:rPr>
          <w:rFonts w:hint="eastAsia" w:ascii="Times New Roman" w:hAnsi="Times New Roman" w:eastAsia="宋体" w:cs="Times New Roman"/>
          <w:b w:val="0"/>
          <w:bCs/>
          <w:i w:val="0"/>
          <w:sz w:val="24"/>
          <w:szCs w:val="24"/>
          <w:u w:val="none"/>
          <w:lang w:val="en-US" w:eastAsia="zh-CN" w:bidi="ar-SA"/>
        </w:rPr>
        <w:t xml:space="preserve">技术力量</w:t>
      </w:r>
      <w:r>
        <w:rPr>
          <w:rFonts w:hint="eastAsia" w:ascii="Times New Roman" w:hAnsi="Times New Roman" w:cs="Times New Roman"/>
          <w:b w:val="0"/>
          <w:bCs/>
          <w:i w:val="0"/>
          <w:sz w:val="24"/>
          <w:szCs w:val="24"/>
          <w:u w:val="none"/>
          <w:lang w:val="en-US" w:eastAsia="zh-CN" w:bidi="ar-SA"/>
        </w:rPr>
        <w:t xml:space="preserve">符合项目要求，确保项目</w:t>
      </w:r>
      <w:r>
        <w:rPr>
          <w:rFonts w:hint="eastAsia" w:ascii="Times New Roman" w:hAnsi="Times New Roman" w:eastAsia="宋体" w:cs="Times New Roman"/>
          <w:b w:val="0"/>
          <w:bCs/>
          <w:i w:val="0"/>
          <w:sz w:val="24"/>
          <w:szCs w:val="24"/>
          <w:u w:val="none"/>
          <w:lang w:val="en-US" w:eastAsia="zh-CN" w:bidi="ar-SA"/>
        </w:rPr>
        <w:t xml:space="preserve">按时完工</w:t>
      </w:r>
      <w:r>
        <w:rPr>
          <w:rFonts w:hint="eastAsia" w:ascii="Times New Roman" w:hAnsi="Times New Roman" w:cs="Times New Roman"/>
          <w:b w:val="0"/>
          <w:bCs/>
          <w:i w:val="0"/>
          <w:sz w:val="24"/>
          <w:szCs w:val="24"/>
          <w:u w:val="none"/>
          <w:lang w:val="en-US" w:eastAsia="zh-CN" w:bidi="ar-SA"/>
        </w:rPr>
        <w:t xml:space="preserve">。</w:t>
      </w:r>
      <w:r/>
    </w:p>
    <w:p>
      <w:pPr>
        <w:pStyle w:val="893"/>
        <w:rPr>
          <w:rFonts w:hint="eastAsia" w:ascii="宋体" w:hAnsi="宋体" w:eastAsia="宋体" w:cs="宋体"/>
          <w:b w:val="0"/>
          <w:bCs/>
          <w:i w:val="0"/>
          <w:sz w:val="24"/>
          <w:szCs w:val="24"/>
          <w:highlight w:val="none"/>
          <w:u w:val="none"/>
          <w:lang w:val="en-US" w:eastAsia="zh-CN" w:bidi="ar-SA"/>
        </w:rPr>
      </w:pPr>
      <w:r>
        <w:rPr>
          <w:rFonts w:hint="eastAsia" w:ascii="宋体" w:hAnsi="宋体" w:eastAsia="宋体" w:cs="宋体"/>
          <w:b w:val="0"/>
          <w:bCs/>
          <w:i w:val="0"/>
          <w:sz w:val="24"/>
          <w:szCs w:val="24"/>
          <w:highlight w:val="none"/>
          <w:u w:val="none"/>
          <w:lang w:val="en-US" w:eastAsia="zh-CN" w:bidi="ar-SA"/>
        </w:rPr>
        <w:t xml:space="preserve">6.项目实施安全要求：中标人在项目实施过程中，应严格遵守安全工作的相关规范，应按相应安全规程操作，如在项目实施过程中发生安全事故，责任由中标人自负。</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1.《家具表面漆膜理化性能试验第1部分：耐冷液测定法》GB/T4893.1-2021</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2.《增强塑料巴柯尔硬度试验方法》GB/T3854-2017</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3.《绿色产品评价人造板和木质地板》GB/T35601-2017</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4.《塑料家具通用技术条件》GB/T32487-2016</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5.《建筑材料放射性核素限量》GB6566-2010</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6.《建筑材料及制品燃烧性能分级》GB8624-2012</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7.《建筑材料或制品的单体燃烧试验》GB/T20284-2006</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8.《建筑材料可燃性试验方法》GB/T8626-2007</w:t>
      </w:r>
      <w:r/>
    </w:p>
    <w:p>
      <w:pPr>
        <w:ind w:firstLine="480"/>
        <w:spacing w:line="360" w:lineRule="auto"/>
        <w:rPr>
          <w:rFonts w:hint="eastAsia" w:ascii="Times New Roman" w:hAnsi="Times New Roman" w:eastAsia="宋体" w:cs="Times New Roman"/>
          <w:b/>
          <w:sz w:val="28"/>
          <w:szCs w:val="28"/>
          <w:lang w:eastAsia="zh-CN"/>
        </w:rPr>
      </w:pPr>
      <w:r>
        <w:rPr>
          <w:rFonts w:ascii="宋体" w:hAnsi="宋体" w:eastAsia="宋体" w:cs="宋体"/>
          <w:bCs/>
          <w:color w:val="000000" w:themeColor="text1"/>
          <w:sz w:val="24"/>
          <w:szCs w:val="24"/>
          <w14:textFill>
            <w14:solidFill>
              <w14:schemeClr w14:val="tx1"/>
            </w14:solidFill>
          </w14:textFill>
        </w:rPr>
        <w:t xml:space="preserve">本项目严格遵守并执行国家及行业现行的规范、标准及法律法规</w:t>
      </w:r>
      <w:r>
        <w:rPr>
          <w:rFonts w:hint="eastAsia" w:ascii="宋体" w:hAnsi="宋体" w:eastAsia="宋体" w:cs="宋体"/>
          <w:bCs/>
          <w:color w:val="000000" w:themeColor="text1"/>
          <w:sz w:val="24"/>
          <w:szCs w:val="24"/>
          <w14:textFill>
            <w14:solidFill>
              <w14:schemeClr w14:val="tx1"/>
            </w14:solidFill>
          </w14:textFill>
        </w:rPr>
        <w:t xml:space="preserve">，若项目执行期间有新标准发布，则投标人应主动更新并遵循最新标准执行，以确保项目质量、安全及环保性能达到最高水平。</w:t>
      </w:r>
      <w:r/>
    </w:p>
    <w:p>
      <w:pPr>
        <w:ind w:firstLine="562"/>
        <w:jc w:val="left"/>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八、人员配备要求</w:t>
      </w:r>
      <w:r/>
    </w:p>
    <w:p>
      <w:pPr>
        <w:ind w:firstLine="562"/>
        <w:jc w:val="left"/>
        <w:spacing w:line="360" w:lineRule="auto"/>
        <w:rPr>
          <w:rFonts w:ascii="宋体" w:hAnsi="宋体"/>
          <w:b/>
          <w:bCs/>
          <w:color w:val="000000"/>
          <w:sz w:val="24"/>
          <w:szCs w:val="21"/>
        </w:rPr>
      </w:pPr>
      <w:r>
        <w:rPr>
          <w:rFonts w:hint="eastAsia" w:ascii="宋体" w:hAnsi="宋体" w:cs="宋体"/>
          <w:sz w:val="24"/>
          <w:szCs w:val="24"/>
          <w:highlight w:val="none"/>
        </w:rPr>
        <w:t xml:space="preserve">为保证项目实施，本项目需配</w:t>
      </w:r>
      <w:r>
        <w:rPr>
          <w:rFonts w:hint="eastAsia" w:ascii="宋体" w:hAnsi="宋体" w:cs="宋体"/>
          <w:sz w:val="24"/>
          <w:szCs w:val="24"/>
        </w:rPr>
        <w:t xml:space="preserve">备</w:t>
      </w:r>
      <w:r>
        <w:rPr>
          <w:rFonts w:hint="eastAsia" w:ascii="宋体" w:hAnsi="宋体" w:cs="宋体"/>
          <w:sz w:val="24"/>
          <w:szCs w:val="24"/>
          <w:lang w:eastAsia="zh-CN"/>
        </w:rPr>
        <w:t xml:space="preserve">专业的</w:t>
      </w:r>
      <w:r>
        <w:rPr>
          <w:rFonts w:hint="eastAsia" w:ascii="宋体" w:hAnsi="宋体" w:cs="宋体"/>
          <w:sz w:val="24"/>
          <w:szCs w:val="24"/>
        </w:rPr>
        <w:t xml:space="preserve">项目实施团队，包含项目负责人1名，及若干专业技术人员。</w:t>
      </w:r>
      <w:r>
        <w:rPr>
          <w:rFonts w:hint="eastAsia" w:ascii="宋体" w:hAnsi="宋体" w:eastAsia="宋体" w:cs="Times New Roman"/>
          <w:sz w:val="24"/>
          <w:szCs w:val="24"/>
        </w:rPr>
        <w:t xml:space="preserve">拟派</w:t>
      </w:r>
      <w:r>
        <w:rPr>
          <w:rFonts w:hint="eastAsia" w:ascii="宋体" w:hAnsi="宋体" w:eastAsia="宋体" w:cs="Times New Roman"/>
          <w:sz w:val="24"/>
          <w:szCs w:val="24"/>
          <w:lang w:eastAsia="zh-CN"/>
        </w:rPr>
        <w:t xml:space="preserve">的</w:t>
      </w:r>
      <w:r>
        <w:rPr>
          <w:rFonts w:hint="eastAsia" w:ascii="宋体" w:hAnsi="宋体" w:eastAsia="宋体" w:cs="Times New Roman"/>
          <w:sz w:val="24"/>
          <w:szCs w:val="24"/>
        </w:rPr>
        <w:t xml:space="preserve">项目负责人具体负责项目全过程的各项工作，把握项目进度、质量把控、产品验收、包装运输、指导安装、调试及验收等，</w:t>
      </w:r>
      <w:r>
        <w:rPr>
          <w:rFonts w:hint="eastAsia" w:ascii="宋体" w:hAnsi="宋体"/>
          <w:color w:val="000000"/>
          <w:sz w:val="24"/>
          <w:szCs w:val="21"/>
          <w:highlight w:val="none"/>
        </w:rPr>
        <w:t xml:space="preserve">具有信息系统项目管理、</w:t>
      </w:r>
      <w:r>
        <w:rPr>
          <w:rFonts w:hint="eastAsia" w:ascii="宋体" w:hAnsi="宋体"/>
          <w:color w:val="000000"/>
          <w:sz w:val="24"/>
          <w:szCs w:val="21"/>
          <w:highlight w:val="none"/>
          <w:lang w:val="en-US" w:eastAsia="zh-CN"/>
        </w:rPr>
        <w:t xml:space="preserve">电子信息、</w:t>
      </w:r>
      <w:r>
        <w:rPr>
          <w:rFonts w:hint="eastAsia" w:ascii="宋体" w:hAnsi="宋体"/>
          <w:color w:val="000000"/>
          <w:sz w:val="24"/>
          <w:szCs w:val="21"/>
          <w:highlight w:val="none"/>
        </w:rPr>
        <w:t xml:space="preserve">信息安全管理</w:t>
      </w:r>
      <w:r>
        <w:rPr>
          <w:rFonts w:hint="eastAsia" w:ascii="宋体" w:hAnsi="宋体"/>
          <w:color w:val="000000"/>
          <w:sz w:val="24"/>
          <w:szCs w:val="21"/>
          <w:highlight w:val="none"/>
          <w:lang w:eastAsia="zh-CN"/>
        </w:rPr>
        <w:t xml:space="preserve">等方面的专业技术，</w:t>
      </w:r>
      <w:r>
        <w:rPr>
          <w:rFonts w:hint="eastAsia" w:ascii="宋体" w:hAnsi="宋体" w:eastAsia="宋体" w:cs="Times New Roman"/>
          <w:sz w:val="24"/>
          <w:szCs w:val="24"/>
        </w:rPr>
        <w:t xml:space="preserve">有实验室设备</w:t>
      </w:r>
      <w:r>
        <w:rPr>
          <w:rFonts w:hint="eastAsia" w:ascii="宋体" w:hAnsi="宋体" w:eastAsia="宋体" w:cs="Times New Roman"/>
          <w:sz w:val="24"/>
          <w:szCs w:val="24"/>
          <w:lang w:eastAsia="zh-CN"/>
        </w:rPr>
        <w:t xml:space="preserve">建设改造</w:t>
      </w:r>
      <w:r>
        <w:rPr>
          <w:rFonts w:hint="eastAsia" w:ascii="宋体" w:hAnsi="宋体" w:eastAsia="宋体" w:cs="Times New Roman"/>
          <w:sz w:val="24"/>
          <w:szCs w:val="24"/>
        </w:rPr>
        <w:t xml:space="preserve">、相关软件运行维护等经验，</w:t>
      </w:r>
      <w:r>
        <w:rPr>
          <w:rFonts w:hint="eastAsia" w:ascii="宋体" w:hAnsi="宋体" w:eastAsia="宋体" w:cs="Times New Roman"/>
          <w:sz w:val="24"/>
          <w:szCs w:val="24"/>
          <w:lang w:eastAsia="zh-CN"/>
        </w:rPr>
        <w:t xml:space="preserve">能够</w:t>
      </w:r>
      <w:r>
        <w:rPr>
          <w:rFonts w:hint="eastAsia" w:ascii="宋体" w:hAnsi="宋体" w:eastAsia="宋体" w:cs="Times New Roman"/>
          <w:sz w:val="24"/>
          <w:szCs w:val="24"/>
        </w:rPr>
        <w:t xml:space="preserve">及时与采购人对接工作，指导项目团队成员认真完成每一项工作。拟派的</w:t>
      </w:r>
      <w:r>
        <w:rPr>
          <w:rFonts w:hint="eastAsia" w:ascii="宋体" w:hAnsi="宋体" w:cs="宋体"/>
          <w:color w:val="000000"/>
          <w:sz w:val="24"/>
          <w:szCs w:val="24"/>
        </w:rPr>
        <w:t xml:space="preserve">项目团队成员</w:t>
      </w:r>
      <w:r>
        <w:rPr>
          <w:rFonts w:hint="eastAsia" w:ascii="宋体" w:hAnsi="宋体" w:eastAsia="宋体" w:cs="Times New Roman"/>
          <w:sz w:val="24"/>
          <w:szCs w:val="24"/>
        </w:rPr>
        <w:t xml:space="preserve">需为专业人员，且具有参与类似项目的经验，具有</w:t>
      </w:r>
      <w:r>
        <w:rPr>
          <w:rFonts w:hint="eastAsia" w:ascii="宋体" w:hAnsi="宋体"/>
          <w:color w:val="000000"/>
          <w:sz w:val="24"/>
          <w:szCs w:val="21"/>
        </w:rPr>
        <w:t xml:space="preserve">网络工程、IT服务、信息安全、系统集成项目管理</w:t>
      </w:r>
      <w:r>
        <w:rPr>
          <w:rFonts w:hint="eastAsia" w:ascii="宋体" w:hAnsi="宋体"/>
          <w:color w:val="000000"/>
          <w:sz w:val="24"/>
          <w:szCs w:val="21"/>
          <w:lang w:eastAsia="zh-CN"/>
        </w:rPr>
        <w:t xml:space="preserve">等方面的专业技术</w:t>
      </w:r>
      <w:r>
        <w:rPr>
          <w:rFonts w:hint="eastAsia" w:ascii="宋体" w:hAnsi="宋体"/>
          <w:color w:val="000000"/>
          <w:sz w:val="24"/>
          <w:szCs w:val="21"/>
        </w:rPr>
        <w:t xml:space="preserve">，</w:t>
      </w:r>
      <w:r>
        <w:rPr>
          <w:rFonts w:hint="eastAsia" w:ascii="宋体" w:hAnsi="宋体" w:eastAsia="宋体" w:cs="Times New Roman"/>
          <w:sz w:val="24"/>
          <w:szCs w:val="24"/>
        </w:rPr>
        <w:t xml:space="preserve">保证项目实施质量</w:t>
      </w:r>
      <w:r>
        <w:rPr>
          <w:rFonts w:hint="eastAsia" w:ascii="宋体" w:hAnsi="宋体" w:eastAsia="宋体" w:cs="Times New Roman"/>
          <w:sz w:val="24"/>
          <w:szCs w:val="24"/>
          <w:lang w:eastAsia="zh-CN"/>
        </w:rPr>
        <w:t xml:space="preserve">和相关信息数据安全</w:t>
      </w:r>
      <w:r>
        <w:rPr>
          <w:rFonts w:hint="eastAsia" w:ascii="宋体" w:hAnsi="宋体" w:eastAsia="宋体" w:cs="Times New Roman"/>
          <w:sz w:val="24"/>
          <w:szCs w:val="24"/>
        </w:rPr>
        <w:t xml:space="preserve">。</w:t>
      </w:r>
      <w:r/>
    </w:p>
    <w:p>
      <w:p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九</w:t>
      </w:r>
      <w:r>
        <w:rPr>
          <w:rFonts w:hint="eastAsia" w:ascii="Times New Roman" w:hAnsi="Times New Roman" w:eastAsia="宋体" w:cs="Times New Roman"/>
          <w:b/>
          <w:sz w:val="28"/>
          <w:szCs w:val="28"/>
        </w:rPr>
        <w:t xml:space="preserve">、履约验收要求</w:t>
      </w:r>
      <w:r/>
    </w:p>
    <w:p>
      <w:pPr>
        <w:ind w:firstLine="480"/>
        <w:jc w:val="left"/>
        <w:spacing w:line="360" w:lineRule="auto"/>
        <w:rPr>
          <w:rFonts w:hint="eastAsia"/>
          <w:b w:val="0"/>
          <w:bCs/>
          <w:i w:val="0"/>
          <w:iCs/>
          <w:sz w:val="24"/>
          <w:szCs w:val="24"/>
          <w:u w:val="none"/>
        </w:rPr>
      </w:pPr>
      <w:r>
        <w:rPr>
          <w:rFonts w:hint="eastAsia"/>
          <w:b w:val="0"/>
          <w:bCs/>
          <w:i w:val="0"/>
          <w:iCs/>
          <w:sz w:val="24"/>
          <w:szCs w:val="24"/>
          <w:u w:val="none"/>
          <w:lang w:val="en-US" w:eastAsia="zh-CN"/>
        </w:rPr>
        <w:t xml:space="preserve">1.</w:t>
      </w:r>
      <w:r>
        <w:rPr>
          <w:rFonts w:hint="eastAsia"/>
          <w:b w:val="0"/>
          <w:bCs/>
          <w:i w:val="0"/>
          <w:iCs/>
          <w:sz w:val="24"/>
          <w:szCs w:val="24"/>
          <w:u w:val="none"/>
        </w:rPr>
        <w:t xml:space="preserve">中标人须在合同签订后</w:t>
      </w:r>
      <w:r>
        <w:rPr>
          <w:rFonts w:hint="eastAsia"/>
          <w:b w:val="0"/>
          <w:bCs/>
          <w:i w:val="0"/>
          <w:iCs/>
          <w:sz w:val="24"/>
          <w:szCs w:val="24"/>
          <w:u w:val="none"/>
          <w:lang w:val="en-US" w:eastAsia="zh-CN"/>
        </w:rPr>
        <w:t xml:space="preserve">6</w:t>
      </w:r>
      <w:r>
        <w:rPr>
          <w:rFonts w:hint="eastAsia"/>
          <w:b w:val="0"/>
          <w:bCs/>
          <w:i w:val="0"/>
          <w:iCs/>
          <w:sz w:val="24"/>
          <w:szCs w:val="24"/>
          <w:u w:val="none"/>
        </w:rPr>
        <w:t xml:space="preserve">0天内完成合同内软硬件的安装、调试、试运行等工作，由采购人单位组织现场验收，设备按国家行业标准和招标文件、投标文件及合同约定的技术参数及功能指标要求进行验收，并出具项目验收报告。对于中标人未按合同约定提供设备或服务的，采购人具有依法追究其违约责任的权利。对于中标人提供虚假材料谋取中标、成交的，取消中标资格并依法予以处理。</w:t>
      </w:r>
      <w:r/>
    </w:p>
    <w:p>
      <w:pPr>
        <w:ind w:firstLine="420"/>
        <w:spacing w:line="360" w:lineRule="auto"/>
        <w:rPr>
          <w:rFonts w:asciiTheme="minorHAnsi" w:hAnsiTheme="minorHAnsi" w:eastAsiaTheme="minorEastAsia" w:cstheme="minorBidi"/>
          <w:i w:val="0"/>
          <w:sz w:val="24"/>
          <w:szCs w:val="22"/>
          <w:u w:val="none"/>
          <w:lang w:val="en-US" w:eastAsia="zh-CN" w:bidi="ar-SA"/>
        </w:rPr>
      </w:pPr>
      <w:r>
        <w:rPr>
          <w:rFonts w:hint="eastAsia" w:cstheme="minorBidi"/>
          <w:i w:val="0"/>
          <w:sz w:val="24"/>
          <w:szCs w:val="22"/>
          <w:u w:val="none"/>
          <w:lang w:val="en-US" w:eastAsia="zh-CN" w:bidi="ar-SA"/>
        </w:rPr>
        <w:t xml:space="preserve">2.</w:t>
      </w:r>
      <w:r>
        <w:rPr>
          <w:rFonts w:hint="eastAsia" w:asciiTheme="minorHAnsi" w:hAnsiTheme="minorHAnsi" w:eastAsiaTheme="minorEastAsia" w:cstheme="minorBidi"/>
          <w:i w:val="0"/>
          <w:sz w:val="24"/>
          <w:szCs w:val="22"/>
          <w:u w:val="none"/>
          <w:lang w:val="en-US" w:eastAsia="zh-CN" w:bidi="ar-SA"/>
        </w:rPr>
        <w:t xml:space="preserve">中标人提供的货物在免费质保期内因货物本身的质量问题发生故障，中标人负责免费更换。</w:t>
      </w:r>
      <w:r/>
    </w:p>
    <w:p>
      <w:pPr>
        <w:ind w:firstLine="420"/>
        <w:jc w:val="left"/>
        <w:spacing w:line="360" w:lineRule="auto"/>
        <w:rPr>
          <w:rFonts w:asciiTheme="minorHAnsi" w:hAnsiTheme="minorHAnsi" w:eastAsiaTheme="minorEastAsia" w:cstheme="minorBidi"/>
          <w:i w:val="0"/>
          <w:sz w:val="24"/>
          <w:szCs w:val="22"/>
          <w:u w:val="none"/>
          <w:lang w:val="en-US" w:eastAsia="zh-CN" w:bidi="ar-SA"/>
        </w:rPr>
      </w:pPr>
      <w:r>
        <w:rPr>
          <w:rFonts w:hint="eastAsia" w:cstheme="minorBidi"/>
          <w:i w:val="0"/>
          <w:sz w:val="24"/>
          <w:szCs w:val="22"/>
          <w:u w:val="none"/>
          <w:lang w:val="en-US" w:eastAsia="zh-CN" w:bidi="ar-SA"/>
        </w:rPr>
        <w:t xml:space="preserve">3.采购人对中标人</w:t>
      </w:r>
      <w:r>
        <w:rPr>
          <w:rFonts w:hint="eastAsia" w:asciiTheme="minorHAnsi" w:hAnsiTheme="minorHAnsi" w:eastAsiaTheme="minorEastAsia" w:cstheme="minorBidi"/>
          <w:i w:val="0"/>
          <w:sz w:val="24"/>
          <w:szCs w:val="22"/>
          <w:u w:val="none"/>
          <w:lang w:val="en-US" w:eastAsia="zh-CN" w:bidi="ar-SA"/>
        </w:rPr>
        <w:t xml:space="preserve">提交的货物依据招标文件上的技术规格要求和国家有关质量标准进行现场初步验收。</w:t>
      </w:r>
      <w:r>
        <w:rPr>
          <w:rFonts w:hint="eastAsia" w:cstheme="minorBidi"/>
          <w:i w:val="0"/>
          <w:sz w:val="24"/>
          <w:szCs w:val="22"/>
          <w:u w:val="none"/>
          <w:lang w:val="en-US" w:eastAsia="zh-CN" w:bidi="ar-SA"/>
        </w:rPr>
        <w:t xml:space="preserve">中标人</w:t>
      </w:r>
      <w:r>
        <w:rPr>
          <w:rFonts w:hint="eastAsia" w:asciiTheme="minorHAnsi" w:hAnsiTheme="minorHAnsi" w:eastAsiaTheme="minorEastAsia" w:cstheme="minorBidi"/>
          <w:i w:val="0"/>
          <w:sz w:val="24"/>
          <w:szCs w:val="22"/>
          <w:u w:val="none"/>
          <w:lang w:val="en-US" w:eastAsia="zh-CN" w:bidi="ar-SA"/>
        </w:rPr>
        <w:t xml:space="preserve">交货前应对产品作出全面检查和对验收文件进行整理，并列出清单，作为</w:t>
      </w:r>
      <w:r>
        <w:rPr>
          <w:rFonts w:hint="eastAsia" w:cstheme="minorBidi"/>
          <w:i w:val="0"/>
          <w:sz w:val="24"/>
          <w:szCs w:val="22"/>
          <w:u w:val="none"/>
          <w:lang w:val="en-US" w:eastAsia="zh-CN" w:bidi="ar-SA"/>
        </w:rPr>
        <w:t xml:space="preserve">采购人</w:t>
      </w:r>
      <w:r>
        <w:rPr>
          <w:rFonts w:hint="eastAsia" w:asciiTheme="minorHAnsi" w:hAnsiTheme="minorHAnsi" w:eastAsiaTheme="minorEastAsia" w:cstheme="minorBidi"/>
          <w:i w:val="0"/>
          <w:sz w:val="24"/>
          <w:szCs w:val="22"/>
          <w:u w:val="none"/>
          <w:lang w:val="en-US" w:eastAsia="zh-CN" w:bidi="ar-SA"/>
        </w:rPr>
        <w:t xml:space="preserve">收货验收和使用的技术条件依据，检验的结果应随货物交</w:t>
      </w:r>
      <w:r>
        <w:rPr>
          <w:rFonts w:hint="eastAsia" w:cstheme="minorBidi"/>
          <w:i w:val="0"/>
          <w:sz w:val="24"/>
          <w:szCs w:val="22"/>
          <w:u w:val="none"/>
          <w:lang w:val="en-US" w:eastAsia="zh-CN" w:bidi="ar-SA"/>
        </w:rPr>
        <w:t xml:space="preserve">采购人</w:t>
      </w:r>
      <w:r>
        <w:rPr>
          <w:rFonts w:hint="eastAsia" w:asciiTheme="minorHAnsi" w:hAnsiTheme="minorHAnsi" w:eastAsiaTheme="minorEastAsia" w:cstheme="minorBidi"/>
          <w:i w:val="0"/>
          <w:sz w:val="24"/>
          <w:szCs w:val="22"/>
          <w:u w:val="none"/>
          <w:lang w:val="en-US" w:eastAsia="zh-CN" w:bidi="ar-SA"/>
        </w:rPr>
        <w:t xml:space="preserve">。</w:t>
      </w:r>
      <w:r>
        <w:rPr>
          <w:rFonts w:hint="eastAsia" w:cstheme="minorBidi"/>
          <w:i w:val="0"/>
          <w:sz w:val="24"/>
          <w:szCs w:val="22"/>
          <w:u w:val="none"/>
          <w:lang w:val="en-US" w:eastAsia="zh-CN" w:bidi="ar-SA"/>
        </w:rPr>
        <w:t xml:space="preserve">采购人对中标人</w:t>
      </w:r>
      <w:r>
        <w:rPr>
          <w:rFonts w:hint="eastAsia" w:asciiTheme="minorHAnsi" w:hAnsiTheme="minorHAnsi" w:eastAsiaTheme="minorEastAsia" w:cstheme="minorBidi"/>
          <w:i w:val="0"/>
          <w:sz w:val="24"/>
          <w:szCs w:val="22"/>
          <w:u w:val="none"/>
          <w:lang w:val="en-US" w:eastAsia="zh-CN" w:bidi="ar-SA"/>
        </w:rPr>
        <w:t xml:space="preserve">提供的货物在交付验收前，</w:t>
      </w:r>
      <w:r>
        <w:rPr>
          <w:rFonts w:hint="eastAsia" w:cstheme="minorBidi"/>
          <w:i w:val="0"/>
          <w:sz w:val="24"/>
          <w:szCs w:val="22"/>
          <w:u w:val="none"/>
          <w:lang w:val="en-US" w:eastAsia="zh-CN" w:bidi="ar-SA"/>
        </w:rPr>
        <w:t xml:space="preserve">中标人</w:t>
      </w:r>
      <w:r>
        <w:rPr>
          <w:rFonts w:hint="eastAsia" w:asciiTheme="minorHAnsi" w:hAnsiTheme="minorHAnsi" w:eastAsiaTheme="minorEastAsia" w:cstheme="minorBidi"/>
          <w:i w:val="0"/>
          <w:sz w:val="24"/>
          <w:szCs w:val="22"/>
          <w:u w:val="none"/>
          <w:lang w:val="en-US" w:eastAsia="zh-CN" w:bidi="ar-SA"/>
        </w:rPr>
        <w:t xml:space="preserve">需负责安装并培训</w:t>
      </w:r>
      <w:r>
        <w:rPr>
          <w:rFonts w:hint="eastAsia" w:cstheme="minorBidi"/>
          <w:i w:val="0"/>
          <w:sz w:val="24"/>
          <w:szCs w:val="22"/>
          <w:u w:val="none"/>
          <w:lang w:val="en-US" w:eastAsia="zh-CN" w:bidi="ar-SA"/>
        </w:rPr>
        <w:t xml:space="preserve">采购人</w:t>
      </w:r>
      <w:r>
        <w:rPr>
          <w:rFonts w:hint="eastAsia" w:asciiTheme="minorHAnsi" w:hAnsiTheme="minorHAnsi" w:eastAsiaTheme="minorEastAsia" w:cstheme="minorBidi"/>
          <w:i w:val="0"/>
          <w:sz w:val="24"/>
          <w:szCs w:val="22"/>
          <w:u w:val="none"/>
          <w:lang w:val="en-US" w:eastAsia="zh-CN" w:bidi="ar-SA"/>
        </w:rPr>
        <w:t xml:space="preserve">的使用操作人员，上述工作完成后</w:t>
      </w:r>
      <w:r>
        <w:rPr>
          <w:rFonts w:hint="eastAsia" w:cstheme="minorBidi"/>
          <w:i w:val="0"/>
          <w:sz w:val="24"/>
          <w:szCs w:val="22"/>
          <w:u w:val="none"/>
          <w:lang w:val="en-US" w:eastAsia="zh-CN" w:bidi="ar-SA"/>
        </w:rPr>
        <w:t xml:space="preserve">采购人</w:t>
      </w:r>
      <w:r>
        <w:rPr>
          <w:rFonts w:hint="eastAsia" w:asciiTheme="minorHAnsi" w:hAnsiTheme="minorHAnsi" w:eastAsiaTheme="minorEastAsia" w:cstheme="minorBidi"/>
          <w:i w:val="0"/>
          <w:sz w:val="24"/>
          <w:szCs w:val="22"/>
          <w:u w:val="none"/>
          <w:lang w:val="en-US" w:eastAsia="zh-CN" w:bidi="ar-SA"/>
        </w:rPr>
        <w:t xml:space="preserve">应予最终验收。</w:t>
      </w:r>
      <w:r/>
    </w:p>
    <w:p>
      <w:pPr>
        <w:ind w:firstLine="420"/>
        <w:jc w:val="left"/>
        <w:spacing w:line="360" w:lineRule="auto"/>
        <w:rPr>
          <w:rFonts w:asciiTheme="minorHAnsi" w:hAnsiTheme="minorHAnsi" w:eastAsiaTheme="minorEastAsia" w:cstheme="minorBidi"/>
          <w:i w:val="0"/>
          <w:sz w:val="24"/>
          <w:szCs w:val="22"/>
          <w:u w:val="none"/>
          <w:lang w:val="en-US" w:eastAsia="zh-CN" w:bidi="ar-SA"/>
        </w:rPr>
      </w:pPr>
      <w:r>
        <w:rPr>
          <w:rFonts w:hint="eastAsia" w:cstheme="minorBidi"/>
          <w:i w:val="0"/>
          <w:sz w:val="24"/>
          <w:szCs w:val="22"/>
          <w:u w:val="none"/>
          <w:lang w:val="en-US" w:eastAsia="zh-CN" w:bidi="ar-SA"/>
        </w:rPr>
        <w:t xml:space="preserve">4.</w:t>
      </w:r>
      <w:r>
        <w:rPr>
          <w:rFonts w:hint="eastAsia" w:asciiTheme="minorHAnsi" w:hAnsiTheme="minorHAnsi" w:eastAsiaTheme="minorEastAsia" w:cstheme="minorBidi"/>
          <w:i w:val="0"/>
          <w:sz w:val="24"/>
          <w:szCs w:val="22"/>
          <w:u w:val="none"/>
          <w:lang w:val="en-US" w:eastAsia="zh-CN" w:bidi="ar-SA"/>
        </w:rPr>
        <w:t xml:space="preserve">硬件设备验收要求：相关硬件设备安装完成后，提交设备清单及说明书等资料，</w:t>
      </w:r>
      <w:r>
        <w:rPr>
          <w:rFonts w:hint="eastAsia" w:cstheme="minorBidi"/>
          <w:i w:val="0"/>
          <w:sz w:val="24"/>
          <w:szCs w:val="22"/>
          <w:u w:val="none"/>
          <w:lang w:val="en-US" w:eastAsia="zh-CN" w:bidi="ar-SA"/>
        </w:rPr>
        <w:t xml:space="preserve">中标人</w:t>
      </w:r>
      <w:r>
        <w:rPr>
          <w:rFonts w:hint="eastAsia" w:asciiTheme="minorHAnsi" w:hAnsiTheme="minorHAnsi" w:eastAsiaTheme="minorEastAsia" w:cstheme="minorBidi"/>
          <w:i w:val="0"/>
          <w:sz w:val="24"/>
          <w:szCs w:val="22"/>
          <w:u w:val="none"/>
          <w:lang w:val="en-US" w:eastAsia="zh-CN" w:bidi="ar-SA"/>
        </w:rPr>
        <w:t xml:space="preserve">可申请进行硬件设备验收。采购人收到完整的材料后一个月内完成验收，形成</w:t>
      </w:r>
      <w:r>
        <w:rPr>
          <w:rFonts w:hint="eastAsia" w:cstheme="minorBidi"/>
          <w:i w:val="0"/>
          <w:sz w:val="24"/>
          <w:szCs w:val="22"/>
          <w:u w:val="none"/>
          <w:lang w:val="en-US" w:eastAsia="zh-CN" w:bidi="ar-SA"/>
        </w:rPr>
        <w:t xml:space="preserve">验收</w:t>
      </w:r>
      <w:r>
        <w:rPr>
          <w:rFonts w:hint="eastAsia" w:asciiTheme="minorHAnsi" w:hAnsiTheme="minorHAnsi" w:eastAsiaTheme="minorEastAsia" w:cstheme="minorBidi"/>
          <w:i w:val="0"/>
          <w:sz w:val="24"/>
          <w:szCs w:val="22"/>
          <w:u w:val="none"/>
          <w:lang w:val="en-US" w:eastAsia="zh-CN" w:bidi="ar-SA"/>
        </w:rPr>
        <w:t xml:space="preserve">意见，验收书双方共同签署。对于不满足要求的，提出整改，整改完成后再重新进行验收，直至符合招标文件要求。</w:t>
      </w:r>
      <w:r/>
    </w:p>
    <w:p>
      <w:pPr>
        <w:ind w:firstLine="420"/>
        <w:jc w:val="left"/>
        <w:spacing w:line="360" w:lineRule="auto"/>
        <w:rPr>
          <w:rFonts w:ascii="宋体" w:hAnsi="宋体" w:eastAsia="宋体" w:cs="Times New Roman"/>
          <w:sz w:val="24"/>
          <w:szCs w:val="24"/>
        </w:rPr>
      </w:pPr>
      <w:r>
        <w:rPr>
          <w:rFonts w:hint="eastAsia" w:cstheme="minorBidi"/>
          <w:i w:val="0"/>
          <w:sz w:val="24"/>
          <w:szCs w:val="22"/>
          <w:u w:val="none"/>
          <w:lang w:val="en-US" w:eastAsia="zh-CN" w:bidi="ar-SA"/>
        </w:rPr>
        <w:t xml:space="preserve">5.</w:t>
      </w:r>
      <w:r>
        <w:rPr>
          <w:rFonts w:hint="eastAsia" w:asciiTheme="minorHAnsi" w:hAnsiTheme="minorHAnsi" w:eastAsiaTheme="minorEastAsia" w:cstheme="minorBidi"/>
          <w:i w:val="0"/>
          <w:sz w:val="24"/>
          <w:szCs w:val="22"/>
          <w:u w:val="none"/>
          <w:lang w:val="en-US" w:eastAsia="zh-CN" w:bidi="ar-SA"/>
        </w:rPr>
        <w:t xml:space="preserve">软件系统平台验收要求：相关软件系统平台部署完成后，提供软件使用说明书并组织相关培训，软件系统平台自交付起12个月，完成功能性、兼容性、稳定性验收，形成应收意见，验收书双方共同签署。对于不满足要求的，提出整改，整改完成后再重新进行验收，直至符合招标文件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十</w:t>
      </w:r>
      <w:r>
        <w:rPr>
          <w:rFonts w:hint="eastAsia" w:ascii="Times New Roman" w:hAnsi="Times New Roman" w:eastAsia="宋体" w:cs="Times New Roman"/>
          <w:b/>
          <w:sz w:val="28"/>
          <w:szCs w:val="28"/>
        </w:rPr>
        <w:t xml:space="preserve">、培训要求</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保证项目建设质量，更好地满足采购人的需要，制定以下培训方案要求：</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根据本项目实际建设详细内容及应用目标对采购人提供针对性的培训，通过培训使采购人系统管理员、技术人员及设备使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1</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2</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培训对象：培训对象包括但不限于以下人员：设备使用人员、系统运行维护管理人员等。</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3</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培训方式：集中授课、现场应用操作指导等。</w:t>
      </w:r>
      <w:r/>
    </w:p>
    <w:p>
      <w:pPr>
        <w:ind w:firstLine="420"/>
        <w:jc w:val="left"/>
        <w:spacing w:line="360" w:lineRule="auto"/>
        <w:rPr>
          <w:rFonts w:hint="eastAsia" w:asciiTheme="minorHAnsi" w:hAnsiTheme="minorHAnsi" w:eastAsiaTheme="minorEastAsia" w:cstheme="minorBidi"/>
          <w:i w:val="0"/>
          <w:sz w:val="24"/>
          <w:szCs w:val="22"/>
          <w:u w:val="none"/>
          <w:lang w:val="en-US" w:eastAsia="zh-CN" w:bidi="ar-SA"/>
        </w:rPr>
      </w:pPr>
      <w:r>
        <w:rPr>
          <w:rFonts w:hint="eastAsia" w:asciiTheme="minorHAnsi" w:hAnsiTheme="minorHAnsi" w:eastAsiaTheme="minorEastAsia" w:cstheme="minorBidi"/>
          <w:i w:val="0"/>
          <w:sz w:val="24"/>
          <w:szCs w:val="22"/>
          <w:u w:val="none"/>
          <w:lang w:val="en-US" w:eastAsia="zh-CN" w:bidi="ar-SA"/>
        </w:rPr>
        <w:t xml:space="preserve">4</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培训内容：内容包含但不限于系统总体情况进行介绍、应用操作、常见故障分析、系统运维工作等。</w:t>
      </w:r>
      <w:r/>
    </w:p>
    <w:p>
      <w:pPr>
        <w:ind w:firstLine="420"/>
        <w:jc w:val="left"/>
        <w:spacing w:line="360" w:lineRule="auto"/>
        <w:rPr>
          <w:rFonts w:ascii="Times New Roman" w:hAnsi="Times New Roman" w:eastAsia="宋体" w:cs="Times New Roman"/>
          <w:b/>
          <w:sz w:val="28"/>
          <w:szCs w:val="28"/>
        </w:rPr>
      </w:pPr>
      <w:r>
        <w:rPr>
          <w:rFonts w:hint="eastAsia" w:asciiTheme="minorHAnsi" w:hAnsiTheme="minorHAnsi" w:eastAsiaTheme="minorEastAsia" w:cstheme="minorBidi"/>
          <w:i w:val="0"/>
          <w:sz w:val="24"/>
          <w:szCs w:val="22"/>
          <w:u w:val="none"/>
          <w:lang w:val="en-US" w:eastAsia="zh-CN" w:bidi="ar-SA"/>
        </w:rPr>
        <w:t xml:space="preserve">5</w:t>
      </w:r>
      <w:r>
        <w:rPr>
          <w:rFonts w:hint="eastAsia" w:cstheme="minorBidi"/>
          <w:i w:val="0"/>
          <w:sz w:val="24"/>
          <w:szCs w:val="22"/>
          <w:u w:val="none"/>
          <w:lang w:val="en-US" w:eastAsia="zh-CN" w:bidi="ar-SA"/>
        </w:rPr>
        <w:t xml:space="preserve">.</w:t>
      </w:r>
      <w:r>
        <w:rPr>
          <w:rFonts w:hint="eastAsia" w:asciiTheme="minorHAnsi" w:hAnsiTheme="minorHAnsi" w:eastAsiaTheme="minorEastAsia" w:cstheme="minorBidi"/>
          <w:i w:val="0"/>
          <w:sz w:val="24"/>
          <w:szCs w:val="22"/>
          <w:u w:val="none"/>
          <w:lang w:val="en-US" w:eastAsia="zh-CN" w:bidi="ar-SA"/>
        </w:rPr>
        <w:t xml:space="preserve">培训师资：原厂专业资深工程师、专业资格人员等。</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eastAsia="zh-CN"/>
        </w:rPr>
        <w:t xml:space="preserve">一</w:t>
      </w:r>
      <w:r>
        <w:rPr>
          <w:rFonts w:hint="eastAsia" w:ascii="Times New Roman" w:hAnsi="Times New Roman" w:eastAsia="宋体" w:cs="Times New Roman"/>
          <w:b/>
          <w:sz w:val="28"/>
          <w:szCs w:val="28"/>
        </w:rPr>
        <w:t xml:space="preserve">、售后服务要求</w:t>
      </w:r>
      <w:r/>
    </w:p>
    <w:p>
      <w:pPr>
        <w:ind w:firstLine="480"/>
        <w:jc w:val="left"/>
        <w:spacing w:line="360" w:lineRule="auto"/>
        <w:rPr>
          <w:rFonts w:ascii="Times New Roman" w:hAnsi="Times New Roman" w:eastAsia="宋体" w:cs="Times New Roman"/>
          <w:b w:val="0"/>
          <w:bCs w:val="0"/>
          <w:i w:val="0"/>
          <w:iCs w:val="0"/>
          <w:sz w:val="24"/>
          <w:szCs w:val="24"/>
          <w:highlight w:val="none"/>
          <w:u w:val="none"/>
        </w:rPr>
      </w:pPr>
      <w:r>
        <w:rPr>
          <w:rFonts w:hint="eastAsia" w:ascii="Times New Roman" w:hAnsi="Times New Roman" w:eastAsia="宋体" w:cs="Times New Roman"/>
          <w:b w:val="0"/>
          <w:bCs w:val="0"/>
          <w:i w:val="0"/>
          <w:iCs w:val="0"/>
          <w:sz w:val="24"/>
          <w:szCs w:val="24"/>
          <w:highlight w:val="none"/>
          <w:u w:val="none"/>
          <w:lang w:val="en-US" w:eastAsia="zh-CN"/>
        </w:rPr>
        <w:t xml:space="preserve">1.</w:t>
      </w:r>
      <w:r>
        <w:rPr>
          <w:rFonts w:hint="eastAsia"/>
          <w:b w:val="0"/>
          <w:bCs w:val="0"/>
          <w:i w:val="0"/>
          <w:iCs w:val="0"/>
          <w:sz w:val="24"/>
          <w:szCs w:val="24"/>
          <w:highlight w:val="none"/>
          <w:u w:val="none"/>
        </w:rPr>
        <w:t xml:space="preserve">质保期：三年。</w:t>
      </w:r>
      <w:r/>
    </w:p>
    <w:p>
      <w:pPr>
        <w:ind w:firstLine="480"/>
        <w:jc w:val="left"/>
        <w:spacing w:line="360" w:lineRule="auto"/>
        <w:rPr>
          <w:rFonts w:hint="eastAsia"/>
          <w:b w:val="0"/>
          <w:bCs w:val="0"/>
          <w:i w:val="0"/>
          <w:iCs w:val="0"/>
          <w:sz w:val="24"/>
          <w:szCs w:val="24"/>
          <w:highlight w:val="none"/>
          <w:u w:val="none"/>
        </w:rPr>
      </w:pPr>
      <w:r>
        <w:rPr>
          <w:rFonts w:hint="eastAsia" w:ascii="Times New Roman" w:hAnsi="Times New Roman" w:eastAsia="宋体" w:cs="Times New Roman"/>
          <w:b w:val="0"/>
          <w:bCs w:val="0"/>
          <w:i w:val="0"/>
          <w:iCs w:val="0"/>
          <w:sz w:val="24"/>
          <w:szCs w:val="24"/>
          <w:highlight w:val="none"/>
          <w:u w:val="none"/>
          <w:lang w:val="en-US" w:eastAsia="zh-CN"/>
        </w:rPr>
        <w:t xml:space="preserve">2.</w:t>
      </w:r>
      <w:r>
        <w:rPr>
          <w:rFonts w:hint="eastAsia"/>
          <w:b w:val="0"/>
          <w:bCs w:val="0"/>
          <w:i w:val="0"/>
          <w:iCs w:val="0"/>
          <w:sz w:val="24"/>
          <w:szCs w:val="24"/>
          <w:highlight w:val="none"/>
          <w:u w:val="none"/>
        </w:rPr>
        <w:t xml:space="preserve">质保期间，中标人承担维修、保养、安检、调换、软件平台升级更新维护相关费用包含在预算内，采购方不再支付任何费用；对于采购方人为原因造成的故障，中标人只收取质保成本费用。</w:t>
      </w:r>
      <w:r/>
    </w:p>
    <w:p>
      <w:pPr>
        <w:ind w:firstLine="480"/>
        <w:jc w:val="left"/>
        <w:spacing w:line="360" w:lineRule="auto"/>
        <w:rPr>
          <w:rFonts w:hint="eastAsia" w:hAnsi="Times New Roman"/>
          <w:bCs/>
          <w:color w:val="000000"/>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hAnsi="Times New Roman"/>
          <w:bCs/>
          <w:color w:val="000000"/>
          <w:sz w:val="24"/>
          <w:szCs w:val="24"/>
          <w:highlight w:val="none"/>
        </w:rPr>
        <w:t xml:space="preserve">质保期内，一旦发生故障或质量问题，</w:t>
      </w:r>
      <w:r>
        <w:rPr>
          <w:rFonts w:hint="eastAsia" w:hAnsi="Times New Roman"/>
          <w:bCs/>
          <w:color w:val="000000"/>
          <w:sz w:val="24"/>
          <w:szCs w:val="24"/>
          <w:highlight w:val="none"/>
          <w:lang w:eastAsia="zh-CN"/>
        </w:rPr>
        <w:t xml:space="preserve">须</w:t>
      </w:r>
      <w:r>
        <w:rPr>
          <w:rStyle w:val="895"/>
          <w:rFonts w:hint="eastAsia" w:ascii="宋体" w:hAnsi="宋体" w:eastAsia="宋体" w:cs="宋体"/>
          <w:sz w:val="24"/>
          <w:szCs w:val="24"/>
          <w:highlight w:val="none"/>
          <w:lang w:val="en-US" w:eastAsia="zh-CN" w:bidi="ar"/>
        </w:rPr>
        <w:t xml:space="preserve">48小时内响应并解决问题。</w:t>
      </w:r>
      <w:r>
        <w:rPr>
          <w:rFonts w:hint="eastAsia" w:hAnsi="Times New Roman"/>
          <w:bCs/>
          <w:color w:val="000000"/>
          <w:sz w:val="24"/>
          <w:szCs w:val="24"/>
          <w:highlight w:val="none"/>
        </w:rPr>
        <w:t xml:space="preserve">如需要到现场解决的，12小时内组织人员到达现场，及时进行维修、更换或退货处理，费用由中标人负责。产品出现故障</w:t>
      </w:r>
      <w:r>
        <w:rPr>
          <w:rFonts w:hint="eastAsia" w:hAnsi="Times New Roman"/>
          <w:bCs/>
          <w:color w:val="000000"/>
          <w:sz w:val="24"/>
          <w:szCs w:val="24"/>
          <w:highlight w:val="none"/>
          <w:lang w:val="en-US" w:eastAsia="zh-CN"/>
        </w:rPr>
        <w:t xml:space="preserve">48</w:t>
      </w:r>
      <w:r>
        <w:rPr>
          <w:rFonts w:hint="eastAsia" w:hAnsi="Times New Roman"/>
          <w:bCs/>
          <w:color w:val="000000"/>
          <w:sz w:val="24"/>
          <w:szCs w:val="24"/>
          <w:highlight w:val="none"/>
        </w:rPr>
        <w:t xml:space="preserve">小时不能修复的，提供同等功能的货物供采购人使用，直至故障修复。</w:t>
      </w:r>
      <w:r>
        <w:rPr>
          <w:rFonts w:hint="eastAsia" w:hAnsi="Times New Roman"/>
          <w:bCs/>
          <w:color w:val="000000"/>
          <w:sz w:val="24"/>
          <w:szCs w:val="24"/>
          <w:highlight w:val="none"/>
          <w:lang w:eastAsia="zh-CN"/>
        </w:rPr>
        <w:t xml:space="preserve">质保期内因</w:t>
      </w:r>
      <w:r>
        <w:rPr>
          <w:rFonts w:hint="eastAsia" w:hAnsi="Times New Roman"/>
          <w:bCs/>
          <w:color w:val="000000"/>
          <w:sz w:val="24"/>
          <w:szCs w:val="24"/>
          <w:highlight w:val="none"/>
        </w:rPr>
        <w:t xml:space="preserve">产品本身质量原因造成的直接经济损失应由中标人负责。</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（1）商品包装层数不得超过3层，空隙率不大于40%；</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（2）商品包装尽可能使用单一材质的包装材料，如因功能需求必需使用不同材质，不同材质间应便于分离；</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（3）商品包装中铅、汞、镉、六价铬的总含量应不大于100mg/kg；</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（4）商品包装印刷使用的油墨中挥发性有机化合物(VOCs)含量应不大于 5%（以重量计）；</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（5）塑料材质商品包装上呈现的印刷颜色不得超过6色；</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（6）纸质商品包装应使用75%以上的可再生纤维原料生产；</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（7）木质商品包装的原料应来源于可持续性森林。</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2.快递包装环保要求：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（1）快递包装中重金属（铅、汞、镉、六价铬）总量应不大于100mg/kg；</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（3）快递包装中使用纸基材的包装材料，纸基材中的有机氯的含量应不大于150mg/kg；</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（5）快递中使用的塑料包装袋不得使用聚氯乙烯作为原料，且原料应为单一材质制成，生物分解率大于60%；</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（6）快递中使用的充气类填充物不得使用聚氯乙烯作为原料，且原料为单一材质制成，生物分解率大于60%；</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（7）快递中使用的集装袋应为单一材质制成，其重复使用次数应不小于 80 次；</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（8）快递中应使用幅宽不大于45mm 的生物降解胶带；</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（9）快递包装中不得使用溶剂型胶粘剂；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（10）快递应使用电子面单；</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（11）直接使用商品包装作为快递包装的商品，其商品包装满足《商品包装政府采购需求标准（试行）》即可；</w:t>
      </w:r>
      <w:r/>
    </w:p>
    <w:p>
      <w:pP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（12）快递包装产品质量和封装方式应符合相关国家或行业标准技术指标要求。</w:t>
      </w:r>
      <w:r/>
    </w:p>
    <w:p>
      <w:pP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十三、投标报价要求</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供应商的任何错漏、优惠、竞争性报价不得作为减轻责任、减少服务、增加收费、降低服务质量的理由；</w:t>
      </w:r>
      <w:r/>
    </w:p>
    <w:p>
      <w:pPr>
        <w:ind w:firstLine="480"/>
        <w:jc w:val="left"/>
        <w:spacing w:line="360" w:lineRule="auto"/>
        <w:rPr>
          <w:rFonts w:hint="eastAsia" w:ascii="Times New Roman" w:hAnsi="Times New Roman" w:cs="Times New Roman" w:eastAsiaTheme="minorEastAsia"/>
          <w:sz w:val="24"/>
          <w:szCs w:val="24"/>
          <w:lang w:eastAsia="zh-CN"/>
        </w:rPr>
      </w:pPr>
      <w:r>
        <w:rPr>
          <w:rFonts w:hint="eastAsia" w:ascii="Times New Roman" w:hAnsi="Times New Roman" w:cs="Times New Roman"/>
          <w:sz w:val="24"/>
          <w:szCs w:val="24"/>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Times New Roman" w:hAnsi="Times New Roman" w:cs="Times New Roman"/>
          <w:sz w:val="24"/>
          <w:szCs w:val="24"/>
          <w:lang w:eastAsia="zh-CN"/>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十四、付款方式与履约保证金</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w:t>
      </w:r>
      <w:r>
        <w:rPr>
          <w:rFonts w:hint="eastAsia" w:cs="Times New Roman" w:asciiTheme="minorEastAsia" w:hAnsiTheme="minorEastAsia"/>
          <w:sz w:val="24"/>
          <w:szCs w:val="24"/>
          <w:highlight w:val="none"/>
          <w:lang w:val="en-US" w:eastAsia="zh-CN"/>
        </w:rPr>
        <w:t xml:space="preserve">.</w:t>
      </w:r>
      <w:r>
        <w:rPr>
          <w:rFonts w:hint="eastAsia" w:cs="Times New Roman" w:asciiTheme="minorEastAsia" w:hAnsiTheme="minorEastAsia"/>
          <w:sz w:val="24"/>
          <w:szCs w:val="24"/>
          <w:highlight w:val="none"/>
        </w:rPr>
        <w:t xml:space="preserve">付款方式</w:t>
      </w:r>
      <w:r/>
    </w:p>
    <w:p>
      <w:pPr>
        <w:ind w:firstLine="200"/>
        <w:spacing w:line="360" w:lineRule="auto"/>
        <w:rPr>
          <w:rFonts w:cs="Times New Roman" w:asciiTheme="minorEastAsia" w:hAnsiTheme="minorEastAsia"/>
          <w:sz w:val="24"/>
          <w:szCs w:val="24"/>
          <w:highlight w:val="none"/>
        </w:rPr>
      </w:pPr>
      <w:r>
        <w:rPr>
          <w:rFonts w:ascii="Times New Roman" w:hAnsi="Times New Roman" w:eastAsia="宋体" w:cs="Times New Roman"/>
          <w:sz w:val="24"/>
          <w:szCs w:val="24"/>
          <w:highlight w:val="none"/>
        </w:rPr>
        <w:t xml:space="preserve">本项目无预付款，合同签订后，供应商按规定期限供货，不得逾期，安装调试，达到预期效果</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供应商交货完毕申请验收，采购人组织验收，经验收合格后，供应商开具发票，并交付</w:t>
      </w:r>
      <w:r>
        <w:rPr>
          <w:rFonts w:hint="eastAsia" w:ascii="Times New Roman" w:hAnsi="Times New Roman" w:eastAsia="宋体" w:cs="Times New Roman"/>
          <w:sz w:val="24"/>
          <w:szCs w:val="24"/>
          <w:highlight w:val="none"/>
        </w:rPr>
        <w:t xml:space="preserve">产品</w:t>
      </w:r>
      <w:r>
        <w:rPr>
          <w:rFonts w:ascii="Times New Roman" w:hAnsi="Times New Roman" w:eastAsia="宋体" w:cs="Times New Roman"/>
          <w:sz w:val="24"/>
          <w:szCs w:val="24"/>
          <w:highlight w:val="none"/>
        </w:rPr>
        <w:t xml:space="preserve">说明书等相关资料，</w:t>
      </w:r>
      <w:r>
        <w:rPr>
          <w:rFonts w:hint="eastAsia" w:ascii="Times New Roman" w:hAnsi="Times New Roman" w:eastAsia="宋体" w:cs="Times New Roman"/>
          <w:sz w:val="24"/>
          <w:szCs w:val="24"/>
          <w:highlight w:val="none"/>
        </w:rPr>
        <w:t xml:space="preserve">采购人按合同约定一次性支付合同总款的100%。</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2</w:t>
      </w:r>
      <w:r>
        <w:rPr>
          <w:rFonts w:hint="eastAsia" w:cs="Times New Roman" w:asciiTheme="minorEastAsia" w:hAnsiTheme="minorEastAsia"/>
          <w:sz w:val="24"/>
          <w:szCs w:val="24"/>
          <w:highlight w:val="none"/>
          <w:lang w:val="en-US" w:eastAsia="zh-CN"/>
        </w:rPr>
        <w:t xml:space="preserve">.</w:t>
      </w:r>
      <w:r>
        <w:rPr>
          <w:rFonts w:hint="eastAsia" w:cs="Times New Roman" w:asciiTheme="minorEastAsia" w:hAnsiTheme="minorEastAsia"/>
          <w:sz w:val="24"/>
          <w:szCs w:val="24"/>
          <w:highlight w:val="none"/>
        </w:rPr>
        <w:t xml:space="preserve">履约保证金</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pStyle w:val="693"/>
        <w:jc w:val="center"/>
        <w:spacing w:line="360" w:lineRule="auto"/>
        <w:rPr>
          <w:rFonts w:ascii="黑体" w:hAnsi="黑体" w:eastAsia="黑体"/>
          <w:b w:val="0"/>
        </w:rPr>
      </w:pPr>
      <w:r/>
      <w:bookmarkStart w:id="10"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（3）总得分=价格分+商务技术分。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b/>
          <w:sz w:val="24"/>
          <w:szCs w:val="24"/>
        </w:rPr>
        <w:t xml:space="preserve">1.价格分</w:t>
      </w:r>
      <w:r>
        <w:rPr>
          <w:rFonts w:hint="eastAsia" w:asciiTheme="minorEastAsia" w:hAnsiTheme="minorEastAsia"/>
          <w:b/>
          <w:sz w:val="24"/>
          <w:szCs w:val="24"/>
        </w:rPr>
        <w:t xml:space="preserve">（30分）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投标报价得分=（评标基准价/投标报价）×30分。</w:t>
      </w:r>
      <w:r/>
    </w:p>
    <w:p>
      <w:pPr>
        <w:ind w:firstLine="482"/>
        <w:jc w:val="left"/>
        <w:spacing w:line="360" w:lineRule="auto"/>
        <w:rPr>
          <w:rFonts w:hint="eastAsia" w:eastAsiaTheme="minorEastAsia"/>
          <w:b/>
          <w:sz w:val="24"/>
          <w:szCs w:val="24"/>
          <w:highlight w:val="none"/>
          <w:lang w:eastAsia="zh-CN"/>
        </w:rPr>
      </w:pPr>
      <w:r>
        <w:rPr>
          <w:rFonts w:hint="eastAsia"/>
          <w:b/>
          <w:sz w:val="24"/>
          <w:szCs w:val="24"/>
          <w:highlight w:val="none"/>
          <w:lang w:eastAsia="zh-CN"/>
        </w:rPr>
        <w:t xml:space="preserve">本项目不享受价格折扣。</w:t>
      </w:r>
      <w:r/>
    </w:p>
    <w:p>
      <w:pPr>
        <w:ind w:firstLine="482"/>
        <w:jc w:val="left"/>
        <w:spacing w:line="360" w:lineRule="auto"/>
        <w:rPr>
          <w:rFonts w:asciiTheme="minorEastAsia" w:hAnsiTheme="minorEastAsia"/>
          <w:b/>
          <w:sz w:val="24"/>
          <w:szCs w:val="24"/>
        </w:rPr>
      </w:pPr>
      <w:r>
        <w:rPr>
          <w:rFonts w:hint="eastAsia"/>
          <w:b/>
          <w:sz w:val="24"/>
          <w:szCs w:val="24"/>
        </w:rPr>
        <w:t xml:space="preserve">2.商务技术分</w:t>
      </w:r>
      <w:r>
        <w:rPr>
          <w:rFonts w:hint="eastAsia" w:asciiTheme="minorEastAsia" w:hAnsiTheme="minorEastAsia"/>
          <w:b/>
          <w:sz w:val="24"/>
          <w:szCs w:val="24"/>
        </w:rPr>
        <w:t xml:space="preserve">（70分）</w:t>
      </w:r>
      <w:r/>
    </w:p>
    <w:tbl>
      <w:tblPr>
        <w:tblStyle w:val="703"/>
        <w:tblW w:w="94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9"/>
        <w:gridCol w:w="7423"/>
      </w:tblGrid>
      <w:tr>
        <w:trPr>
          <w:jc w:val="center"/>
          <w:trHeight w:val="621"/>
        </w:trPr>
        <w:tc>
          <w:tcPr>
            <w:tcW w:w="203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74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2039" w:type="dxa"/>
            <w:vAlign w:val="center"/>
            <w:textDirection w:val="lrTb"/>
            <w:noWrap w:val="false"/>
          </w:tcPr>
          <w:p>
            <w:pPr>
              <w:jc w:val="center"/>
              <w:spacing w:line="480" w:lineRule="exact"/>
              <w:widowControl/>
              <w:rPr>
                <w:rFonts w:hint="eastAsia" w:asciiTheme="minorEastAsia" w:hAnsiTheme="minorEastAsia"/>
                <w:sz w:val="24"/>
                <w:szCs w:val="24"/>
              </w:rPr>
            </w:pPr>
            <w:r>
              <w:rPr>
                <w:rFonts w:hint="eastAsia" w:asciiTheme="minorEastAsia" w:hAnsiTheme="minorEastAsia"/>
                <w:sz w:val="24"/>
                <w:szCs w:val="24"/>
              </w:rPr>
              <w:t xml:space="preserve">技术参数响应</w:t>
            </w:r>
            <w:r/>
          </w:p>
          <w:p>
            <w:pPr>
              <w:jc w:val="center"/>
              <w:spacing w:line="480" w:lineRule="exact"/>
              <w:widowControl/>
            </w:pPr>
            <w:r>
              <w:rPr>
                <w:rFonts w:hint="eastAsia" w:cs="Times New Roman Regular" w:asciiTheme="minorEastAsia" w:hAnsiTheme="minorEastAsia"/>
                <w:color w:val="000000"/>
                <w:sz w:val="24"/>
              </w:rPr>
              <w:t xml:space="preserve">（3</w:t>
            </w:r>
            <w:r>
              <w:rPr>
                <w:rFonts w:hint="eastAsia" w:cs="Times New Roman Regular" w:asciiTheme="minorEastAsia" w:hAnsiTheme="minorEastAsia"/>
                <w:color w:val="000000"/>
                <w:sz w:val="24"/>
                <w:lang w:val="en-US" w:eastAsia="zh-CN"/>
              </w:rPr>
              <w:t xml:space="preserve">2</w:t>
            </w:r>
            <w:r>
              <w:rPr>
                <w:rFonts w:hint="eastAsia" w:cs="Times New Roman Regular" w:asciiTheme="minorEastAsia" w:hAnsiTheme="minorEastAsia"/>
                <w:color w:val="000000"/>
                <w:sz w:val="24"/>
              </w:rPr>
              <w:t xml:space="preserve">分）</w:t>
            </w:r>
            <w:r/>
          </w:p>
        </w:tc>
        <w:tc>
          <w:tcPr>
            <w:tcW w:w="7423" w:type="dxa"/>
            <w:textDirection w:val="lrTb"/>
            <w:noWrap w:val="false"/>
          </w:tcPr>
          <w:p>
            <w:pPr>
              <w:spacing w:line="440" w:lineRule="exact"/>
              <w:rPr>
                <w:rFonts w:asciiTheme="minorEastAsia" w:hAnsiTheme="minorEastAsia"/>
                <w:sz w:val="24"/>
                <w:szCs w:val="24"/>
              </w:rPr>
            </w:pPr>
            <w:r>
              <w:rPr>
                <w:rFonts w:hint="eastAsia" w:asciiTheme="minorEastAsia" w:hAnsiTheme="minorEastAsia"/>
                <w:sz w:val="24"/>
                <w:szCs w:val="24"/>
              </w:rPr>
              <w:t xml:space="preserve">技术参数响应评审基准分3</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分，标注“▲”项的参数每有一项负偏离扣2分，扣完为止。</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b/>
                <w:sz w:val="24"/>
                <w:szCs w:val="24"/>
              </w:rPr>
            </w:pPr>
            <w:r>
              <w:rPr>
                <w:rFonts w:hint="eastAsia" w:asciiTheme="minorEastAsia" w:hAnsiTheme="minorEastAsia"/>
                <w:b/>
                <w:sz w:val="24"/>
                <w:szCs w:val="24"/>
              </w:rPr>
              <w:t xml:space="preserve">（投标文件中详细填写技术要求响应及偏离表，须逐条响应。标注“▲”项要求提供证明材料的未提供证明材料或所提供材料与招标文件要求不符的视为负偏离。功能相近但</w:t>
            </w:r>
            <w:r>
              <w:rPr>
                <w:rFonts w:hint="eastAsia" w:asciiTheme="minorEastAsia" w:hAnsiTheme="minorEastAsia"/>
                <w:b/>
                <w:sz w:val="24"/>
                <w:szCs w:val="24"/>
                <w:lang w:val="zh-CN"/>
              </w:rPr>
              <w:t xml:space="preserve">名称、表述不完全一致的</w:t>
            </w:r>
            <w:r>
              <w:rPr>
                <w:rFonts w:hint="eastAsia" w:asciiTheme="minorEastAsia" w:hAnsiTheme="minorEastAsia"/>
                <w:b/>
                <w:sz w:val="24"/>
                <w:szCs w:val="24"/>
              </w:rPr>
              <w:t xml:space="preserve">，</w:t>
            </w:r>
            <w:r>
              <w:rPr>
                <w:rFonts w:hint="eastAsia" w:asciiTheme="minorEastAsia" w:hAnsiTheme="minorEastAsia"/>
                <w:b/>
                <w:sz w:val="24"/>
                <w:szCs w:val="24"/>
                <w:lang w:val="zh-CN"/>
              </w:rPr>
              <w:t xml:space="preserve">由评委现场统一认定后给予得分。</w:t>
            </w:r>
            <w:r>
              <w:rPr>
                <w:rFonts w:hint="eastAsia" w:asciiTheme="minorEastAsia" w:hAnsiTheme="minorEastAsia"/>
                <w:b/>
                <w:sz w:val="24"/>
                <w:szCs w:val="24"/>
              </w:rPr>
              <w:t xml:space="preserve">投标人可在证明材料中</w:t>
            </w:r>
            <w:r>
              <w:rPr>
                <w:rFonts w:hint="eastAsia" w:asciiTheme="minorEastAsia" w:hAnsiTheme="minorEastAsia"/>
                <w:b/>
                <w:sz w:val="24"/>
                <w:szCs w:val="24"/>
                <w:lang w:eastAsia="zh-CN"/>
              </w:rPr>
              <w:t xml:space="preserve">作</w:t>
            </w:r>
            <w:r>
              <w:rPr>
                <w:rFonts w:hint="eastAsia" w:asciiTheme="minorEastAsia" w:hAnsiTheme="minorEastAsia"/>
                <w:b/>
                <w:sz w:val="24"/>
                <w:szCs w:val="24"/>
              </w:rPr>
              <w:t xml:space="preserve">明显标识及说明，便于评审）</w:t>
            </w:r>
            <w:r/>
          </w:p>
        </w:tc>
      </w:tr>
      <w:tr>
        <w:trPr>
          <w:jc w:val="center"/>
          <w:trHeight w:val="621"/>
        </w:trPr>
        <w:tc>
          <w:tcPr>
            <w:tcW w:w="2039" w:type="dxa"/>
            <w:vAlign w:val="center"/>
            <w:textDirection w:val="lrTb"/>
            <w:noWrap w:val="false"/>
          </w:tcPr>
          <w:p>
            <w:pPr>
              <w:jc w:val="center"/>
              <w:spacing w:line="48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项目履约能力</w:t>
            </w:r>
            <w:r/>
          </w:p>
          <w:p>
            <w:pPr>
              <w:jc w:val="center"/>
              <w:spacing w:line="480" w:lineRule="atLeast"/>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7423" w:type="dxa"/>
            <w:textDirection w:val="lrTb"/>
            <w:noWrap w:val="false"/>
          </w:tcPr>
          <w:p>
            <w:pPr>
              <w:spacing w:line="48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1.投标人具有信息安全管理体系认证证书的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2分</w:t>
            </w:r>
            <w:r>
              <w:rPr>
                <w:rFonts w:hint="eastAsia" w:ascii="宋体" w:hAnsi="宋体" w:eastAsia="宋体" w:cs="Times New Roman"/>
                <w:sz w:val="24"/>
                <w:szCs w:val="24"/>
                <w:highlight w:val="none"/>
              </w:rPr>
              <w:t xml:space="preserve">。</w:t>
            </w:r>
            <w:r/>
          </w:p>
          <w:p>
            <w:pPr>
              <w:spacing w:line="48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投标人具有信息技术服务管理体系认证证书的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分</w:t>
            </w:r>
            <w:r>
              <w:rPr>
                <w:rFonts w:hint="eastAsia" w:ascii="宋体" w:hAnsi="宋体" w:eastAsia="宋体" w:cs="Times New Roman"/>
                <w:sz w:val="24"/>
                <w:szCs w:val="24"/>
                <w:highlight w:val="none"/>
              </w:rPr>
              <w:t xml:space="preserve">。</w:t>
            </w:r>
            <w:r/>
          </w:p>
          <w:p>
            <w:pPr>
              <w:spacing w:line="48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投标人具有质量管理体系认证证书的</w:t>
            </w:r>
            <w:r>
              <w:rPr>
                <w:rFonts w:hint="eastAsia" w:ascii="宋体" w:hAnsi="宋体" w:eastAsia="宋体" w:cs="Times New Roman"/>
                <w:b/>
                <w:bCs/>
                <w:sz w:val="24"/>
                <w:szCs w:val="24"/>
                <w:highlight w:val="none"/>
              </w:rPr>
              <w:t xml:space="preserve">得</w:t>
            </w: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分</w:t>
            </w:r>
            <w:r>
              <w:rPr>
                <w:rFonts w:hint="eastAsia" w:ascii="宋体" w:hAnsi="宋体" w:eastAsia="宋体" w:cs="Times New Roman"/>
                <w:sz w:val="24"/>
                <w:szCs w:val="24"/>
                <w:highlight w:val="none"/>
              </w:rPr>
              <w:t xml:space="preserve">。</w:t>
            </w:r>
            <w:r/>
          </w:p>
          <w:p>
            <w:pPr>
              <w:spacing w:line="480" w:lineRule="atLeast"/>
            </w:pPr>
            <w:r>
              <w:rPr>
                <w:rFonts w:hint="eastAsia" w:ascii="宋体" w:hAnsi="宋体" w:eastAsia="宋体" w:cs="Times New Roman"/>
                <w:b/>
                <w:bCs/>
                <w:sz w:val="24"/>
                <w:szCs w:val="24"/>
                <w:highlight w:val="none"/>
              </w:rPr>
              <w:t xml:space="preserve">（上述1-</w:t>
            </w:r>
            <w:r>
              <w:rPr>
                <w:rFonts w:hint="eastAsia" w:ascii="宋体" w:hAnsi="宋体" w:eastAsia="宋体" w:cs="Times New Roman"/>
                <w:b/>
                <w:bCs/>
                <w:sz w:val="24"/>
                <w:szCs w:val="24"/>
                <w:highlight w:val="none"/>
                <w:lang w:val="en-US" w:eastAsia="zh-CN"/>
              </w:rPr>
              <w:t xml:space="preserve">3</w:t>
            </w:r>
            <w:r>
              <w:rPr>
                <w:rFonts w:ascii="宋体" w:hAnsi="宋体" w:eastAsia="宋体" w:cs="Times New Roman"/>
                <w:b/>
                <w:bCs/>
                <w:sz w:val="24"/>
                <w:szCs w:val="24"/>
                <w:highlight w:val="none"/>
              </w:rPr>
              <w:t xml:space="preserve">项</w:t>
            </w:r>
            <w:r>
              <w:rPr>
                <w:rFonts w:hint="eastAsia" w:ascii="宋体" w:hAnsi="宋体" w:eastAsia="宋体" w:cs="Times New Roman"/>
                <w:b/>
                <w:bCs/>
                <w:sz w:val="24"/>
                <w:szCs w:val="24"/>
              </w:rPr>
              <w:t xml:space="preserve">投标</w:t>
            </w:r>
            <w:r>
              <w:rPr>
                <w:rFonts w:ascii="宋体" w:hAnsi="宋体" w:eastAsia="宋体" w:cs="Times New Roman"/>
                <w:b/>
                <w:bCs/>
                <w:sz w:val="24"/>
                <w:szCs w:val="24"/>
              </w:rPr>
              <w:t xml:space="preserve">文件中提供有效证书扫描件并加盖</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公章，否则不得分）</w:t>
            </w:r>
            <w:r/>
          </w:p>
        </w:tc>
      </w:tr>
      <w:tr>
        <w:trPr>
          <w:jc w:val="center"/>
          <w:trHeight w:val="621"/>
        </w:trPr>
        <w:tc>
          <w:tcPr>
            <w:tcW w:w="2039" w:type="dxa"/>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项目团队成员</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color w:val="000000"/>
                <w:sz w:val="24"/>
                <w:szCs w:val="24"/>
              </w:rPr>
              <w:t xml:space="preserve">（7分）</w:t>
            </w:r>
            <w:r/>
          </w:p>
        </w:tc>
        <w:tc>
          <w:tcPr>
            <w:tcW w:w="7423" w:type="dxa"/>
            <w:vAlign w:val="center"/>
            <w:textDirection w:val="lrTb"/>
            <w:noWrap w:val="false"/>
          </w:tcPr>
          <w:p>
            <w:pPr>
              <w:spacing w:line="480" w:lineRule="atLeast"/>
              <w:rPr>
                <w:rFonts w:ascii="宋体" w:hAnsi="宋体"/>
                <w:b/>
                <w:color w:val="000000"/>
                <w:sz w:val="24"/>
                <w:szCs w:val="21"/>
                <w:highlight w:val="none"/>
              </w:rPr>
            </w:pPr>
            <w:r>
              <w:rPr>
                <w:rFonts w:hint="eastAsia" w:ascii="宋体" w:hAnsi="宋体"/>
                <w:color w:val="000000"/>
                <w:sz w:val="24"/>
                <w:szCs w:val="21"/>
              </w:rPr>
              <w:t xml:space="preserve">1.</w:t>
            </w:r>
            <w:r>
              <w:rPr>
                <w:rFonts w:hint="eastAsia" w:ascii="宋体" w:hAnsi="宋体"/>
                <w:color w:val="000000"/>
                <w:sz w:val="24"/>
                <w:szCs w:val="21"/>
                <w:highlight w:val="none"/>
              </w:rPr>
              <w:t xml:space="preserve">拟派项目负责人具有信息系统项目管理师、高级工程师</w:t>
            </w:r>
            <w:r>
              <w:rPr>
                <w:rFonts w:hint="eastAsia" w:ascii="宋体" w:hAnsi="宋体"/>
                <w:color w:val="000000"/>
                <w:sz w:val="24"/>
                <w:szCs w:val="21"/>
                <w:highlight w:val="none"/>
                <w:lang w:val="en-US" w:eastAsia="zh-CN"/>
              </w:rPr>
              <w:t xml:space="preserve">(电子信息专业)</w:t>
            </w:r>
            <w:r>
              <w:rPr>
                <w:rFonts w:hint="eastAsia" w:ascii="宋体" w:hAnsi="宋体"/>
                <w:color w:val="000000"/>
                <w:sz w:val="24"/>
                <w:szCs w:val="21"/>
                <w:highlight w:val="none"/>
              </w:rPr>
              <w:t xml:space="preserve">和注册信息安全管理人员证书(CISP)的，每提供一个</w:t>
            </w:r>
            <w:r>
              <w:rPr>
                <w:rFonts w:hint="eastAsia" w:ascii="宋体" w:hAnsi="宋体"/>
                <w:b/>
                <w:bCs/>
                <w:color w:val="000000"/>
                <w:sz w:val="24"/>
                <w:szCs w:val="21"/>
                <w:highlight w:val="none"/>
              </w:rPr>
              <w:t xml:space="preserve">得1分</w:t>
            </w:r>
            <w:r>
              <w:rPr>
                <w:rFonts w:hint="eastAsia" w:ascii="宋体" w:hAnsi="宋体"/>
                <w:color w:val="000000"/>
                <w:sz w:val="24"/>
                <w:szCs w:val="21"/>
                <w:highlight w:val="none"/>
              </w:rPr>
              <w:t xml:space="preserve">，</w:t>
            </w:r>
            <w:r>
              <w:rPr>
                <w:rFonts w:hint="eastAsia" w:ascii="宋体" w:hAnsi="宋体"/>
                <w:b/>
                <w:color w:val="000000"/>
                <w:sz w:val="24"/>
                <w:szCs w:val="21"/>
                <w:highlight w:val="none"/>
              </w:rPr>
              <w:t xml:space="preserve">最高得3分。</w:t>
            </w:r>
            <w:r/>
          </w:p>
          <w:p>
            <w:pPr>
              <w:spacing w:line="480" w:lineRule="atLeast"/>
              <w:rPr>
                <w:rFonts w:ascii="宋体" w:hAnsi="宋体"/>
                <w:b/>
                <w:bCs/>
                <w:color w:val="000000"/>
                <w:sz w:val="24"/>
                <w:szCs w:val="21"/>
              </w:rPr>
            </w:pPr>
            <w:r>
              <w:rPr>
                <w:rFonts w:hint="eastAsia" w:ascii="宋体" w:hAnsi="宋体"/>
                <w:color w:val="000000"/>
                <w:sz w:val="24"/>
                <w:szCs w:val="21"/>
                <w:highlight w:val="none"/>
              </w:rPr>
              <w:t xml:space="preserve">2.拟派项目团队成员（不包含项目负责</w:t>
            </w:r>
            <w:r>
              <w:rPr>
                <w:rFonts w:hint="eastAsia" w:ascii="宋体" w:hAnsi="宋体"/>
                <w:color w:val="000000"/>
                <w:sz w:val="24"/>
                <w:szCs w:val="21"/>
              </w:rPr>
              <w:t xml:space="preserve">人）中具有网络工程师、IT服务工程师、注册信息安全专业人员（CISP）、系统集成项目管理工程师的，每提供一个</w:t>
            </w:r>
            <w:r>
              <w:rPr>
                <w:rFonts w:hint="eastAsia" w:ascii="宋体" w:hAnsi="宋体"/>
                <w:b/>
                <w:bCs/>
                <w:color w:val="000000"/>
                <w:sz w:val="24"/>
                <w:szCs w:val="21"/>
              </w:rPr>
              <w:t xml:space="preserve">得1 </w:t>
            </w:r>
            <w:r>
              <w:rPr>
                <w:rFonts w:hint="eastAsia" w:ascii="宋体" w:hAnsi="宋体"/>
                <w:b/>
                <w:bCs/>
                <w:color w:val="000000"/>
                <w:sz w:val="24"/>
                <w:szCs w:val="21"/>
                <w:highlight w:val="none"/>
              </w:rPr>
              <w:t xml:space="preserve">分</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一人多证不重复得分</w:t>
            </w:r>
            <w:r>
              <w:rPr>
                <w:rFonts w:hint="eastAsia" w:ascii="宋体" w:hAnsi="宋体"/>
                <w:color w:val="000000"/>
                <w:sz w:val="24"/>
                <w:szCs w:val="21"/>
                <w:highlight w:val="none"/>
                <w:lang w:eastAsia="zh-CN"/>
              </w:rPr>
              <w:t xml:space="preserve">），</w:t>
            </w:r>
            <w:r>
              <w:rPr>
                <w:rFonts w:hint="eastAsia" w:ascii="宋体" w:hAnsi="宋体"/>
                <w:b/>
                <w:color w:val="000000"/>
                <w:sz w:val="24"/>
                <w:szCs w:val="21"/>
              </w:rPr>
              <w:t xml:space="preserve">最高得4分。</w:t>
            </w:r>
            <w:r/>
          </w:p>
          <w:p>
            <w:pPr>
              <w:spacing w:line="480" w:lineRule="atLeast"/>
              <w:rPr>
                <w:rFonts w:ascii="宋体" w:hAnsi="宋体" w:eastAsia="宋体" w:cs="Times New Roman"/>
                <w:b/>
                <w:bCs/>
                <w:sz w:val="24"/>
                <w:szCs w:val="24"/>
              </w:rPr>
            </w:pPr>
            <w:r>
              <w:rPr>
                <w:rFonts w:hint="eastAsia" w:ascii="宋体" w:hAnsi="宋体"/>
                <w:b/>
                <w:bCs/>
                <w:color w:val="000000"/>
                <w:sz w:val="24"/>
                <w:szCs w:val="21"/>
              </w:rPr>
              <w:t xml:space="preserve">（上述1-2项投标文件中提供有效证书及2024年1月（含）以来任意一个月由投标人为其缴纳的社保证明材料扫描件并加盖投标人公章，否则不得分。）</w:t>
            </w:r>
            <w:r/>
          </w:p>
        </w:tc>
      </w:tr>
      <w:tr>
        <w:trPr>
          <w:jc w:val="center"/>
          <w:trHeight w:val="621"/>
        </w:trPr>
        <w:tc>
          <w:tcPr>
            <w:tcW w:w="2039" w:type="dxa"/>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业绩</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分）</w:t>
            </w:r>
            <w:r/>
          </w:p>
        </w:tc>
        <w:tc>
          <w:tcPr>
            <w:tcW w:w="7423" w:type="dxa"/>
            <w:vAlign w:val="center"/>
            <w:textDirection w:val="lrTb"/>
            <w:noWrap w:val="false"/>
          </w:tcPr>
          <w:p>
            <w:pPr>
              <w:spacing w:line="480" w:lineRule="exact"/>
              <w:rPr>
                <w:rFonts w:ascii="宋体" w:hAnsi="宋体"/>
                <w:b/>
                <w:color w:val="000000"/>
                <w:sz w:val="24"/>
                <w:szCs w:val="21"/>
              </w:rPr>
            </w:pPr>
            <w:r>
              <w:rPr>
                <w:rFonts w:hint="eastAsia" w:ascii="宋体" w:hAnsi="宋体"/>
                <w:color w:val="000000"/>
                <w:sz w:val="24"/>
                <w:szCs w:val="21"/>
              </w:rPr>
              <w:t xml:space="preserve">自2021年1月1日（含）以来，投标人具有类似项目业绩（合同内容至少包含</w:t>
            </w:r>
            <w:r>
              <w:rPr>
                <w:rFonts w:hint="eastAsia" w:ascii="宋体" w:hAnsi="宋体"/>
                <w:color w:val="000000"/>
                <w:sz w:val="24"/>
                <w:szCs w:val="21"/>
                <w:highlight w:val="none"/>
                <w:lang w:eastAsia="zh-CN"/>
              </w:rPr>
              <w:t xml:space="preserve">采集器</w:t>
            </w:r>
            <w:r>
              <w:rPr>
                <w:rFonts w:hint="eastAsia" w:ascii="宋体" w:hAnsi="宋体"/>
                <w:color w:val="000000"/>
                <w:sz w:val="24"/>
                <w:szCs w:val="21"/>
              </w:rPr>
              <w:t xml:space="preserve">相关</w:t>
            </w:r>
            <w:r>
              <w:rPr>
                <w:rFonts w:hint="eastAsia" w:ascii="宋体" w:hAnsi="宋体"/>
                <w:color w:val="000000"/>
                <w:sz w:val="24"/>
                <w:szCs w:val="21"/>
                <w:lang w:eastAsia="zh-CN"/>
              </w:rPr>
              <w:t xml:space="preserve">内容</w:t>
            </w:r>
            <w:r>
              <w:rPr>
                <w:rFonts w:hint="eastAsia" w:ascii="宋体" w:hAnsi="宋体"/>
                <w:color w:val="000000"/>
                <w:sz w:val="24"/>
                <w:szCs w:val="21"/>
              </w:rPr>
              <w:t xml:space="preserve">）的，每提供一个</w:t>
            </w:r>
            <w:r>
              <w:rPr>
                <w:rFonts w:hint="eastAsia" w:ascii="宋体" w:hAnsi="宋体"/>
                <w:b/>
                <w:bCs/>
                <w:color w:val="000000"/>
                <w:sz w:val="24"/>
                <w:szCs w:val="21"/>
              </w:rPr>
              <w:t xml:space="preserve">得2分</w:t>
            </w:r>
            <w:r>
              <w:rPr>
                <w:rFonts w:hint="eastAsia" w:ascii="宋体" w:hAnsi="宋体"/>
                <w:color w:val="000000"/>
                <w:sz w:val="24"/>
                <w:szCs w:val="21"/>
              </w:rPr>
              <w:t xml:space="preserve">，</w:t>
            </w:r>
            <w:r>
              <w:rPr>
                <w:rFonts w:hint="eastAsia" w:ascii="宋体" w:hAnsi="宋体"/>
                <w:b/>
                <w:color w:val="000000"/>
                <w:sz w:val="24"/>
                <w:szCs w:val="21"/>
              </w:rPr>
              <w:t xml:space="preserve">最高得</w:t>
            </w:r>
            <w:r>
              <w:rPr>
                <w:rFonts w:hint="eastAsia" w:ascii="宋体" w:hAnsi="宋体"/>
                <w:b/>
                <w:color w:val="000000"/>
                <w:sz w:val="24"/>
                <w:szCs w:val="21"/>
                <w:lang w:val="en-US" w:eastAsia="zh-CN"/>
              </w:rPr>
              <w:t xml:space="preserve">8</w:t>
            </w:r>
            <w:r>
              <w:rPr>
                <w:rFonts w:hint="eastAsia" w:ascii="宋体" w:hAnsi="宋体"/>
                <w:b/>
                <w:color w:val="000000"/>
                <w:sz w:val="24"/>
                <w:szCs w:val="21"/>
              </w:rPr>
              <w:t xml:space="preserve">分。</w:t>
            </w:r>
            <w:r/>
          </w:p>
          <w:p>
            <w:pPr>
              <w:spacing w:line="480" w:lineRule="exact"/>
              <w:rPr>
                <w:rFonts w:ascii="宋体" w:hAnsi="宋体"/>
                <w:color w:val="000000"/>
                <w:sz w:val="24"/>
                <w:szCs w:val="21"/>
              </w:rPr>
            </w:pPr>
            <w:r>
              <w:rPr>
                <w:rFonts w:hint="eastAsia" w:ascii="宋体" w:hAnsi="宋体"/>
                <w:b/>
                <w:bCs/>
                <w:color w:val="000000"/>
                <w:sz w:val="24"/>
                <w:szCs w:val="21"/>
              </w:rPr>
              <w:t xml:space="preserve">（投标文件中提供合同扫描件并加盖投标人公章，否则不得分。时间、内容以合同为准。合同中</w:t>
            </w:r>
            <w:r>
              <w:rPr>
                <w:rFonts w:hint="eastAsia" w:ascii="宋体" w:hAnsi="宋体"/>
                <w:b/>
                <w:bCs/>
                <w:color w:val="000000"/>
                <w:sz w:val="24"/>
                <w:szCs w:val="21"/>
                <w:lang w:eastAsia="zh-CN"/>
              </w:rPr>
              <w:t xml:space="preserve">功能相近</w:t>
            </w:r>
            <w:r>
              <w:rPr>
                <w:rFonts w:hint="eastAsia" w:ascii="宋体" w:hAnsi="宋体"/>
                <w:b/>
                <w:bCs/>
                <w:color w:val="000000"/>
                <w:sz w:val="24"/>
                <w:szCs w:val="21"/>
              </w:rPr>
              <w:t xml:space="preserve">名称</w:t>
            </w:r>
            <w:r>
              <w:rPr>
                <w:rFonts w:hint="eastAsia" w:ascii="宋体" w:hAnsi="宋体"/>
                <w:b/>
                <w:bCs/>
                <w:color w:val="000000"/>
                <w:sz w:val="24"/>
                <w:szCs w:val="21"/>
                <w:lang w:eastAsia="zh-CN"/>
              </w:rPr>
              <w:t xml:space="preserve">表述不完全一致的</w:t>
            </w:r>
            <w:r>
              <w:rPr>
                <w:rFonts w:hint="eastAsia" w:ascii="宋体" w:hAnsi="宋体"/>
                <w:b/>
                <w:bCs/>
                <w:color w:val="000000"/>
                <w:sz w:val="24"/>
                <w:szCs w:val="21"/>
              </w:rPr>
              <w:t xml:space="preserve">，由评审委员会统一认定）</w:t>
            </w:r>
            <w:r/>
          </w:p>
        </w:tc>
      </w:tr>
      <w:tr>
        <w:trPr>
          <w:jc w:val="center"/>
          <w:trHeight w:val="621"/>
        </w:trPr>
        <w:tc>
          <w:tcPr>
            <w:tcW w:w="203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（6分）</w:t>
            </w:r>
            <w:r/>
          </w:p>
        </w:tc>
        <w:tc>
          <w:tcPr>
            <w:tcW w:w="7423" w:type="dxa"/>
            <w:vAlign w:val="center"/>
            <w:textDirection w:val="lrTb"/>
            <w:noWrap w:val="false"/>
          </w:tcPr>
          <w:p>
            <w:pPr>
              <w:spacing w:line="440" w:lineRule="exact"/>
              <w:rPr>
                <w:rFonts w:ascii="宋体" w:hAnsi="宋体"/>
                <w:color w:val="000000"/>
                <w:sz w:val="24"/>
                <w:szCs w:val="21"/>
              </w:rPr>
            </w:pPr>
            <w:r>
              <w:rPr>
                <w:rFonts w:hint="eastAsia" w:ascii="宋体" w:hAnsi="宋体" w:eastAsia="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方案包含上述全部内容，实施流程清晰，安装及进度计划内容详细，措施完善，预案可操作性强，贴合项目需求的</w:t>
            </w:r>
            <w:r>
              <w:rPr>
                <w:rFonts w:hint="eastAsia" w:ascii="宋体" w:hAnsi="宋体"/>
                <w:b/>
                <w:color w:val="000000"/>
                <w:sz w:val="24"/>
                <w:szCs w:val="21"/>
              </w:rPr>
              <w:t xml:space="preserve">得6分；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方案基本包含上述内容，流程较清晰，安装及进度计划内容较详细，有对应措施，预案可操作性较强，较能够满足本项目需求的</w:t>
            </w:r>
            <w:r>
              <w:rPr>
                <w:rFonts w:hint="eastAsia" w:ascii="宋体" w:hAnsi="宋体"/>
                <w:b/>
                <w:color w:val="000000"/>
                <w:sz w:val="24"/>
                <w:szCs w:val="21"/>
              </w:rPr>
              <w:t xml:space="preserve">得5分；</w:t>
            </w:r>
            <w:r/>
          </w:p>
          <w:p>
            <w:pPr>
              <w:spacing w:line="440" w:lineRule="exact"/>
              <w:rPr>
                <w:rFonts w:ascii="宋体" w:hAnsi="宋体"/>
                <w:b/>
                <w:color w:val="000000"/>
                <w:sz w:val="24"/>
                <w:szCs w:val="21"/>
              </w:rPr>
            </w:pPr>
            <w:r>
              <w:rPr>
                <w:rFonts w:hint="eastAsia" w:ascii="宋体" w:hAnsi="宋体"/>
                <w:color w:val="000000"/>
                <w:sz w:val="24"/>
                <w:szCs w:val="21"/>
              </w:rPr>
              <w:t xml:space="preserve">方案</w:t>
            </w:r>
            <w:r>
              <w:rPr>
                <w:rFonts w:hint="eastAsia" w:ascii="宋体" w:hAnsi="宋体"/>
                <w:color w:val="000000"/>
                <w:sz w:val="24"/>
                <w:szCs w:val="21"/>
                <w:lang w:eastAsia="zh-CN"/>
              </w:rPr>
              <w:t xml:space="preserve">中</w:t>
            </w:r>
            <w:r>
              <w:rPr>
                <w:rFonts w:hint="eastAsia" w:ascii="宋体" w:hAnsi="宋体"/>
                <w:color w:val="000000"/>
                <w:sz w:val="24"/>
                <w:szCs w:val="21"/>
              </w:rPr>
              <w:t xml:space="preserve">上述内容有缺项，阐述不详细，安装及进度计划内容简单，有对应措施，预案可操作性一般，基本</w:t>
            </w:r>
            <w:r>
              <w:rPr>
                <w:rFonts w:hint="eastAsia" w:ascii="宋体" w:hAnsi="宋体"/>
                <w:color w:val="000000"/>
                <w:sz w:val="24"/>
                <w:szCs w:val="21"/>
                <w:lang w:eastAsia="zh-CN"/>
              </w:rPr>
              <w:t xml:space="preserve">能够</w:t>
            </w:r>
            <w:r>
              <w:rPr>
                <w:rFonts w:hint="eastAsia" w:ascii="宋体" w:hAnsi="宋体"/>
                <w:color w:val="000000"/>
                <w:sz w:val="24"/>
                <w:szCs w:val="21"/>
              </w:rPr>
              <w:t xml:space="preserve">满足本项目需求的</w:t>
            </w:r>
            <w:r>
              <w:rPr>
                <w:rFonts w:hint="eastAsia" w:ascii="宋体" w:hAnsi="宋体"/>
                <w:b/>
                <w:color w:val="000000"/>
                <w:sz w:val="24"/>
                <w:szCs w:val="21"/>
              </w:rPr>
              <w:t xml:space="preserve">得3分；</w:t>
            </w:r>
            <w:r/>
          </w:p>
          <w:p>
            <w:pPr>
              <w:spacing w:line="480" w:lineRule="exact"/>
              <w:rPr>
                <w:rFonts w:ascii="宋体" w:hAnsi="宋体"/>
                <w:color w:val="000000"/>
                <w:sz w:val="24"/>
                <w:szCs w:val="21"/>
              </w:rPr>
            </w:pPr>
            <w:r>
              <w:rPr>
                <w:rFonts w:hint="eastAsia" w:ascii="宋体" w:hAnsi="宋体"/>
                <w:b/>
                <w:bCs/>
                <w:color w:val="000000"/>
                <w:sz w:val="24"/>
                <w:szCs w:val="21"/>
              </w:rPr>
              <w:t xml:space="preserve">该项未见阐述不得分。</w:t>
            </w:r>
            <w:r/>
          </w:p>
        </w:tc>
      </w:tr>
      <w:tr>
        <w:trPr>
          <w:jc w:val="center"/>
          <w:trHeight w:val="621"/>
        </w:trPr>
        <w:tc>
          <w:tcPr>
            <w:tcW w:w="203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售后服务方案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7423" w:type="dxa"/>
            <w:vAlign w:val="center"/>
            <w:textDirection w:val="lrTb"/>
            <w:noWrap w:val="false"/>
          </w:tcPr>
          <w:p>
            <w:pPr>
              <w:spacing w:line="480" w:lineRule="exact"/>
              <w:rPr>
                <w:rFonts w:ascii="宋体" w:hAnsi="宋体"/>
                <w:color w:val="000000"/>
                <w:sz w:val="24"/>
                <w:szCs w:val="21"/>
              </w:rPr>
            </w:pPr>
            <w:r>
              <w:rPr>
                <w:rFonts w:hint="eastAsia" w:ascii="宋体" w:hAnsi="宋体"/>
                <w:color w:val="000000"/>
                <w:sz w:val="24"/>
                <w:szCs w:val="21"/>
              </w:rPr>
              <w:t xml:space="preserve">根据投标人提供的售后服务方案进行评分，内容包括但不限于服务内容、响应时间、故障处理、恢复时效、人员力量、支撑保障、是否具备完善的服务保障体系等：</w:t>
            </w:r>
            <w:r/>
          </w:p>
          <w:p>
            <w:pPr>
              <w:spacing w:line="480" w:lineRule="exact"/>
              <w:rPr>
                <w:rFonts w:ascii="宋体" w:hAnsi="宋体"/>
                <w:b/>
                <w:color w:val="000000"/>
                <w:sz w:val="24"/>
                <w:szCs w:val="21"/>
              </w:rPr>
            </w:pPr>
            <w:r>
              <w:rPr>
                <w:rFonts w:hint="eastAsia" w:ascii="宋体" w:hAnsi="宋体"/>
                <w:color w:val="000000"/>
                <w:sz w:val="24"/>
                <w:szCs w:val="21"/>
              </w:rPr>
              <w:t xml:space="preserve">方案阐述详细，响应时间及故障处理及时，人员配备合理，支撑保障措施完善，具备完善的服务保障体系的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80" w:lineRule="exact"/>
              <w:rPr>
                <w:rFonts w:ascii="宋体" w:hAnsi="宋体"/>
                <w:color w:val="000000"/>
                <w:sz w:val="24"/>
                <w:szCs w:val="21"/>
                <w:highlight w:val="none"/>
              </w:rPr>
            </w:pPr>
            <w:r>
              <w:rPr>
                <w:rFonts w:hint="eastAsia" w:ascii="宋体" w:hAnsi="宋体"/>
                <w:color w:val="000000"/>
                <w:sz w:val="24"/>
                <w:szCs w:val="21"/>
              </w:rPr>
              <w:t xml:space="preserve">方案阐述较详细，响应时间及故障处理较及</w:t>
            </w:r>
            <w:r>
              <w:rPr>
                <w:rFonts w:hint="eastAsia" w:ascii="宋体" w:hAnsi="宋体"/>
                <w:color w:val="000000"/>
                <w:sz w:val="24"/>
                <w:szCs w:val="21"/>
                <w:highlight w:val="none"/>
              </w:rPr>
              <w:t xml:space="preserve">时，人员配备较合理，支撑保障措施较完善，具有一定的服务保障体系的</w:t>
            </w:r>
            <w:r>
              <w:rPr>
                <w:rFonts w:hint="eastAsia" w:ascii="宋体" w:hAnsi="宋体"/>
                <w:b/>
                <w:color w:val="000000"/>
                <w:sz w:val="24"/>
                <w:szCs w:val="21"/>
                <w:highlight w:val="none"/>
              </w:rPr>
              <w:t xml:space="preserve">得</w:t>
            </w:r>
            <w:r>
              <w:rPr>
                <w:rFonts w:hint="eastAsia" w:ascii="宋体" w:hAnsi="宋体"/>
                <w:b/>
                <w:color w:val="000000"/>
                <w:sz w:val="24"/>
                <w:szCs w:val="21"/>
                <w:highlight w:val="none"/>
                <w:lang w:val="en-US" w:eastAsia="zh-CN"/>
              </w:rPr>
              <w:t xml:space="preserve">5</w:t>
            </w:r>
            <w:r>
              <w:rPr>
                <w:rFonts w:hint="eastAsia" w:ascii="宋体" w:hAnsi="宋体"/>
                <w:b/>
                <w:color w:val="000000"/>
                <w:sz w:val="24"/>
                <w:szCs w:val="21"/>
                <w:highlight w:val="none"/>
              </w:rPr>
              <w:t xml:space="preserve">分；</w:t>
            </w:r>
            <w:r/>
          </w:p>
          <w:p>
            <w:pPr>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方案内容简单粗糙，上述内容有缺项，可实施性一般的</w:t>
            </w:r>
            <w:r>
              <w:rPr>
                <w:rFonts w:hint="eastAsia" w:ascii="宋体" w:hAnsi="宋体"/>
                <w:b/>
                <w:color w:val="000000"/>
                <w:sz w:val="24"/>
                <w:szCs w:val="21"/>
                <w:highlight w:val="none"/>
              </w:rPr>
              <w:t xml:space="preserve">得</w:t>
            </w:r>
            <w:r>
              <w:rPr>
                <w:rFonts w:hint="eastAsia" w:ascii="宋体" w:hAnsi="宋体"/>
                <w:b/>
                <w:color w:val="000000"/>
                <w:sz w:val="24"/>
                <w:szCs w:val="21"/>
                <w:highlight w:val="none"/>
                <w:lang w:val="en-US" w:eastAsia="zh-CN"/>
              </w:rPr>
              <w:t xml:space="preserve">3</w:t>
            </w:r>
            <w:r>
              <w:rPr>
                <w:rFonts w:hint="eastAsia" w:ascii="宋体" w:hAnsi="宋体"/>
                <w:b/>
                <w:color w:val="000000"/>
                <w:sz w:val="24"/>
                <w:szCs w:val="21"/>
                <w:highlight w:val="none"/>
              </w:rPr>
              <w:t xml:space="preserve">分；</w:t>
            </w:r>
            <w:r/>
          </w:p>
          <w:p>
            <w:pPr>
              <w:spacing w:line="480" w:lineRule="exact"/>
              <w:rPr>
                <w:rFonts w:ascii="宋体" w:hAnsi="宋体"/>
                <w:color w:val="000000"/>
                <w:sz w:val="24"/>
                <w:szCs w:val="21"/>
              </w:rPr>
            </w:pPr>
            <w:r>
              <w:rPr>
                <w:rFonts w:hint="eastAsia" w:ascii="宋体" w:hAnsi="宋体"/>
                <w:b/>
                <w:bCs/>
                <w:color w:val="000000"/>
                <w:sz w:val="24"/>
                <w:szCs w:val="21"/>
              </w:rPr>
              <w:t xml:space="preserve">该项未见阐述不得分。</w:t>
            </w:r>
            <w:r/>
          </w:p>
        </w:tc>
      </w:tr>
      <w:tr>
        <w:trPr>
          <w:jc w:val="center"/>
          <w:trHeight w:val="621"/>
        </w:trPr>
        <w:tc>
          <w:tcPr>
            <w:tcW w:w="203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培训方案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分）</w:t>
            </w:r>
            <w:r/>
          </w:p>
        </w:tc>
        <w:tc>
          <w:tcPr>
            <w:tcW w:w="7423" w:type="dxa"/>
            <w:vAlign w:val="center"/>
            <w:textDirection w:val="lrTb"/>
            <w:noWrap w:val="false"/>
          </w:tcPr>
          <w:p>
            <w:pPr>
              <w:spacing w:line="480" w:lineRule="exact"/>
              <w:rPr>
                <w:rFonts w:ascii="宋体" w:hAnsi="宋体"/>
                <w:color w:val="000000"/>
                <w:sz w:val="24"/>
                <w:szCs w:val="21"/>
              </w:rPr>
            </w:pPr>
            <w:r>
              <w:rPr>
                <w:rFonts w:hint="eastAsia" w:ascii="宋体" w:hAnsi="宋体"/>
                <w:color w:val="000000"/>
                <w:sz w:val="24"/>
                <w:szCs w:val="21"/>
              </w:rPr>
              <w:t xml:space="preserve">根据投标人提供的培训方案进行评分，内容包括但不限于培训计划、培训内容、培训对象等：</w:t>
            </w:r>
            <w:r/>
          </w:p>
          <w:p>
            <w:pPr>
              <w:spacing w:line="480" w:lineRule="exact"/>
              <w:rPr>
                <w:rFonts w:ascii="宋体" w:hAnsi="宋体"/>
                <w:color w:val="000000"/>
                <w:sz w:val="24"/>
                <w:szCs w:val="21"/>
              </w:rPr>
            </w:pPr>
            <w:r>
              <w:rPr>
                <w:rFonts w:hint="eastAsia" w:ascii="宋体" w:hAnsi="宋体"/>
                <w:color w:val="000000"/>
                <w:sz w:val="24"/>
                <w:szCs w:val="21"/>
              </w:rPr>
              <w:t xml:space="preserve">内容丰富，科学合理，培训形式多样，具有可操作性的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分；</w:t>
            </w:r>
            <w:r/>
          </w:p>
          <w:p>
            <w:pPr>
              <w:spacing w:line="480" w:lineRule="exact"/>
              <w:rPr>
                <w:rFonts w:ascii="宋体" w:hAnsi="宋体"/>
                <w:b/>
                <w:color w:val="000000"/>
                <w:sz w:val="24"/>
                <w:szCs w:val="21"/>
              </w:rPr>
            </w:pPr>
            <w:r>
              <w:rPr>
                <w:rFonts w:hint="eastAsia" w:ascii="宋体" w:hAnsi="宋体"/>
                <w:color w:val="000000"/>
                <w:sz w:val="24"/>
                <w:szCs w:val="21"/>
              </w:rPr>
              <w:t xml:space="preserve">内容较丰富，较合理，培训形式较多样，可操作性较强的</w:t>
            </w:r>
            <w:r>
              <w:rPr>
                <w:rFonts w:hint="eastAsia" w:ascii="宋体" w:hAnsi="宋体"/>
                <w:b/>
                <w:color w:val="000000"/>
                <w:sz w:val="24"/>
                <w:szCs w:val="21"/>
              </w:rPr>
              <w:t xml:space="preserve">得3分；</w:t>
            </w:r>
            <w:r/>
          </w:p>
          <w:p>
            <w:pPr>
              <w:spacing w:line="480" w:lineRule="exact"/>
              <w:rPr>
                <w:rFonts w:ascii="宋体" w:hAnsi="宋体"/>
                <w:color w:val="000000"/>
                <w:sz w:val="24"/>
                <w:szCs w:val="21"/>
              </w:rPr>
            </w:pPr>
            <w:r>
              <w:rPr>
                <w:rFonts w:hint="eastAsia" w:ascii="宋体" w:hAnsi="宋体"/>
                <w:color w:val="000000"/>
                <w:sz w:val="24"/>
                <w:szCs w:val="21"/>
              </w:rPr>
              <w:t xml:space="preserve">内容简单，合理性一般，形式单一，可操作性一般的</w:t>
            </w:r>
            <w:r>
              <w:rPr>
                <w:rFonts w:hint="eastAsia" w:ascii="宋体" w:hAnsi="宋体"/>
                <w:b/>
                <w:color w:val="000000"/>
                <w:sz w:val="24"/>
                <w:szCs w:val="21"/>
              </w:rPr>
              <w:t xml:space="preserve">得1分；</w:t>
            </w:r>
            <w:r/>
          </w:p>
          <w:p>
            <w:pPr>
              <w:spacing w:line="480" w:lineRule="exact"/>
              <w:rPr>
                <w:rFonts w:ascii="宋体" w:hAnsi="宋体"/>
                <w:color w:val="000000"/>
                <w:sz w:val="24"/>
                <w:szCs w:val="21"/>
              </w:rPr>
            </w:pPr>
            <w:r>
              <w:rPr>
                <w:rFonts w:hint="eastAsia" w:ascii="宋体" w:hAnsi="宋体"/>
                <w:b/>
                <w:bCs/>
                <w:color w:val="000000"/>
                <w:sz w:val="24"/>
                <w:szCs w:val="21"/>
              </w:rPr>
              <w:t xml:space="preserve">该项未见阐述不得分。</w:t>
            </w:r>
            <w:r/>
          </w:p>
        </w:tc>
      </w:tr>
    </w:tbl>
    <w:p>
      <w:pPr>
        <w:jc w:val="left"/>
        <w:widowControl/>
        <w:rPr>
          <w:sz w:val="24"/>
          <w:szCs w:val="24"/>
        </w:rPr>
      </w:pPr>
      <w:r>
        <w:rPr>
          <w:sz w:val="24"/>
          <w:szCs w:val="24"/>
        </w:rPr>
        <w:br w:type="page" w:clear="all"/>
      </w:r>
      <w:r/>
    </w:p>
    <w:p>
      <w:pPr>
        <w:pStyle w:val="693"/>
        <w:jc w:val="center"/>
        <w:spacing w:line="360" w:lineRule="auto"/>
        <w:rPr>
          <w:rFonts w:ascii="黑体" w:hAnsi="黑体" w:eastAsia="黑体"/>
          <w:b w:val="0"/>
        </w:rPr>
      </w:pPr>
      <w:r/>
      <w:bookmarkStart w:id="11" w:name="_Toc163482578"/>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w:t>
      </w:r>
      <w:r>
        <w:rPr>
          <w:rFonts w:hint="eastAsia" w:ascii="Arial" w:hAnsi="Arial" w:eastAsia="宋体" w:cs="Arial"/>
          <w:sz w:val="32"/>
          <w:lang w:val="en-US" w:eastAsia="zh-CN"/>
        </w:rPr>
        <w:t xml:space="preserve">2023或2024年度</w:t>
      </w:r>
      <w:r>
        <w:rPr>
          <w:rFonts w:hint="eastAsia" w:ascii="Arial" w:hAnsi="Arial" w:eastAsia="宋体" w:cs="Arial"/>
          <w:sz w:val="32"/>
        </w:rPr>
        <w:t xml:space="preserve">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hint="eastAsia"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w:t>
      </w:r>
      <w:bookmarkStart w:id="25" w:name="_GoBack"/>
      <w:r/>
      <w:bookmarkEnd w:id="25"/>
      <w:r>
        <w:rPr>
          <w:rFonts w:ascii="宋体" w:hAnsi="宋体" w:eastAsia="宋体" w:cs="Times New Roman"/>
          <w:sz w:val="24"/>
          <w:szCs w:val="24"/>
        </w:rPr>
        <w:t xml:space="preserve">填报</w:t>
      </w:r>
      <w:r>
        <w:rPr>
          <w:rFonts w:hint="eastAsia" w:ascii="宋体" w:hAnsi="宋体" w:eastAsia="宋体" w:cs="Times New Roman"/>
          <w:sz w:val="24"/>
          <w:szCs w:val="24"/>
          <w:lang w:val="en-US" w:eastAsia="zh-CN"/>
        </w:rPr>
        <w:t xml:space="preserve">2023或2024年</w:t>
      </w:r>
      <w:r>
        <w:rPr>
          <w:rFonts w:ascii="宋体" w:hAnsi="宋体" w:eastAsia="宋体" w:cs="Times New Roman"/>
          <w:sz w:val="24"/>
          <w:szCs w:val="24"/>
        </w:rPr>
        <w:t xml:space="preserve">度数据，无</w:t>
      </w:r>
      <w:r>
        <w:rPr>
          <w:rFonts w:hint="eastAsia" w:ascii="宋体" w:hAnsi="宋体" w:eastAsia="宋体" w:cs="Times New Roman"/>
          <w:sz w:val="24"/>
          <w:szCs w:val="24"/>
          <w:lang w:val="en-US" w:eastAsia="zh-CN"/>
        </w:rPr>
        <w:t xml:space="preserve">2023或2024</w:t>
      </w:r>
      <w:r>
        <w:rPr>
          <w:rFonts w:ascii="宋体" w:hAnsi="宋体" w:eastAsia="宋体" w:cs="Times New Roman"/>
          <w:sz w:val="24"/>
          <w:szCs w:val="24"/>
        </w:rPr>
        <w:t xml:space="preserve">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703"/>
        <w:tblW w:w="9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01"/>
        <w:gridCol w:w="756"/>
        <w:gridCol w:w="794"/>
        <w:gridCol w:w="701"/>
        <w:gridCol w:w="607"/>
        <w:gridCol w:w="513"/>
        <w:gridCol w:w="701"/>
        <w:gridCol w:w="701"/>
        <w:gridCol w:w="1120"/>
        <w:gridCol w:w="1194"/>
      </w:tblGrid>
      <w:tr>
        <w:trPr>
          <w:jc w:val="center"/>
          <w:trHeight w:val="663"/>
        </w:trPr>
        <w:tc>
          <w:tcPr>
            <w:tcW w:w="922"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756"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11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548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22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十五、技术要求响应及偏离表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03"/>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1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十六、商务要求响应及偏离表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0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rPr>
                <w:rFonts w:ascii="宋体" w:hAnsi="宋体" w:eastAsia="宋体" w:cs="Times New Roman"/>
                <w:color w:val="000000"/>
                <w:sz w:val="24"/>
                <w:szCs w:val="24"/>
              </w:rPr>
            </w:pPr>
            <w:r/>
            <w:bookmarkStart w:id="13" w:name="_Hlt26671343"/>
            <w:r/>
            <w:bookmarkEnd w:id="13"/>
            <w:r/>
            <w:bookmarkStart w:id="14" w:name="_Hlt26580838"/>
            <w:r/>
            <w:bookmarkEnd w:id="14"/>
            <w:r/>
            <w:bookmarkStart w:id="15" w:name="_Hlt26955064"/>
            <w:r/>
            <w:bookmarkEnd w:id="15"/>
            <w:r/>
            <w:bookmarkStart w:id="16" w:name="_Hlt26609391"/>
            <w:r/>
            <w:bookmarkEnd w:id="16"/>
            <w:r/>
            <w:bookmarkStart w:id="17" w:name="_Hlt26782999"/>
            <w:r/>
            <w:bookmarkEnd w:id="17"/>
            <w:r/>
            <w:bookmarkStart w:id="18" w:name="_Hlt26671372"/>
            <w:r/>
            <w:bookmarkEnd w:id="18"/>
            <w:r/>
            <w:bookmarkStart w:id="19" w:name="_Hlt26955056"/>
            <w:r/>
            <w:bookmarkEnd w:id="19"/>
            <w:r/>
            <w:bookmarkStart w:id="20" w:name="_Hlt24879081"/>
            <w:r/>
            <w:bookmarkEnd w:id="20"/>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609389"/>
      <w:r/>
      <w:bookmarkEnd w:id="21"/>
      <w:r/>
      <w:bookmarkStart w:id="22" w:name="_Hlt26671374"/>
      <w:r/>
      <w:bookmarkEnd w:id="22"/>
      <w:r/>
      <w:bookmarkStart w:id="23" w:name="_格式2__法定代表人授权书"/>
      <w:r/>
      <w:bookmarkEnd w:id="23"/>
      <w:r/>
      <w:bookmarkStart w:id="24" w:name="_Hlt26955066"/>
      <w:r/>
      <w:bookmarkEnd w:id="24"/>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03"/>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序号</w:t>
            </w:r>
            <w:r/>
          </w:p>
        </w:tc>
        <w:tc>
          <w:tcPr>
            <w:tcW w:w="2552"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项目名称</w:t>
            </w:r>
            <w:r/>
          </w:p>
        </w:tc>
        <w:tc>
          <w:tcPr>
            <w:tcW w:w="2232"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采购单位</w:t>
            </w:r>
            <w:r/>
          </w:p>
        </w:tc>
        <w:tc>
          <w:tcPr>
            <w:tcW w:w="1594"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主要标的</w:t>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703"/>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1417"/>
        <w:gridCol w:w="2268"/>
        <w:gridCol w:w="1276"/>
        <w:gridCol w:w="1445"/>
        <w:gridCol w:w="1744"/>
      </w:tblGrid>
      <w:tr>
        <w:trPr>
          <w:cantSplit/>
          <w:jc w:val="center"/>
        </w:trPr>
        <w:tc>
          <w:tcPr>
            <w:tcW w:w="13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6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4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4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 xml:space="preserve">十九、开标一览表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729"/>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left"/>
        <w:rPr>
          <w:rFonts w:hint="eastAsia" w:ascii="黑体" w:hAnsi="黑体" w:eastAsia="黑体" w:cs="仿宋"/>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Times New Roman Regular">
    <w:panose1 w:val="02020603050405020304"/>
  </w:font>
  <w:font w:name="MS Mincho">
    <w:panose1 w:val="02020603050405090304"/>
  </w:font>
  <w:font w:name="汉仪书宋二S">
    <w:panose1 w:val="020B0503020202020204"/>
  </w:font>
  <w:font w:name="仿宋">
    <w:panose1 w:val="02010609060101010101"/>
  </w:font>
  <w:font w:name="Segoe UI">
    <w:panose1 w:val="020B0502040204020203"/>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
  </w:p>
  <w:p>
    <w:pPr>
      <w:pStyle w:val="7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16"/>
          <w:jc w:val="center"/>
        </w:pPr>
        <w:r>
          <w:fldChar w:fldCharType="begin"/>
        </w:r>
        <w:r>
          <w:instrText xml:space="preserve"> PAGE   \* MERGEFORMAT </w:instrText>
        </w:r>
        <w:r>
          <w:fldChar w:fldCharType="separate"/>
        </w:r>
        <w:r>
          <w:rPr>
            <w:lang w:val="zh-CN"/>
          </w:rPr>
          <w:t xml:space="preserve">12</w:t>
        </w:r>
        <w:r>
          <w:rPr>
            <w:lang w:val="zh-CN"/>
          </w:rPr>
          <w:fldChar w:fldCharType="end"/>
        </w:r>
        <w:r/>
      </w:p>
    </w:sdtContent>
  </w:sdt>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93">
    <w:name w:val="Heading 1"/>
    <w:basedOn w:val="692"/>
    <w:next w:val="692"/>
    <w:link w:val="887"/>
    <w:uiPriority w:val="9"/>
    <w:qFormat/>
    <w:pPr>
      <w:keepLines/>
      <w:keepNext/>
      <w:spacing w:before="340" w:after="330" w:line="578" w:lineRule="auto"/>
      <w:outlineLvl w:val="0"/>
    </w:pPr>
    <w:rPr>
      <w:b/>
      <w:bCs/>
      <w:sz w:val="44"/>
      <w:szCs w:val="44"/>
    </w:rPr>
  </w:style>
  <w:style w:type="paragraph" w:styleId="694">
    <w:name w:val="Heading 2"/>
    <w:basedOn w:val="692"/>
    <w:next w:val="692"/>
    <w:link w:val="88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889"/>
    <w:uiPriority w:val="9"/>
    <w:unhideWhenUsed/>
    <w:qFormat/>
    <w:pPr>
      <w:keepLines/>
      <w:keepNext/>
      <w:spacing w:before="260" w:after="260" w:line="416" w:lineRule="auto"/>
      <w:outlineLvl w:val="2"/>
    </w:pPr>
    <w:rPr>
      <w:b/>
      <w:bCs/>
      <w:sz w:val="32"/>
      <w:szCs w:val="32"/>
    </w:rPr>
  </w:style>
  <w:style w:type="paragraph" w:styleId="696">
    <w:name w:val="Heading 4"/>
    <w:basedOn w:val="692"/>
    <w:next w:val="692"/>
    <w:link w:val="738"/>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Document Map"/>
    <w:basedOn w:val="692"/>
    <w:link w:val="888"/>
    <w:uiPriority w:val="99"/>
    <w:semiHidden/>
    <w:unhideWhenUsed/>
    <w:qFormat/>
    <w:rPr>
      <w:rFonts w:ascii="宋体" w:eastAsia="宋体"/>
      <w:sz w:val="18"/>
      <w:szCs w:val="18"/>
    </w:rPr>
  </w:style>
  <w:style w:type="paragraph" w:styleId="707">
    <w:name w:val="annotation text"/>
    <w:basedOn w:val="692"/>
    <w:link w:val="891"/>
    <w:uiPriority w:val="0"/>
    <w:qFormat/>
    <w:pPr>
      <w:ind w:firstLine="922"/>
      <w:jc w:val="left"/>
      <w:spacing w:line="360" w:lineRule="auto"/>
    </w:pPr>
    <w:rPr>
      <w:rFonts w:ascii="Times New Roman" w:hAnsi="Times New Roman" w:eastAsia="宋体" w:cs="Times New Roman"/>
      <w:szCs w:val="24"/>
    </w:rPr>
  </w:style>
  <w:style w:type="paragraph" w:styleId="708">
    <w:name w:val="Body Text Indent"/>
    <w:basedOn w:val="692"/>
    <w:next w:val="709"/>
    <w:uiPriority w:val="0"/>
    <w:qFormat/>
    <w:pPr>
      <w:ind w:left="420"/>
      <w:spacing w:after="120"/>
    </w:pPr>
    <w:rPr>
      <w:rFonts w:ascii="Times New Roman" w:hAnsi="Times New Roman" w:eastAsia="宋体" w:cs="Times New Roman"/>
      <w:szCs w:val="24"/>
    </w:rPr>
  </w:style>
  <w:style w:type="paragraph" w:styleId="709">
    <w:name w:val="envelope return"/>
    <w:basedOn w:val="692"/>
    <w:uiPriority w:val="0"/>
    <w:qFormat/>
    <w:rPr>
      <w:rFonts w:ascii="Arial" w:hAnsi="Arial" w:eastAsia="宋体" w:cs="Times New Roman"/>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Date"/>
    <w:basedOn w:val="692"/>
    <w:next w:val="692"/>
    <w:link w:val="890"/>
    <w:uiPriority w:val="99"/>
    <w:semiHidden/>
    <w:unhideWhenUsed/>
    <w:qFormat/>
    <w:pPr>
      <w:ind w:left="100"/>
    </w:pPr>
  </w:style>
  <w:style w:type="paragraph" w:styleId="714">
    <w:name w:val="endnote text"/>
    <w:basedOn w:val="692"/>
    <w:link w:val="880"/>
    <w:uiPriority w:val="99"/>
    <w:semiHidden/>
    <w:unhideWhenUsed/>
    <w:pPr>
      <w:spacing w:after="0" w:line="240" w:lineRule="auto"/>
    </w:pPr>
    <w:rPr>
      <w:sz w:val="20"/>
    </w:rPr>
  </w:style>
  <w:style w:type="paragraph" w:styleId="715">
    <w:name w:val="Balloon Text"/>
    <w:basedOn w:val="692"/>
    <w:link w:val="892"/>
    <w:uiPriority w:val="99"/>
    <w:semiHidden/>
    <w:unhideWhenUsed/>
    <w:qFormat/>
    <w:rPr>
      <w:sz w:val="18"/>
      <w:szCs w:val="18"/>
    </w:rPr>
  </w:style>
  <w:style w:type="paragraph" w:styleId="716">
    <w:name w:val="Footer"/>
    <w:basedOn w:val="692"/>
    <w:link w:val="886"/>
    <w:uiPriority w:val="99"/>
    <w:unhideWhenUsed/>
    <w:qFormat/>
    <w:pPr>
      <w:jc w:val="left"/>
      <w:tabs>
        <w:tab w:val="center" w:pos="4153" w:leader="none"/>
        <w:tab w:val="right" w:pos="8306" w:leader="none"/>
      </w:tabs>
    </w:pPr>
    <w:rPr>
      <w:sz w:val="18"/>
      <w:szCs w:val="18"/>
    </w:rPr>
  </w:style>
  <w:style w:type="paragraph" w:styleId="717">
    <w:name w:val="Header"/>
    <w:basedOn w:val="69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2"/>
    <w:next w:val="692"/>
    <w:uiPriority w:val="39"/>
    <w:unhideWhenUsed/>
    <w:qFormat/>
    <w:pPr>
      <w:jc w:val="center"/>
      <w:spacing w:line="480" w:lineRule="auto"/>
      <w:tabs>
        <w:tab w:val="right" w:pos="9628" w:leader="dot"/>
      </w:tabs>
    </w:pPr>
    <w:rPr>
      <w:b/>
      <w:sz w:val="44"/>
      <w:szCs w:val="44"/>
    </w:rPr>
  </w:style>
  <w:style w:type="paragraph" w:styleId="719">
    <w:name w:val="toc 4"/>
    <w:basedOn w:val="692"/>
    <w:next w:val="692"/>
    <w:uiPriority w:val="39"/>
    <w:unhideWhenUsed/>
    <w:qFormat/>
    <w:pPr>
      <w:ind w:left="850" w:right="0" w:firstLine="0"/>
      <w:spacing w:after="57"/>
    </w:pPr>
  </w:style>
  <w:style w:type="paragraph" w:styleId="720">
    <w:name w:val="Subtitle"/>
    <w:basedOn w:val="692"/>
    <w:next w:val="692"/>
    <w:link w:val="746"/>
    <w:uiPriority w:val="11"/>
    <w:qFormat/>
    <w:pPr>
      <w:spacing w:before="200" w:after="200"/>
    </w:pPr>
    <w:rPr>
      <w:sz w:val="24"/>
      <w:szCs w:val="24"/>
    </w:rPr>
  </w:style>
  <w:style w:type="paragraph" w:styleId="721">
    <w:name w:val="footnote text"/>
    <w:basedOn w:val="692"/>
    <w:link w:val="879"/>
    <w:uiPriority w:val="99"/>
    <w:semiHidden/>
    <w:unhideWhenUsed/>
    <w:qFormat/>
    <w:pPr>
      <w:spacing w:after="40" w:line="240" w:lineRule="auto"/>
    </w:pPr>
    <w:rPr>
      <w:sz w:val="18"/>
    </w:rPr>
  </w:style>
  <w:style w:type="paragraph" w:styleId="722">
    <w:name w:val="toc 6"/>
    <w:basedOn w:val="692"/>
    <w:next w:val="692"/>
    <w:uiPriority w:val="39"/>
    <w:unhideWhenUsed/>
    <w:pPr>
      <w:ind w:left="1417" w:right="0" w:firstLine="0"/>
      <w:spacing w:after="57"/>
    </w:pPr>
  </w:style>
  <w:style w:type="paragraph" w:styleId="723">
    <w:name w:val="table of figures"/>
    <w:basedOn w:val="692"/>
    <w:next w:val="692"/>
    <w:uiPriority w:val="99"/>
    <w:unhideWhenUsed/>
    <w:pPr>
      <w:spacing w:after="0" w:afterAutospacing="0"/>
    </w:pPr>
  </w:style>
  <w:style w:type="paragraph" w:styleId="724">
    <w:name w:val="toc 2"/>
    <w:basedOn w:val="692"/>
    <w:next w:val="692"/>
    <w:uiPriority w:val="39"/>
    <w:unhideWhenUsed/>
    <w:pPr>
      <w:ind w:left="283" w:right="0" w:firstLine="0"/>
      <w:spacing w:after="57"/>
    </w:pPr>
  </w:style>
  <w:style w:type="paragraph" w:styleId="725">
    <w:name w:val="toc 9"/>
    <w:basedOn w:val="692"/>
    <w:next w:val="692"/>
    <w:uiPriority w:val="39"/>
    <w:unhideWhenUsed/>
    <w:pPr>
      <w:ind w:left="2268" w:right="0" w:firstLine="0"/>
      <w:spacing w:after="57"/>
    </w:pPr>
  </w:style>
  <w:style w:type="paragraph" w:styleId="726">
    <w:name w:val="Normal (Web)"/>
    <w:basedOn w:val="692"/>
    <w:uiPriority w:val="0"/>
    <w:qFormat/>
    <w:pPr>
      <w:ind w:left="0" w:right="0"/>
      <w:jc w:val="left"/>
      <w:spacing w:before="0" w:beforeAutospacing="1" w:after="0" w:afterAutospacing="1"/>
    </w:pPr>
    <w:rPr>
      <w:sz w:val="24"/>
      <w:lang w:val="en-US" w:eastAsia="zh-CN" w:bidi="ar"/>
    </w:rPr>
  </w:style>
  <w:style w:type="paragraph" w:styleId="727">
    <w:name w:val="Title"/>
    <w:basedOn w:val="692"/>
    <w:next w:val="692"/>
    <w:link w:val="745"/>
    <w:uiPriority w:val="10"/>
    <w:qFormat/>
    <w:pPr>
      <w:contextualSpacing/>
      <w:spacing w:before="300" w:after="200"/>
    </w:pPr>
    <w:rPr>
      <w:sz w:val="48"/>
      <w:szCs w:val="48"/>
    </w:rPr>
  </w:style>
  <w:style w:type="paragraph" w:styleId="728">
    <w:name w:val="Body Text First Indent 2"/>
    <w:basedOn w:val="708"/>
    <w:uiPriority w:val="99"/>
    <w:unhideWhenUsed/>
    <w:qFormat/>
    <w:pPr>
      <w:ind w:firstLine="420"/>
    </w:pPr>
  </w:style>
  <w:style w:type="table" w:styleId="729">
    <w:name w:val="Table Grid"/>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Strong"/>
    <w:basedOn w:val="702"/>
    <w:uiPriority w:val="0"/>
    <w:qFormat/>
    <w:rPr>
      <w:b/>
    </w:rPr>
  </w:style>
  <w:style w:type="character" w:styleId="731">
    <w:name w:val="endnote reference"/>
    <w:basedOn w:val="702"/>
    <w:uiPriority w:val="99"/>
    <w:semiHidden/>
    <w:unhideWhenUsed/>
    <w:rPr>
      <w:vertAlign w:val="superscript"/>
    </w:rPr>
  </w:style>
  <w:style w:type="character" w:styleId="732">
    <w:name w:val="Hyperlink"/>
    <w:uiPriority w:val="99"/>
    <w:qFormat/>
    <w:rPr>
      <w:color w:val="0000ff"/>
      <w:u w:val="none"/>
    </w:rPr>
  </w:style>
  <w:style w:type="character" w:styleId="733">
    <w:name w:val="annotation reference"/>
    <w:uiPriority w:val="0"/>
    <w:qFormat/>
    <w:rPr>
      <w:sz w:val="21"/>
      <w:szCs w:val="21"/>
    </w:rPr>
  </w:style>
  <w:style w:type="character" w:styleId="734">
    <w:name w:val="footnote reference"/>
    <w:basedOn w:val="702"/>
    <w:uiPriority w:val="99"/>
    <w:unhideWhenUsed/>
    <w:rPr>
      <w:vertAlign w:val="superscript"/>
    </w:rPr>
  </w:style>
  <w:style w:type="character" w:styleId="735" w:customStyle="1">
    <w:name w:val="Heading 1 Char"/>
    <w:basedOn w:val="702"/>
    <w:uiPriority w:val="9"/>
    <w:rPr>
      <w:rFonts w:ascii="Arial" w:hAnsi="Arial" w:eastAsia="Arial" w:cs="Arial"/>
      <w:sz w:val="40"/>
      <w:szCs w:val="40"/>
    </w:rPr>
  </w:style>
  <w:style w:type="character" w:styleId="736" w:customStyle="1">
    <w:name w:val="Heading 2 Char"/>
    <w:basedOn w:val="702"/>
    <w:uiPriority w:val="9"/>
    <w:qFormat/>
    <w:rPr>
      <w:rFonts w:ascii="Arial" w:hAnsi="Arial" w:eastAsia="Arial" w:cs="Arial"/>
      <w:sz w:val="34"/>
    </w:rPr>
  </w:style>
  <w:style w:type="character" w:styleId="737" w:customStyle="1">
    <w:name w:val="Heading 3 Char"/>
    <w:basedOn w:val="702"/>
    <w:uiPriority w:val="9"/>
    <w:rPr>
      <w:rFonts w:ascii="Arial" w:hAnsi="Arial" w:eastAsia="Arial" w:cs="Arial"/>
      <w:sz w:val="30"/>
      <w:szCs w:val="30"/>
    </w:rPr>
  </w:style>
  <w:style w:type="character" w:styleId="738" w:customStyle="1">
    <w:name w:val="Heading 4 Char"/>
    <w:basedOn w:val="702"/>
    <w:link w:val="696"/>
    <w:uiPriority w:val="9"/>
    <w:qFormat/>
    <w:rPr>
      <w:rFonts w:ascii="Arial" w:hAnsi="Arial" w:eastAsia="Arial" w:cs="Arial"/>
      <w:b/>
      <w:bCs/>
      <w:sz w:val="26"/>
      <w:szCs w:val="26"/>
    </w:rPr>
  </w:style>
  <w:style w:type="character" w:styleId="739" w:customStyle="1">
    <w:name w:val="Heading 5 Char"/>
    <w:basedOn w:val="702"/>
    <w:link w:val="697"/>
    <w:uiPriority w:val="9"/>
    <w:qFormat/>
    <w:rPr>
      <w:rFonts w:ascii="Arial" w:hAnsi="Arial" w:eastAsia="Arial" w:cs="Arial"/>
      <w:b/>
      <w:bCs/>
      <w:sz w:val="24"/>
      <w:szCs w:val="24"/>
    </w:rPr>
  </w:style>
  <w:style w:type="character" w:styleId="740" w:customStyle="1">
    <w:name w:val="Heading 6 Char"/>
    <w:basedOn w:val="702"/>
    <w:link w:val="698"/>
    <w:uiPriority w:val="9"/>
    <w:qFormat/>
    <w:rPr>
      <w:rFonts w:ascii="Arial" w:hAnsi="Arial" w:eastAsia="Arial" w:cs="Arial"/>
      <w:b/>
      <w:bCs/>
      <w:sz w:val="22"/>
      <w:szCs w:val="22"/>
    </w:rPr>
  </w:style>
  <w:style w:type="character" w:styleId="741" w:customStyle="1">
    <w:name w:val="Heading 7 Char"/>
    <w:basedOn w:val="702"/>
    <w:link w:val="699"/>
    <w:uiPriority w:val="9"/>
    <w:qFormat/>
    <w:rPr>
      <w:rFonts w:ascii="Arial" w:hAnsi="Arial" w:eastAsia="Arial" w:cs="Arial"/>
      <w:b/>
      <w:bCs/>
      <w:i/>
      <w:iCs/>
      <w:sz w:val="22"/>
      <w:szCs w:val="22"/>
    </w:rPr>
  </w:style>
  <w:style w:type="character" w:styleId="742" w:customStyle="1">
    <w:name w:val="Heading 8 Char"/>
    <w:basedOn w:val="702"/>
    <w:link w:val="700"/>
    <w:uiPriority w:val="9"/>
    <w:qFormat/>
    <w:rPr>
      <w:rFonts w:ascii="Arial" w:hAnsi="Arial" w:eastAsia="Arial" w:cs="Arial"/>
      <w:i/>
      <w:iCs/>
      <w:sz w:val="22"/>
      <w:szCs w:val="22"/>
    </w:rPr>
  </w:style>
  <w:style w:type="character" w:styleId="743" w:customStyle="1">
    <w:name w:val="Heading 9 Char"/>
    <w:basedOn w:val="702"/>
    <w:link w:val="701"/>
    <w:uiPriority w:val="9"/>
    <w:rPr>
      <w:rFonts w:ascii="Arial" w:hAnsi="Arial" w:eastAsia="Arial" w:cs="Arial"/>
      <w:i/>
      <w:iCs/>
      <w:sz w:val="21"/>
      <w:szCs w:val="21"/>
    </w:r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basedOn w:val="702"/>
    <w:link w:val="727"/>
    <w:uiPriority w:val="10"/>
    <w:qFormat/>
    <w:rPr>
      <w:sz w:val="48"/>
      <w:szCs w:val="48"/>
    </w:rPr>
  </w:style>
  <w:style w:type="character" w:styleId="746" w:customStyle="1">
    <w:name w:val="Subtitle Char"/>
    <w:basedOn w:val="702"/>
    <w:link w:val="720"/>
    <w:uiPriority w:val="11"/>
    <w:qFormat/>
    <w:rPr>
      <w:sz w:val="24"/>
      <w:szCs w:val="24"/>
    </w:rPr>
  </w:style>
  <w:style w:type="paragraph" w:styleId="747">
    <w:name w:val="Quote"/>
    <w:basedOn w:val="692"/>
    <w:next w:val="692"/>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2"/>
    <w:next w:val="692"/>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rPr>
      <w:i/>
    </w:rPr>
  </w:style>
  <w:style w:type="character" w:styleId="751" w:customStyle="1">
    <w:name w:val="Header Char"/>
    <w:basedOn w:val="702"/>
    <w:uiPriority w:val="99"/>
  </w:style>
  <w:style w:type="character" w:styleId="752" w:customStyle="1">
    <w:name w:val="Footer Char"/>
    <w:basedOn w:val="702"/>
    <w:uiPriority w:val="99"/>
  </w:style>
  <w:style w:type="character" w:styleId="753" w:customStyle="1">
    <w:name w:val="Caption Char"/>
    <w:uiPriority w:val="99"/>
  </w:style>
  <w:style w:type="table" w:styleId="754" w:customStyle="1">
    <w:name w:val="Table Grid Light"/>
    <w:basedOn w:val="70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70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0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0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70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703"/>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70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70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703"/>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703"/>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0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703"/>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703"/>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70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703"/>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703"/>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703"/>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basedOn w:val="70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703"/>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70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703"/>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703"/>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703"/>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0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703"/>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basedOn w:val="703"/>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basedOn w:val="7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basedOn w:val="703"/>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basedOn w:val="703"/>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basedOn w:val="703"/>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7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70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basedOn w:val="70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703"/>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basedOn w:val="703"/>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basedOn w:val="70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703"/>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703"/>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70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703"/>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703"/>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703"/>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70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703"/>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703"/>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70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703"/>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703"/>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703"/>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basedOn w:val="70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703"/>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703"/>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70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703"/>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703"/>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703"/>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basedOn w:val="70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703"/>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basedOn w:val="703"/>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70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70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703"/>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703"/>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basedOn w:val="70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703"/>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basedOn w:val="703"/>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basedOn w:val="70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basedOn w:val="703"/>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basedOn w:val="703"/>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basedOn w:val="703"/>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basedOn w:val="70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703"/>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703"/>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70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703"/>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703"/>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703"/>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0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7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basedOn w:val="703"/>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basedOn w:val="70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basedOn w:val="703"/>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basedOn w:val="703"/>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basedOn w:val="703"/>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basedOn w:val="70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703"/>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703"/>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70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703"/>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7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703"/>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basedOn w:val="70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703"/>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basedOn w:val="703"/>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basedOn w:val="70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basedOn w:val="7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basedOn w:val="703"/>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basedOn w:val="703"/>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basedOn w:val="70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70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basedOn w:val="703"/>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basedOn w:val="70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basedOn w:val="70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basedOn w:val="703"/>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basedOn w:val="703"/>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1"/>
    <w:uiPriority w:val="99"/>
    <w:rPr>
      <w:sz w:val="18"/>
    </w:rPr>
  </w:style>
  <w:style w:type="character" w:styleId="880" w:customStyle="1">
    <w:name w:val="Endnote Text Char"/>
    <w:link w:val="714"/>
    <w:uiPriority w:val="99"/>
    <w:rPr>
      <w:sz w:val="20"/>
    </w:rPr>
  </w:style>
  <w:style w:type="paragraph" w:styleId="881" w:customStyle="1">
    <w:name w:val="TOC Heading"/>
    <w:uiPriority w:val="39"/>
    <w:unhideWhenUsed/>
    <w:rPr>
      <w:rFonts w:hint="default" w:ascii="Times New Roman" w:hAnsi="Times New Roman" w:eastAsia="宋体" w:cs="Times New Roman"/>
    </w:rPr>
  </w:style>
  <w:style w:type="paragraph" w:styleId="882" w:customStyle="1">
    <w:name w:val="正文首行缩进11"/>
    <w:basedOn w:val="883"/>
    <w:uiPriority w:val="0"/>
    <w:qFormat/>
    <w:pPr>
      <w:ind w:firstLine="200"/>
      <w:spacing w:line="360" w:lineRule="auto"/>
    </w:pPr>
    <w:rPr>
      <w:rFonts w:ascii="仿宋_GB2312" w:hAnsi="Times New Roman" w:eastAsia="仿宋_GB2312"/>
      <w:sz w:val="30"/>
      <w:szCs w:val="30"/>
    </w:rPr>
  </w:style>
  <w:style w:type="paragraph" w:styleId="883" w:customStyle="1">
    <w:name w:val="正文文本11"/>
    <w:basedOn w:val="692"/>
    <w:next w:val="692"/>
    <w:uiPriority w:val="0"/>
    <w:qFormat/>
    <w:rPr>
      <w:rFonts w:ascii="楷体_GB2312" w:hAnsi="Arial" w:eastAsia="楷体_GB2312"/>
      <w:sz w:val="28"/>
      <w:szCs w:val="28"/>
      <w:lang w:eastAsia="en-US"/>
    </w:rPr>
  </w:style>
  <w:style w:type="character" w:styleId="884" w:customStyle="1">
    <w:name w:val="标题 2 Char"/>
    <w:basedOn w:val="702"/>
    <w:link w:val="694"/>
    <w:uiPriority w:val="9"/>
    <w:qFormat/>
    <w:rPr>
      <w:rFonts w:asciiTheme="majorHAnsi" w:hAnsiTheme="majorHAnsi" w:eastAsiaTheme="majorEastAsia" w:cstheme="majorBidi"/>
      <w:b/>
      <w:bCs/>
      <w:sz w:val="32"/>
      <w:szCs w:val="32"/>
    </w:rPr>
  </w:style>
  <w:style w:type="character" w:styleId="885" w:customStyle="1">
    <w:name w:val="页眉 Char"/>
    <w:basedOn w:val="702"/>
    <w:link w:val="717"/>
    <w:uiPriority w:val="99"/>
    <w:semiHidden/>
    <w:qFormat/>
    <w:rPr>
      <w:sz w:val="18"/>
      <w:szCs w:val="18"/>
    </w:rPr>
  </w:style>
  <w:style w:type="character" w:styleId="886" w:customStyle="1">
    <w:name w:val="页脚 Char"/>
    <w:basedOn w:val="702"/>
    <w:link w:val="716"/>
    <w:uiPriority w:val="99"/>
    <w:qFormat/>
    <w:rPr>
      <w:sz w:val="18"/>
      <w:szCs w:val="18"/>
    </w:rPr>
  </w:style>
  <w:style w:type="character" w:styleId="887" w:customStyle="1">
    <w:name w:val="标题 1 Char"/>
    <w:basedOn w:val="702"/>
    <w:link w:val="693"/>
    <w:uiPriority w:val="9"/>
    <w:qFormat/>
    <w:rPr>
      <w:b/>
      <w:bCs/>
      <w:sz w:val="44"/>
      <w:szCs w:val="44"/>
    </w:rPr>
  </w:style>
  <w:style w:type="character" w:styleId="888" w:customStyle="1">
    <w:name w:val="文档结构图 Char"/>
    <w:basedOn w:val="702"/>
    <w:link w:val="706"/>
    <w:uiPriority w:val="99"/>
    <w:semiHidden/>
    <w:qFormat/>
    <w:rPr>
      <w:rFonts w:ascii="宋体" w:eastAsia="宋体"/>
      <w:sz w:val="18"/>
      <w:szCs w:val="18"/>
    </w:rPr>
  </w:style>
  <w:style w:type="character" w:styleId="889" w:customStyle="1">
    <w:name w:val="标题 3 Char"/>
    <w:basedOn w:val="702"/>
    <w:link w:val="695"/>
    <w:uiPriority w:val="9"/>
    <w:qFormat/>
    <w:rPr>
      <w:b/>
      <w:bCs/>
      <w:sz w:val="32"/>
      <w:szCs w:val="32"/>
    </w:rPr>
  </w:style>
  <w:style w:type="character" w:styleId="890" w:customStyle="1">
    <w:name w:val="日期 Char"/>
    <w:basedOn w:val="702"/>
    <w:link w:val="713"/>
    <w:uiPriority w:val="99"/>
    <w:semiHidden/>
    <w:qFormat/>
  </w:style>
  <w:style w:type="character" w:styleId="891" w:customStyle="1">
    <w:name w:val="批注文字 Char"/>
    <w:basedOn w:val="702"/>
    <w:link w:val="707"/>
    <w:uiPriority w:val="0"/>
    <w:qFormat/>
    <w:rPr>
      <w:rFonts w:ascii="Times New Roman" w:hAnsi="Times New Roman" w:eastAsia="宋体" w:cs="Times New Roman"/>
      <w:szCs w:val="24"/>
    </w:rPr>
  </w:style>
  <w:style w:type="character" w:styleId="892" w:customStyle="1">
    <w:name w:val="批注框文本 Char"/>
    <w:basedOn w:val="702"/>
    <w:link w:val="715"/>
    <w:uiPriority w:val="99"/>
    <w:semiHidden/>
    <w:qFormat/>
    <w:rPr>
      <w:sz w:val="18"/>
      <w:szCs w:val="18"/>
    </w:rPr>
  </w:style>
  <w:style w:type="paragraph" w:styleId="893" w:customStyle="1">
    <w:name w:val="Default"/>
    <w:uiPriority w:val="99"/>
    <w:qFormat/>
    <w:pPr>
      <w:ind w:firstLine="420"/>
      <w:spacing w:line="360" w:lineRule="auto"/>
      <w:widowControl w:val="off"/>
    </w:pPr>
    <w:rPr>
      <w:rFonts w:hint="default" w:ascii="宋体" w:hAnsi="宋体" w:eastAsia="宋体" w:cs="Times New Roman"/>
      <w:i/>
      <w:sz w:val="21"/>
      <w:szCs w:val="24"/>
      <w:u w:val="single"/>
      <w:lang w:val="en-US" w:eastAsia="zh-CN" w:bidi="ar-SA"/>
    </w:rPr>
  </w:style>
  <w:style w:type="paragraph" w:styleId="894">
    <w:name w:val="List Paragraph"/>
    <w:basedOn w:val="692"/>
    <w:uiPriority w:val="0"/>
    <w:qFormat/>
    <w:pPr>
      <w:ind w:firstLine="420"/>
    </w:pPr>
  </w:style>
  <w:style w:type="character" w:styleId="895" w:customStyle="1">
    <w:name w:val="font21"/>
    <w:basedOn w:val="702"/>
    <w:uiPriority w:val="0"/>
    <w:qFormat/>
    <w:rPr>
      <w:rFonts w:hint="eastAsia" w:ascii="宋体" w:hAnsi="宋体" w:eastAsia="宋体" w:cs="宋体"/>
      <w:color w:val="000000"/>
      <w:sz w:val="21"/>
      <w:szCs w:val="21"/>
      <w:u w:val="none"/>
    </w:rPr>
  </w:style>
  <w:style w:type="character" w:styleId="896" w:customStyle="1">
    <w:name w:val="font31"/>
    <w:basedOn w:val="702"/>
    <w:uiPriority w:val="0"/>
    <w:qFormat/>
    <w:rPr>
      <w:rFonts w:hint="default" w:ascii="Calibri" w:hAnsi="Calibri" w:cs="Calibri"/>
      <w:color w:val="000000"/>
      <w:sz w:val="21"/>
      <w:szCs w:val="21"/>
      <w:u w:val="none"/>
    </w:rPr>
  </w:style>
  <w:style w:type="character" w:styleId="897" w:customStyle="1">
    <w:name w:val="font91"/>
    <w:basedOn w:val="702"/>
    <w:uiPriority w:val="0"/>
    <w:qFormat/>
    <w:rPr>
      <w:rFonts w:hint="eastAsia" w:ascii="宋体" w:hAnsi="宋体" w:eastAsia="宋体" w:cs="宋体"/>
      <w:color w:val="000000"/>
      <w:sz w:val="20"/>
      <w:szCs w:val="20"/>
      <w:u w:val="none"/>
    </w:rPr>
  </w:style>
  <w:style w:type="character" w:styleId="898" w:customStyle="1">
    <w:name w:val="font51"/>
    <w:basedOn w:val="702"/>
    <w:uiPriority w:val="0"/>
    <w:qFormat/>
    <w:rPr>
      <w:rFonts w:hint="eastAsia" w:ascii="宋体" w:hAnsi="宋体" w:eastAsia="宋体" w:cs="宋体"/>
      <w:color w:val="000000"/>
      <w:sz w:val="20"/>
      <w:szCs w:val="20"/>
      <w:u w:val="none"/>
    </w:rPr>
  </w:style>
  <w:style w:type="character" w:styleId="899" w:customStyle="1">
    <w:name w:val="font131"/>
    <w:basedOn w:val="702"/>
    <w:uiPriority w:val="0"/>
    <w:qFormat/>
    <w:rPr>
      <w:rFonts w:hint="eastAsia" w:ascii="宋体" w:hAnsi="宋体" w:eastAsia="宋体" w:cs="宋体"/>
      <w:color w:val="ff0000"/>
      <w:sz w:val="20"/>
      <w:szCs w:val="20"/>
      <w:u w:val="none"/>
    </w:rPr>
  </w:style>
  <w:style w:type="character" w:styleId="900" w:customStyle="1">
    <w:name w:val="font141"/>
    <w:basedOn w:val="702"/>
    <w:uiPriority w:val="0"/>
    <w:qFormat/>
    <w:rPr>
      <w:rFonts w:hint="eastAsia" w:ascii="宋体" w:hAnsi="宋体" w:eastAsia="宋体" w:cs="宋体"/>
      <w:color w:val="000000"/>
      <w:sz w:val="20"/>
      <w:szCs w:val="20"/>
      <w:u w:val="none"/>
    </w:rPr>
  </w:style>
  <w:style w:type="character" w:styleId="901" w:customStyle="1">
    <w:name w:val="font101"/>
    <w:basedOn w:val="702"/>
    <w:uiPriority w:val="0"/>
    <w:qFormat/>
    <w:rPr>
      <w:rFonts w:hint="eastAsia" w:ascii="宋体" w:hAnsi="宋体" w:eastAsia="宋体" w:cs="宋体"/>
      <w:color w:val="000000"/>
      <w:sz w:val="20"/>
      <w:szCs w:val="20"/>
      <w:u w:val="none"/>
    </w:rPr>
  </w:style>
  <w:style w:type="character" w:styleId="902" w:customStyle="1">
    <w:name w:val="font112"/>
    <w:basedOn w:val="702"/>
    <w:uiPriority w:val="0"/>
    <w:qFormat/>
    <w:rPr>
      <w:rFonts w:hint="eastAsia" w:ascii="宋体" w:hAnsi="宋体" w:eastAsia="宋体" w:cs="宋体"/>
      <w:color w:val="000000"/>
      <w:sz w:val="20"/>
      <w:szCs w:val="20"/>
      <w:u w:val="none"/>
    </w:rPr>
  </w:style>
  <w:style w:type="character" w:styleId="903" w:customStyle="1">
    <w:name w:val="font41"/>
    <w:basedOn w:val="702"/>
    <w:uiPriority w:val="0"/>
    <w:qFormat/>
    <w:rPr>
      <w:rFonts w:hint="eastAsia" w:ascii="宋体" w:hAnsi="宋体" w:eastAsia="宋体" w:cs="宋体"/>
      <w:b/>
      <w:bCs/>
      <w:color w:val="ff0000"/>
      <w:sz w:val="20"/>
      <w:szCs w:val="20"/>
      <w:u w:val="none"/>
    </w:rPr>
  </w:style>
  <w:style w:type="character" w:styleId="904" w:customStyle="1">
    <w:name w:val="font151"/>
    <w:basedOn w:val="702"/>
    <w:uiPriority w:val="0"/>
    <w:qFormat/>
    <w:rPr>
      <w:rFonts w:hint="eastAsia" w:ascii="宋体" w:hAnsi="宋体" w:eastAsia="宋体" w:cs="宋体"/>
      <w:color w:val="000000"/>
      <w:sz w:val="20"/>
      <w:szCs w:val="20"/>
      <w:u w:val="none"/>
    </w:rPr>
  </w:style>
  <w:style w:type="character" w:styleId="905" w:customStyle="1">
    <w:name w:val="font121"/>
    <w:basedOn w:val="702"/>
    <w:uiPriority w:val="0"/>
    <w:qFormat/>
    <w:rPr>
      <w:rFonts w:hint="eastAsia" w:ascii="宋体" w:hAnsi="宋体" w:eastAsia="宋体" w:cs="宋体"/>
      <w:color w:val="000000"/>
      <w:sz w:val="20"/>
      <w:szCs w:val="20"/>
      <w:u w:val="none"/>
    </w:rPr>
  </w:style>
  <w:style w:type="character" w:styleId="906" w:customStyle="1">
    <w:name w:val="font81"/>
    <w:basedOn w:val="702"/>
    <w:uiPriority w:val="0"/>
    <w:qFormat/>
    <w:rPr>
      <w:rFonts w:hint="eastAsia" w:ascii="宋体" w:hAnsi="宋体" w:eastAsia="宋体" w:cs="宋体"/>
      <w:color w:val="000000"/>
      <w:sz w:val="20"/>
      <w:szCs w:val="20"/>
      <w:u w:val="none"/>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吴蕾</cp:lastModifiedBy>
  <cp:revision>102</cp:revision>
  <dcterms:created xsi:type="dcterms:W3CDTF">2024-01-04T03:50:00Z</dcterms:created>
  <dcterms:modified xsi:type="dcterms:W3CDTF">2025-01-02T00:49:18Z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F33244A0C8AE41C9B84F46470CED9FB3_13</vt:lpwstr>
  </property>
  <property fmtid="{D5CDD505-2E9C-101B-9397-08002B2CF9AE}" pid="4" name="KSOTemplateDocerSaveRecord">
    <vt:lpwstr>eyJoZGlkIjoiNDFhMDM0ZDY5OTUzMTFmNmNmZGU2ZjYxYzU4NTEwMmUiLCJ1c2VySWQiOiIyOTQ2ODgzMjEifQ==</vt:lpwstr>
  </property>
</Properties>
</file>