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1EAC5">
      <w:pPr>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 w:val="48"/>
          <w:szCs w:val="48"/>
          <w:highlight w:val="none"/>
        </w:rPr>
      </w:pPr>
    </w:p>
    <w:p w14:paraId="1010A417">
      <w:pPr>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 w:val="48"/>
          <w:szCs w:val="48"/>
          <w:highlight w:val="none"/>
        </w:rPr>
      </w:pPr>
    </w:p>
    <w:p w14:paraId="08C88A69">
      <w:pPr>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 w:val="72"/>
          <w:highlight w:val="none"/>
        </w:rPr>
      </w:pPr>
      <w:r>
        <w:rPr>
          <w:rFonts w:hint="eastAsia" w:ascii="宋体" w:hAnsi="宋体" w:eastAsia="宋体" w:cs="宋体"/>
          <w:b/>
          <w:color w:val="auto"/>
          <w:spacing w:val="0"/>
          <w:sz w:val="72"/>
          <w:highlight w:val="none"/>
        </w:rPr>
        <w:t>苏州市吴江区政府采购</w:t>
      </w:r>
    </w:p>
    <w:p w14:paraId="5191E5C5">
      <w:pPr>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 w:val="72"/>
          <w:highlight w:val="none"/>
        </w:rPr>
      </w:pPr>
      <w:r>
        <w:rPr>
          <w:rFonts w:hint="eastAsia" w:ascii="宋体" w:hAnsi="宋体" w:cs="宋体"/>
          <w:b/>
          <w:color w:val="auto"/>
          <w:spacing w:val="0"/>
          <w:sz w:val="72"/>
          <w:highlight w:val="none"/>
          <w:lang w:val="en-US" w:eastAsia="zh-CN"/>
        </w:rPr>
        <w:t>谈判</w:t>
      </w:r>
      <w:r>
        <w:rPr>
          <w:rFonts w:hint="eastAsia" w:ascii="宋体" w:hAnsi="宋体" w:eastAsia="宋体" w:cs="宋体"/>
          <w:b/>
          <w:color w:val="auto"/>
          <w:spacing w:val="0"/>
          <w:sz w:val="72"/>
          <w:highlight w:val="none"/>
        </w:rPr>
        <w:t>采购文件</w:t>
      </w:r>
    </w:p>
    <w:p w14:paraId="6439244F">
      <w:pPr>
        <w:keepNext w:val="0"/>
        <w:keepLines w:val="0"/>
        <w:pageBreakBefore w:val="0"/>
        <w:widowControl w:val="0"/>
        <w:tabs>
          <w:tab w:val="left" w:pos="0"/>
        </w:tabs>
        <w:kinsoku/>
        <w:wordWrap/>
        <w:overflowPunct/>
        <w:topLinePunct w:val="0"/>
        <w:autoSpaceDE/>
        <w:autoSpaceDN/>
        <w:bidi w:val="0"/>
        <w:adjustRightInd/>
        <w:snapToGrid/>
        <w:spacing w:line="360" w:lineRule="auto"/>
        <w:ind w:left="2446" w:leftChars="400" w:right="840" w:rightChars="400" w:hanging="1606" w:hangingChars="500"/>
        <w:textAlignment w:val="auto"/>
        <w:rPr>
          <w:rFonts w:hint="eastAsia" w:ascii="宋体" w:hAnsi="宋体" w:eastAsia="宋体" w:cs="宋体"/>
          <w:b/>
          <w:color w:val="auto"/>
          <w:spacing w:val="0"/>
          <w:sz w:val="32"/>
          <w:highlight w:val="none"/>
        </w:rPr>
      </w:pPr>
    </w:p>
    <w:p w14:paraId="4BCCBB00">
      <w:pPr>
        <w:keepNext w:val="0"/>
        <w:keepLines w:val="0"/>
        <w:pageBreakBefore w:val="0"/>
        <w:widowControl w:val="0"/>
        <w:tabs>
          <w:tab w:val="left" w:pos="0"/>
        </w:tabs>
        <w:kinsoku/>
        <w:wordWrap/>
        <w:overflowPunct/>
        <w:topLinePunct w:val="0"/>
        <w:autoSpaceDE/>
        <w:autoSpaceDN/>
        <w:bidi w:val="0"/>
        <w:adjustRightInd/>
        <w:snapToGrid/>
        <w:spacing w:line="360" w:lineRule="auto"/>
        <w:ind w:left="2446" w:leftChars="400" w:right="840" w:rightChars="400" w:hanging="1606" w:hangingChars="500"/>
        <w:textAlignment w:val="auto"/>
        <w:rPr>
          <w:rFonts w:hint="eastAsia" w:ascii="宋体" w:hAnsi="宋体" w:eastAsia="宋体" w:cs="宋体"/>
          <w:b/>
          <w:color w:val="auto"/>
          <w:spacing w:val="0"/>
          <w:sz w:val="32"/>
          <w:highlight w:val="none"/>
          <w:lang w:eastAsia="zh-CN"/>
        </w:rPr>
      </w:pPr>
      <w:r>
        <w:rPr>
          <w:rFonts w:hint="eastAsia" w:ascii="宋体" w:hAnsi="宋体" w:eastAsia="宋体" w:cs="宋体"/>
          <w:b/>
          <w:color w:val="auto"/>
          <w:spacing w:val="0"/>
          <w:sz w:val="32"/>
          <w:highlight w:val="none"/>
        </w:rPr>
        <w:t>采购编号：</w:t>
      </w:r>
      <w:r>
        <w:rPr>
          <w:rFonts w:hint="eastAsia" w:ascii="宋体" w:hAnsi="宋体" w:cs="宋体"/>
          <w:b/>
          <w:color w:val="auto"/>
          <w:spacing w:val="0"/>
          <w:sz w:val="32"/>
          <w:highlight w:val="none"/>
          <w:lang w:eastAsia="zh-CN"/>
        </w:rPr>
        <w:t>JSZC-320509-CJZB-T2025-0085</w:t>
      </w:r>
    </w:p>
    <w:p w14:paraId="7CEDD04B">
      <w:pPr>
        <w:keepNext w:val="0"/>
        <w:keepLines w:val="0"/>
        <w:pageBreakBefore w:val="0"/>
        <w:widowControl w:val="0"/>
        <w:tabs>
          <w:tab w:val="left" w:pos="1701"/>
        </w:tabs>
        <w:kinsoku/>
        <w:wordWrap/>
        <w:overflowPunct/>
        <w:topLinePunct w:val="0"/>
        <w:autoSpaceDE/>
        <w:autoSpaceDN/>
        <w:bidi w:val="0"/>
        <w:adjustRightInd/>
        <w:snapToGrid/>
        <w:spacing w:line="360" w:lineRule="auto"/>
        <w:ind w:left="2446" w:leftChars="400" w:right="840" w:rightChars="400" w:hanging="1606" w:hangingChars="500"/>
        <w:jc w:val="left"/>
        <w:textAlignment w:val="auto"/>
        <w:rPr>
          <w:rFonts w:hint="eastAsia" w:ascii="宋体" w:hAnsi="宋体" w:eastAsia="宋体" w:cs="宋体"/>
          <w:b/>
          <w:color w:val="auto"/>
          <w:spacing w:val="0"/>
          <w:sz w:val="32"/>
          <w:highlight w:val="none"/>
          <w:lang w:eastAsia="zh-CN"/>
        </w:rPr>
      </w:pPr>
      <w:r>
        <w:rPr>
          <w:rFonts w:hint="eastAsia" w:ascii="宋体" w:hAnsi="宋体" w:eastAsia="宋体" w:cs="宋体"/>
          <w:b/>
          <w:color w:val="auto"/>
          <w:spacing w:val="0"/>
          <w:sz w:val="32"/>
          <w:highlight w:val="none"/>
        </w:rPr>
        <w:t>采购内容：</w:t>
      </w:r>
      <w:r>
        <w:rPr>
          <w:rFonts w:hint="eastAsia" w:ascii="宋体" w:hAnsi="宋体" w:cs="宋体"/>
          <w:b/>
          <w:color w:val="auto"/>
          <w:spacing w:val="0"/>
          <w:sz w:val="32"/>
          <w:highlight w:val="none"/>
          <w:lang w:eastAsia="zh-CN"/>
        </w:rPr>
        <w:t>前列腺剜除镜</w:t>
      </w:r>
    </w:p>
    <w:p w14:paraId="57E97B47">
      <w:pPr>
        <w:keepNext w:val="0"/>
        <w:keepLines w:val="0"/>
        <w:pageBreakBefore w:val="0"/>
        <w:widowControl w:val="0"/>
        <w:tabs>
          <w:tab w:val="left" w:pos="1701"/>
        </w:tabs>
        <w:kinsoku/>
        <w:wordWrap/>
        <w:overflowPunct/>
        <w:topLinePunct w:val="0"/>
        <w:autoSpaceDE/>
        <w:autoSpaceDN/>
        <w:bidi w:val="0"/>
        <w:adjustRightInd/>
        <w:snapToGrid/>
        <w:spacing w:line="360" w:lineRule="auto"/>
        <w:ind w:left="2446" w:leftChars="400" w:right="840" w:rightChars="400" w:hanging="1606" w:hangingChars="500"/>
        <w:jc w:val="left"/>
        <w:textAlignment w:val="auto"/>
        <w:rPr>
          <w:rFonts w:hint="eastAsia" w:ascii="宋体" w:hAnsi="宋体" w:eastAsia="宋体" w:cs="宋体"/>
          <w:b/>
          <w:color w:val="auto"/>
          <w:spacing w:val="0"/>
          <w:sz w:val="32"/>
          <w:highlight w:val="none"/>
          <w:lang w:eastAsia="zh-CN"/>
        </w:rPr>
      </w:pPr>
      <w:r>
        <w:rPr>
          <w:rFonts w:hint="eastAsia" w:ascii="宋体" w:hAnsi="宋体" w:eastAsia="宋体" w:cs="宋体"/>
          <w:b/>
          <w:color w:val="auto"/>
          <w:spacing w:val="0"/>
          <w:sz w:val="32"/>
          <w:highlight w:val="none"/>
        </w:rPr>
        <w:t>采 购 人：</w:t>
      </w:r>
      <w:r>
        <w:rPr>
          <w:rFonts w:hint="eastAsia" w:ascii="宋体" w:hAnsi="宋体" w:cs="宋体"/>
          <w:b/>
          <w:color w:val="auto"/>
          <w:spacing w:val="0"/>
          <w:sz w:val="32"/>
          <w:highlight w:val="none"/>
          <w:lang w:eastAsia="zh-CN"/>
        </w:rPr>
        <w:t>苏州市第九人民医院</w:t>
      </w:r>
    </w:p>
    <w:p w14:paraId="28169069">
      <w:pPr>
        <w:keepNext w:val="0"/>
        <w:keepLines w:val="0"/>
        <w:pageBreakBefore w:val="0"/>
        <w:widowControl w:val="0"/>
        <w:tabs>
          <w:tab w:val="left" w:pos="1701"/>
        </w:tabs>
        <w:kinsoku/>
        <w:wordWrap/>
        <w:overflowPunct/>
        <w:topLinePunct w:val="0"/>
        <w:autoSpaceDE/>
        <w:autoSpaceDN/>
        <w:bidi w:val="0"/>
        <w:adjustRightInd/>
        <w:snapToGrid/>
        <w:spacing w:line="360" w:lineRule="auto"/>
        <w:ind w:left="2446" w:leftChars="400" w:right="840" w:rightChars="400" w:hanging="1606" w:hangingChars="500"/>
        <w:jc w:val="left"/>
        <w:textAlignment w:val="auto"/>
        <w:rPr>
          <w:rFonts w:hint="eastAsia" w:ascii="宋体" w:hAnsi="宋体" w:eastAsia="宋体" w:cs="宋体"/>
          <w:b/>
          <w:color w:val="auto"/>
          <w:spacing w:val="0"/>
          <w:sz w:val="32"/>
          <w:highlight w:val="none"/>
        </w:rPr>
      </w:pPr>
      <w:r>
        <w:rPr>
          <w:rFonts w:hint="eastAsia" w:ascii="宋体" w:hAnsi="宋体" w:eastAsia="宋体" w:cs="宋体"/>
          <w:b/>
          <w:color w:val="auto"/>
          <w:spacing w:val="0"/>
          <w:sz w:val="32"/>
          <w:highlight w:val="none"/>
        </w:rPr>
        <w:t>采购代理：苏州市创杰招投标咨询服务有限公司</w:t>
      </w:r>
    </w:p>
    <w:p w14:paraId="73AF3F60">
      <w:pPr>
        <w:keepNext w:val="0"/>
        <w:keepLines w:val="0"/>
        <w:pageBreakBefore w:val="0"/>
        <w:widowControl w:val="0"/>
        <w:tabs>
          <w:tab w:val="left" w:pos="1701"/>
        </w:tabs>
        <w:kinsoku/>
        <w:wordWrap/>
        <w:overflowPunct/>
        <w:topLinePunct w:val="0"/>
        <w:autoSpaceDE/>
        <w:autoSpaceDN/>
        <w:bidi w:val="0"/>
        <w:adjustRightInd/>
        <w:snapToGrid/>
        <w:spacing w:line="360" w:lineRule="auto"/>
        <w:ind w:left="2446" w:leftChars="400" w:right="840" w:rightChars="400" w:hanging="1606" w:hangingChars="500"/>
        <w:jc w:val="left"/>
        <w:textAlignment w:val="auto"/>
        <w:rPr>
          <w:rFonts w:hint="eastAsia" w:ascii="宋体" w:hAnsi="宋体" w:eastAsia="宋体" w:cs="宋体"/>
          <w:b/>
          <w:color w:val="auto"/>
          <w:spacing w:val="0"/>
          <w:sz w:val="32"/>
          <w:highlight w:val="none"/>
        </w:rPr>
      </w:pPr>
      <w:r>
        <w:rPr>
          <w:rFonts w:hint="eastAsia" w:ascii="宋体" w:hAnsi="宋体" w:eastAsia="宋体" w:cs="宋体"/>
          <w:b/>
          <w:color w:val="auto"/>
          <w:spacing w:val="0"/>
          <w:sz w:val="32"/>
          <w:highlight w:val="none"/>
        </w:rPr>
        <w:t>采购类别：</w:t>
      </w:r>
      <w:r>
        <w:rPr>
          <w:rFonts w:hint="eastAsia" w:ascii="宋体" w:hAnsi="宋体" w:cs="宋体"/>
          <w:b/>
          <w:color w:val="auto"/>
          <w:spacing w:val="0"/>
          <w:sz w:val="32"/>
          <w:highlight w:val="none"/>
          <w:lang w:val="en-US" w:eastAsia="zh-CN"/>
        </w:rPr>
        <w:t>货物</w:t>
      </w:r>
      <w:r>
        <w:rPr>
          <w:rFonts w:hint="eastAsia" w:ascii="宋体" w:hAnsi="宋体" w:eastAsia="宋体" w:cs="宋体"/>
          <w:b/>
          <w:color w:val="auto"/>
          <w:spacing w:val="0"/>
          <w:sz w:val="32"/>
          <w:highlight w:val="none"/>
        </w:rPr>
        <w:t>类</w:t>
      </w:r>
    </w:p>
    <w:p w14:paraId="4E573DCB">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highlight w:val="none"/>
        </w:rPr>
      </w:pPr>
    </w:p>
    <w:p w14:paraId="1B345205">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highlight w:val="none"/>
        </w:rPr>
      </w:pPr>
    </w:p>
    <w:p w14:paraId="0AAC1F05">
      <w:pPr>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 w:val="32"/>
          <w:highlight w:val="none"/>
        </w:rPr>
      </w:pPr>
      <w:r>
        <w:rPr>
          <w:rFonts w:hint="eastAsia" w:ascii="宋体" w:hAnsi="宋体" w:eastAsia="宋体" w:cs="宋体"/>
          <w:color w:val="auto"/>
          <w:spacing w:val="0"/>
          <w:highlight w:val="none"/>
        </w:rPr>
        <w:drawing>
          <wp:inline distT="0" distB="0" distL="0" distR="0">
            <wp:extent cx="1236345" cy="906780"/>
            <wp:effectExtent l="19050" t="0" r="1905" b="0"/>
            <wp:docPr id="4" name="图片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
                    <pic:cNvPicPr>
                      <a:picLocks noChangeAspect="1"/>
                    </pic:cNvPicPr>
                  </pic:nvPicPr>
                  <pic:blipFill>
                    <a:blip r:embed="rId8"/>
                    <a:stretch>
                      <a:fillRect/>
                    </a:stretch>
                  </pic:blipFill>
                  <pic:spPr>
                    <a:xfrm>
                      <a:off x="0" y="0"/>
                      <a:ext cx="1236345" cy="906780"/>
                    </a:xfrm>
                    <a:prstGeom prst="rect">
                      <a:avLst/>
                    </a:prstGeom>
                    <a:noFill/>
                    <a:ln w="9525">
                      <a:noFill/>
                      <a:miter lim="800000"/>
                      <a:headEnd/>
                      <a:tailEnd/>
                    </a:ln>
                  </pic:spPr>
                </pic:pic>
              </a:graphicData>
            </a:graphic>
          </wp:inline>
        </w:drawing>
      </w:r>
    </w:p>
    <w:p w14:paraId="774204E6">
      <w:pPr>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 w:val="30"/>
          <w:szCs w:val="30"/>
          <w:highlight w:val="none"/>
        </w:rPr>
        <w:sectPr>
          <w:headerReference r:id="rId4" w:type="first"/>
          <w:headerReference r:id="rId3" w:type="default"/>
          <w:footerReference r:id="rId5" w:type="default"/>
          <w:footerReference r:id="rId6" w:type="even"/>
          <w:pgSz w:w="11906" w:h="16838"/>
          <w:pgMar w:top="1440" w:right="1417" w:bottom="1440" w:left="1417" w:header="964" w:footer="964" w:gutter="0"/>
          <w:cols w:space="720" w:num="1"/>
          <w:docGrid w:linePitch="360" w:charSpace="0"/>
        </w:sectPr>
      </w:pPr>
      <w:r>
        <w:rPr>
          <w:rFonts w:hint="eastAsia" w:ascii="宋体" w:hAnsi="宋体" w:eastAsia="宋体" w:cs="宋体"/>
          <w:b/>
          <w:color w:val="auto"/>
          <w:spacing w:val="0"/>
          <w:sz w:val="30"/>
          <w:szCs w:val="30"/>
          <w:highlight w:val="none"/>
        </w:rPr>
        <w:t>二〇二</w:t>
      </w:r>
      <w:r>
        <w:rPr>
          <w:rFonts w:hint="eastAsia" w:ascii="宋体" w:hAnsi="宋体" w:cs="宋体"/>
          <w:b/>
          <w:color w:val="auto"/>
          <w:spacing w:val="0"/>
          <w:sz w:val="30"/>
          <w:szCs w:val="30"/>
          <w:highlight w:val="none"/>
          <w:lang w:val="en-US" w:eastAsia="zh-CN"/>
        </w:rPr>
        <w:t>五</w:t>
      </w:r>
      <w:r>
        <w:rPr>
          <w:rFonts w:hint="eastAsia" w:ascii="宋体" w:hAnsi="宋体" w:eastAsia="宋体" w:cs="宋体"/>
          <w:b/>
          <w:color w:val="auto"/>
          <w:spacing w:val="0"/>
          <w:sz w:val="30"/>
          <w:szCs w:val="30"/>
          <w:highlight w:val="none"/>
        </w:rPr>
        <w:t>年</w:t>
      </w:r>
      <w:r>
        <w:rPr>
          <w:rFonts w:hint="eastAsia" w:ascii="宋体" w:hAnsi="宋体" w:cs="宋体"/>
          <w:b/>
          <w:color w:val="auto"/>
          <w:spacing w:val="0"/>
          <w:sz w:val="30"/>
          <w:szCs w:val="30"/>
          <w:highlight w:val="none"/>
          <w:lang w:val="en-US" w:eastAsia="zh-CN"/>
        </w:rPr>
        <w:t>五</w:t>
      </w:r>
      <w:r>
        <w:rPr>
          <w:rFonts w:hint="eastAsia" w:ascii="宋体" w:hAnsi="宋体" w:eastAsia="宋体" w:cs="宋体"/>
          <w:b/>
          <w:color w:val="auto"/>
          <w:spacing w:val="0"/>
          <w:sz w:val="30"/>
          <w:szCs w:val="30"/>
          <w:highlight w:val="none"/>
        </w:rPr>
        <w:t>月</w:t>
      </w:r>
    </w:p>
    <w:p w14:paraId="64C158B6">
      <w:pPr>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 w:val="36"/>
          <w:highlight w:val="none"/>
        </w:rPr>
      </w:pPr>
      <w:r>
        <w:rPr>
          <w:rFonts w:hint="eastAsia" w:ascii="宋体" w:hAnsi="宋体" w:eastAsia="宋体" w:cs="宋体"/>
          <w:b/>
          <w:color w:val="auto"/>
          <w:spacing w:val="0"/>
          <w:sz w:val="36"/>
          <w:highlight w:val="none"/>
        </w:rPr>
        <w:t>前附表</w:t>
      </w:r>
    </w:p>
    <w:tbl>
      <w:tblPr>
        <w:tblStyle w:val="43"/>
        <w:tblW w:w="5000" w:type="pct"/>
        <w:jc w:val="center"/>
        <w:tblLayout w:type="fixed"/>
        <w:tblCellMar>
          <w:top w:w="0" w:type="dxa"/>
          <w:left w:w="0" w:type="dxa"/>
          <w:bottom w:w="0" w:type="dxa"/>
          <w:right w:w="0" w:type="dxa"/>
        </w:tblCellMar>
      </w:tblPr>
      <w:tblGrid>
        <w:gridCol w:w="651"/>
        <w:gridCol w:w="1969"/>
        <w:gridCol w:w="6668"/>
      </w:tblGrid>
      <w:tr w14:paraId="6C5CF497">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5949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序号</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3946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名称</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FA4C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内               容</w:t>
            </w:r>
          </w:p>
        </w:tc>
      </w:tr>
      <w:tr w14:paraId="4DB431D1">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1ED2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62B1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项目编号</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F73A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lang w:eastAsia="zh-CN"/>
              </w:rPr>
            </w:pPr>
            <w:r>
              <w:rPr>
                <w:rFonts w:hint="eastAsia" w:ascii="宋体" w:hAnsi="宋体" w:cs="宋体"/>
                <w:color w:val="auto"/>
                <w:spacing w:val="0"/>
                <w:szCs w:val="21"/>
                <w:highlight w:val="none"/>
                <w:lang w:eastAsia="zh-CN"/>
              </w:rPr>
              <w:t>JSZC-320509-CJZB-T2025-0085</w:t>
            </w:r>
          </w:p>
        </w:tc>
      </w:tr>
      <w:tr w14:paraId="27CB71AD">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2ED3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FF0B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项目名称</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C699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szCs w:val="21"/>
                <w:highlight w:val="none"/>
                <w:lang w:eastAsia="zh-CN"/>
              </w:rPr>
            </w:pPr>
            <w:r>
              <w:rPr>
                <w:rFonts w:hint="eastAsia" w:ascii="宋体" w:hAnsi="宋体" w:cs="宋体"/>
                <w:color w:val="auto"/>
                <w:spacing w:val="0"/>
                <w:szCs w:val="21"/>
                <w:highlight w:val="none"/>
                <w:lang w:eastAsia="zh-CN"/>
              </w:rPr>
              <w:t>前列腺剜除镜</w:t>
            </w:r>
          </w:p>
        </w:tc>
      </w:tr>
      <w:tr w14:paraId="19D76314">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EB9A78">
            <w:pPr>
              <w:keepNext w:val="0"/>
              <w:keepLines w:val="0"/>
              <w:pageBreakBefore w:val="0"/>
              <w:widowControl w:val="0"/>
              <w:tabs>
                <w:tab w:val="left" w:pos="252"/>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8A68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采购代理机构</w:t>
            </w:r>
          </w:p>
          <w:p w14:paraId="6A7911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名称及地址</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B540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名称：苏州市创杰招投标咨询服务有限公司</w:t>
            </w:r>
          </w:p>
          <w:p w14:paraId="456EE3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地址：苏州市干将西路399号银海大厦303室</w:t>
            </w:r>
          </w:p>
          <w:p w14:paraId="2521AC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rPr>
              <w:t>联系人：</w:t>
            </w:r>
            <w:r>
              <w:rPr>
                <w:rFonts w:hint="eastAsia" w:ascii="宋体" w:hAnsi="宋体" w:eastAsia="宋体" w:cs="宋体"/>
                <w:color w:val="auto"/>
                <w:spacing w:val="0"/>
                <w:szCs w:val="21"/>
                <w:highlight w:val="none"/>
                <w:lang w:eastAsia="zh-CN"/>
              </w:rPr>
              <w:t xml:space="preserve">路丽丽  潘莉莉  朱晓芹  </w:t>
            </w:r>
            <w:r>
              <w:rPr>
                <w:rFonts w:hint="eastAsia" w:ascii="宋体" w:hAnsi="宋体" w:cs="宋体"/>
                <w:color w:val="auto"/>
                <w:spacing w:val="0"/>
                <w:szCs w:val="21"/>
                <w:highlight w:val="none"/>
                <w:lang w:val="en-US" w:eastAsia="zh-CN"/>
              </w:rPr>
              <w:t>庄天扬</w:t>
            </w:r>
          </w:p>
          <w:p w14:paraId="0AFB0D0B">
            <w:pPr>
              <w:pStyle w:val="42"/>
              <w:keepNext w:val="0"/>
              <w:keepLines w:val="0"/>
              <w:pageBreakBefore w:val="0"/>
              <w:widowControl w:val="0"/>
              <w:kinsoku/>
              <w:wordWrap/>
              <w:overflowPunct/>
              <w:topLinePunct w:val="0"/>
              <w:autoSpaceDE/>
              <w:autoSpaceDN/>
              <w:bidi w:val="0"/>
              <w:adjustRightInd/>
              <w:snapToGrid/>
              <w:spacing w:after="0" w:line="360" w:lineRule="auto"/>
              <w:ind w:left="0" w:firstLine="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szCs w:val="21"/>
                <w:highlight w:val="none"/>
              </w:rPr>
              <w:t>联系电话：0512-65238816</w:t>
            </w:r>
          </w:p>
        </w:tc>
      </w:tr>
      <w:tr w14:paraId="178344FC">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FFFFFF" w:fill="FFFFFF"/>
            <w:noWrap w:val="0"/>
            <w:tcMar>
              <w:top w:w="0" w:type="dxa"/>
              <w:left w:w="108" w:type="dxa"/>
              <w:bottom w:w="0" w:type="dxa"/>
              <w:right w:w="108" w:type="dxa"/>
            </w:tcMar>
            <w:vAlign w:val="center"/>
          </w:tcPr>
          <w:p w14:paraId="73EEBD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7D61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采购单位</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16E8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名称：</w:t>
            </w:r>
            <w:r>
              <w:rPr>
                <w:rFonts w:hint="eastAsia" w:ascii="宋体" w:hAnsi="宋体" w:cs="宋体"/>
                <w:color w:val="auto"/>
                <w:spacing w:val="0"/>
                <w:szCs w:val="21"/>
                <w:highlight w:val="none"/>
                <w:lang w:eastAsia="zh-CN"/>
              </w:rPr>
              <w:t>苏州市第九人民医院</w:t>
            </w:r>
            <w:r>
              <w:rPr>
                <w:rFonts w:hint="eastAsia" w:ascii="宋体" w:hAnsi="宋体" w:eastAsia="宋体" w:cs="宋体"/>
                <w:color w:val="auto"/>
                <w:spacing w:val="0"/>
                <w:szCs w:val="21"/>
                <w:highlight w:val="none"/>
              </w:rPr>
              <w:t>　　　　　　　　　　　</w:t>
            </w:r>
          </w:p>
          <w:p w14:paraId="311269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pacing w:val="0"/>
                <w:szCs w:val="21"/>
                <w:highlight w:val="none"/>
                <w:lang w:val="en-US" w:eastAsia="zh-CN"/>
              </w:rPr>
            </w:pPr>
            <w:r>
              <w:rPr>
                <w:rFonts w:hint="default" w:ascii="宋体" w:hAnsi="宋体" w:eastAsia="宋体" w:cs="宋体"/>
                <w:color w:val="auto"/>
                <w:spacing w:val="0"/>
                <w:szCs w:val="21"/>
                <w:highlight w:val="none"/>
                <w:lang w:val="en-US" w:eastAsia="zh-CN"/>
              </w:rPr>
              <w:t>联系人：钮晓丽                  联系电话：0512-82881151</w:t>
            </w:r>
          </w:p>
        </w:tc>
      </w:tr>
      <w:tr w14:paraId="0278BFD4">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30F8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5</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548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响应文件组成</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D9B6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详见采购文件第二章</w:t>
            </w:r>
          </w:p>
        </w:tc>
      </w:tr>
      <w:tr w14:paraId="1801BED8">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F099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6</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FA8A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eastAsia="zh-CN"/>
              </w:rPr>
              <w:t>谈判</w:t>
            </w:r>
            <w:r>
              <w:rPr>
                <w:rFonts w:hint="eastAsia" w:ascii="宋体" w:hAnsi="宋体" w:eastAsia="宋体" w:cs="宋体"/>
                <w:color w:val="auto"/>
                <w:spacing w:val="0"/>
                <w:szCs w:val="21"/>
                <w:highlight w:val="none"/>
              </w:rPr>
              <w:t>保证金</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09A8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本项目不收取</w:t>
            </w:r>
            <w:r>
              <w:rPr>
                <w:rFonts w:hint="eastAsia" w:ascii="宋体" w:hAnsi="宋体" w:cs="宋体"/>
                <w:color w:val="auto"/>
                <w:spacing w:val="0"/>
                <w:szCs w:val="21"/>
                <w:highlight w:val="none"/>
                <w:lang w:eastAsia="zh-CN"/>
              </w:rPr>
              <w:t>谈判</w:t>
            </w:r>
            <w:r>
              <w:rPr>
                <w:rFonts w:hint="eastAsia" w:ascii="宋体" w:hAnsi="宋体" w:eastAsia="宋体" w:cs="宋体"/>
                <w:color w:val="auto"/>
                <w:spacing w:val="0"/>
                <w:szCs w:val="21"/>
                <w:highlight w:val="none"/>
              </w:rPr>
              <w:t>保证金</w:t>
            </w:r>
          </w:p>
        </w:tc>
      </w:tr>
      <w:tr w14:paraId="79EC13FD">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79F7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7</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1A35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响应文件有效期</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EE22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响应文件提交截止之日起45天（日历日）</w:t>
            </w:r>
          </w:p>
        </w:tc>
      </w:tr>
      <w:tr w14:paraId="2715C35E">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18E5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8</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50B2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获取采购文件</w:t>
            </w:r>
          </w:p>
          <w:p w14:paraId="7C4179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时间</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2A2E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自公告发布之日起3个工作日（具体按照本项目政府采购网上采购公告）</w:t>
            </w:r>
          </w:p>
        </w:tc>
      </w:tr>
      <w:tr w14:paraId="585A2429">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D37C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9</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A04B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响应文件网上</w:t>
            </w:r>
          </w:p>
          <w:p w14:paraId="45FEAD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提交截止时间</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DE28E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202</w:t>
            </w:r>
            <w:r>
              <w:rPr>
                <w:rFonts w:hint="eastAsia" w:ascii="宋体" w:hAnsi="宋体" w:cs="宋体"/>
                <w:color w:val="auto"/>
                <w:spacing w:val="0"/>
                <w:szCs w:val="21"/>
                <w:highlight w:val="none"/>
                <w:lang w:val="en-US" w:eastAsia="zh-CN"/>
              </w:rPr>
              <w:t>5</w:t>
            </w:r>
            <w:r>
              <w:rPr>
                <w:rFonts w:hint="eastAsia" w:ascii="宋体" w:hAnsi="宋体" w:eastAsia="宋体" w:cs="宋体"/>
                <w:color w:val="auto"/>
                <w:spacing w:val="0"/>
                <w:szCs w:val="21"/>
                <w:highlight w:val="none"/>
                <w:lang w:eastAsia="zh-CN"/>
              </w:rPr>
              <w:t>年</w:t>
            </w:r>
            <w:r>
              <w:rPr>
                <w:rFonts w:hint="eastAsia" w:ascii="宋体" w:hAnsi="宋体" w:cs="宋体"/>
                <w:color w:val="auto"/>
                <w:spacing w:val="0"/>
                <w:szCs w:val="21"/>
                <w:highlight w:val="none"/>
                <w:lang w:val="en-US" w:eastAsia="zh-CN"/>
              </w:rPr>
              <w:t>5</w:t>
            </w:r>
            <w:r>
              <w:rPr>
                <w:rFonts w:hint="eastAsia" w:ascii="宋体" w:hAnsi="宋体" w:eastAsia="宋体" w:cs="宋体"/>
                <w:color w:val="auto"/>
                <w:spacing w:val="0"/>
                <w:szCs w:val="21"/>
                <w:highlight w:val="none"/>
                <w:lang w:eastAsia="zh-CN"/>
              </w:rPr>
              <w:t>月</w:t>
            </w:r>
            <w:r>
              <w:rPr>
                <w:rFonts w:hint="eastAsia" w:ascii="宋体" w:hAnsi="宋体" w:cs="宋体"/>
                <w:color w:val="auto"/>
                <w:spacing w:val="0"/>
                <w:szCs w:val="21"/>
                <w:highlight w:val="none"/>
                <w:lang w:val="en-US" w:eastAsia="zh-CN"/>
              </w:rPr>
              <w:t>27</w:t>
            </w:r>
            <w:r>
              <w:rPr>
                <w:rFonts w:hint="eastAsia" w:ascii="宋体" w:hAnsi="宋体" w:eastAsia="宋体" w:cs="宋体"/>
                <w:color w:val="auto"/>
                <w:spacing w:val="0"/>
                <w:szCs w:val="21"/>
                <w:highlight w:val="none"/>
                <w:lang w:eastAsia="zh-CN"/>
              </w:rPr>
              <w:t>日</w:t>
            </w:r>
            <w:r>
              <w:rPr>
                <w:rFonts w:hint="eastAsia" w:ascii="宋体" w:hAnsi="宋体" w:cs="宋体"/>
                <w:color w:val="auto"/>
                <w:spacing w:val="0"/>
                <w:szCs w:val="21"/>
                <w:highlight w:val="none"/>
                <w:lang w:val="en-US" w:eastAsia="zh-CN"/>
              </w:rPr>
              <w:t>9</w:t>
            </w:r>
            <w:r>
              <w:rPr>
                <w:rFonts w:hint="eastAsia" w:ascii="宋体" w:hAnsi="宋体" w:eastAsia="宋体" w:cs="宋体"/>
                <w:color w:val="auto"/>
                <w:spacing w:val="0"/>
                <w:szCs w:val="21"/>
                <w:highlight w:val="none"/>
              </w:rPr>
              <w:t>点30分（北京时间）</w:t>
            </w:r>
          </w:p>
          <w:p w14:paraId="5FFB3E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响应文件必须在截止时间前完成提交（上传），逾期提交（上传）的响应文件恕不接受。</w:t>
            </w:r>
          </w:p>
        </w:tc>
      </w:tr>
      <w:tr w14:paraId="2CFF36CF">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B972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10</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2F60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开启时间</w:t>
            </w:r>
          </w:p>
          <w:p w14:paraId="03AB2A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开启地点</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7464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202</w:t>
            </w:r>
            <w:r>
              <w:rPr>
                <w:rFonts w:hint="eastAsia" w:ascii="宋体" w:hAnsi="宋体" w:cs="宋体"/>
                <w:color w:val="auto"/>
                <w:spacing w:val="0"/>
                <w:szCs w:val="21"/>
                <w:highlight w:val="none"/>
                <w:lang w:val="en-US" w:eastAsia="zh-CN"/>
              </w:rPr>
              <w:t>5</w:t>
            </w:r>
            <w:r>
              <w:rPr>
                <w:rFonts w:hint="eastAsia" w:ascii="宋体" w:hAnsi="宋体" w:eastAsia="宋体" w:cs="宋体"/>
                <w:color w:val="auto"/>
                <w:spacing w:val="0"/>
                <w:szCs w:val="21"/>
                <w:highlight w:val="none"/>
                <w:lang w:eastAsia="zh-CN"/>
              </w:rPr>
              <w:t>年</w:t>
            </w:r>
            <w:r>
              <w:rPr>
                <w:rFonts w:hint="eastAsia" w:ascii="宋体" w:hAnsi="宋体" w:cs="宋体"/>
                <w:color w:val="auto"/>
                <w:spacing w:val="0"/>
                <w:szCs w:val="21"/>
                <w:highlight w:val="none"/>
                <w:lang w:val="en-US" w:eastAsia="zh-CN"/>
              </w:rPr>
              <w:t>5</w:t>
            </w:r>
            <w:r>
              <w:rPr>
                <w:rFonts w:hint="eastAsia" w:ascii="宋体" w:hAnsi="宋体" w:eastAsia="宋体" w:cs="宋体"/>
                <w:color w:val="auto"/>
                <w:spacing w:val="0"/>
                <w:szCs w:val="21"/>
                <w:highlight w:val="none"/>
                <w:lang w:eastAsia="zh-CN"/>
              </w:rPr>
              <w:t>月</w:t>
            </w:r>
            <w:r>
              <w:rPr>
                <w:rFonts w:hint="eastAsia" w:ascii="宋体" w:hAnsi="宋体" w:cs="宋体"/>
                <w:color w:val="auto"/>
                <w:spacing w:val="0"/>
                <w:szCs w:val="21"/>
                <w:highlight w:val="none"/>
                <w:lang w:val="en-US" w:eastAsia="zh-CN"/>
              </w:rPr>
              <w:t>27</w:t>
            </w:r>
            <w:r>
              <w:rPr>
                <w:rFonts w:hint="eastAsia" w:ascii="宋体" w:hAnsi="宋体" w:eastAsia="宋体" w:cs="宋体"/>
                <w:color w:val="auto"/>
                <w:spacing w:val="0"/>
                <w:szCs w:val="21"/>
                <w:highlight w:val="none"/>
                <w:lang w:eastAsia="zh-CN"/>
              </w:rPr>
              <w:t>日</w:t>
            </w:r>
            <w:r>
              <w:rPr>
                <w:rFonts w:hint="eastAsia" w:ascii="宋体" w:hAnsi="宋体" w:cs="宋体"/>
                <w:color w:val="auto"/>
                <w:spacing w:val="0"/>
                <w:szCs w:val="21"/>
                <w:highlight w:val="none"/>
                <w:lang w:val="en-US" w:eastAsia="zh-CN"/>
              </w:rPr>
              <w:t>9</w:t>
            </w:r>
            <w:r>
              <w:rPr>
                <w:rFonts w:hint="eastAsia" w:ascii="宋体" w:hAnsi="宋体" w:eastAsia="宋体" w:cs="宋体"/>
                <w:color w:val="auto"/>
                <w:spacing w:val="0"/>
                <w:szCs w:val="21"/>
                <w:highlight w:val="none"/>
              </w:rPr>
              <w:t>点30分（北京时间）</w:t>
            </w:r>
          </w:p>
          <w:p w14:paraId="2111DD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“苏采云”系统（网址：</w:t>
            </w: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"http://jszfcg.jsczt.cn/" \o "http://jszfcg.jsczt.cn/" </w:instrText>
            </w:r>
            <w:r>
              <w:rPr>
                <w:rFonts w:hint="eastAsia" w:ascii="宋体" w:hAnsi="宋体" w:eastAsia="宋体" w:cs="宋体"/>
                <w:color w:val="auto"/>
                <w:spacing w:val="0"/>
                <w:highlight w:val="none"/>
              </w:rPr>
              <w:fldChar w:fldCharType="separate"/>
            </w:r>
            <w:r>
              <w:rPr>
                <w:rFonts w:hint="eastAsia" w:ascii="宋体" w:hAnsi="宋体" w:eastAsia="宋体" w:cs="宋体"/>
                <w:color w:val="auto"/>
                <w:spacing w:val="0"/>
                <w:szCs w:val="21"/>
                <w:highlight w:val="none"/>
              </w:rPr>
              <w:t>http://jszfcg.jsczt.cn/</w:t>
            </w:r>
            <w:r>
              <w:rPr>
                <w:rFonts w:hint="eastAsia" w:ascii="宋体" w:hAnsi="宋体" w:eastAsia="宋体" w:cs="宋体"/>
                <w:color w:val="auto"/>
                <w:spacing w:val="0"/>
                <w:szCs w:val="21"/>
                <w:highlight w:val="none"/>
              </w:rPr>
              <w:fldChar w:fldCharType="end"/>
            </w:r>
            <w:r>
              <w:rPr>
                <w:rFonts w:hint="eastAsia" w:ascii="宋体" w:hAnsi="宋体" w:eastAsia="宋体" w:cs="宋体"/>
                <w:color w:val="auto"/>
                <w:spacing w:val="0"/>
                <w:szCs w:val="21"/>
                <w:highlight w:val="none"/>
              </w:rPr>
              <w:t>）</w:t>
            </w:r>
          </w:p>
          <w:p w14:paraId="4931897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b/>
                <w:color w:val="auto"/>
                <w:spacing w:val="0"/>
                <w:szCs w:val="21"/>
                <w:highlight w:val="none"/>
              </w:rPr>
              <w:t>本项目为不见面</w:t>
            </w:r>
            <w:r>
              <w:rPr>
                <w:rFonts w:hint="eastAsia" w:ascii="宋体" w:hAnsi="宋体" w:cs="宋体"/>
                <w:b/>
                <w:color w:val="auto"/>
                <w:spacing w:val="0"/>
                <w:szCs w:val="21"/>
                <w:highlight w:val="none"/>
                <w:lang w:val="en-US" w:eastAsia="zh-CN"/>
              </w:rPr>
              <w:t>谈判</w:t>
            </w:r>
            <w:r>
              <w:rPr>
                <w:rFonts w:hint="eastAsia" w:ascii="宋体" w:hAnsi="宋体" w:eastAsia="宋体" w:cs="宋体"/>
                <w:b/>
                <w:color w:val="auto"/>
                <w:spacing w:val="0"/>
                <w:szCs w:val="21"/>
                <w:highlight w:val="none"/>
              </w:rPr>
              <w:t>项目，开启阶段供应商在【供应商解密】环节必须使用 CA证书解密电子响应文件，如在系统规定的解密时间</w:t>
            </w:r>
            <w:r>
              <w:rPr>
                <w:rFonts w:hint="eastAsia" w:ascii="宋体" w:hAnsi="宋体" w:eastAsia="宋体" w:cs="宋体"/>
                <w:b/>
                <w:color w:val="auto"/>
                <w:spacing w:val="0"/>
                <w:szCs w:val="21"/>
                <w:highlight w:val="none"/>
                <w:lang w:eastAsia="zh-CN"/>
              </w:rPr>
              <w:t>（</w:t>
            </w:r>
            <w:r>
              <w:rPr>
                <w:rFonts w:hint="eastAsia" w:ascii="宋体" w:hAnsi="宋体" w:eastAsia="宋体" w:cs="宋体"/>
                <w:b/>
                <w:color w:val="auto"/>
                <w:spacing w:val="0"/>
                <w:szCs w:val="21"/>
                <w:highlight w:val="none"/>
              </w:rPr>
              <w:t>响应文件提交截止时间后30分钟</w:t>
            </w:r>
            <w:r>
              <w:rPr>
                <w:rFonts w:hint="eastAsia" w:ascii="宋体" w:hAnsi="宋体" w:eastAsia="宋体" w:cs="宋体"/>
                <w:b/>
                <w:color w:val="auto"/>
                <w:spacing w:val="0"/>
                <w:szCs w:val="21"/>
                <w:highlight w:val="none"/>
                <w:lang w:eastAsia="zh-CN"/>
              </w:rPr>
              <w:t>）</w:t>
            </w:r>
            <w:r>
              <w:rPr>
                <w:rFonts w:hint="eastAsia" w:ascii="宋体" w:hAnsi="宋体" w:eastAsia="宋体" w:cs="宋体"/>
                <w:b/>
                <w:color w:val="auto"/>
                <w:spacing w:val="0"/>
                <w:szCs w:val="21"/>
                <w:highlight w:val="none"/>
              </w:rPr>
              <w:t>内未能完成解密的视为放弃参与本项目。</w:t>
            </w:r>
          </w:p>
        </w:tc>
      </w:tr>
      <w:tr w14:paraId="706C49BD">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79E7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11</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32CE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评审时间</w:t>
            </w:r>
          </w:p>
          <w:p w14:paraId="128E4E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评审地点</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59E9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202</w:t>
            </w:r>
            <w:r>
              <w:rPr>
                <w:rFonts w:hint="eastAsia" w:ascii="宋体" w:hAnsi="宋体" w:cs="宋体"/>
                <w:color w:val="auto"/>
                <w:spacing w:val="0"/>
                <w:szCs w:val="21"/>
                <w:highlight w:val="none"/>
                <w:lang w:val="en-US" w:eastAsia="zh-CN"/>
              </w:rPr>
              <w:t>5</w:t>
            </w:r>
            <w:r>
              <w:rPr>
                <w:rFonts w:hint="eastAsia" w:ascii="宋体" w:hAnsi="宋体" w:eastAsia="宋体" w:cs="宋体"/>
                <w:color w:val="auto"/>
                <w:spacing w:val="0"/>
                <w:szCs w:val="21"/>
                <w:highlight w:val="none"/>
                <w:lang w:eastAsia="zh-CN"/>
              </w:rPr>
              <w:t>年</w:t>
            </w:r>
            <w:r>
              <w:rPr>
                <w:rFonts w:hint="eastAsia" w:ascii="宋体" w:hAnsi="宋体" w:cs="宋体"/>
                <w:color w:val="auto"/>
                <w:spacing w:val="0"/>
                <w:szCs w:val="21"/>
                <w:highlight w:val="none"/>
                <w:lang w:val="en-US" w:eastAsia="zh-CN"/>
              </w:rPr>
              <w:t>5</w:t>
            </w:r>
            <w:r>
              <w:rPr>
                <w:rFonts w:hint="eastAsia" w:ascii="宋体" w:hAnsi="宋体" w:eastAsia="宋体" w:cs="宋体"/>
                <w:color w:val="auto"/>
                <w:spacing w:val="0"/>
                <w:szCs w:val="21"/>
                <w:highlight w:val="none"/>
                <w:lang w:eastAsia="zh-CN"/>
              </w:rPr>
              <w:t>月</w:t>
            </w:r>
            <w:r>
              <w:rPr>
                <w:rFonts w:hint="eastAsia" w:ascii="宋体" w:hAnsi="宋体" w:cs="宋体"/>
                <w:color w:val="auto"/>
                <w:spacing w:val="0"/>
                <w:szCs w:val="21"/>
                <w:highlight w:val="none"/>
                <w:lang w:val="en-US" w:eastAsia="zh-CN"/>
              </w:rPr>
              <w:t>27</w:t>
            </w:r>
            <w:r>
              <w:rPr>
                <w:rFonts w:hint="eastAsia" w:ascii="宋体" w:hAnsi="宋体" w:eastAsia="宋体" w:cs="宋体"/>
                <w:color w:val="auto"/>
                <w:spacing w:val="0"/>
                <w:szCs w:val="21"/>
                <w:highlight w:val="none"/>
                <w:lang w:eastAsia="zh-CN"/>
              </w:rPr>
              <w:t>日</w:t>
            </w:r>
            <w:r>
              <w:rPr>
                <w:rFonts w:hint="eastAsia" w:ascii="宋体" w:hAnsi="宋体" w:cs="宋体"/>
                <w:color w:val="auto"/>
                <w:spacing w:val="0"/>
                <w:szCs w:val="21"/>
                <w:highlight w:val="none"/>
                <w:lang w:val="en-US" w:eastAsia="zh-CN"/>
              </w:rPr>
              <w:t>9</w:t>
            </w:r>
            <w:r>
              <w:rPr>
                <w:rFonts w:hint="eastAsia" w:ascii="宋体" w:hAnsi="宋体" w:eastAsia="宋体" w:cs="宋体"/>
                <w:color w:val="auto"/>
                <w:spacing w:val="0"/>
                <w:szCs w:val="21"/>
                <w:highlight w:val="none"/>
              </w:rPr>
              <w:t>点30分（北京时间）</w:t>
            </w:r>
          </w:p>
          <w:p w14:paraId="787170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苏州市吴江区公共资源交易中心三楼</w:t>
            </w:r>
          </w:p>
        </w:tc>
      </w:tr>
      <w:tr w14:paraId="29EE5908">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9DB6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12</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CCBD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谈判</w:t>
            </w:r>
            <w:r>
              <w:rPr>
                <w:rFonts w:hint="eastAsia" w:ascii="宋体" w:hAnsi="宋体" w:eastAsia="宋体" w:cs="宋体"/>
                <w:color w:val="auto"/>
                <w:spacing w:val="0"/>
                <w:szCs w:val="21"/>
                <w:highlight w:val="none"/>
              </w:rPr>
              <w:t>响应</w:t>
            </w:r>
          </w:p>
          <w:p w14:paraId="3DB768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文件份数</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E455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本项目采用电子响应文件，供应商按照采购文件要求制作上传电子响应文件，投标时供应商无需提供纸质响应文件。</w:t>
            </w:r>
          </w:p>
          <w:p w14:paraId="200DF9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成交后5个工作日内，成交单位向招标代理机构提供与电子响应文件内容一致的纸质响应文件两份。</w:t>
            </w:r>
          </w:p>
        </w:tc>
      </w:tr>
      <w:tr w14:paraId="172E27E1">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A09A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13</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2A5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报价本位币</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6855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人民币  </w:t>
            </w:r>
          </w:p>
        </w:tc>
      </w:tr>
      <w:tr w14:paraId="07D6B1E8">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4350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14</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A137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zh-CN"/>
              </w:rPr>
              <w:t>履约保证金</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611C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Cs w:val="21"/>
                <w:highlight w:val="none"/>
                <w:lang w:val="en-US" w:eastAsia="zh-CN"/>
              </w:rPr>
            </w:pPr>
            <w:r>
              <w:rPr>
                <w:rFonts w:hint="eastAsia" w:ascii="宋体" w:hAnsi="宋体"/>
                <w:color w:val="auto"/>
                <w:szCs w:val="21"/>
                <w:highlight w:val="none"/>
                <w:lang w:val="en-US" w:eastAsia="zh-CN"/>
              </w:rPr>
              <w:t>按合同要求执行。</w:t>
            </w:r>
            <w:r>
              <w:rPr>
                <w:rFonts w:hint="eastAsia" w:ascii="宋体" w:hAnsi="宋体"/>
                <w:color w:val="auto"/>
                <w:szCs w:val="21"/>
                <w:highlight w:val="none"/>
              </w:rPr>
              <w:t>按照《江苏省财政厅国家金融监管总局江苏监管局江苏省地方金融监督管理局关于在全省政府采购领域推行电子履约保函(保险)的通知》和相关法律法规规定，采购人如向中标(成交)供应商收取履约保证金的，供应商可以以履约保函(保险)的形式代替提供履约保证金。</w:t>
            </w:r>
          </w:p>
        </w:tc>
      </w:tr>
      <w:tr w14:paraId="453B22AB">
        <w:tblPrEx>
          <w:tblCellMar>
            <w:top w:w="0" w:type="dxa"/>
            <w:left w:w="0" w:type="dxa"/>
            <w:bottom w:w="0" w:type="dxa"/>
            <w:right w:w="0" w:type="dxa"/>
          </w:tblCellMar>
        </w:tblPrEx>
        <w:trPr>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949F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15</w:t>
            </w:r>
          </w:p>
        </w:tc>
        <w:tc>
          <w:tcPr>
            <w:tcW w:w="1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3D23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成交通知书</w:t>
            </w:r>
          </w:p>
        </w:tc>
        <w:tc>
          <w:tcPr>
            <w:tcW w:w="6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F66524">
            <w:pPr>
              <w:pStyle w:val="55"/>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确定出成交单位后，采购代理机构在法定时间内向成交单位发出成交通知书。成交通知书将成为合同的组成部分。</w:t>
            </w:r>
          </w:p>
          <w:p w14:paraId="6A1F38CA">
            <w:pPr>
              <w:pStyle w:val="55"/>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请成交单位在成交结果公告届满之日起30日内</w:t>
            </w:r>
            <w:r>
              <w:rPr>
                <w:rFonts w:hint="eastAsia" w:ascii="宋体" w:hAnsi="宋体" w:eastAsia="宋体" w:cs="宋体"/>
                <w:b/>
                <w:color w:val="auto"/>
                <w:spacing w:val="0"/>
                <w:sz w:val="21"/>
                <w:szCs w:val="21"/>
                <w:highlight w:val="none"/>
                <w:lang w:eastAsia="zh-CN"/>
              </w:rPr>
              <w:t>，</w:t>
            </w:r>
            <w:r>
              <w:rPr>
                <w:rFonts w:hint="eastAsia" w:ascii="宋体" w:hAnsi="宋体" w:eastAsia="宋体" w:cs="宋体"/>
                <w:b/>
                <w:color w:val="auto"/>
                <w:spacing w:val="0"/>
                <w:sz w:val="21"/>
                <w:szCs w:val="21"/>
                <w:highlight w:val="none"/>
              </w:rPr>
              <w:t>使用CA证书登录“苏采云”系统及时下载成交通知书。</w:t>
            </w:r>
          </w:p>
        </w:tc>
      </w:tr>
    </w:tbl>
    <w:p w14:paraId="4E54209B">
      <w:pPr>
        <w:pageBreakBefore/>
        <w:tabs>
          <w:tab w:val="left" w:pos="315"/>
          <w:tab w:val="center" w:pos="4153"/>
        </w:tabs>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 w:val="52"/>
          <w:szCs w:val="52"/>
          <w:highlight w:val="none"/>
        </w:rPr>
      </w:pPr>
      <w:r>
        <w:rPr>
          <w:rFonts w:hint="eastAsia" w:ascii="宋体" w:hAnsi="宋体" w:eastAsia="宋体" w:cs="宋体"/>
          <w:b/>
          <w:color w:val="auto"/>
          <w:spacing w:val="0"/>
          <w:sz w:val="52"/>
          <w:szCs w:val="52"/>
          <w:highlight w:val="none"/>
        </w:rPr>
        <w:t>目    录</w:t>
      </w:r>
    </w:p>
    <w:p w14:paraId="756F8C1A">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pacing w:val="0"/>
          <w:sz w:val="36"/>
          <w:szCs w:val="36"/>
          <w:highlight w:val="none"/>
        </w:rPr>
      </w:pPr>
    </w:p>
    <w:p w14:paraId="2946C451">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pacing w:val="0"/>
          <w:sz w:val="36"/>
          <w:szCs w:val="36"/>
          <w:highlight w:val="none"/>
        </w:rPr>
      </w:pPr>
      <w:r>
        <w:rPr>
          <w:rFonts w:hint="eastAsia" w:ascii="宋体" w:hAnsi="宋体" w:cs="宋体"/>
          <w:color w:val="auto"/>
          <w:spacing w:val="0"/>
          <w:sz w:val="36"/>
          <w:szCs w:val="36"/>
          <w:highlight w:val="none"/>
          <w:lang w:val="en-US" w:eastAsia="zh-CN"/>
        </w:rPr>
        <w:t>第</w:t>
      </w:r>
      <w:r>
        <w:rPr>
          <w:rFonts w:hint="eastAsia" w:ascii="宋体" w:hAnsi="宋体" w:eastAsia="宋体" w:cs="宋体"/>
          <w:color w:val="auto"/>
          <w:spacing w:val="0"/>
          <w:sz w:val="36"/>
          <w:szCs w:val="36"/>
          <w:highlight w:val="none"/>
        </w:rPr>
        <w:t>一</w:t>
      </w:r>
      <w:r>
        <w:rPr>
          <w:rFonts w:hint="eastAsia" w:ascii="宋体" w:hAnsi="宋体" w:cs="宋体"/>
          <w:color w:val="auto"/>
          <w:spacing w:val="0"/>
          <w:sz w:val="36"/>
          <w:szCs w:val="36"/>
          <w:highlight w:val="none"/>
          <w:lang w:val="en-US" w:eastAsia="zh-CN"/>
        </w:rPr>
        <w:t>章</w:t>
      </w:r>
      <w:r>
        <w:rPr>
          <w:rFonts w:hint="eastAsia" w:ascii="宋体" w:hAnsi="宋体" w:eastAsia="宋体" w:cs="宋体"/>
          <w:color w:val="auto"/>
          <w:spacing w:val="0"/>
          <w:sz w:val="36"/>
          <w:szCs w:val="36"/>
          <w:highlight w:val="none"/>
        </w:rPr>
        <w:t>、竞争性谈判公告</w:t>
      </w:r>
    </w:p>
    <w:p w14:paraId="3162E93F">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ind w:firstLine="0"/>
        <w:textAlignment w:val="auto"/>
        <w:rPr>
          <w:rFonts w:hint="default" w:ascii="宋体" w:hAnsi="宋体" w:eastAsia="宋体" w:cs="宋体"/>
          <w:color w:val="auto"/>
          <w:spacing w:val="0"/>
          <w:sz w:val="36"/>
          <w:szCs w:val="36"/>
          <w:highlight w:val="none"/>
          <w:lang w:val="en-US" w:eastAsia="zh-CN"/>
        </w:rPr>
      </w:pPr>
      <w:r>
        <w:rPr>
          <w:rFonts w:hint="eastAsia" w:ascii="宋体" w:hAnsi="宋体" w:cs="宋体"/>
          <w:color w:val="auto"/>
          <w:spacing w:val="0"/>
          <w:sz w:val="36"/>
          <w:szCs w:val="36"/>
          <w:highlight w:val="none"/>
          <w:lang w:val="en-US" w:eastAsia="zh-CN"/>
        </w:rPr>
        <w:t>第</w:t>
      </w:r>
      <w:r>
        <w:rPr>
          <w:rFonts w:hint="eastAsia" w:ascii="宋体" w:hAnsi="宋体" w:eastAsia="宋体" w:cs="宋体"/>
          <w:color w:val="auto"/>
          <w:spacing w:val="0"/>
          <w:sz w:val="36"/>
          <w:szCs w:val="36"/>
          <w:highlight w:val="none"/>
        </w:rPr>
        <w:t>二</w:t>
      </w:r>
      <w:r>
        <w:rPr>
          <w:rFonts w:hint="eastAsia" w:ascii="宋体" w:hAnsi="宋体" w:cs="宋体"/>
          <w:color w:val="auto"/>
          <w:spacing w:val="0"/>
          <w:sz w:val="36"/>
          <w:szCs w:val="36"/>
          <w:highlight w:val="none"/>
          <w:lang w:val="en-US" w:eastAsia="zh-CN"/>
        </w:rPr>
        <w:t>章</w:t>
      </w:r>
      <w:r>
        <w:rPr>
          <w:rFonts w:hint="eastAsia" w:ascii="宋体" w:hAnsi="宋体" w:eastAsia="宋体" w:cs="宋体"/>
          <w:color w:val="auto"/>
          <w:spacing w:val="0"/>
          <w:sz w:val="36"/>
          <w:szCs w:val="36"/>
          <w:highlight w:val="none"/>
        </w:rPr>
        <w:t>、</w:t>
      </w:r>
      <w:r>
        <w:rPr>
          <w:rFonts w:hint="eastAsia" w:ascii="宋体" w:hAnsi="宋体" w:cs="宋体"/>
          <w:color w:val="auto"/>
          <w:spacing w:val="0"/>
          <w:sz w:val="36"/>
          <w:szCs w:val="36"/>
          <w:highlight w:val="none"/>
          <w:lang w:val="en-US" w:eastAsia="zh-CN"/>
        </w:rPr>
        <w:t>谈判供应商须知</w:t>
      </w:r>
    </w:p>
    <w:p w14:paraId="291332A1">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ind w:firstLine="0"/>
        <w:textAlignment w:val="auto"/>
        <w:rPr>
          <w:rFonts w:hint="default" w:ascii="宋体" w:hAnsi="宋体" w:eastAsia="宋体" w:cs="宋体"/>
          <w:color w:val="auto"/>
          <w:spacing w:val="0"/>
          <w:sz w:val="36"/>
          <w:szCs w:val="36"/>
          <w:highlight w:val="none"/>
          <w:lang w:val="en-US" w:eastAsia="zh-CN"/>
        </w:rPr>
      </w:pPr>
      <w:r>
        <w:rPr>
          <w:rFonts w:hint="eastAsia" w:ascii="宋体" w:hAnsi="宋体" w:cs="宋体"/>
          <w:color w:val="auto"/>
          <w:spacing w:val="0"/>
          <w:sz w:val="36"/>
          <w:szCs w:val="36"/>
          <w:highlight w:val="none"/>
          <w:lang w:val="en-US" w:eastAsia="zh-CN"/>
        </w:rPr>
        <w:t>第</w:t>
      </w:r>
      <w:r>
        <w:rPr>
          <w:rFonts w:hint="eastAsia" w:ascii="宋体" w:hAnsi="宋体" w:eastAsia="宋体" w:cs="宋体"/>
          <w:color w:val="auto"/>
          <w:spacing w:val="0"/>
          <w:sz w:val="36"/>
          <w:szCs w:val="36"/>
          <w:highlight w:val="none"/>
        </w:rPr>
        <w:t>三</w:t>
      </w:r>
      <w:r>
        <w:rPr>
          <w:rFonts w:hint="eastAsia" w:ascii="宋体" w:hAnsi="宋体" w:cs="宋体"/>
          <w:color w:val="auto"/>
          <w:spacing w:val="0"/>
          <w:sz w:val="36"/>
          <w:szCs w:val="36"/>
          <w:highlight w:val="none"/>
          <w:lang w:val="en-US" w:eastAsia="zh-CN"/>
        </w:rPr>
        <w:t>章</w:t>
      </w:r>
      <w:r>
        <w:rPr>
          <w:rFonts w:hint="eastAsia" w:ascii="宋体" w:hAnsi="宋体" w:eastAsia="宋体" w:cs="宋体"/>
          <w:color w:val="auto"/>
          <w:spacing w:val="0"/>
          <w:sz w:val="36"/>
          <w:szCs w:val="36"/>
          <w:highlight w:val="none"/>
        </w:rPr>
        <w:t>、</w:t>
      </w:r>
      <w:r>
        <w:rPr>
          <w:rFonts w:hint="eastAsia" w:ascii="宋体" w:hAnsi="宋体" w:cs="宋体"/>
          <w:color w:val="auto"/>
          <w:spacing w:val="0"/>
          <w:sz w:val="36"/>
          <w:szCs w:val="36"/>
          <w:highlight w:val="none"/>
          <w:lang w:val="en-US" w:eastAsia="zh-CN"/>
        </w:rPr>
        <w:t>谈判响应文件格式</w:t>
      </w:r>
    </w:p>
    <w:p w14:paraId="2F2D118A">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pacing w:val="0"/>
          <w:sz w:val="36"/>
          <w:szCs w:val="36"/>
          <w:highlight w:val="none"/>
          <w:lang w:val="en-US" w:eastAsia="zh-CN"/>
        </w:rPr>
      </w:pPr>
      <w:r>
        <w:rPr>
          <w:rFonts w:hint="eastAsia" w:ascii="宋体" w:hAnsi="宋体" w:cs="宋体"/>
          <w:color w:val="auto"/>
          <w:spacing w:val="0"/>
          <w:sz w:val="36"/>
          <w:szCs w:val="36"/>
          <w:highlight w:val="none"/>
          <w:lang w:val="en-US" w:eastAsia="zh-CN"/>
        </w:rPr>
        <w:t>第</w:t>
      </w:r>
      <w:r>
        <w:rPr>
          <w:rFonts w:hint="eastAsia" w:ascii="宋体" w:hAnsi="宋体" w:eastAsia="宋体" w:cs="宋体"/>
          <w:color w:val="auto"/>
          <w:spacing w:val="0"/>
          <w:sz w:val="36"/>
          <w:szCs w:val="36"/>
          <w:highlight w:val="none"/>
        </w:rPr>
        <w:t>四</w:t>
      </w:r>
      <w:r>
        <w:rPr>
          <w:rFonts w:hint="eastAsia" w:ascii="宋体" w:hAnsi="宋体" w:cs="宋体"/>
          <w:color w:val="auto"/>
          <w:spacing w:val="0"/>
          <w:sz w:val="36"/>
          <w:szCs w:val="36"/>
          <w:highlight w:val="none"/>
          <w:lang w:val="en-US" w:eastAsia="zh-CN"/>
        </w:rPr>
        <w:t>章</w:t>
      </w:r>
      <w:r>
        <w:rPr>
          <w:rFonts w:hint="eastAsia" w:ascii="宋体" w:hAnsi="宋体" w:eastAsia="宋体" w:cs="宋体"/>
          <w:color w:val="auto"/>
          <w:spacing w:val="0"/>
          <w:sz w:val="36"/>
          <w:szCs w:val="36"/>
          <w:highlight w:val="none"/>
        </w:rPr>
        <w:t>、谈判采购</w:t>
      </w:r>
      <w:r>
        <w:rPr>
          <w:rFonts w:hint="eastAsia" w:ascii="宋体" w:hAnsi="宋体" w:cs="宋体"/>
          <w:color w:val="auto"/>
          <w:spacing w:val="0"/>
          <w:sz w:val="36"/>
          <w:szCs w:val="36"/>
          <w:highlight w:val="none"/>
          <w:lang w:val="en-US" w:eastAsia="zh-CN"/>
        </w:rPr>
        <w:t>内容</w:t>
      </w:r>
    </w:p>
    <w:p w14:paraId="3DEDD7E8">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ind w:firstLine="0"/>
        <w:textAlignment w:val="auto"/>
        <w:rPr>
          <w:rFonts w:hint="default" w:ascii="宋体" w:hAnsi="宋体" w:eastAsia="宋体" w:cs="宋体"/>
          <w:color w:val="auto"/>
          <w:spacing w:val="0"/>
          <w:sz w:val="36"/>
          <w:szCs w:val="36"/>
          <w:highlight w:val="none"/>
          <w:lang w:val="en-US" w:eastAsia="zh-CN"/>
        </w:rPr>
      </w:pPr>
      <w:r>
        <w:rPr>
          <w:rFonts w:hint="eastAsia" w:ascii="宋体" w:hAnsi="宋体" w:cs="宋体"/>
          <w:color w:val="auto"/>
          <w:spacing w:val="0"/>
          <w:sz w:val="36"/>
          <w:szCs w:val="36"/>
          <w:highlight w:val="none"/>
          <w:lang w:val="en-US" w:eastAsia="zh-CN"/>
        </w:rPr>
        <w:t>第</w:t>
      </w:r>
      <w:r>
        <w:rPr>
          <w:rFonts w:hint="eastAsia" w:ascii="宋体" w:hAnsi="宋体" w:eastAsia="宋体" w:cs="宋体"/>
          <w:color w:val="auto"/>
          <w:spacing w:val="0"/>
          <w:sz w:val="36"/>
          <w:szCs w:val="36"/>
          <w:highlight w:val="none"/>
        </w:rPr>
        <w:t>五</w:t>
      </w:r>
      <w:r>
        <w:rPr>
          <w:rFonts w:hint="eastAsia" w:ascii="宋体" w:hAnsi="宋体" w:cs="宋体"/>
          <w:color w:val="auto"/>
          <w:spacing w:val="0"/>
          <w:sz w:val="36"/>
          <w:szCs w:val="36"/>
          <w:highlight w:val="none"/>
          <w:lang w:val="en-US" w:eastAsia="zh-CN"/>
        </w:rPr>
        <w:t>章</w:t>
      </w:r>
      <w:r>
        <w:rPr>
          <w:rFonts w:hint="eastAsia" w:ascii="宋体" w:hAnsi="宋体" w:eastAsia="宋体" w:cs="宋体"/>
          <w:color w:val="auto"/>
          <w:spacing w:val="0"/>
          <w:sz w:val="36"/>
          <w:szCs w:val="36"/>
          <w:highlight w:val="none"/>
        </w:rPr>
        <w:t>、</w:t>
      </w:r>
      <w:r>
        <w:rPr>
          <w:rFonts w:hint="eastAsia" w:ascii="宋体" w:hAnsi="宋体" w:cs="宋体"/>
          <w:color w:val="auto"/>
          <w:spacing w:val="0"/>
          <w:sz w:val="36"/>
          <w:szCs w:val="36"/>
          <w:highlight w:val="none"/>
          <w:lang w:val="en-US" w:eastAsia="zh-CN"/>
        </w:rPr>
        <w:t>合同主要条款</w:t>
      </w:r>
    </w:p>
    <w:p w14:paraId="03025DC5">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ind w:firstLine="0"/>
        <w:textAlignment w:val="auto"/>
        <w:rPr>
          <w:rFonts w:hint="eastAsia" w:ascii="宋体" w:hAnsi="宋体" w:cs="宋体"/>
          <w:color w:val="auto"/>
          <w:spacing w:val="0"/>
          <w:sz w:val="36"/>
          <w:szCs w:val="36"/>
          <w:highlight w:val="none"/>
          <w:lang w:val="en-US" w:eastAsia="zh-CN"/>
        </w:rPr>
      </w:pPr>
      <w:r>
        <w:rPr>
          <w:rFonts w:hint="eastAsia" w:ascii="宋体" w:hAnsi="宋体" w:cs="宋体"/>
          <w:color w:val="auto"/>
          <w:spacing w:val="0"/>
          <w:sz w:val="36"/>
          <w:szCs w:val="36"/>
          <w:highlight w:val="none"/>
          <w:lang w:val="en-US" w:eastAsia="zh-CN"/>
        </w:rPr>
        <w:t>第六章、评审办法</w:t>
      </w:r>
    </w:p>
    <w:p w14:paraId="41B8020D">
      <w:pPr>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eastAsia="宋体" w:cs="宋体"/>
          <w:b/>
          <w:color w:val="auto"/>
          <w:spacing w:val="0"/>
          <w:sz w:val="32"/>
          <w:szCs w:val="32"/>
          <w:highlight w:val="none"/>
        </w:rPr>
      </w:pPr>
    </w:p>
    <w:p w14:paraId="1C3DBC26">
      <w:pPr>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eastAsia="宋体" w:cs="宋体"/>
          <w:b/>
          <w:color w:val="auto"/>
          <w:spacing w:val="0"/>
          <w:sz w:val="32"/>
          <w:szCs w:val="32"/>
          <w:highlight w:val="none"/>
        </w:rPr>
      </w:pPr>
    </w:p>
    <w:p w14:paraId="3FA28BD2">
      <w:pPr>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eastAsia="宋体" w:cs="宋体"/>
          <w:b/>
          <w:color w:val="auto"/>
          <w:spacing w:val="0"/>
          <w:sz w:val="32"/>
          <w:szCs w:val="32"/>
          <w:highlight w:val="none"/>
        </w:rPr>
      </w:pPr>
    </w:p>
    <w:p w14:paraId="52E70632">
      <w:pPr>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eastAsia="宋体" w:cs="宋体"/>
          <w:b/>
          <w:color w:val="auto"/>
          <w:spacing w:val="0"/>
          <w:sz w:val="32"/>
          <w:szCs w:val="32"/>
          <w:highlight w:val="none"/>
        </w:rPr>
      </w:pPr>
    </w:p>
    <w:p w14:paraId="15EB97A0">
      <w:pPr>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eastAsia="宋体" w:cs="宋体"/>
          <w:b/>
          <w:color w:val="auto"/>
          <w:spacing w:val="0"/>
          <w:sz w:val="32"/>
          <w:szCs w:val="32"/>
          <w:highlight w:val="none"/>
        </w:rPr>
      </w:pPr>
    </w:p>
    <w:p w14:paraId="15C60FED">
      <w:pPr>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eastAsia="宋体" w:cs="宋体"/>
          <w:b/>
          <w:color w:val="auto"/>
          <w:spacing w:val="0"/>
          <w:sz w:val="32"/>
          <w:szCs w:val="32"/>
          <w:highlight w:val="none"/>
        </w:rPr>
      </w:pPr>
    </w:p>
    <w:p w14:paraId="09B9E89A">
      <w:pPr>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eastAsia="宋体" w:cs="宋体"/>
          <w:b/>
          <w:color w:val="auto"/>
          <w:spacing w:val="0"/>
          <w:sz w:val="32"/>
          <w:szCs w:val="32"/>
          <w:highlight w:val="none"/>
        </w:rPr>
      </w:pPr>
    </w:p>
    <w:p w14:paraId="60AE008C">
      <w:pPr>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eastAsia="宋体" w:cs="宋体"/>
          <w:b/>
          <w:color w:val="auto"/>
          <w:spacing w:val="0"/>
          <w:sz w:val="32"/>
          <w:szCs w:val="32"/>
          <w:highlight w:val="none"/>
        </w:rPr>
      </w:pPr>
    </w:p>
    <w:p w14:paraId="6D780515">
      <w:pPr>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eastAsia="宋体" w:cs="宋体"/>
          <w:b/>
          <w:color w:val="auto"/>
          <w:spacing w:val="0"/>
          <w:sz w:val="32"/>
          <w:szCs w:val="32"/>
          <w:highlight w:val="none"/>
        </w:rPr>
      </w:pPr>
    </w:p>
    <w:p w14:paraId="35340F2F">
      <w:pPr>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eastAsia="宋体" w:cs="宋体"/>
          <w:b/>
          <w:color w:val="auto"/>
          <w:spacing w:val="0"/>
          <w:sz w:val="32"/>
          <w:szCs w:val="32"/>
          <w:highlight w:val="none"/>
        </w:rPr>
      </w:pPr>
    </w:p>
    <w:p w14:paraId="5569574A">
      <w:pPr>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eastAsia="宋体" w:cs="宋体"/>
          <w:b/>
          <w:color w:val="auto"/>
          <w:spacing w:val="0"/>
          <w:sz w:val="32"/>
          <w:szCs w:val="32"/>
          <w:highlight w:val="none"/>
        </w:rPr>
      </w:pPr>
    </w:p>
    <w:p w14:paraId="083A0C38">
      <w:pPr>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eastAsia="宋体" w:cs="宋体"/>
          <w:b/>
          <w:color w:val="auto"/>
          <w:spacing w:val="0"/>
          <w:sz w:val="32"/>
          <w:szCs w:val="32"/>
          <w:highlight w:val="none"/>
        </w:rPr>
      </w:pPr>
    </w:p>
    <w:p w14:paraId="01CB7A3A">
      <w:pPr>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eastAsia="宋体" w:cs="宋体"/>
          <w:b/>
          <w:color w:val="auto"/>
          <w:spacing w:val="0"/>
          <w:sz w:val="32"/>
          <w:szCs w:val="32"/>
          <w:highlight w:val="none"/>
        </w:rPr>
      </w:pPr>
    </w:p>
    <w:p w14:paraId="24D956CC">
      <w:pPr>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eastAsia="宋体" w:cs="宋体"/>
          <w:b/>
          <w:color w:val="auto"/>
          <w:spacing w:val="0"/>
          <w:sz w:val="32"/>
          <w:szCs w:val="32"/>
          <w:highlight w:val="none"/>
        </w:rPr>
      </w:pPr>
      <w:r>
        <w:rPr>
          <w:rFonts w:hint="eastAsia" w:ascii="宋体" w:hAnsi="宋体" w:eastAsia="宋体" w:cs="宋体"/>
          <w:b/>
          <w:color w:val="auto"/>
          <w:spacing w:val="0"/>
          <w:sz w:val="32"/>
          <w:szCs w:val="32"/>
          <w:highlight w:val="none"/>
        </w:rPr>
        <w:t>一、</w:t>
      </w:r>
      <w:r>
        <w:rPr>
          <w:rFonts w:hint="eastAsia" w:ascii="宋体" w:hAnsi="宋体" w:cs="宋体"/>
          <w:b/>
          <w:color w:val="auto"/>
          <w:spacing w:val="0"/>
          <w:sz w:val="32"/>
          <w:szCs w:val="32"/>
          <w:highlight w:val="none"/>
          <w:lang w:val="en-US" w:eastAsia="zh-CN"/>
        </w:rPr>
        <w:t>竞争性谈判</w:t>
      </w:r>
      <w:r>
        <w:rPr>
          <w:rFonts w:hint="eastAsia" w:ascii="宋体" w:hAnsi="宋体" w:eastAsia="宋体" w:cs="宋体"/>
          <w:b/>
          <w:color w:val="auto"/>
          <w:spacing w:val="0"/>
          <w:sz w:val="32"/>
          <w:szCs w:val="32"/>
          <w:highlight w:val="none"/>
        </w:rPr>
        <w:t>公告</w:t>
      </w:r>
    </w:p>
    <w:p w14:paraId="0CF16B0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项目概况</w:t>
      </w:r>
    </w:p>
    <w:p w14:paraId="66B0A8C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u w:val="single"/>
          <w:lang w:eastAsia="zh-CN"/>
        </w:rPr>
        <w:t>前列腺剜除镜</w:t>
      </w:r>
      <w:r>
        <w:rPr>
          <w:rFonts w:hint="eastAsia" w:ascii="宋体" w:hAnsi="宋体" w:eastAsia="宋体" w:cs="宋体"/>
          <w:color w:val="auto"/>
          <w:spacing w:val="0"/>
          <w:szCs w:val="21"/>
          <w:highlight w:val="none"/>
        </w:rPr>
        <w:t>采购项目的潜在供应商应在</w:t>
      </w:r>
      <w:r>
        <w:rPr>
          <w:rFonts w:hint="eastAsia" w:ascii="宋体" w:hAnsi="宋体" w:eastAsia="宋体" w:cs="宋体"/>
          <w:color w:val="auto"/>
          <w:spacing w:val="0"/>
          <w:szCs w:val="21"/>
          <w:highlight w:val="none"/>
          <w:u w:val="single"/>
        </w:rPr>
        <w:t>苏采云系统</w:t>
      </w:r>
      <w:r>
        <w:rPr>
          <w:rFonts w:hint="eastAsia" w:ascii="宋体" w:hAnsi="宋体" w:eastAsia="宋体" w:cs="宋体"/>
          <w:color w:val="auto"/>
          <w:spacing w:val="0"/>
          <w:szCs w:val="21"/>
          <w:highlight w:val="none"/>
        </w:rPr>
        <w:t>获取采购文件，并于</w:t>
      </w:r>
      <w:r>
        <w:rPr>
          <w:rFonts w:hint="eastAsia" w:ascii="宋体" w:hAnsi="宋体" w:eastAsia="宋体" w:cs="宋体"/>
          <w:color w:val="auto"/>
          <w:spacing w:val="0"/>
          <w:szCs w:val="21"/>
          <w:highlight w:val="none"/>
          <w:u w:val="single"/>
          <w:lang w:eastAsia="zh-CN"/>
        </w:rPr>
        <w:t>202</w:t>
      </w:r>
      <w:r>
        <w:rPr>
          <w:rFonts w:hint="eastAsia" w:ascii="宋体" w:hAnsi="宋体" w:cs="宋体"/>
          <w:color w:val="auto"/>
          <w:spacing w:val="0"/>
          <w:szCs w:val="21"/>
          <w:highlight w:val="none"/>
          <w:u w:val="single"/>
          <w:lang w:val="en-US" w:eastAsia="zh-CN"/>
        </w:rPr>
        <w:t>5</w:t>
      </w:r>
      <w:r>
        <w:rPr>
          <w:rFonts w:hint="eastAsia" w:ascii="宋体" w:hAnsi="宋体" w:eastAsia="宋体" w:cs="宋体"/>
          <w:color w:val="auto"/>
          <w:spacing w:val="0"/>
          <w:szCs w:val="21"/>
          <w:highlight w:val="none"/>
          <w:u w:val="single"/>
          <w:lang w:eastAsia="zh-CN"/>
        </w:rPr>
        <w:t>年</w:t>
      </w:r>
      <w:r>
        <w:rPr>
          <w:rFonts w:hint="eastAsia" w:ascii="宋体" w:hAnsi="宋体" w:cs="宋体"/>
          <w:color w:val="auto"/>
          <w:spacing w:val="0"/>
          <w:szCs w:val="21"/>
          <w:highlight w:val="none"/>
          <w:u w:val="single"/>
          <w:lang w:val="en-US" w:eastAsia="zh-CN"/>
        </w:rPr>
        <w:t>5</w:t>
      </w:r>
      <w:r>
        <w:rPr>
          <w:rFonts w:hint="eastAsia" w:ascii="宋体" w:hAnsi="宋体" w:eastAsia="宋体" w:cs="宋体"/>
          <w:color w:val="auto"/>
          <w:spacing w:val="0"/>
          <w:szCs w:val="21"/>
          <w:highlight w:val="none"/>
          <w:u w:val="single"/>
          <w:lang w:eastAsia="zh-CN"/>
        </w:rPr>
        <w:t>月</w:t>
      </w:r>
      <w:r>
        <w:rPr>
          <w:rFonts w:hint="eastAsia" w:ascii="宋体" w:hAnsi="宋体" w:cs="宋体"/>
          <w:color w:val="auto"/>
          <w:spacing w:val="0"/>
          <w:szCs w:val="21"/>
          <w:highlight w:val="none"/>
          <w:u w:val="single"/>
          <w:lang w:val="en-US" w:eastAsia="zh-CN"/>
        </w:rPr>
        <w:t>27</w:t>
      </w:r>
      <w:r>
        <w:rPr>
          <w:rFonts w:hint="eastAsia" w:ascii="宋体" w:hAnsi="宋体" w:eastAsia="宋体" w:cs="宋体"/>
          <w:color w:val="auto"/>
          <w:spacing w:val="0"/>
          <w:szCs w:val="21"/>
          <w:highlight w:val="none"/>
          <w:u w:val="single"/>
          <w:lang w:eastAsia="zh-CN"/>
        </w:rPr>
        <w:t>日</w:t>
      </w:r>
      <w:r>
        <w:rPr>
          <w:rFonts w:hint="eastAsia" w:ascii="宋体" w:hAnsi="宋体" w:cs="宋体"/>
          <w:color w:val="auto"/>
          <w:spacing w:val="0"/>
          <w:szCs w:val="21"/>
          <w:highlight w:val="none"/>
          <w:u w:val="single"/>
          <w:lang w:val="en-US" w:eastAsia="zh-CN"/>
        </w:rPr>
        <w:t>9</w:t>
      </w:r>
      <w:r>
        <w:rPr>
          <w:rFonts w:hint="eastAsia" w:ascii="宋体" w:hAnsi="宋体" w:eastAsia="宋体" w:cs="宋体"/>
          <w:color w:val="auto"/>
          <w:spacing w:val="0"/>
          <w:szCs w:val="21"/>
          <w:highlight w:val="none"/>
          <w:u w:val="single"/>
        </w:rPr>
        <w:t>点30分</w:t>
      </w:r>
      <w:r>
        <w:rPr>
          <w:rFonts w:hint="eastAsia" w:ascii="宋体" w:hAnsi="宋体" w:eastAsia="宋体" w:cs="宋体"/>
          <w:bCs/>
          <w:color w:val="auto"/>
          <w:spacing w:val="0"/>
          <w:szCs w:val="21"/>
          <w:highlight w:val="none"/>
        </w:rPr>
        <w:t>（北京时间）前提交响应文件</w:t>
      </w:r>
      <w:r>
        <w:rPr>
          <w:rFonts w:hint="eastAsia" w:ascii="宋体" w:hAnsi="宋体" w:eastAsia="宋体" w:cs="宋体"/>
          <w:color w:val="auto"/>
          <w:spacing w:val="0"/>
          <w:szCs w:val="21"/>
          <w:highlight w:val="none"/>
        </w:rPr>
        <w:t>。</w:t>
      </w:r>
    </w:p>
    <w:p w14:paraId="61150655">
      <w:pPr>
        <w:keepNext w:val="0"/>
        <w:keepLines w:val="0"/>
        <w:pageBreakBefore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一、项目基本情况</w:t>
      </w:r>
    </w:p>
    <w:p w14:paraId="1F7F6F64">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lang w:eastAsia="zh-CN"/>
        </w:rPr>
      </w:pPr>
      <w:r>
        <w:rPr>
          <w:rFonts w:hint="eastAsia" w:ascii="宋体" w:hAnsi="宋体" w:cs="宋体"/>
          <w:color w:val="auto"/>
          <w:spacing w:val="0"/>
          <w:szCs w:val="21"/>
          <w:highlight w:val="none"/>
          <w:lang w:val="en-US" w:eastAsia="zh-CN"/>
        </w:rPr>
        <w:t>1.</w:t>
      </w:r>
      <w:r>
        <w:rPr>
          <w:rFonts w:hint="eastAsia" w:ascii="宋体" w:hAnsi="宋体" w:eastAsia="宋体" w:cs="宋体"/>
          <w:color w:val="auto"/>
          <w:spacing w:val="0"/>
          <w:szCs w:val="21"/>
          <w:highlight w:val="none"/>
        </w:rPr>
        <w:t>项目编号：</w:t>
      </w:r>
      <w:r>
        <w:rPr>
          <w:rFonts w:hint="eastAsia" w:ascii="宋体" w:hAnsi="宋体" w:cs="宋体"/>
          <w:color w:val="auto"/>
          <w:spacing w:val="0"/>
          <w:szCs w:val="21"/>
          <w:highlight w:val="none"/>
          <w:lang w:eastAsia="zh-CN"/>
        </w:rPr>
        <w:t>JSZC-320509-CJZB-T2025-0085</w:t>
      </w:r>
    </w:p>
    <w:p w14:paraId="2A9883A9">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default" w:ascii="宋体" w:hAnsi="宋体" w:eastAsia="宋体" w:cs="宋体"/>
          <w:color w:val="auto"/>
          <w:spacing w:val="0"/>
          <w:szCs w:val="21"/>
          <w:highlight w:val="none"/>
          <w:lang w:val="en-US" w:eastAsia="zh-CN"/>
        </w:rPr>
      </w:pPr>
      <w:r>
        <w:rPr>
          <w:rFonts w:hint="eastAsia" w:ascii="宋体" w:hAnsi="宋体" w:cs="宋体"/>
          <w:color w:val="auto"/>
          <w:spacing w:val="0"/>
          <w:szCs w:val="21"/>
          <w:highlight w:val="none"/>
          <w:lang w:val="en-US" w:eastAsia="zh-CN"/>
        </w:rPr>
        <w:t>2.</w:t>
      </w:r>
      <w:r>
        <w:rPr>
          <w:rFonts w:hint="eastAsia" w:ascii="宋体" w:hAnsi="宋体" w:eastAsia="宋体" w:cs="宋体"/>
          <w:color w:val="auto"/>
          <w:spacing w:val="0"/>
          <w:szCs w:val="21"/>
          <w:highlight w:val="none"/>
        </w:rPr>
        <w:t>项目名称：</w:t>
      </w:r>
      <w:r>
        <w:rPr>
          <w:rFonts w:hint="eastAsia" w:ascii="宋体" w:hAnsi="宋体" w:cs="宋体"/>
          <w:color w:val="auto"/>
          <w:spacing w:val="0"/>
          <w:szCs w:val="21"/>
          <w:highlight w:val="none"/>
          <w:lang w:eastAsia="zh-CN"/>
        </w:rPr>
        <w:t>前列腺剜除镜</w:t>
      </w:r>
    </w:p>
    <w:p w14:paraId="3FF9AC99">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3.</w:t>
      </w:r>
      <w:r>
        <w:rPr>
          <w:rFonts w:hint="eastAsia" w:ascii="宋体" w:hAnsi="宋体" w:eastAsia="宋体" w:cs="宋体"/>
          <w:color w:val="auto"/>
          <w:spacing w:val="0"/>
          <w:szCs w:val="21"/>
          <w:highlight w:val="none"/>
        </w:rPr>
        <w:t>采购方式：竞争性谈判</w:t>
      </w:r>
    </w:p>
    <w:p w14:paraId="248BDE2A">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4.采购清单及</w:t>
      </w:r>
      <w:r>
        <w:rPr>
          <w:rFonts w:hint="eastAsia" w:ascii="宋体" w:hAnsi="宋体" w:eastAsia="宋体" w:cs="宋体"/>
          <w:color w:val="auto"/>
          <w:spacing w:val="0"/>
          <w:szCs w:val="21"/>
          <w:highlight w:val="none"/>
        </w:rPr>
        <w:t>预算金额</w:t>
      </w:r>
      <w:r>
        <w:rPr>
          <w:rFonts w:hint="eastAsia" w:ascii="宋体" w:hAnsi="宋体" w:cs="宋体"/>
          <w:color w:val="auto"/>
          <w:spacing w:val="0"/>
          <w:szCs w:val="21"/>
          <w:highlight w:val="none"/>
          <w:lang w:eastAsia="zh-CN"/>
        </w:rPr>
        <w:t>（</w:t>
      </w:r>
      <w:r>
        <w:rPr>
          <w:rFonts w:hint="eastAsia" w:ascii="宋体" w:hAnsi="宋体" w:cs="宋体"/>
          <w:color w:val="auto"/>
          <w:spacing w:val="0"/>
          <w:szCs w:val="21"/>
          <w:highlight w:val="none"/>
          <w:lang w:val="en-US" w:eastAsia="zh-CN"/>
        </w:rPr>
        <w:t>最高限价）</w:t>
      </w:r>
      <w:r>
        <w:rPr>
          <w:rFonts w:hint="eastAsia" w:ascii="宋体" w:hAnsi="宋体" w:eastAsia="宋体" w:cs="宋体"/>
          <w:color w:val="auto"/>
          <w:spacing w:val="0"/>
          <w:szCs w:val="21"/>
          <w:highlight w:val="none"/>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76"/>
        <w:gridCol w:w="1183"/>
        <w:gridCol w:w="1404"/>
        <w:gridCol w:w="1783"/>
        <w:gridCol w:w="2348"/>
      </w:tblGrid>
      <w:tr w14:paraId="37EB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7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057CDA">
            <w:pPr>
              <w:overflowPunct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序号</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D1A932">
            <w:pPr>
              <w:overflowPunct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项目名称</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0B8417">
            <w:pPr>
              <w:overflowPunct w:val="0"/>
              <w:adjustRightInd w:val="0"/>
              <w:snapToGrid w:val="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数量</w:t>
            </w:r>
            <w:r>
              <w:rPr>
                <w:rFonts w:hint="eastAsia" w:ascii="宋体" w:hAnsi="宋体" w:cs="宋体"/>
                <w:color w:val="auto"/>
                <w:szCs w:val="21"/>
                <w:highlight w:val="none"/>
                <w:lang w:val="en-US" w:eastAsia="zh-CN"/>
              </w:rPr>
              <w:t>(台）</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0A35DD8">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color w:val="auto"/>
                <w:spacing w:val="0"/>
                <w:szCs w:val="21"/>
                <w:highlight w:val="none"/>
                <w:lang w:val="en-US" w:eastAsia="zh-CN"/>
              </w:rPr>
            </w:pPr>
            <w:r>
              <w:rPr>
                <w:rFonts w:hint="eastAsia" w:ascii="宋体" w:hAnsi="宋体" w:cs="宋体"/>
                <w:color w:val="auto"/>
                <w:spacing w:val="0"/>
                <w:szCs w:val="21"/>
                <w:highlight w:val="none"/>
                <w:lang w:val="en-US" w:eastAsia="zh-CN"/>
              </w:rPr>
              <w:t>预算金额</w:t>
            </w:r>
          </w:p>
          <w:p w14:paraId="26202333">
            <w:pPr>
              <w:keepNext w:val="0"/>
              <w:keepLines w:val="0"/>
              <w:pageBreakBefore w:val="0"/>
              <w:kinsoku/>
              <w:wordWrap/>
              <w:overflowPunct/>
              <w:topLinePunct w:val="0"/>
              <w:autoSpaceDE/>
              <w:autoSpaceDN/>
              <w:bidi w:val="0"/>
              <w:adjustRightInd/>
              <w:snapToGrid/>
              <w:spacing w:line="360" w:lineRule="auto"/>
              <w:ind w:right="0"/>
              <w:textAlignment w:val="auto"/>
              <w:rPr>
                <w:rFonts w:hint="default" w:ascii="宋体" w:hAnsi="宋体" w:eastAsia="宋体" w:cs="宋体"/>
                <w:color w:val="auto"/>
                <w:spacing w:val="0"/>
                <w:sz w:val="21"/>
                <w:szCs w:val="21"/>
                <w:highlight w:val="none"/>
                <w:lang w:val="en-US" w:eastAsia="zh-CN"/>
              </w:rPr>
            </w:pPr>
            <w:r>
              <w:rPr>
                <w:rFonts w:hint="eastAsia" w:ascii="宋体" w:hAnsi="宋体" w:cs="宋体"/>
                <w:color w:val="auto"/>
                <w:spacing w:val="0"/>
                <w:szCs w:val="21"/>
                <w:highlight w:val="none"/>
                <w:lang w:val="en-US" w:eastAsia="zh-CN"/>
              </w:rPr>
              <w:t>（万元）</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9A40A73">
            <w:pPr>
              <w:overflowPunct w:val="0"/>
              <w:adjustRightInd w:val="0"/>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最高限价金额</w:t>
            </w:r>
          </w:p>
          <w:p w14:paraId="161A455A">
            <w:pPr>
              <w:overflowPunct w:val="0"/>
              <w:adjustRightInd w:val="0"/>
              <w:snapToGrid w:val="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（万元）</w:t>
            </w:r>
          </w:p>
        </w:tc>
        <w:tc>
          <w:tcPr>
            <w:tcW w:w="234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04E56EC">
            <w:pPr>
              <w:overflowPunct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Cs w:val="21"/>
                <w:highlight w:val="none"/>
              </w:rPr>
              <w:t>备注</w:t>
            </w:r>
          </w:p>
        </w:tc>
      </w:tr>
      <w:tr w14:paraId="25FD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7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AF8305">
            <w:pPr>
              <w:overflowPunct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1</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0EAF89">
            <w:pPr>
              <w:overflowPunct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前列腺剜除镜</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68A684">
            <w:pPr>
              <w:overflowPunct w:val="0"/>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2</w:t>
            </w:r>
          </w:p>
        </w:tc>
        <w:tc>
          <w:tcPr>
            <w:tcW w:w="1404" w:type="dxa"/>
            <w:tcBorders>
              <w:top w:val="single" w:color="auto" w:sz="4" w:space="0"/>
              <w:left w:val="single" w:color="auto" w:sz="4" w:space="0"/>
              <w:right w:val="single" w:color="auto" w:sz="4" w:space="0"/>
            </w:tcBorders>
            <w:shd w:val="clear" w:color="auto" w:fill="auto"/>
            <w:noWrap w:val="0"/>
            <w:vAlign w:val="center"/>
          </w:tcPr>
          <w:p w14:paraId="6BAC3CF1">
            <w:pPr>
              <w:overflowPunct w:val="0"/>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60</w:t>
            </w:r>
          </w:p>
        </w:tc>
        <w:tc>
          <w:tcPr>
            <w:tcW w:w="1783" w:type="dxa"/>
            <w:tcBorders>
              <w:top w:val="single" w:color="auto" w:sz="4" w:space="0"/>
              <w:left w:val="single" w:color="auto" w:sz="4" w:space="0"/>
              <w:right w:val="single" w:color="auto" w:sz="4" w:space="0"/>
            </w:tcBorders>
            <w:shd w:val="clear" w:color="auto" w:fill="auto"/>
            <w:noWrap w:val="0"/>
            <w:vAlign w:val="center"/>
          </w:tcPr>
          <w:p w14:paraId="3017F26E">
            <w:pPr>
              <w:overflowPunct w:val="0"/>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60</w:t>
            </w:r>
          </w:p>
        </w:tc>
        <w:tc>
          <w:tcPr>
            <w:tcW w:w="2348" w:type="dxa"/>
            <w:tcBorders>
              <w:top w:val="single" w:color="auto" w:sz="4" w:space="0"/>
              <w:left w:val="single" w:color="auto" w:sz="4" w:space="0"/>
              <w:right w:val="single" w:color="auto" w:sz="4" w:space="0"/>
            </w:tcBorders>
            <w:shd w:val="clear" w:color="auto" w:fill="auto"/>
            <w:noWrap w:val="0"/>
            <w:vAlign w:val="center"/>
          </w:tcPr>
          <w:p w14:paraId="1415508B">
            <w:pPr>
              <w:overflowPunct w:val="0"/>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w:t>
            </w:r>
            <w:r>
              <w:rPr>
                <w:rFonts w:hint="eastAsia" w:ascii="宋体" w:hAnsi="宋体" w:cs="宋体"/>
                <w:color w:val="auto"/>
                <w:szCs w:val="21"/>
                <w:highlight w:val="none"/>
                <w:lang w:val="en-US" w:eastAsia="zh-CN"/>
              </w:rPr>
              <w:t>受</w:t>
            </w:r>
            <w:r>
              <w:rPr>
                <w:rFonts w:hint="eastAsia" w:ascii="宋体" w:hAnsi="宋体" w:cs="宋体"/>
                <w:color w:val="auto"/>
                <w:szCs w:val="21"/>
                <w:highlight w:val="none"/>
              </w:rPr>
              <w:t>进口产品投标</w:t>
            </w:r>
          </w:p>
        </w:tc>
      </w:tr>
    </w:tbl>
    <w:p w14:paraId="20418492">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5.</w:t>
      </w:r>
      <w:r>
        <w:rPr>
          <w:rFonts w:hint="eastAsia" w:ascii="宋体" w:hAnsi="宋体" w:cs="宋体"/>
          <w:color w:val="auto"/>
          <w:szCs w:val="21"/>
          <w:highlight w:val="none"/>
        </w:rPr>
        <w:t>合同履行期限：合同签订生效之后30天内交货并安装调试结束</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免费质保期为验收合格之日起三年</w:t>
      </w:r>
      <w:r>
        <w:rPr>
          <w:rFonts w:hint="eastAsia" w:ascii="宋体" w:hAnsi="宋体" w:eastAsia="宋体" w:cs="宋体"/>
          <w:color w:val="auto"/>
          <w:spacing w:val="0"/>
          <w:szCs w:val="21"/>
          <w:highlight w:val="none"/>
        </w:rPr>
        <w:t>。</w:t>
      </w:r>
    </w:p>
    <w:p w14:paraId="303BCEB2">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
          <w:bCs/>
          <w:color w:val="auto"/>
          <w:spacing w:val="0"/>
          <w:szCs w:val="21"/>
          <w:highlight w:val="none"/>
          <w:lang w:eastAsia="zh-CN"/>
        </w:rPr>
      </w:pPr>
      <w:r>
        <w:rPr>
          <w:rFonts w:hint="eastAsia" w:ascii="宋体" w:hAnsi="宋体" w:cs="宋体"/>
          <w:color w:val="auto"/>
          <w:szCs w:val="21"/>
          <w:highlight w:val="none"/>
          <w:lang w:val="en-US" w:eastAsia="zh-CN" w:bidi="ar"/>
        </w:rPr>
        <w:t>6.</w:t>
      </w:r>
      <w:r>
        <w:rPr>
          <w:rFonts w:hint="eastAsia" w:ascii="宋体" w:hAnsi="宋体" w:cs="宋体"/>
          <w:color w:val="auto"/>
          <w:szCs w:val="21"/>
          <w:highlight w:val="none"/>
          <w:lang w:bidi="ar"/>
        </w:rPr>
        <w:t>本项目</w:t>
      </w:r>
      <w:r>
        <w:rPr>
          <w:rFonts w:hint="eastAsia" w:ascii="宋体" w:hAnsi="宋体" w:cs="宋体"/>
          <w:color w:val="auto"/>
          <w:szCs w:val="21"/>
          <w:highlight w:val="none"/>
          <w:u w:val="single"/>
          <w:lang w:bidi="ar"/>
        </w:rPr>
        <w:t>不</w:t>
      </w:r>
      <w:r>
        <w:rPr>
          <w:rFonts w:hint="eastAsia" w:ascii="宋体" w:hAnsi="宋体" w:cs="宋体"/>
          <w:color w:val="auto"/>
          <w:szCs w:val="21"/>
          <w:highlight w:val="none"/>
          <w:lang w:bidi="ar"/>
        </w:rPr>
        <w:t>接受联合体</w:t>
      </w:r>
      <w:r>
        <w:rPr>
          <w:rFonts w:hint="eastAsia" w:ascii="宋体" w:hAnsi="宋体" w:cs="宋体"/>
          <w:color w:val="auto"/>
          <w:szCs w:val="21"/>
          <w:highlight w:val="none"/>
          <w:lang w:eastAsia="zh-CN" w:bidi="ar"/>
        </w:rPr>
        <w:t>。</w:t>
      </w:r>
    </w:p>
    <w:p w14:paraId="2A9A0912">
      <w:pPr>
        <w:keepNext w:val="0"/>
        <w:keepLines w:val="0"/>
        <w:pageBreakBefore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二、申请人的资格要求：</w:t>
      </w:r>
    </w:p>
    <w:p w14:paraId="7DDEB9DA">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1、满足《中华人民共和国政府采购法》第二十二条规定：</w:t>
      </w:r>
    </w:p>
    <w:p w14:paraId="7C9D559E">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（1）具有独立承担民事责任的能力；</w:t>
      </w:r>
    </w:p>
    <w:p w14:paraId="20D4EB6D">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（2）具有良好的商业信誉和健全的财务会计制度；</w:t>
      </w:r>
    </w:p>
    <w:p w14:paraId="2AA8AC27">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（3）具有履行合同所必需的设备和专业技术能力；</w:t>
      </w:r>
    </w:p>
    <w:p w14:paraId="250ECAC7">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（4）有依法缴纳税收和社会保障资金的良好记录；</w:t>
      </w:r>
    </w:p>
    <w:p w14:paraId="6B137C9A">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（5）参加政府采购活动前三年内，在经营活动中没有重大违法记录；</w:t>
      </w:r>
    </w:p>
    <w:p w14:paraId="0B819B5B">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（6）法律、行政法规规定的其他条件。</w:t>
      </w:r>
    </w:p>
    <w:p w14:paraId="6427A744">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2、落实政府采购政策需满足的资格要求：根据《政府采购促进中小企业发展管理办法》的相关规定，</w:t>
      </w:r>
      <w:r>
        <w:rPr>
          <w:rFonts w:hint="eastAsia" w:ascii="宋体" w:hAnsi="宋体" w:eastAsia="宋体" w:cs="宋体"/>
          <w:b/>
          <w:bCs/>
          <w:color w:val="auto"/>
          <w:spacing w:val="0"/>
          <w:szCs w:val="21"/>
          <w:highlight w:val="none"/>
        </w:rPr>
        <w:t>本项目专门面向中小企业采购，所属行业为</w:t>
      </w:r>
      <w:r>
        <w:rPr>
          <w:rFonts w:hint="eastAsia" w:ascii="宋体" w:hAnsi="宋体" w:cs="宋体"/>
          <w:b/>
          <w:bCs/>
          <w:color w:val="auto"/>
          <w:spacing w:val="0"/>
          <w:szCs w:val="21"/>
          <w:highlight w:val="none"/>
          <w:lang w:val="en-US" w:eastAsia="zh-CN"/>
        </w:rPr>
        <w:t>工业</w:t>
      </w:r>
      <w:r>
        <w:rPr>
          <w:rFonts w:hint="eastAsia" w:ascii="宋体" w:hAnsi="宋体" w:eastAsia="宋体" w:cs="宋体"/>
          <w:color w:val="auto"/>
          <w:spacing w:val="0"/>
          <w:szCs w:val="21"/>
          <w:highlight w:val="none"/>
        </w:rPr>
        <w:t>。</w:t>
      </w:r>
    </w:p>
    <w:p w14:paraId="78EF0A41">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3、本项目的特定资格要求： </w:t>
      </w:r>
    </w:p>
    <w:p w14:paraId="3B14B987">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（1）未被列入失信被执行人、重大税收违法案件当事人名单、政府采购严重失信行为记录名单；</w:t>
      </w:r>
    </w:p>
    <w:p w14:paraId="55BDD45E">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（2）本项目不接受联合体投标；</w:t>
      </w:r>
    </w:p>
    <w:p w14:paraId="58AB7D86">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（3）单位负责人为同一人或者存在直接控股、管理关系的不同供应商（包含法定代表人为同一个人的两个及两个以上法人，母公司、全资子公司及其控股公司），不得参加同一合同项下的政府采购活动。</w:t>
      </w:r>
    </w:p>
    <w:p w14:paraId="534B588D">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（4）其他特定资格要求：</w:t>
      </w:r>
    </w:p>
    <w:p w14:paraId="2FA2D3D6">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highlight w:val="none"/>
        </w:rPr>
      </w:pPr>
      <w:r>
        <w:rPr>
          <w:rFonts w:hint="eastAsia" w:ascii="宋体" w:hAnsi="宋体" w:cs="宋体"/>
          <w:color w:val="auto"/>
          <w:spacing w:val="0"/>
          <w:highlight w:val="none"/>
          <w:lang w:val="en-US" w:eastAsia="zh-CN"/>
        </w:rPr>
        <w:t>4.1响应</w:t>
      </w:r>
      <w:r>
        <w:rPr>
          <w:rFonts w:hint="eastAsia" w:ascii="宋体" w:hAnsi="宋体" w:eastAsia="宋体" w:cs="宋体"/>
          <w:color w:val="auto"/>
          <w:spacing w:val="0"/>
          <w:highlight w:val="none"/>
        </w:rPr>
        <w:t>单位具有与所投产品相对应的医疗器械</w:t>
      </w:r>
      <w:r>
        <w:rPr>
          <w:rFonts w:hint="eastAsia" w:ascii="宋体" w:hAnsi="宋体" w:cs="宋体"/>
          <w:color w:val="auto"/>
          <w:spacing w:val="0"/>
          <w:highlight w:val="none"/>
          <w:lang w:val="en-US" w:eastAsia="zh-CN"/>
        </w:rPr>
        <w:t>生产或</w:t>
      </w:r>
      <w:r>
        <w:rPr>
          <w:rFonts w:hint="eastAsia" w:ascii="宋体" w:hAnsi="宋体" w:eastAsia="宋体" w:cs="宋体"/>
          <w:color w:val="auto"/>
          <w:spacing w:val="0"/>
          <w:highlight w:val="none"/>
        </w:rPr>
        <w:t>经营(许可)资格。</w:t>
      </w:r>
    </w:p>
    <w:p w14:paraId="633DF3E9">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default" w:ascii="宋体" w:hAnsi="宋体" w:eastAsia="宋体" w:cs="宋体"/>
          <w:color w:val="auto"/>
          <w:spacing w:val="0"/>
          <w:highlight w:val="none"/>
          <w:lang w:val="en-US" w:eastAsia="zh-CN"/>
        </w:rPr>
      </w:pPr>
      <w:r>
        <w:rPr>
          <w:rFonts w:hint="eastAsia" w:ascii="宋体" w:hAnsi="宋体" w:cs="宋体"/>
          <w:color w:val="auto"/>
          <w:spacing w:val="0"/>
          <w:highlight w:val="none"/>
          <w:lang w:val="en-US" w:eastAsia="zh-CN"/>
        </w:rPr>
        <w:t>4.2合格的代理商证明文件（产品生产厂家及国产产品投标，无需提供）</w:t>
      </w:r>
    </w:p>
    <w:p w14:paraId="717A7575">
      <w:pPr>
        <w:keepNext w:val="0"/>
        <w:keepLines w:val="0"/>
        <w:pageBreakBefore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三、获取采购文件</w:t>
      </w:r>
    </w:p>
    <w:p w14:paraId="72B98463">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default" w:ascii="宋体" w:hAnsi="宋体" w:eastAsia="宋体" w:cs="宋体"/>
          <w:color w:val="auto"/>
          <w:spacing w:val="0"/>
          <w:szCs w:val="21"/>
          <w:highlight w:val="none"/>
          <w:shd w:val="clear" w:color="auto" w:fill="FFFFFF"/>
          <w:lang w:val="en-US" w:eastAsia="zh-CN"/>
        </w:rPr>
      </w:pPr>
      <w:bookmarkStart w:id="0" w:name="_Toc28359005"/>
      <w:bookmarkStart w:id="1" w:name="_Toc35393624"/>
      <w:bookmarkStart w:id="2" w:name="_Toc35393793"/>
      <w:bookmarkStart w:id="3" w:name="_Toc28359082"/>
      <w:r>
        <w:rPr>
          <w:rFonts w:hint="eastAsia" w:ascii="宋体" w:hAnsi="宋体" w:eastAsia="宋体" w:cs="宋体"/>
          <w:color w:val="auto"/>
          <w:spacing w:val="0"/>
          <w:szCs w:val="21"/>
          <w:highlight w:val="none"/>
          <w:shd w:val="clear" w:color="auto" w:fill="FFFFFF"/>
        </w:rPr>
        <w:t>1.时间：自公告发布之日起</w:t>
      </w:r>
      <w:r>
        <w:rPr>
          <w:rFonts w:hint="eastAsia" w:ascii="宋体" w:hAnsi="宋体" w:cs="宋体"/>
          <w:color w:val="auto"/>
          <w:spacing w:val="0"/>
          <w:szCs w:val="21"/>
          <w:highlight w:val="none"/>
          <w:shd w:val="clear" w:color="auto" w:fill="FFFFFF"/>
          <w:lang w:val="en-US" w:eastAsia="zh-CN"/>
        </w:rPr>
        <w:t>3</w:t>
      </w:r>
      <w:r>
        <w:rPr>
          <w:rFonts w:hint="eastAsia" w:ascii="宋体" w:hAnsi="宋体" w:eastAsia="宋体" w:cs="宋体"/>
          <w:color w:val="auto"/>
          <w:spacing w:val="0"/>
          <w:szCs w:val="21"/>
          <w:highlight w:val="none"/>
          <w:shd w:val="clear" w:color="auto" w:fill="FFFFFF"/>
        </w:rPr>
        <w:t>个工作日</w:t>
      </w:r>
      <w:r>
        <w:rPr>
          <w:rFonts w:hint="eastAsia" w:ascii="宋体" w:hAnsi="宋体" w:cs="宋体"/>
          <w:color w:val="auto"/>
          <w:spacing w:val="0"/>
          <w:szCs w:val="21"/>
          <w:highlight w:val="none"/>
          <w:shd w:val="clear" w:color="auto" w:fill="FFFFFF"/>
          <w:lang w:eastAsia="zh-CN"/>
        </w:rPr>
        <w:t>（</w:t>
      </w:r>
      <w:r>
        <w:rPr>
          <w:rFonts w:hint="eastAsia" w:ascii="宋体" w:hAnsi="宋体" w:cs="宋体"/>
          <w:color w:val="auto"/>
          <w:spacing w:val="0"/>
          <w:szCs w:val="21"/>
          <w:highlight w:val="none"/>
          <w:shd w:val="clear" w:color="auto" w:fill="FFFFFF"/>
          <w:lang w:val="en-US" w:eastAsia="zh-CN"/>
        </w:rPr>
        <w:t>具体按照本项目政府采购网上采购公告）</w:t>
      </w:r>
    </w:p>
    <w:p w14:paraId="7CF833A9">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2.地点：苏采云系统自行下载</w:t>
      </w:r>
    </w:p>
    <w:p w14:paraId="787DFFCF">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3.方式：</w:t>
      </w:r>
    </w:p>
    <w:p w14:paraId="691D30A7">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（1）CA证书办理</w:t>
      </w:r>
    </w:p>
    <w:p w14:paraId="3F3EE4F8">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供应商参与政府采购活动需办理江苏省电子政务证书认证中心CA证书和方正国际软件（北京）有限公司电子签章。CA证书及电子签章的办理方法详见苏州市政府采购网—法规政策--《转发省财政厅关于更换全省政府采购交易系统CA数字证书和电子签章的通知》或者“苏采云”系统登录界面中的“新CA办理指南”。</w:t>
      </w:r>
      <w:r>
        <w:rPr>
          <w:rFonts w:hint="eastAsia" w:ascii="宋体" w:hAnsi="宋体" w:eastAsia="宋体" w:cs="宋体"/>
          <w:b/>
          <w:bCs/>
          <w:color w:val="auto"/>
          <w:spacing w:val="0"/>
          <w:szCs w:val="21"/>
          <w:highlight w:val="none"/>
          <w:shd w:val="clear" w:color="auto" w:fill="FFFFFF"/>
        </w:rPr>
        <w:t>“苏采云”系统目前仅支持“苏采云”系统下的政务CA证书，江苏省内各地区办理的“苏采云”系统下的政务CA证书全省通用。</w:t>
      </w:r>
      <w:r>
        <w:rPr>
          <w:rFonts w:hint="eastAsia" w:ascii="宋体" w:hAnsi="宋体" w:eastAsia="宋体" w:cs="宋体"/>
          <w:color w:val="auto"/>
          <w:spacing w:val="0"/>
          <w:szCs w:val="21"/>
          <w:highlight w:val="none"/>
          <w:shd w:val="clear" w:color="auto" w:fill="FFFFFF"/>
        </w:rPr>
        <w:t>苏州现场办理地址：苏州市姑苏区平泷路251号政务服务中心4楼公共交易中心窗口，咨询电话：0512-69820834。</w:t>
      </w:r>
    </w:p>
    <w:p w14:paraId="6F15DF05">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（2）参与采购活动</w:t>
      </w:r>
    </w:p>
    <w:p w14:paraId="17B068B9">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供应商插入CA证书登录“苏采云”系统后选择具体项目，点击“我要参与”并签章提交《投标供应商确认函》，提交《投标供应商确认函》日期视同为依法获取采购文件日期。供应商须打印、保留《投标供应商确认函》，质疑时《投标供应商确认函》与质疑函一并提交；未依照采购公告要求提交《投标供应商确认函》的供应商，视为未参与该项政府采购活动，不具备对该政府采购项目提出质疑的法定权利，但因供应商资格条件或获取采购文件时间设定不符合有关法律法规规定等原因使供应商权益受损的除外。</w:t>
      </w:r>
    </w:p>
    <w:p w14:paraId="6D269781">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（3）电子投标准备</w:t>
      </w:r>
    </w:p>
    <w:p w14:paraId="51EB1620">
      <w:pPr>
        <w:keepNext w:val="0"/>
        <w:keepLines w:val="0"/>
        <w:pageBreakBefore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供应商在“苏采云”系统中操作参与项目后，必须在“已参与项目”界面中下载电子采购文件（后缀名为“.kedt”）并导入政府采购客户端工具后方可进行响应文件制作和提交</w:t>
      </w:r>
      <w:r>
        <w:rPr>
          <w:rFonts w:hint="eastAsia" w:ascii="宋体" w:hAnsi="宋体" w:eastAsia="宋体" w:cs="宋体"/>
          <w:b/>
          <w:bCs/>
          <w:color w:val="auto"/>
          <w:spacing w:val="0"/>
          <w:szCs w:val="21"/>
          <w:highlight w:val="none"/>
          <w:shd w:val="clear" w:color="auto" w:fill="FFFFFF"/>
        </w:rPr>
        <w:t>（具体详见《苏采云系统供应商操作手册》，网址链接https://czju.suzhou.gov.cn/zfcg/html/content/20231220161910031.shtml）</w:t>
      </w:r>
      <w:r>
        <w:rPr>
          <w:rFonts w:hint="eastAsia" w:ascii="宋体" w:hAnsi="宋体" w:eastAsia="宋体" w:cs="宋体"/>
          <w:color w:val="auto"/>
          <w:spacing w:val="0"/>
          <w:szCs w:val="21"/>
          <w:highlight w:val="none"/>
          <w:shd w:val="clear" w:color="auto" w:fill="FFFFFF"/>
        </w:rPr>
        <w:t>。在系统操作过程中如有疑问，请按以下方式联系：</w:t>
      </w:r>
    </w:p>
    <w:p w14:paraId="5A04C2E4">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注册咨询：18261002950；</w:t>
      </w:r>
    </w:p>
    <w:p w14:paraId="71B01CA8">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CA技术咨询电话：400-608-6099；</w:t>
      </w:r>
    </w:p>
    <w:p w14:paraId="20B1ADFE">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签章使用问题：025-83633811、025-83633812、15380932027、15371015030；</w:t>
      </w:r>
    </w:p>
    <w:p w14:paraId="79C85DD5">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系统使用指导与咨询：联系电话：18261002950；QQ：3048755361、1315179389、895706745。</w:t>
      </w:r>
    </w:p>
    <w:p w14:paraId="58E3BB5F">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4.售价：免费。</w:t>
      </w:r>
      <w:bookmarkEnd w:id="0"/>
      <w:bookmarkEnd w:id="1"/>
      <w:bookmarkEnd w:id="2"/>
      <w:bookmarkEnd w:id="3"/>
    </w:p>
    <w:p w14:paraId="04EDDE71">
      <w:pPr>
        <w:keepNext w:val="0"/>
        <w:keepLines w:val="0"/>
        <w:pageBreakBefore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四、响应文件提交</w:t>
      </w:r>
    </w:p>
    <w:p w14:paraId="3FC15B2A">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bCs/>
          <w:color w:val="auto"/>
          <w:spacing w:val="0"/>
          <w:szCs w:val="21"/>
          <w:highlight w:val="none"/>
        </w:rPr>
        <w:t>递交响应文件截止时间</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eastAsia="zh-CN"/>
        </w:rPr>
        <w:t>202</w:t>
      </w:r>
      <w:r>
        <w:rPr>
          <w:rFonts w:hint="eastAsia" w:ascii="宋体" w:hAnsi="宋体" w:cs="宋体"/>
          <w:color w:val="auto"/>
          <w:spacing w:val="0"/>
          <w:szCs w:val="21"/>
          <w:highlight w:val="none"/>
          <w:lang w:val="en-US" w:eastAsia="zh-CN"/>
        </w:rPr>
        <w:t>5</w:t>
      </w:r>
      <w:r>
        <w:rPr>
          <w:rFonts w:hint="eastAsia" w:ascii="宋体" w:hAnsi="宋体" w:eastAsia="宋体" w:cs="宋体"/>
          <w:color w:val="auto"/>
          <w:spacing w:val="0"/>
          <w:szCs w:val="21"/>
          <w:highlight w:val="none"/>
          <w:lang w:eastAsia="zh-CN"/>
        </w:rPr>
        <w:t>年</w:t>
      </w:r>
      <w:r>
        <w:rPr>
          <w:rFonts w:hint="eastAsia" w:ascii="宋体" w:hAnsi="宋体" w:cs="宋体"/>
          <w:color w:val="auto"/>
          <w:spacing w:val="0"/>
          <w:szCs w:val="21"/>
          <w:highlight w:val="none"/>
          <w:lang w:val="en-US" w:eastAsia="zh-CN"/>
        </w:rPr>
        <w:t>5</w:t>
      </w:r>
      <w:r>
        <w:rPr>
          <w:rFonts w:hint="eastAsia" w:ascii="宋体" w:hAnsi="宋体" w:eastAsia="宋体" w:cs="宋体"/>
          <w:color w:val="auto"/>
          <w:spacing w:val="0"/>
          <w:szCs w:val="21"/>
          <w:highlight w:val="none"/>
          <w:lang w:eastAsia="zh-CN"/>
        </w:rPr>
        <w:t>月</w:t>
      </w:r>
      <w:r>
        <w:rPr>
          <w:rFonts w:hint="eastAsia" w:ascii="宋体" w:hAnsi="宋体" w:cs="宋体"/>
          <w:color w:val="auto"/>
          <w:spacing w:val="0"/>
          <w:szCs w:val="21"/>
          <w:highlight w:val="none"/>
          <w:lang w:val="en-US" w:eastAsia="zh-CN"/>
        </w:rPr>
        <w:t>27</w:t>
      </w:r>
      <w:r>
        <w:rPr>
          <w:rFonts w:hint="eastAsia" w:ascii="宋体" w:hAnsi="宋体" w:eastAsia="宋体" w:cs="宋体"/>
          <w:color w:val="auto"/>
          <w:spacing w:val="0"/>
          <w:szCs w:val="21"/>
          <w:highlight w:val="none"/>
          <w:lang w:eastAsia="zh-CN"/>
        </w:rPr>
        <w:t>日</w:t>
      </w:r>
      <w:r>
        <w:rPr>
          <w:rFonts w:hint="eastAsia" w:ascii="宋体" w:hAnsi="宋体" w:cs="宋体"/>
          <w:color w:val="auto"/>
          <w:spacing w:val="0"/>
          <w:szCs w:val="21"/>
          <w:highlight w:val="none"/>
          <w:lang w:val="en-US" w:eastAsia="zh-CN"/>
        </w:rPr>
        <w:t>9</w:t>
      </w:r>
      <w:r>
        <w:rPr>
          <w:rFonts w:hint="eastAsia" w:ascii="宋体" w:hAnsi="宋体" w:eastAsia="宋体" w:cs="宋体"/>
          <w:color w:val="auto"/>
          <w:spacing w:val="0"/>
          <w:szCs w:val="21"/>
          <w:highlight w:val="none"/>
        </w:rPr>
        <w:t>点30分（北京时间）</w:t>
      </w:r>
    </w:p>
    <w:p w14:paraId="29A05E27">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2.地点：“苏采云”系统（网址：http://jszfcg.jsczt.cn/）。响应文件网上递交，不需要现场参加采购活动。</w:t>
      </w:r>
    </w:p>
    <w:p w14:paraId="56DF953D">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
          <w:bCs/>
          <w:color w:val="auto"/>
          <w:spacing w:val="0"/>
          <w:szCs w:val="21"/>
          <w:highlight w:val="none"/>
        </w:rPr>
      </w:pPr>
      <w:r>
        <w:rPr>
          <w:rFonts w:hint="eastAsia" w:ascii="宋体" w:hAnsi="宋体" w:eastAsia="宋体" w:cs="宋体"/>
          <w:color w:val="auto"/>
          <w:spacing w:val="0"/>
          <w:szCs w:val="21"/>
          <w:highlight w:val="none"/>
        </w:rPr>
        <w:t>3.本项目采用电子招投标形式，请</w:t>
      </w:r>
      <w:r>
        <w:rPr>
          <w:rFonts w:hint="eastAsia" w:ascii="宋体" w:hAnsi="宋体" w:eastAsia="宋体" w:cs="宋体"/>
          <w:bCs/>
          <w:color w:val="auto"/>
          <w:spacing w:val="0"/>
          <w:szCs w:val="21"/>
          <w:highlight w:val="none"/>
        </w:rPr>
        <w:t>供应商按照《苏采云系统供应商操作手册》进行制作、上传电子响应文件。电子响应文件制作完成后请于响应文件递交截止时间前成功上传至“苏采云”系统，否则视为放弃参加该采购项目。</w:t>
      </w:r>
      <w:r>
        <w:rPr>
          <w:rFonts w:hint="eastAsia" w:ascii="宋体" w:hAnsi="宋体" w:eastAsia="宋体" w:cs="宋体"/>
          <w:b/>
          <w:bCs/>
          <w:color w:val="auto"/>
          <w:spacing w:val="0"/>
          <w:szCs w:val="21"/>
          <w:highlight w:val="none"/>
        </w:rPr>
        <w:t>供应商应充分考虑到网络环境、网络带宽等风险因素，如因供应商自身原因造成的电子响应文件上传不成功由供应商自行承担全部责任。</w:t>
      </w:r>
    </w:p>
    <w:p w14:paraId="14AFFA6A">
      <w:pPr>
        <w:keepNext w:val="0"/>
        <w:keepLines w:val="0"/>
        <w:pageBreakBefore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五、开启</w:t>
      </w:r>
    </w:p>
    <w:p w14:paraId="33A10F92">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1.时间：</w:t>
      </w:r>
      <w:r>
        <w:rPr>
          <w:rFonts w:hint="eastAsia" w:ascii="宋体" w:hAnsi="宋体" w:eastAsia="宋体" w:cs="宋体"/>
          <w:color w:val="auto"/>
          <w:spacing w:val="0"/>
          <w:szCs w:val="21"/>
          <w:highlight w:val="none"/>
          <w:lang w:eastAsia="zh-CN"/>
        </w:rPr>
        <w:t>202</w:t>
      </w:r>
      <w:r>
        <w:rPr>
          <w:rFonts w:hint="eastAsia" w:ascii="宋体" w:hAnsi="宋体" w:cs="宋体"/>
          <w:color w:val="auto"/>
          <w:spacing w:val="0"/>
          <w:szCs w:val="21"/>
          <w:highlight w:val="none"/>
          <w:lang w:val="en-US" w:eastAsia="zh-CN"/>
        </w:rPr>
        <w:t>5</w:t>
      </w:r>
      <w:r>
        <w:rPr>
          <w:rFonts w:hint="eastAsia" w:ascii="宋体" w:hAnsi="宋体" w:eastAsia="宋体" w:cs="宋体"/>
          <w:color w:val="auto"/>
          <w:spacing w:val="0"/>
          <w:szCs w:val="21"/>
          <w:highlight w:val="none"/>
          <w:lang w:eastAsia="zh-CN"/>
        </w:rPr>
        <w:t>年</w:t>
      </w:r>
      <w:r>
        <w:rPr>
          <w:rFonts w:hint="eastAsia" w:ascii="宋体" w:hAnsi="宋体" w:cs="宋体"/>
          <w:color w:val="auto"/>
          <w:spacing w:val="0"/>
          <w:szCs w:val="21"/>
          <w:highlight w:val="none"/>
          <w:lang w:val="en-US" w:eastAsia="zh-CN"/>
        </w:rPr>
        <w:t>5</w:t>
      </w:r>
      <w:r>
        <w:rPr>
          <w:rFonts w:hint="eastAsia" w:ascii="宋体" w:hAnsi="宋体" w:eastAsia="宋体" w:cs="宋体"/>
          <w:color w:val="auto"/>
          <w:spacing w:val="0"/>
          <w:szCs w:val="21"/>
          <w:highlight w:val="none"/>
          <w:lang w:eastAsia="zh-CN"/>
        </w:rPr>
        <w:t>月</w:t>
      </w:r>
      <w:r>
        <w:rPr>
          <w:rFonts w:hint="eastAsia" w:ascii="宋体" w:hAnsi="宋体" w:cs="宋体"/>
          <w:color w:val="auto"/>
          <w:spacing w:val="0"/>
          <w:szCs w:val="21"/>
          <w:highlight w:val="none"/>
          <w:lang w:val="en-US" w:eastAsia="zh-CN"/>
        </w:rPr>
        <w:t>27</w:t>
      </w:r>
      <w:r>
        <w:rPr>
          <w:rFonts w:hint="eastAsia" w:ascii="宋体" w:hAnsi="宋体" w:eastAsia="宋体" w:cs="宋体"/>
          <w:color w:val="auto"/>
          <w:spacing w:val="0"/>
          <w:szCs w:val="21"/>
          <w:highlight w:val="none"/>
          <w:lang w:eastAsia="zh-CN"/>
        </w:rPr>
        <w:t>日</w:t>
      </w:r>
      <w:r>
        <w:rPr>
          <w:rFonts w:hint="eastAsia" w:ascii="宋体" w:hAnsi="宋体" w:cs="宋体"/>
          <w:color w:val="auto"/>
          <w:spacing w:val="0"/>
          <w:szCs w:val="21"/>
          <w:highlight w:val="none"/>
          <w:lang w:val="en-US" w:eastAsia="zh-CN"/>
        </w:rPr>
        <w:t>9</w:t>
      </w:r>
      <w:r>
        <w:rPr>
          <w:rFonts w:hint="eastAsia" w:ascii="宋体" w:hAnsi="宋体" w:eastAsia="宋体" w:cs="宋体"/>
          <w:color w:val="auto"/>
          <w:spacing w:val="0"/>
          <w:szCs w:val="21"/>
          <w:highlight w:val="none"/>
        </w:rPr>
        <w:t>点30分（北京时间）</w:t>
      </w:r>
    </w:p>
    <w:p w14:paraId="3295CA09">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2.地点：“苏采云”系统（网址：http://jszfcg.jsczt.cn/）</w:t>
      </w:r>
    </w:p>
    <w:p w14:paraId="238B9098">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3.线上参加开标（开启）会方式：供应商登录“苏采云”系统在平台首页点击“开标大厅”，进入江苏省政府采购一体化不见面开标（采购）大厅，在今日项目列表，点击项目，进入不见面开标系统。</w:t>
      </w:r>
      <w:r>
        <w:rPr>
          <w:rFonts w:hint="eastAsia" w:ascii="宋体" w:hAnsi="宋体" w:eastAsia="宋体" w:cs="宋体"/>
          <w:b/>
          <w:bCs/>
          <w:color w:val="auto"/>
          <w:spacing w:val="0"/>
          <w:szCs w:val="21"/>
          <w:highlight w:val="none"/>
        </w:rPr>
        <w:t>本项目为不见面</w:t>
      </w:r>
      <w:r>
        <w:rPr>
          <w:rFonts w:hint="eastAsia" w:ascii="宋体" w:hAnsi="宋体" w:cs="宋体"/>
          <w:b/>
          <w:bCs/>
          <w:color w:val="auto"/>
          <w:spacing w:val="0"/>
          <w:szCs w:val="21"/>
          <w:highlight w:val="none"/>
          <w:lang w:eastAsia="zh-CN"/>
        </w:rPr>
        <w:t>谈判</w:t>
      </w:r>
      <w:r>
        <w:rPr>
          <w:rFonts w:hint="eastAsia" w:ascii="宋体" w:hAnsi="宋体" w:eastAsia="宋体" w:cs="宋体"/>
          <w:b/>
          <w:bCs/>
          <w:color w:val="auto"/>
          <w:spacing w:val="0"/>
          <w:szCs w:val="21"/>
          <w:highlight w:val="none"/>
        </w:rPr>
        <w:t>项目，</w:t>
      </w:r>
      <w:r>
        <w:rPr>
          <w:rFonts w:hint="eastAsia" w:ascii="宋体" w:hAnsi="宋体" w:eastAsia="宋体" w:cs="宋体"/>
          <w:b/>
          <w:color w:val="auto"/>
          <w:spacing w:val="0"/>
          <w:szCs w:val="21"/>
          <w:highlight w:val="none"/>
        </w:rPr>
        <w:t>开启阶段供应商在【供应商解密】环节必须使用 CA证书解密电子响应文件，如在系统规定的解密时间</w:t>
      </w:r>
      <w:r>
        <w:rPr>
          <w:rFonts w:hint="eastAsia" w:ascii="宋体" w:hAnsi="宋体" w:eastAsia="宋体" w:cs="宋体"/>
          <w:b/>
          <w:color w:val="auto"/>
          <w:spacing w:val="0"/>
          <w:szCs w:val="21"/>
          <w:highlight w:val="none"/>
          <w:lang w:eastAsia="zh-CN"/>
        </w:rPr>
        <w:t>（</w:t>
      </w:r>
      <w:r>
        <w:rPr>
          <w:rFonts w:hint="eastAsia" w:ascii="宋体" w:hAnsi="宋体" w:eastAsia="宋体" w:cs="宋体"/>
          <w:b/>
          <w:color w:val="auto"/>
          <w:spacing w:val="0"/>
          <w:szCs w:val="21"/>
          <w:highlight w:val="none"/>
        </w:rPr>
        <w:t>响应文件提交截止时间后30分钟</w:t>
      </w:r>
      <w:r>
        <w:rPr>
          <w:rFonts w:hint="eastAsia" w:ascii="宋体" w:hAnsi="宋体" w:eastAsia="宋体" w:cs="宋体"/>
          <w:b/>
          <w:color w:val="auto"/>
          <w:spacing w:val="0"/>
          <w:szCs w:val="21"/>
          <w:highlight w:val="none"/>
          <w:lang w:eastAsia="zh-CN"/>
        </w:rPr>
        <w:t>）</w:t>
      </w:r>
      <w:r>
        <w:rPr>
          <w:rFonts w:hint="eastAsia" w:ascii="宋体" w:hAnsi="宋体" w:eastAsia="宋体" w:cs="宋体"/>
          <w:b/>
          <w:color w:val="auto"/>
          <w:spacing w:val="0"/>
          <w:szCs w:val="21"/>
          <w:highlight w:val="none"/>
        </w:rPr>
        <w:t>内未能完成解密的视为放弃参与本项目</w:t>
      </w:r>
      <w:r>
        <w:rPr>
          <w:rFonts w:hint="eastAsia" w:ascii="宋体" w:hAnsi="宋体" w:eastAsia="宋体" w:cs="宋体"/>
          <w:b/>
          <w:bCs/>
          <w:color w:val="auto"/>
          <w:spacing w:val="0"/>
          <w:szCs w:val="21"/>
          <w:highlight w:val="none"/>
        </w:rPr>
        <w:t>。</w:t>
      </w:r>
    </w:p>
    <w:p w14:paraId="069EE8B3">
      <w:pPr>
        <w:keepNext w:val="0"/>
        <w:keepLines w:val="0"/>
        <w:pageBreakBefore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请供应商确保电脑、系统及其他设备（视频输入输出设备等）无误，且开启直至项目结束始终保持系统在线状态。</w:t>
      </w:r>
    </w:p>
    <w:p w14:paraId="46BD1277">
      <w:pPr>
        <w:keepNext w:val="0"/>
        <w:keepLines w:val="0"/>
        <w:pageBreakBefore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六、公告期限</w:t>
      </w:r>
    </w:p>
    <w:p w14:paraId="79DA7524">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自本公告发布之日起3个工作日。</w:t>
      </w:r>
    </w:p>
    <w:p w14:paraId="1A038523">
      <w:pPr>
        <w:keepNext w:val="0"/>
        <w:keepLines w:val="0"/>
        <w:pageBreakBefore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七、其他补充事宜</w:t>
      </w:r>
    </w:p>
    <w:p w14:paraId="6B46558F">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1.本项目支持政府采购合同信用融资</w:t>
      </w:r>
      <w:r>
        <w:rPr>
          <w:rFonts w:hint="eastAsia" w:ascii="宋体" w:hAnsi="宋体" w:cs="宋体"/>
          <w:color w:val="auto"/>
          <w:spacing w:val="0"/>
          <w:szCs w:val="21"/>
          <w:highlight w:val="none"/>
          <w:lang w:eastAsia="zh-CN"/>
        </w:rPr>
        <w:t>。</w:t>
      </w:r>
    </w:p>
    <w:p w14:paraId="0E57A4A7">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2.</w:t>
      </w:r>
      <w:r>
        <w:rPr>
          <w:rFonts w:hint="eastAsia" w:ascii="宋体" w:hAnsi="宋体" w:eastAsia="宋体" w:cs="宋体"/>
          <w:color w:val="auto"/>
          <w:spacing w:val="0"/>
          <w:szCs w:val="21"/>
          <w:highlight w:val="none"/>
        </w:rPr>
        <w:t>本次采购的相关信息刊登在苏州政府采购网、江苏政府采购网。</w:t>
      </w:r>
    </w:p>
    <w:p w14:paraId="343353EE">
      <w:pPr>
        <w:keepNext w:val="0"/>
        <w:keepLines w:val="0"/>
        <w:pageBreakBefore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八、凡对本次采购提出询问，请按以下方式联系。</w:t>
      </w:r>
    </w:p>
    <w:p w14:paraId="56B21609">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1.采购人信息</w:t>
      </w:r>
    </w:p>
    <w:p w14:paraId="2FE7F8F3">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pacing w:val="0"/>
          <w:szCs w:val="21"/>
          <w:highlight w:val="none"/>
        </w:rPr>
        <w:t>名  称：</w:t>
      </w:r>
      <w:r>
        <w:rPr>
          <w:rFonts w:hint="eastAsia" w:ascii="宋体" w:hAnsi="宋体" w:cs="Arial"/>
          <w:color w:val="auto"/>
          <w:szCs w:val="21"/>
          <w:highlight w:val="none"/>
          <w:lang w:eastAsia="zh-CN"/>
        </w:rPr>
        <w:t>苏州市第九人民医院</w:t>
      </w:r>
    </w:p>
    <w:p w14:paraId="52819CE9">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    址：苏州市吴江区太湖新城芦荡路2666号　　　　　　　　　　　　</w:t>
      </w:r>
    </w:p>
    <w:p w14:paraId="096F2137">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联系人：钮晓丽             </w:t>
      </w:r>
    </w:p>
    <w:p w14:paraId="582A33B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　话：0512-82881151</w:t>
      </w:r>
    </w:p>
    <w:p w14:paraId="1926F68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66365C2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名    称：苏州市创杰招投标咨询服务有限公司                </w:t>
      </w:r>
    </w:p>
    <w:p w14:paraId="07162BC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址：苏州市干将西路399号银海大厦303室</w:t>
      </w:r>
    </w:p>
    <w:p w14:paraId="57DECD5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联系人：路丽丽  潘莉莉   朱晓芹 庄天扬</w:t>
      </w:r>
    </w:p>
    <w:p w14:paraId="013C08E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　话：0512-65238816</w:t>
      </w:r>
    </w:p>
    <w:p w14:paraId="01F4328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3、项目联系方式</w:t>
      </w:r>
    </w:p>
    <w:p w14:paraId="06371E4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项目联系人： 路丽丽   </w:t>
      </w:r>
    </w:p>
    <w:p w14:paraId="3438BD29">
      <w:pPr>
        <w:keepNext w:val="0"/>
        <w:keepLines w:val="0"/>
        <w:pageBreakBefore w:val="0"/>
        <w:widowControl/>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pacing w:val="0"/>
          <w:szCs w:val="21"/>
          <w:highlight w:val="none"/>
        </w:rPr>
      </w:pPr>
      <w:r>
        <w:rPr>
          <w:rFonts w:hint="eastAsia" w:ascii="宋体" w:hAnsi="宋体" w:cs="宋体"/>
          <w:color w:val="auto"/>
          <w:szCs w:val="21"/>
          <w:highlight w:val="none"/>
        </w:rPr>
        <w:t>电      话：0512-65238816</w:t>
      </w:r>
    </w:p>
    <w:p w14:paraId="306EDA45">
      <w:pPr>
        <w:pStyle w:val="54"/>
        <w:rPr>
          <w:rFonts w:hint="eastAsia"/>
          <w:color w:val="auto"/>
          <w:highlight w:val="none"/>
        </w:rPr>
      </w:pPr>
    </w:p>
    <w:p w14:paraId="18747A8F">
      <w:pPr>
        <w:pStyle w:val="54"/>
        <w:rPr>
          <w:rFonts w:hint="eastAsia" w:ascii="宋体" w:hAnsi="宋体" w:eastAsia="宋体" w:cs="宋体"/>
          <w:color w:val="auto"/>
          <w:spacing w:val="0"/>
          <w:szCs w:val="21"/>
          <w:highlight w:val="none"/>
        </w:rPr>
      </w:pPr>
    </w:p>
    <w:p w14:paraId="0990203B">
      <w:pPr>
        <w:rPr>
          <w:rFonts w:hint="eastAsia"/>
          <w:color w:val="auto"/>
          <w:highlight w:val="none"/>
        </w:rPr>
        <w:sectPr>
          <w:pgSz w:w="11906" w:h="16838"/>
          <w:pgMar w:top="1440" w:right="1417" w:bottom="1440" w:left="1417" w:header="964" w:footer="964" w:gutter="0"/>
          <w:cols w:space="720" w:num="1"/>
          <w:docGrid w:linePitch="360" w:charSpace="0"/>
        </w:sectPr>
      </w:pPr>
    </w:p>
    <w:p w14:paraId="01F3C82C">
      <w:pPr>
        <w:pageBreakBefore/>
        <w:tabs>
          <w:tab w:val="left" w:pos="315"/>
          <w:tab w:val="center" w:pos="4153"/>
        </w:tabs>
        <w:kinsoku/>
        <w:wordWrap/>
        <w:overflowPunct/>
        <w:topLinePunct w:val="0"/>
        <w:autoSpaceDE/>
        <w:autoSpaceDN/>
        <w:bidi w:val="0"/>
        <w:spacing w:line="360" w:lineRule="auto"/>
        <w:jc w:val="center"/>
        <w:textAlignment w:val="auto"/>
        <w:outlineLvl w:val="0"/>
        <w:rPr>
          <w:rFonts w:hint="default" w:ascii="宋体" w:hAnsi="宋体" w:eastAsia="宋体" w:cs="宋体"/>
          <w:b/>
          <w:color w:val="auto"/>
          <w:spacing w:val="0"/>
          <w:sz w:val="36"/>
          <w:szCs w:val="36"/>
          <w:highlight w:val="none"/>
          <w:lang w:val="en-US" w:eastAsia="zh-CN"/>
        </w:rPr>
      </w:pPr>
      <w:r>
        <w:rPr>
          <w:rFonts w:hint="eastAsia" w:ascii="宋体" w:hAnsi="宋体" w:cs="宋体"/>
          <w:b/>
          <w:color w:val="auto"/>
          <w:spacing w:val="0"/>
          <w:sz w:val="36"/>
          <w:szCs w:val="36"/>
          <w:highlight w:val="none"/>
          <w:lang w:val="en-US" w:eastAsia="zh-CN"/>
        </w:rPr>
        <w:t>第</w:t>
      </w:r>
      <w:r>
        <w:rPr>
          <w:rFonts w:hint="eastAsia" w:ascii="宋体" w:hAnsi="宋体" w:eastAsia="宋体" w:cs="宋体"/>
          <w:b/>
          <w:color w:val="auto"/>
          <w:spacing w:val="0"/>
          <w:sz w:val="36"/>
          <w:szCs w:val="36"/>
          <w:highlight w:val="none"/>
        </w:rPr>
        <w:t>二</w:t>
      </w:r>
      <w:r>
        <w:rPr>
          <w:rFonts w:hint="eastAsia" w:ascii="宋体" w:hAnsi="宋体" w:cs="宋体"/>
          <w:b/>
          <w:color w:val="auto"/>
          <w:spacing w:val="0"/>
          <w:sz w:val="36"/>
          <w:szCs w:val="36"/>
          <w:highlight w:val="none"/>
          <w:lang w:val="en-US" w:eastAsia="zh-CN"/>
        </w:rPr>
        <w:t>章</w:t>
      </w:r>
      <w:r>
        <w:rPr>
          <w:rFonts w:hint="eastAsia" w:ascii="宋体" w:hAnsi="宋体" w:eastAsia="宋体" w:cs="宋体"/>
          <w:b/>
          <w:color w:val="auto"/>
          <w:spacing w:val="0"/>
          <w:sz w:val="36"/>
          <w:szCs w:val="36"/>
          <w:highlight w:val="none"/>
        </w:rPr>
        <w:t>、</w:t>
      </w:r>
      <w:r>
        <w:rPr>
          <w:rFonts w:hint="eastAsia" w:ascii="宋体" w:hAnsi="宋体" w:cs="宋体"/>
          <w:b/>
          <w:color w:val="auto"/>
          <w:spacing w:val="0"/>
          <w:sz w:val="36"/>
          <w:szCs w:val="36"/>
          <w:highlight w:val="none"/>
          <w:lang w:val="en-US" w:eastAsia="zh-CN"/>
        </w:rPr>
        <w:t>谈判供应商须知</w:t>
      </w:r>
    </w:p>
    <w:p w14:paraId="70C81E71">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0"/>
          <w:szCs w:val="21"/>
          <w:highlight w:val="none"/>
        </w:rPr>
      </w:pPr>
    </w:p>
    <w:p w14:paraId="221714CD">
      <w:pPr>
        <w:spacing w:line="360" w:lineRule="auto"/>
        <w:ind w:firstLine="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1.说明</w:t>
      </w:r>
    </w:p>
    <w:p w14:paraId="3E720EB8">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1.1本谈判采购文件仅适用于苏州市创杰招投标咨询服务有限公司组织的采购活动。</w:t>
      </w:r>
    </w:p>
    <w:p w14:paraId="16ABE6DE">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1.2本次采购活动及因本次采购产生的合同受中国法律制约和保护。</w:t>
      </w:r>
    </w:p>
    <w:p w14:paraId="02BA36BE">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1.3本谈判采购文件的解释权属于苏州市创杰招投标咨询服务有限公司。</w:t>
      </w:r>
    </w:p>
    <w:p w14:paraId="6FDA33FD">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2.词语释义</w:t>
      </w:r>
    </w:p>
    <w:p w14:paraId="78459594">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2.1谈判采购单位：具体组织实施谈判采购活动的法人或由法人企业授权的分公司；</w:t>
      </w:r>
    </w:p>
    <w:p w14:paraId="465F2F0D">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2.2谈判供应商：响应谈判并且符合谈判采购文件规定资格条件和参加投标竞争的法人、其他组织或者自然人。</w:t>
      </w:r>
    </w:p>
    <w:p w14:paraId="7F9EA6F0">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2.3响应：谈判供应商根据谈判采购单位发布的谈判采购文件，编制谈判响应文件并按规定参与谈判的行为。</w:t>
      </w:r>
    </w:p>
    <w:p w14:paraId="2B461AB1">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2.4合同：采供双方根据谈判采购文件和成交的谈判响应文件及成交通知书规定的内容签署的以书面形式所达成的协议，包括所有的附件、附录和构成协议的所有文件。</w:t>
      </w:r>
    </w:p>
    <w:p w14:paraId="7C12B5DC">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2.5甲方（采购方）：合同中明确规定的实际购买货物和服务的法人或其他组织和自然人。</w:t>
      </w:r>
    </w:p>
    <w:p w14:paraId="7104548E">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2.6乙方（供应商）：合同中规定地向采购方提供货物和服务的法人或其他组织和自然人。</w:t>
      </w:r>
    </w:p>
    <w:p w14:paraId="4D67A513">
      <w:pPr>
        <w:spacing w:line="360" w:lineRule="auto"/>
        <w:ind w:right="62"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2.7货物：系指乙方按谈判采购文件规定，应向甲方提供的一切设备、备品、备件、工具、手册及其他有关技术资料和材料。</w:t>
      </w:r>
    </w:p>
    <w:p w14:paraId="646428D3">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2.8服务：系指本次谈判采购文件规定乙方应承担的与提供货物和服务有关的辅助服务，比如运输、保险、安装、调试、提供技术援助、培训、配合措施、维修响应及合同中规定乙方应承担的其它义务。</w:t>
      </w:r>
    </w:p>
    <w:p w14:paraId="0D44F9DE">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2.9知识产权：指专利权、商标权、著作权等无形财产专有权的统称。</w:t>
      </w:r>
    </w:p>
    <w:p w14:paraId="48D592CB">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2.10天：日历日。</w:t>
      </w:r>
    </w:p>
    <w:p w14:paraId="667D789F">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2.11交货地点：合同中明确约定的乙方提交的货物和服务最终到达地点。</w:t>
      </w:r>
    </w:p>
    <w:p w14:paraId="3E7D7707">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2.12合同价款：根据合同规定，乙方在正确地履行合同义务后甲方应支付乙方的价款。</w:t>
      </w:r>
    </w:p>
    <w:p w14:paraId="792A42F5">
      <w:pPr>
        <w:pStyle w:val="5"/>
        <w:widowControl/>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2.13产地：货物开采、生长、生产、最终制造、加工或提供服务的来源地。</w:t>
      </w:r>
    </w:p>
    <w:p w14:paraId="4F7CC1A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2.14不可抗力：不能预见、不能避免并且不能克服的客观情况。</w:t>
      </w:r>
    </w:p>
    <w:p w14:paraId="21916062">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实质响应：满足有关本次采购标的、数量、质量、价款或者报酬、履行期限、履行地点和方式、违约责任和解决争议方法等要求。</w:t>
      </w:r>
    </w:p>
    <w:p w14:paraId="621622C3">
      <w:pPr>
        <w:spacing w:line="360" w:lineRule="auto"/>
        <w:ind w:firstLine="48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2.16 进口产品：通过中国海关报关验放进入中国境内且产自关境外的产品。</w:t>
      </w:r>
      <w:r>
        <w:rPr>
          <w:rFonts w:hint="eastAsia" w:ascii="宋体" w:hAnsi="宋体" w:eastAsia="宋体" w:cs="宋体"/>
          <w:color w:val="auto"/>
          <w:sz w:val="21"/>
          <w:szCs w:val="21"/>
          <w:highlight w:val="none"/>
          <w:lang w:val="en-US" w:eastAsia="zh-CN"/>
        </w:rPr>
        <w:t>本项目不接受进口产品投标。</w:t>
      </w:r>
    </w:p>
    <w:p w14:paraId="014D8FD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2.17书面形式：指书面文字、合同书、信件和传真等可以有形地表现所载内容的形式。</w:t>
      </w:r>
    </w:p>
    <w:p w14:paraId="53B1B94F">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3.合格谈判供应商的一般条件</w:t>
      </w:r>
    </w:p>
    <w:p w14:paraId="2CC7321A">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3.1具有独立承担民事责任的能力；</w:t>
      </w:r>
    </w:p>
    <w:p w14:paraId="03C4787B">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具有良好的商业信誉和健全的财务会计制度；</w:t>
      </w:r>
    </w:p>
    <w:p w14:paraId="246E25A2">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具有履行合同所必需的设备和专业技术能力；</w:t>
      </w:r>
    </w:p>
    <w:p w14:paraId="276DB0A4">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有依法缴纳税收和社会保障资金的良好记录；</w:t>
      </w:r>
    </w:p>
    <w:p w14:paraId="47B0F5A7">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参加政府采购活动前三年内，在经营活动中没有重大违法记录；</w:t>
      </w:r>
    </w:p>
    <w:p w14:paraId="2FBF21B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法律、行政法规规定的其他条件。</w:t>
      </w:r>
    </w:p>
    <w:p w14:paraId="69CF8A55">
      <w:pPr>
        <w:spacing w:line="360" w:lineRule="auto"/>
        <w:ind w:firstLine="482"/>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4.合格谈判供应商的特殊条件</w:t>
      </w:r>
    </w:p>
    <w:p w14:paraId="2EA7D2F9">
      <w:pPr>
        <w:spacing w:line="360"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4.1投标单位具有与所投产品相对应的医疗器械</w:t>
      </w:r>
      <w:r>
        <w:rPr>
          <w:rFonts w:hint="eastAsia" w:ascii="宋体" w:hAnsi="宋体" w:cs="宋体"/>
          <w:bCs/>
          <w:color w:val="auto"/>
          <w:sz w:val="21"/>
          <w:szCs w:val="21"/>
          <w:highlight w:val="none"/>
          <w:lang w:val="en-US" w:eastAsia="zh-CN"/>
        </w:rPr>
        <w:t>生产或</w:t>
      </w:r>
      <w:r>
        <w:rPr>
          <w:rFonts w:hint="eastAsia" w:ascii="宋体" w:hAnsi="宋体" w:eastAsia="宋体" w:cs="宋体"/>
          <w:bCs/>
          <w:color w:val="auto"/>
          <w:sz w:val="21"/>
          <w:szCs w:val="21"/>
          <w:highlight w:val="none"/>
        </w:rPr>
        <w:t>经营(许可)资格。</w:t>
      </w:r>
    </w:p>
    <w:p w14:paraId="218F6D98">
      <w:pPr>
        <w:spacing w:line="360" w:lineRule="auto"/>
        <w:ind w:firstLine="48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4.2合格的代理商证明文件（产品生产厂家及国产产品投标，无需提供）；</w:t>
      </w:r>
    </w:p>
    <w:p w14:paraId="42B463C7">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5.谈判供应商代表</w:t>
      </w:r>
    </w:p>
    <w:p w14:paraId="3297020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5.1指全权代表供应商参加谈判采购活动并签署谈判响应文件的人，如果谈判供应商代表不是法定代表人，须持有《法定代表人授权委托书》（详见附件格式）。</w:t>
      </w:r>
    </w:p>
    <w:p w14:paraId="2EAC8265">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6.谈判费用</w:t>
      </w:r>
    </w:p>
    <w:p w14:paraId="01E0A07F">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6.1无论谈判过程中的做法和结果如何，谈判供应商自行承担所有与参加谈判有关的全部费用。</w:t>
      </w:r>
    </w:p>
    <w:p w14:paraId="6AE2C3D1">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7.联合谈判</w:t>
      </w:r>
    </w:p>
    <w:p w14:paraId="005609F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本项目不接受多个供应商组成联合体参与谈判。</w:t>
      </w:r>
    </w:p>
    <w:p w14:paraId="3ED40438">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8.谈判采购文件</w:t>
      </w:r>
    </w:p>
    <w:p w14:paraId="04268CF5">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8.1谈判供应商获取谈判采购文件后，应仔细检查谈判采购文件的所有内容，如有残缺等问题应在获取谈判采购文件</w:t>
      </w:r>
      <w:r>
        <w:rPr>
          <w:rFonts w:hint="eastAsia" w:ascii="宋体" w:hAnsi="宋体" w:eastAsia="宋体" w:cs="宋体"/>
          <w:color w:val="auto"/>
          <w:sz w:val="21"/>
          <w:szCs w:val="21"/>
          <w:highlight w:val="none"/>
          <w:u w:val="single"/>
        </w:rPr>
        <w:t xml:space="preserve"> 3</w:t>
      </w:r>
      <w:r>
        <w:rPr>
          <w:rFonts w:hint="eastAsia" w:ascii="宋体" w:hAnsi="宋体" w:eastAsia="宋体" w:cs="宋体"/>
          <w:color w:val="auto"/>
          <w:sz w:val="21"/>
          <w:szCs w:val="21"/>
          <w:highlight w:val="none"/>
        </w:rPr>
        <w:t>日内向谈判采购单位提出，否则，由此产生的影响由谈判供应商自己承担。谈判供应商同时应认真审阅谈判采购文件中所有的事项、格式、条款和规范要求等，若谈判供应商的谈判响应文件没有按谈判采购文件要求提交全部资料，或谈判响应文件没有对谈判采购文件做出实质性响应，其风险由谈判供应商自行承担，并根据有关条款规定，该响应有可能被拒绝。</w:t>
      </w:r>
    </w:p>
    <w:p w14:paraId="171F9231">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 谈判文件及其补充文件不是直接从“苏采云”系统线上获取的，采购代理机构对谈判文件及其补遗的真实性、完整性不承担任何责任。</w:t>
      </w:r>
    </w:p>
    <w:p w14:paraId="27F1CF4E">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9.谈判采购文件的询问与澄清</w:t>
      </w:r>
    </w:p>
    <w:p w14:paraId="21AA76C3">
      <w:pPr>
        <w:spacing w:line="360"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9.1供应商在收到采购文件后，若有问题需要询问，应于收到采购文件后向采购代理机构提出，采购代理机构将予以解答。</w:t>
      </w:r>
    </w:p>
    <w:p w14:paraId="2D1E1EAF">
      <w:pPr>
        <w:spacing w:line="360"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9.2采购人或者采购代理机构可以对已发出的采购文件进行必要的澄清或者修改，并发布澄清（修改）公告。澄清或者修改的内容为采购文件的组成部分。</w:t>
      </w:r>
    </w:p>
    <w:p w14:paraId="086FA78F">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10.谈判采购文件的修改</w:t>
      </w:r>
    </w:p>
    <w:p w14:paraId="5E91A07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10.1在递交谈判响应文件截止时间前，谈判采购单位无论出于自己的考虑，还是出</w:t>
      </w:r>
      <w:r>
        <w:rPr>
          <w:rFonts w:hint="eastAsia" w:ascii="宋体" w:hAnsi="宋体" w:eastAsia="宋体" w:cs="宋体"/>
          <w:color w:val="auto"/>
          <w:sz w:val="21"/>
          <w:szCs w:val="21"/>
          <w:highlight w:val="none"/>
        </w:rPr>
        <w:t>于对谈判供应商提问的澄清，均可对谈判采购文件用更正公告的方式进行修改。</w:t>
      </w:r>
    </w:p>
    <w:p w14:paraId="12DF02D4">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10.2供应商应及时关注采购信息发布媒体上发布的更正（补充）公告，同时下载更正（补充）资料，如有遗漏（包括但不限于文件未下载或下载不完整），所造成的投标失败或损失由供应商自行负责。</w:t>
      </w:r>
    </w:p>
    <w:p w14:paraId="63ACC324">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10.3谈判采购文件的澄清、修改、补充等内容均以书面形式明确的内容为准。当谈判采购文件、谈判采购文件的澄清、修改、补充等在同一内容的表述上不一致时，以苏州市政府采购网</w:t>
      </w:r>
      <w:r>
        <w:rPr>
          <w:rFonts w:hint="eastAsia" w:ascii="宋体" w:hAnsi="宋体" w:cs="宋体"/>
          <w:color w:val="auto"/>
          <w:sz w:val="21"/>
          <w:szCs w:val="21"/>
          <w:highlight w:val="none"/>
          <w:lang w:val="en-US" w:eastAsia="zh-CN"/>
        </w:rPr>
        <w:t>上</w:t>
      </w:r>
      <w:r>
        <w:rPr>
          <w:rFonts w:hint="eastAsia" w:ascii="宋体" w:hAnsi="宋体" w:eastAsia="宋体" w:cs="宋体"/>
          <w:color w:val="auto"/>
          <w:sz w:val="21"/>
          <w:szCs w:val="21"/>
          <w:highlight w:val="none"/>
        </w:rPr>
        <w:t>发布的文件为准。</w:t>
      </w:r>
    </w:p>
    <w:p w14:paraId="19E89EE9">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11.勘察现场及谈判采购文件答疑</w:t>
      </w:r>
    </w:p>
    <w:p w14:paraId="2719F53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11.1勘察现场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本项目无勘察现场）</w:t>
      </w:r>
      <w:r>
        <w:rPr>
          <w:rFonts w:hint="eastAsia" w:ascii="宋体" w:hAnsi="宋体" w:eastAsia="宋体" w:cs="宋体"/>
          <w:color w:val="auto"/>
          <w:sz w:val="21"/>
          <w:szCs w:val="21"/>
          <w:highlight w:val="none"/>
        </w:rPr>
        <w:t>：</w:t>
      </w:r>
    </w:p>
    <w:p w14:paraId="20D57EF8">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11.1.1根据自身需要，谈判供应商可在谈判响应文件递交之日前对有关现场和周围环境进行勘察，以获取编制谈判响应文件和签署合同所需的信息。勘察现场所发生的费用由谈判供应商自己承担。</w:t>
      </w:r>
    </w:p>
    <w:p w14:paraId="5BB6F459">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11.1.2谈判采购单位向谈判供应商提供的有关现场的资料和数据，是谈判采购单位现有的并认为能使谈判供应商可利用的资料。谈判采购单位对谈判供应商由此而做出的推论、理解和结论概不负责。</w:t>
      </w:r>
    </w:p>
    <w:p w14:paraId="677E4206">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 经谈判采购单位允许，谈判供应商可为勘察目的进入谈判采购单位的项目现场，但谈判供应商不得因此使谈判采购单位承担有关的责任和蒙受损失。谈判供应商应承担勘察现场的责任和风险。</w:t>
      </w:r>
    </w:p>
    <w:p w14:paraId="6147C726">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谈判供应商应在现场勘查时，熟悉现场及周围交通道路等情况，以获得一切可能影响其谈判的直接资料。谈判供应商成交后，不得以不完全了解现场情况为理由而向谈判采购单位提出任何索赔的要求，对此谈判采购单位不承担任何责任并将不作任何答复与考虑。</w:t>
      </w:r>
    </w:p>
    <w:p w14:paraId="6E2AA06D">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谈判文件答疑包括谈判采购单位认为可以回答且不会引起谈判供应商误解的相关问题和答复，答疑的副本将提供给所有获得谈判采购文件的谈判供应商。由于答疑会而产生的对谈判采购文件内容的修改，由谈判采购单位按照本须知有关规定，以更正公告的方式发出。</w:t>
      </w:r>
    </w:p>
    <w:p w14:paraId="7A8988C3">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12．提示与要求</w:t>
      </w:r>
    </w:p>
    <w:p w14:paraId="180EFCE7">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12.1谈判供应商应仔细阅读谈判采购文件的所有内容，按谈判采购文件的要求提供谈判响应文件，并保证所提供的全部资料的真实性，以使其对谈判采购文件作出实质性响应，否则，其谈判响应文件可能被拒绝。</w:t>
      </w:r>
    </w:p>
    <w:p w14:paraId="1D1CDB9F">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12.2无论是否递交谈判响应文件，谈判供应商都应将谈判采购文件及以后的所有通知、文件等视为保密文件。</w:t>
      </w:r>
    </w:p>
    <w:p w14:paraId="621DE056">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13.谈判响应文件计量单位和使用文字</w:t>
      </w:r>
    </w:p>
    <w:p w14:paraId="66CC0221">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13.1谈判响应文件中所使用的计量单位，除谈判采购文件中有特殊要求外，均应使用中华人民共和国法定计量单位。</w:t>
      </w:r>
    </w:p>
    <w:p w14:paraId="14379B2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谈判响应文件应使用中文编制，谈判响应文件中必须使用其他文字的，必须附有中文译本。对于未附有中文译本和中文译本不准确的谈判响应文件可能引起的对谈判供应商不利的后果，谈判采购单位概不负责。</w:t>
      </w:r>
    </w:p>
    <w:p w14:paraId="494FA7B9">
      <w:pPr>
        <w:spacing w:line="360" w:lineRule="auto"/>
        <w:ind w:firstLine="482"/>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14.谈判响应文件的组成</w:t>
      </w:r>
    </w:p>
    <w:p w14:paraId="1921CDD7">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（一）文件组成（部分格式见第三章）</w:t>
      </w:r>
    </w:p>
    <w:p w14:paraId="5806DB87">
      <w:pPr>
        <w:pStyle w:val="5"/>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14.</w:t>
      </w:r>
      <w:r>
        <w:rPr>
          <w:rFonts w:hint="eastAsia" w:ascii="宋体" w:hAnsi="宋体" w:eastAsia="宋体" w:cs="宋体"/>
          <w:b/>
          <w:color w:val="auto"/>
          <w:spacing w:val="0"/>
          <w:sz w:val="21"/>
          <w:szCs w:val="21"/>
          <w:highlight w:val="none"/>
        </w:rPr>
        <w:t>1、封面</w:t>
      </w:r>
    </w:p>
    <w:p w14:paraId="18FAC2F4">
      <w:pPr>
        <w:pStyle w:val="5"/>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14.</w:t>
      </w:r>
      <w:r>
        <w:rPr>
          <w:rFonts w:hint="eastAsia" w:ascii="宋体" w:hAnsi="宋体" w:eastAsia="宋体" w:cs="宋体"/>
          <w:b/>
          <w:color w:val="auto"/>
          <w:spacing w:val="0"/>
          <w:sz w:val="21"/>
          <w:szCs w:val="21"/>
          <w:highlight w:val="none"/>
        </w:rPr>
        <w:t>2、开标一览表</w:t>
      </w:r>
    </w:p>
    <w:p w14:paraId="66E6095E">
      <w:pPr>
        <w:pStyle w:val="5"/>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14.</w:t>
      </w:r>
      <w:r>
        <w:rPr>
          <w:rFonts w:hint="eastAsia" w:ascii="宋体" w:hAnsi="宋体" w:eastAsia="宋体" w:cs="宋体"/>
          <w:b/>
          <w:color w:val="auto"/>
          <w:spacing w:val="0"/>
          <w:sz w:val="21"/>
          <w:szCs w:val="21"/>
          <w:highlight w:val="none"/>
        </w:rPr>
        <w:t>3、</w:t>
      </w:r>
      <w:r>
        <w:rPr>
          <w:rFonts w:hint="eastAsia" w:ascii="宋体" w:hAnsi="宋体" w:eastAsia="宋体" w:cs="宋体"/>
          <w:b/>
          <w:color w:val="auto"/>
          <w:spacing w:val="0"/>
          <w:sz w:val="21"/>
          <w:szCs w:val="21"/>
          <w:highlight w:val="none"/>
          <w:lang w:val="en-US" w:eastAsia="zh-CN"/>
        </w:rPr>
        <w:t>谈判</w:t>
      </w:r>
      <w:r>
        <w:rPr>
          <w:rFonts w:hint="eastAsia" w:ascii="宋体" w:hAnsi="宋体" w:eastAsia="宋体" w:cs="宋体"/>
          <w:b/>
          <w:color w:val="auto"/>
          <w:spacing w:val="0"/>
          <w:sz w:val="21"/>
          <w:szCs w:val="21"/>
          <w:highlight w:val="none"/>
        </w:rPr>
        <w:t>报价分析表</w:t>
      </w:r>
    </w:p>
    <w:p w14:paraId="6C78D8C1">
      <w:pPr>
        <w:pStyle w:val="5"/>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14.</w:t>
      </w:r>
      <w:r>
        <w:rPr>
          <w:rFonts w:hint="eastAsia" w:ascii="宋体" w:hAnsi="宋体" w:eastAsia="宋体" w:cs="宋体"/>
          <w:b/>
          <w:color w:val="auto"/>
          <w:spacing w:val="0"/>
          <w:sz w:val="21"/>
          <w:szCs w:val="21"/>
          <w:highlight w:val="none"/>
        </w:rPr>
        <w:t>4、资格审查响应文件</w:t>
      </w:r>
    </w:p>
    <w:p w14:paraId="31A0AE57">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14.</w:t>
      </w:r>
      <w:r>
        <w:rPr>
          <w:rFonts w:hint="eastAsia" w:ascii="宋体" w:hAnsi="宋体" w:eastAsia="宋体" w:cs="宋体"/>
          <w:b w:val="0"/>
          <w:bCs/>
          <w:color w:val="auto"/>
          <w:spacing w:val="0"/>
          <w:sz w:val="21"/>
          <w:szCs w:val="21"/>
          <w:highlight w:val="none"/>
        </w:rPr>
        <w:t>4.1满足《中华人民共和国政府采购法》第二十二条规定：</w:t>
      </w:r>
    </w:p>
    <w:p w14:paraId="333D7151">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14.</w:t>
      </w:r>
      <w:r>
        <w:rPr>
          <w:rFonts w:hint="eastAsia" w:ascii="宋体" w:hAnsi="宋体" w:eastAsia="宋体" w:cs="宋体"/>
          <w:b w:val="0"/>
          <w:bCs/>
          <w:color w:val="auto"/>
          <w:spacing w:val="0"/>
          <w:sz w:val="21"/>
          <w:szCs w:val="21"/>
          <w:highlight w:val="none"/>
        </w:rPr>
        <w:t>4.1.1具有独立承担民事责任的能力。提供包括法人或者其他组织的营业执照等证明文件，自然人的身份证明；</w:t>
      </w:r>
    </w:p>
    <w:p w14:paraId="7CAC3FB9">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14.</w:t>
      </w:r>
      <w:r>
        <w:rPr>
          <w:rFonts w:hint="eastAsia" w:ascii="宋体" w:hAnsi="宋体" w:eastAsia="宋体" w:cs="宋体"/>
          <w:b w:val="0"/>
          <w:bCs/>
          <w:color w:val="auto"/>
          <w:spacing w:val="0"/>
          <w:sz w:val="21"/>
          <w:szCs w:val="21"/>
          <w:highlight w:val="none"/>
        </w:rPr>
        <w:t>4.1.2具有良好的商业信誉和健全的财务会计制度。提供包括但不限于最近一期（2023年度</w:t>
      </w:r>
      <w:r>
        <w:rPr>
          <w:rFonts w:hint="eastAsia" w:ascii="宋体" w:hAnsi="宋体" w:eastAsia="宋体" w:cs="宋体"/>
          <w:b w:val="0"/>
          <w:bCs/>
          <w:color w:val="auto"/>
          <w:spacing w:val="0"/>
          <w:sz w:val="21"/>
          <w:szCs w:val="21"/>
          <w:highlight w:val="none"/>
          <w:lang w:val="en-US" w:eastAsia="zh-CN"/>
        </w:rPr>
        <w:t>或2024年度</w:t>
      </w:r>
      <w:r>
        <w:rPr>
          <w:rFonts w:hint="eastAsia" w:ascii="宋体" w:hAnsi="宋体" w:eastAsia="宋体" w:cs="宋体"/>
          <w:b w:val="0"/>
          <w:bCs/>
          <w:color w:val="auto"/>
          <w:spacing w:val="0"/>
          <w:sz w:val="21"/>
          <w:szCs w:val="21"/>
          <w:highlight w:val="none"/>
        </w:rPr>
        <w:t>）财务审计报告或最近一期</w:t>
      </w:r>
      <w:r>
        <w:rPr>
          <w:rFonts w:hint="eastAsia" w:ascii="宋体" w:hAnsi="宋体" w:eastAsia="宋体" w:cs="宋体"/>
          <w:b w:val="0"/>
          <w:bCs/>
          <w:color w:val="auto"/>
          <w:spacing w:val="0"/>
          <w:sz w:val="21"/>
          <w:szCs w:val="21"/>
          <w:highlight w:val="none"/>
          <w:lang w:eastAsia="zh-CN"/>
        </w:rPr>
        <w:t>（</w:t>
      </w:r>
      <w:r>
        <w:rPr>
          <w:rFonts w:hint="eastAsia" w:ascii="宋体" w:hAnsi="宋体" w:eastAsia="宋体" w:cs="宋体"/>
          <w:b w:val="0"/>
          <w:bCs/>
          <w:color w:val="auto"/>
          <w:spacing w:val="0"/>
          <w:sz w:val="21"/>
          <w:szCs w:val="21"/>
          <w:highlight w:val="none"/>
          <w:lang w:val="en-US" w:eastAsia="zh-CN"/>
        </w:rPr>
        <w:t>2025年1月至今任一期）</w:t>
      </w:r>
      <w:r>
        <w:rPr>
          <w:rFonts w:hint="eastAsia" w:ascii="宋体" w:hAnsi="宋体" w:eastAsia="宋体" w:cs="宋体"/>
          <w:b w:val="0"/>
          <w:bCs/>
          <w:color w:val="auto"/>
          <w:spacing w:val="0"/>
          <w:sz w:val="21"/>
          <w:szCs w:val="21"/>
          <w:highlight w:val="none"/>
        </w:rPr>
        <w:t>财务报表，其他组织、自然人及成立未满一年的法人应提供银行出具的资信证明）；</w:t>
      </w:r>
    </w:p>
    <w:p w14:paraId="2F7D60C6">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14.</w:t>
      </w:r>
      <w:r>
        <w:rPr>
          <w:rFonts w:hint="eastAsia" w:ascii="宋体" w:hAnsi="宋体" w:eastAsia="宋体" w:cs="宋体"/>
          <w:b w:val="0"/>
          <w:bCs/>
          <w:color w:val="auto"/>
          <w:spacing w:val="0"/>
          <w:sz w:val="21"/>
          <w:szCs w:val="21"/>
          <w:highlight w:val="none"/>
        </w:rPr>
        <w:t>4.1.3具有履行合同所必需的设备和专业技术能力。提供证明材料或承诺；</w:t>
      </w:r>
    </w:p>
    <w:p w14:paraId="37687E56">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14.</w:t>
      </w:r>
      <w:r>
        <w:rPr>
          <w:rFonts w:hint="eastAsia" w:ascii="宋体" w:hAnsi="宋体" w:eastAsia="宋体" w:cs="宋体"/>
          <w:b w:val="0"/>
          <w:bCs/>
          <w:color w:val="auto"/>
          <w:spacing w:val="0"/>
          <w:sz w:val="21"/>
          <w:szCs w:val="21"/>
          <w:highlight w:val="none"/>
        </w:rPr>
        <w:t>4.1.4有依法缴纳税收和社会保障资金的良好记录。提供提交响应文件截止时间前</w:t>
      </w:r>
      <w:r>
        <w:rPr>
          <w:rFonts w:hint="eastAsia" w:ascii="宋体" w:hAnsi="宋体" w:eastAsia="宋体" w:cs="宋体"/>
          <w:b w:val="0"/>
          <w:bCs/>
          <w:color w:val="auto"/>
          <w:spacing w:val="0"/>
          <w:sz w:val="21"/>
          <w:szCs w:val="21"/>
          <w:highlight w:val="none"/>
          <w:lang w:val="en-US" w:eastAsia="zh-CN"/>
        </w:rPr>
        <w:t>半</w:t>
      </w:r>
      <w:r>
        <w:rPr>
          <w:rFonts w:hint="eastAsia" w:ascii="宋体" w:hAnsi="宋体" w:eastAsia="宋体" w:cs="宋体"/>
          <w:b w:val="0"/>
          <w:bCs/>
          <w:color w:val="auto"/>
          <w:spacing w:val="0"/>
          <w:sz w:val="21"/>
          <w:szCs w:val="21"/>
          <w:highlight w:val="none"/>
        </w:rPr>
        <w:t>年内至少一个月依法缴纳税收及缴纳社会保障资金的证明材料，如相关主管部门证明或银行代扣证明。响应单位如依法享受缓缴、免缴税收、社会保障资金的应提供相关主管部门出具的证明材料；</w:t>
      </w:r>
    </w:p>
    <w:p w14:paraId="4BDDB810">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14.</w:t>
      </w:r>
      <w:r>
        <w:rPr>
          <w:rFonts w:hint="eastAsia" w:ascii="宋体" w:hAnsi="宋体" w:eastAsia="宋体" w:cs="宋体"/>
          <w:b w:val="0"/>
          <w:bCs/>
          <w:color w:val="auto"/>
          <w:spacing w:val="0"/>
          <w:sz w:val="21"/>
          <w:szCs w:val="21"/>
          <w:highlight w:val="none"/>
        </w:rPr>
        <w:t>4.1.5参加政府采购活动前三年内在经营活动中没有重大违法记录。提供书面声明函；</w:t>
      </w:r>
    </w:p>
    <w:p w14:paraId="6D9F3722">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14.</w:t>
      </w:r>
      <w:r>
        <w:rPr>
          <w:rFonts w:hint="eastAsia" w:ascii="宋体" w:hAnsi="宋体" w:eastAsia="宋体" w:cs="宋体"/>
          <w:b w:val="0"/>
          <w:bCs/>
          <w:color w:val="auto"/>
          <w:spacing w:val="0"/>
          <w:sz w:val="21"/>
          <w:szCs w:val="21"/>
          <w:highlight w:val="none"/>
        </w:rPr>
        <w:t>4.1.6法律、行政法规规定的其他条件。</w:t>
      </w:r>
    </w:p>
    <w:p w14:paraId="03DECD91">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default"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14.</w:t>
      </w:r>
      <w:r>
        <w:rPr>
          <w:rFonts w:hint="eastAsia" w:ascii="宋体" w:hAnsi="宋体" w:eastAsia="宋体" w:cs="宋体"/>
          <w:b w:val="0"/>
          <w:bCs/>
          <w:color w:val="auto"/>
          <w:spacing w:val="0"/>
          <w:sz w:val="21"/>
          <w:szCs w:val="21"/>
          <w:highlight w:val="none"/>
        </w:rPr>
        <w:t>4.2</w:t>
      </w:r>
      <w:r>
        <w:rPr>
          <w:rFonts w:hint="eastAsia" w:ascii="宋体" w:hAnsi="宋体" w:eastAsia="宋体" w:cs="宋体"/>
          <w:b w:val="0"/>
          <w:bCs/>
          <w:color w:val="auto"/>
          <w:spacing w:val="0"/>
          <w:sz w:val="21"/>
          <w:szCs w:val="21"/>
          <w:highlight w:val="none"/>
          <w:lang w:val="en-US" w:eastAsia="zh-CN"/>
        </w:rPr>
        <w:t>响应</w:t>
      </w:r>
      <w:r>
        <w:rPr>
          <w:rFonts w:hint="eastAsia" w:ascii="宋体" w:hAnsi="宋体" w:eastAsia="宋体" w:cs="宋体"/>
          <w:b w:val="0"/>
          <w:bCs/>
          <w:color w:val="auto"/>
          <w:spacing w:val="0"/>
          <w:sz w:val="21"/>
          <w:szCs w:val="21"/>
          <w:highlight w:val="none"/>
        </w:rPr>
        <w:t>单位具有与所投产品相对应的医疗器械</w:t>
      </w:r>
      <w:r>
        <w:rPr>
          <w:rFonts w:hint="eastAsia" w:ascii="宋体" w:hAnsi="宋体" w:eastAsia="宋体" w:cs="宋体"/>
          <w:b w:val="0"/>
          <w:bCs/>
          <w:color w:val="auto"/>
          <w:spacing w:val="0"/>
          <w:sz w:val="21"/>
          <w:szCs w:val="21"/>
          <w:highlight w:val="none"/>
          <w:lang w:val="en-US" w:eastAsia="zh-CN"/>
        </w:rPr>
        <w:t>生产或</w:t>
      </w:r>
      <w:r>
        <w:rPr>
          <w:rFonts w:hint="eastAsia" w:ascii="宋体" w:hAnsi="宋体" w:eastAsia="宋体" w:cs="宋体"/>
          <w:b w:val="0"/>
          <w:bCs/>
          <w:color w:val="auto"/>
          <w:spacing w:val="0"/>
          <w:sz w:val="21"/>
          <w:szCs w:val="21"/>
          <w:highlight w:val="none"/>
        </w:rPr>
        <w:t>经营(许可)资格</w:t>
      </w:r>
      <w:r>
        <w:rPr>
          <w:rFonts w:hint="eastAsia" w:ascii="宋体" w:hAnsi="宋体" w:eastAsia="宋体" w:cs="宋体"/>
          <w:b w:val="0"/>
          <w:bCs/>
          <w:color w:val="auto"/>
          <w:spacing w:val="0"/>
          <w:sz w:val="21"/>
          <w:szCs w:val="21"/>
          <w:highlight w:val="none"/>
          <w:lang w:eastAsia="zh-CN"/>
        </w:rPr>
        <w:t>，</w:t>
      </w:r>
      <w:r>
        <w:rPr>
          <w:rFonts w:hint="eastAsia" w:ascii="宋体" w:hAnsi="宋体" w:eastAsia="宋体" w:cs="宋体"/>
          <w:b w:val="0"/>
          <w:bCs/>
          <w:color w:val="auto"/>
          <w:spacing w:val="0"/>
          <w:sz w:val="21"/>
          <w:szCs w:val="21"/>
          <w:highlight w:val="none"/>
          <w:lang w:val="en-US" w:eastAsia="zh-CN"/>
        </w:rPr>
        <w:t>提供证明文件；</w:t>
      </w:r>
    </w:p>
    <w:p w14:paraId="4944EC21">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14.4.3合格的代理商证明文件（产品生产厂家及国产产品投标，无需提供）。</w:t>
      </w:r>
    </w:p>
    <w:p w14:paraId="15D61706">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14.4.4提供</w:t>
      </w:r>
      <w:r>
        <w:rPr>
          <w:rFonts w:hint="eastAsia" w:ascii="宋体" w:hAnsi="宋体" w:eastAsia="宋体" w:cs="宋体"/>
          <w:bCs/>
          <w:color w:val="auto"/>
          <w:spacing w:val="0"/>
          <w:sz w:val="21"/>
          <w:szCs w:val="21"/>
          <w:highlight w:val="none"/>
        </w:rPr>
        <w:t>《中小企业声明函》或《残疾人福利性单位声明函》或</w:t>
      </w:r>
      <w:r>
        <w:rPr>
          <w:rFonts w:hint="eastAsia" w:ascii="宋体" w:hAnsi="宋体" w:eastAsia="宋体" w:cs="宋体"/>
          <w:bCs/>
          <w:color w:val="auto"/>
          <w:spacing w:val="0"/>
          <w:sz w:val="21"/>
          <w:szCs w:val="21"/>
          <w:highlight w:val="none"/>
          <w:lang w:val="zh-CN"/>
        </w:rPr>
        <w:t>省级以上监狱管理局、戒毒管理局（含新疆生产建设兵团）出具的属于监狱企业的证明文件；</w:t>
      </w:r>
    </w:p>
    <w:p w14:paraId="7D3477CB">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14.4.5</w:t>
      </w:r>
      <w:r>
        <w:rPr>
          <w:rFonts w:hint="eastAsia" w:ascii="宋体" w:hAnsi="宋体" w:eastAsia="宋体" w:cs="宋体"/>
          <w:b w:val="0"/>
          <w:bCs/>
          <w:color w:val="auto"/>
          <w:spacing w:val="0"/>
          <w:sz w:val="21"/>
          <w:szCs w:val="21"/>
          <w:highlight w:val="none"/>
        </w:rPr>
        <w:t>本项目的特定资格要求</w:t>
      </w:r>
      <w:r>
        <w:rPr>
          <w:rFonts w:hint="eastAsia" w:ascii="宋体" w:hAnsi="宋体" w:eastAsia="宋体" w:cs="宋体"/>
          <w:b w:val="0"/>
          <w:bCs/>
          <w:color w:val="auto"/>
          <w:spacing w:val="0"/>
          <w:sz w:val="21"/>
          <w:szCs w:val="21"/>
          <w:highlight w:val="none"/>
          <w:lang w:val="en-US" w:eastAsia="zh-CN"/>
        </w:rPr>
        <w:t>及其他有关资格证明文件（如有）；</w:t>
      </w:r>
    </w:p>
    <w:p w14:paraId="5172123B">
      <w:pPr>
        <w:pStyle w:val="5"/>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14.</w:t>
      </w:r>
      <w:r>
        <w:rPr>
          <w:rFonts w:hint="eastAsia" w:ascii="宋体" w:hAnsi="宋体" w:eastAsia="宋体" w:cs="宋体"/>
          <w:b/>
          <w:color w:val="auto"/>
          <w:spacing w:val="0"/>
          <w:sz w:val="21"/>
          <w:szCs w:val="21"/>
          <w:highlight w:val="none"/>
        </w:rPr>
        <w:t>5、符合性审查响应文件</w:t>
      </w:r>
    </w:p>
    <w:p w14:paraId="3A25A1DA">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14.</w:t>
      </w:r>
      <w:r>
        <w:rPr>
          <w:rFonts w:hint="eastAsia" w:ascii="宋体" w:hAnsi="宋体" w:eastAsia="宋体" w:cs="宋体"/>
          <w:b w:val="0"/>
          <w:bCs/>
          <w:color w:val="auto"/>
          <w:spacing w:val="0"/>
          <w:sz w:val="21"/>
          <w:szCs w:val="21"/>
          <w:highlight w:val="none"/>
        </w:rPr>
        <w:t>5.1谈判响应函；</w:t>
      </w:r>
    </w:p>
    <w:p w14:paraId="186060A1">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14.5.2关于资格文件的声明函；</w:t>
      </w:r>
    </w:p>
    <w:p w14:paraId="3B80775E">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14.5.3谈判响应单位法定代表人身份证复印件；法人授权委托书和谈判响应单位授权代理人身份证复印件（如为委托投标）；</w:t>
      </w:r>
    </w:p>
    <w:p w14:paraId="77233C1A">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14.5.4技术要求偏离表；</w:t>
      </w:r>
    </w:p>
    <w:p w14:paraId="3E2C25B8">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14.5.5商务条款偏离表；</w:t>
      </w:r>
    </w:p>
    <w:p w14:paraId="0105B082">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14.5.6设备配置清单表；</w:t>
      </w:r>
    </w:p>
    <w:p w14:paraId="71F9E96C">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14.5.7响应文件中提供所投产品中华人民共和国医疗器械注册证明文件；</w:t>
      </w:r>
    </w:p>
    <w:p w14:paraId="4C4C746D">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14.5.8投标（响应）保证承诺书；</w:t>
      </w:r>
    </w:p>
    <w:p w14:paraId="352BC331">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14.5.9谈判响应单位基本情况表；</w:t>
      </w:r>
    </w:p>
    <w:p w14:paraId="76A93690">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14.5.10售后服务承诺书；</w:t>
      </w:r>
    </w:p>
    <w:p w14:paraId="13135441">
      <w:pPr>
        <w:pStyle w:val="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14.5.11其他有关符合性证明的文件（如有）；</w:t>
      </w:r>
    </w:p>
    <w:p w14:paraId="70A90E1B">
      <w:pPr>
        <w:pStyle w:val="5"/>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pacing w:val="0"/>
          <w:sz w:val="21"/>
          <w:szCs w:val="21"/>
          <w:highlight w:val="none"/>
          <w:lang w:val="en-US" w:eastAsia="zh-CN"/>
        </w:rPr>
        <w:t>14.</w:t>
      </w:r>
      <w:r>
        <w:rPr>
          <w:rFonts w:hint="eastAsia" w:ascii="宋体" w:hAnsi="宋体" w:eastAsia="宋体" w:cs="宋体"/>
          <w:b/>
          <w:color w:val="auto"/>
          <w:spacing w:val="0"/>
          <w:sz w:val="21"/>
          <w:szCs w:val="21"/>
          <w:highlight w:val="none"/>
        </w:rPr>
        <w:t>6、价格折扣文件格式</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本项目为专门面向中小企业采购，无价格折扣。</w:t>
      </w:r>
    </w:p>
    <w:p w14:paraId="171678E3">
      <w:pPr>
        <w:tabs>
          <w:tab w:val="left" w:pos="753"/>
        </w:tabs>
        <w:spacing w:line="360" w:lineRule="auto"/>
        <w:ind w:firstLine="482"/>
        <w:rPr>
          <w:rFonts w:hint="eastAsia" w:ascii="宋体" w:hAnsi="宋体" w:eastAsia="宋体" w:cs="宋体"/>
          <w:b/>
          <w:bCs/>
          <w:color w:val="auto"/>
          <w:sz w:val="21"/>
          <w:szCs w:val="21"/>
          <w:highlight w:val="none"/>
        </w:rPr>
      </w:pPr>
    </w:p>
    <w:p w14:paraId="1041059D">
      <w:pPr>
        <w:tabs>
          <w:tab w:val="left" w:pos="753"/>
        </w:tabs>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rPr>
        <w:t>谈判供应商</w:t>
      </w:r>
      <w:r>
        <w:rPr>
          <w:rFonts w:hint="eastAsia" w:ascii="宋体" w:hAnsi="宋体" w:eastAsia="宋体" w:cs="宋体"/>
          <w:b/>
          <w:bCs/>
          <w:color w:val="auto"/>
          <w:sz w:val="21"/>
          <w:szCs w:val="21"/>
          <w:highlight w:val="none"/>
        </w:rPr>
        <w:t>必须提交上述1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.5款规定的资料。否则，谈判响应文件将被视为因未实质性响应采购文件要求而被拒绝。</w:t>
      </w:r>
    </w:p>
    <w:p w14:paraId="520A9B2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15.电子投标（响应）文件的制作及递交</w:t>
      </w:r>
    </w:p>
    <w:p w14:paraId="0E0CD4F5">
      <w:pPr>
        <w:widowControl/>
        <w:spacing w:line="360" w:lineRule="auto"/>
        <w:ind w:firstLine="42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15.1电子投标文件制作</w:t>
      </w:r>
    </w:p>
    <w:p w14:paraId="4453DFB7">
      <w:pPr>
        <w:widowControl/>
        <w:spacing w:line="360" w:lineRule="auto"/>
        <w:ind w:firstLine="42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（1）在苏采云系统中下载招标文件后，点击“客户端下载地址”，下载投标文件客户端，查看客户端使用说明。</w:t>
      </w:r>
    </w:p>
    <w:p w14:paraId="1C0406DE">
      <w:pPr>
        <w:widowControl/>
        <w:spacing w:line="360" w:lineRule="auto"/>
        <w:ind w:firstLine="42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（2）将下载的采购文件导入投标文件客户端，按照《操作手册》完成投标文件的编制和加盖电子签章。</w:t>
      </w:r>
    </w:p>
    <w:p w14:paraId="169BFD0A">
      <w:pPr>
        <w:widowControl/>
        <w:spacing w:line="360" w:lineRule="auto"/>
        <w:ind w:firstLine="42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（3）导出制作完成的投标文件，上传至苏采云系统。</w:t>
      </w:r>
    </w:p>
    <w:p w14:paraId="23CF6A9E">
      <w:pPr>
        <w:widowControl/>
        <w:spacing w:line="360" w:lineRule="auto"/>
        <w:ind w:firstLine="422"/>
        <w:jc w:val="left"/>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注：具体投标文件编制教程查看苏采云系统中的客户端使用说明和供应商《操作手册》</w:t>
      </w:r>
      <w:r>
        <w:rPr>
          <w:rFonts w:hint="eastAsia" w:ascii="宋体" w:hAnsi="宋体" w:eastAsia="宋体" w:cs="宋体"/>
          <w:color w:val="auto"/>
          <w:sz w:val="21"/>
          <w:szCs w:val="21"/>
          <w:highlight w:val="none"/>
          <w:u w:val="single"/>
        </w:rPr>
        <w:t>。</w:t>
      </w:r>
    </w:p>
    <w:p w14:paraId="6EFFB86C">
      <w:pPr>
        <w:widowControl/>
        <w:spacing w:line="360" w:lineRule="auto"/>
        <w:ind w:firstLine="42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电子投标文件中的资料应按采购文件的要求加盖投标人的电子签章或公章。</w:t>
      </w:r>
    </w:p>
    <w:p w14:paraId="479970DB">
      <w:pPr>
        <w:widowControl/>
        <w:spacing w:line="360" w:lineRule="auto"/>
        <w:ind w:firstLine="42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未按照要求编制电子投标文件，未按照要求在电子投标文件上加盖电子签章的，均视为无效投标。</w:t>
      </w:r>
    </w:p>
    <w:p w14:paraId="6E1DB5C6">
      <w:pPr>
        <w:spacing w:line="360" w:lineRule="auto"/>
        <w:ind w:firstLine="482"/>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zh-CN"/>
        </w:rPr>
        <w:t>如不同投标（响应）文件制作机器码一致，则投标无效。</w:t>
      </w:r>
    </w:p>
    <w:p w14:paraId="76C38C37">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16.报价（编制）要求的说明</w:t>
      </w:r>
    </w:p>
    <w:p w14:paraId="710234E7">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16.1除非合同中另有规定，谈判响应单位对《开标一览表》、《谈判报价分析表》中的报价</w:t>
      </w:r>
      <w:r>
        <w:rPr>
          <w:rFonts w:hint="eastAsia" w:ascii="宋体" w:hAnsi="宋体" w:eastAsia="宋体" w:cs="宋体"/>
          <w:color w:val="auto"/>
          <w:sz w:val="21"/>
          <w:szCs w:val="21"/>
          <w:highlight w:val="none"/>
          <w:lang w:eastAsia="zh-CN"/>
        </w:rPr>
        <w:t>包括</w:t>
      </w:r>
      <w:r>
        <w:rPr>
          <w:rFonts w:hint="eastAsia" w:ascii="宋体" w:hAnsi="宋体" w:eastAsia="宋体" w:cs="宋体"/>
          <w:color w:val="auto"/>
          <w:sz w:val="21"/>
          <w:szCs w:val="21"/>
          <w:highlight w:val="none"/>
        </w:rPr>
        <w:t>但不限于本合同所涉全部</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、辅助材料、安装、调试、培训、验收、人工、机械、运输、仓储、保险、运费、</w:t>
      </w:r>
      <w:r>
        <w:rPr>
          <w:rFonts w:hint="eastAsia" w:ascii="宋体" w:hAnsi="宋体" w:eastAsia="宋体" w:cs="宋体"/>
          <w:color w:val="auto"/>
          <w:sz w:val="21"/>
          <w:szCs w:val="21"/>
          <w:highlight w:val="none"/>
          <w:lang w:val="en-US" w:eastAsia="zh-CN"/>
        </w:rPr>
        <w:t>采购代理服务费、</w:t>
      </w:r>
      <w:r>
        <w:rPr>
          <w:rFonts w:hint="eastAsia" w:ascii="宋体" w:hAnsi="宋体" w:eastAsia="宋体" w:cs="宋体"/>
          <w:color w:val="auto"/>
          <w:sz w:val="21"/>
          <w:szCs w:val="21"/>
          <w:highlight w:val="none"/>
        </w:rPr>
        <w:t>各种税费、劳保、专利技术及质保期间等一切费用；</w:t>
      </w:r>
      <w:r>
        <w:rPr>
          <w:rFonts w:hint="eastAsia"/>
          <w:color w:val="auto"/>
          <w:highlight w:val="none"/>
        </w:rPr>
        <w:t>与医院现有</w:t>
      </w:r>
      <w:r>
        <w:rPr>
          <w:rFonts w:hint="eastAsia" w:ascii="Calibri" w:hAnsi="Calibri"/>
          <w:color w:val="auto"/>
          <w:highlight w:val="none"/>
          <w:lang w:bidi="ar"/>
        </w:rPr>
        <w:t>系统对接费；</w:t>
      </w:r>
      <w:r>
        <w:rPr>
          <w:rFonts w:hint="eastAsia" w:ascii="宋体" w:hAnsi="宋体" w:cs="宋体"/>
          <w:color w:val="auto"/>
          <w:kern w:val="0"/>
          <w:szCs w:val="21"/>
          <w:highlight w:val="none"/>
        </w:rPr>
        <w:t>医院平台各系统（如HIS系统、LIS系统、PACS系统等）的接口费用（如有）；与现有/后期设备对接等（如有）；甲方无须支付其他任何费用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同时，除非合同条款中另有规定，否则</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zh-CN"/>
        </w:rPr>
        <w:t>所报价格在合同实施期间不因市场变化因素而变动</w:t>
      </w:r>
      <w:r>
        <w:rPr>
          <w:rFonts w:hint="eastAsia" w:ascii="宋体" w:hAnsi="宋体" w:eastAsia="宋体" w:cs="宋体"/>
          <w:color w:val="auto"/>
          <w:sz w:val="21"/>
          <w:szCs w:val="21"/>
          <w:highlight w:val="none"/>
        </w:rPr>
        <w:t>。</w:t>
      </w:r>
    </w:p>
    <w:p w14:paraId="311432B3">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16.2谈判供应商应按《开标一览表》、《谈判报价分析表》中的全部货物和服务计算单价。《谈判报价分析表》中的每一单项均应计算并填写单价，并由法定代表人或代理人签署。</w:t>
      </w:r>
    </w:p>
    <w:p w14:paraId="78A86D1A">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谈判供应商应对谈判采购文件内所要采购的全部内容进行报价，只投其中部分内容者，其谈判响应文件将被拒绝。但如果谈判采购文件要求分标段的，则谈判供应商可以有选择地只投其中一个或几个标段，也可以投全部标段，但各标段应分别计算填写单价和总价。</w:t>
      </w:r>
    </w:p>
    <w:p w14:paraId="4520480D">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16.4一项内容只允许一个报价，谈判采购单位不接受任何有选择性地报价。</w:t>
      </w:r>
    </w:p>
    <w:p w14:paraId="6607D2CB">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16.5谈判响应文件报价中的单价和总价全部采用人民币表示，除非合同的特殊条款另有规定。</w:t>
      </w:r>
    </w:p>
    <w:p w14:paraId="01A298B5">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16.6最低报价不能作为成交的保证。</w:t>
      </w:r>
    </w:p>
    <w:p w14:paraId="32AF6471">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17.谈判响应文件的有效期</w:t>
      </w:r>
    </w:p>
    <w:p w14:paraId="3843FBB2">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17.1自响应文件提交截止之日起</w:t>
      </w:r>
      <w:r>
        <w:rPr>
          <w:rFonts w:hint="eastAsia" w:ascii="宋体" w:hAnsi="宋体" w:cs="宋体"/>
          <w:color w:val="auto"/>
          <w:sz w:val="21"/>
          <w:szCs w:val="21"/>
          <w:highlight w:val="none"/>
          <w:u w:val="single"/>
          <w:lang w:val="en-US" w:eastAsia="zh-CN"/>
        </w:rPr>
        <w:t>45</w:t>
      </w:r>
      <w:r>
        <w:rPr>
          <w:rFonts w:hint="eastAsia" w:ascii="宋体" w:hAnsi="宋体" w:eastAsia="宋体" w:cs="宋体"/>
          <w:color w:val="auto"/>
          <w:sz w:val="21"/>
          <w:szCs w:val="21"/>
          <w:highlight w:val="none"/>
        </w:rPr>
        <w:t>天内，谈判响应文件应保持有效。有效期短于这个规定期限的响应，将被拒绝。</w:t>
      </w:r>
    </w:p>
    <w:p w14:paraId="6E18EDF5">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在特殊情况下，谈判采购单位可与谈判供应商协商延长谈判响应文件的有效期。这种要求和答复都应以书面形式进行。同意延长有效期的谈判供应商不能修改谈判响应文件，拒绝接受延期要求的谈判供应商的响应将被拒绝。</w:t>
      </w:r>
    </w:p>
    <w:p w14:paraId="629FD321">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18.响应截止时间</w:t>
      </w:r>
    </w:p>
    <w:p w14:paraId="423439BA">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18.1电子投标（响应）文件制作完成后请于投标（响应）截止时间前上传，否则视为放弃参加该采购项目。</w:t>
      </w:r>
    </w:p>
    <w:p w14:paraId="07626469">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采购人或采购代理机构推迟投标（响应）截止时间时，应以发布更正公告形式，通知所有投标（响应）单位。在这种情况下，采购人或采购代理机构和投标（响应）单位的权利和义务将受到新的截止期的约束。</w:t>
      </w:r>
    </w:p>
    <w:p w14:paraId="4E30369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18.3在投标（递交）截止时间止，采购人或采购代理机构收到的某标段投标（响应）文件少于三份，采购人或采购代理机构有权宣布该标段本次招标（采购）失败。</w:t>
      </w:r>
    </w:p>
    <w:p w14:paraId="26A571C1">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18.4在投标（响应）截止时间以后送达的投标（响应）文件，采购单位将拒绝接收。</w:t>
      </w:r>
    </w:p>
    <w:p w14:paraId="3C656038">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19.谈判响应文件的修改和撤回</w:t>
      </w:r>
    </w:p>
    <w:p w14:paraId="2A633D0F">
      <w:pPr>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19.1谈判响应单位在响应截止时间前，可以对所递交的响应文件进行补充、修改或者撤回。</w:t>
      </w:r>
    </w:p>
    <w:p w14:paraId="0E71A581">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20.谈判程序</w:t>
      </w:r>
    </w:p>
    <w:p w14:paraId="108C885D">
      <w:pPr>
        <w:widowControl/>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20.1采购代理机构按本须知规定的时间、地点主持谈判采购活动。</w:t>
      </w:r>
    </w:p>
    <w:p w14:paraId="1E5E38B6">
      <w:pPr>
        <w:widowControl/>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20.2供应商通过“苏采云”系统在线参与谈判活动。供应商应当按照《苏采云系统供应商操作手册》规定在 “苏采云”系统规定的时间内对响应文件进行解密。</w:t>
      </w:r>
    </w:p>
    <w:p w14:paraId="6D03B6D6">
      <w:pPr>
        <w:widowControl/>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20.3在谈判响应文件网上递交截止时间止成功解密的谈判供应商少于三家，则本次采购失败。</w:t>
      </w:r>
    </w:p>
    <w:p w14:paraId="5FF65690">
      <w:pPr>
        <w:widowControl/>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20.4由谈判小组审查供应商解密的响应文件。</w:t>
      </w:r>
    </w:p>
    <w:p w14:paraId="3813BBB3">
      <w:pPr>
        <w:widowControl/>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20.5谈判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EA8C501">
      <w:pPr>
        <w:widowControl/>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20.6谈判小组要求供应商澄清、说明或者更正响应文件应当以书面形式做出。供应商的澄清、说明或者更正应当由其单位加盖电子公章。</w:t>
      </w:r>
    </w:p>
    <w:p w14:paraId="3CE23E0B">
      <w:pPr>
        <w:widowControl/>
        <w:spacing w:line="360" w:lineRule="auto"/>
        <w:ind w:firstLine="48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本项目供应商的澄清、说明或者补正采用线上澄清：谈判小组将通过“苏采云”系统向供应商发布“澄清要求函”，接到“澄清要求函”的供应商应当按要求在规定时间内通过“苏采云”系统提交“澄清响应函”并加盖CA电子公章，澄清、说明和补充的内容作为响应文件的补充部分。（此处规定时间的计算以系统中的倒计时间为准，供应商应随时保持系统在线，如因供应商自身原因未在规定时间内提交澄清确认资料的，导致的不利后果由供应商自行承担）。</w:t>
      </w:r>
    </w:p>
    <w:p w14:paraId="5406925D">
      <w:pPr>
        <w:widowControl/>
        <w:spacing w:line="360" w:lineRule="auto"/>
        <w:ind w:firstLine="48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20.7对于通过资格审查和符合性审查的供应商，谈判小组所有成员集中与单一供应商分别进行谈判，并给予所有参加谈判的供应商平等的谈判机会。谈判小组通过“苏采云”系统向供应商发布“谈判函”，供应商应当按照要求在</w:t>
      </w:r>
      <w:r>
        <w:rPr>
          <w:rFonts w:hint="eastAsia" w:ascii="宋体" w:hAnsi="宋体" w:eastAsia="宋体" w:cs="宋体"/>
          <w:bCs/>
          <w:color w:val="auto"/>
          <w:sz w:val="21"/>
          <w:szCs w:val="21"/>
          <w:highlight w:val="none"/>
        </w:rPr>
        <w:t>“苏采云”系统</w:t>
      </w:r>
      <w:r>
        <w:rPr>
          <w:rFonts w:hint="eastAsia" w:ascii="宋体" w:hAnsi="宋体" w:eastAsia="宋体" w:cs="宋体"/>
          <w:bCs/>
          <w:color w:val="auto"/>
          <w:sz w:val="21"/>
          <w:szCs w:val="21"/>
          <w:highlight w:val="none"/>
          <w:lang w:val="zh-CN"/>
        </w:rPr>
        <w:t>提交“谈判响应函”并加盖CA电子公章。</w:t>
      </w:r>
    </w:p>
    <w:p w14:paraId="631EC148">
      <w:pPr>
        <w:widowControl/>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20.8在谈判过程中，谈判小组可以根据采购文件和谈判情况实质性变动采购需求中的技术、服务要求以及合同草案条款。对采购文件做出的实质性变动是采购文件的有效组成部分，谈判小组将在“苏采云”系统中同时通知所有参加谈判的供应商，供应商应当按照谈判文件的变动情况和谈判小组的要求在“苏采云”系统中重新提交响应文件，并加盖CA电子公章。</w:t>
      </w:r>
    </w:p>
    <w:p w14:paraId="7FAC2EF8">
      <w:pPr>
        <w:spacing w:line="360" w:lineRule="auto"/>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zh-CN"/>
        </w:rPr>
        <w:t>20.9谈判结束后，谈判小组将在“苏采云”系统向所有实质性响应的供应商发布“最后报价要求函”及最后报价格式表，要求所有实质性响应的供应商在规定时间内提交最后报价。</w:t>
      </w:r>
      <w:r>
        <w:rPr>
          <w:rFonts w:hint="eastAsia" w:ascii="宋体" w:hAnsi="宋体" w:eastAsia="宋体" w:cs="宋体"/>
          <w:b/>
          <w:color w:val="auto"/>
          <w:sz w:val="21"/>
          <w:szCs w:val="21"/>
          <w:highlight w:val="none"/>
        </w:rPr>
        <w:t>供应商填写有关承诺及第二次报价，除因谈判文件修改导致成本增加，二次报价不得超过第一次报价，否则为无效响应报价。</w:t>
      </w:r>
    </w:p>
    <w:p w14:paraId="6812527C">
      <w:pPr>
        <w:widowControl/>
        <w:spacing w:line="360"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20.10供应商未在谈判小组规定的时间内在“苏采云”系统中提交最后报价的视为放弃谈判，其响应文件按无效响应处理，最后报价格式表须加盖CA电子公章,否则视为未提交最后报价。</w:t>
      </w:r>
      <w:r>
        <w:rPr>
          <w:rFonts w:hint="eastAsia" w:ascii="宋体" w:hAnsi="宋体" w:eastAsia="宋体" w:cs="宋体"/>
          <w:bCs/>
          <w:color w:val="auto"/>
          <w:sz w:val="21"/>
          <w:szCs w:val="21"/>
          <w:highlight w:val="none"/>
          <w:lang w:val="zh-CN"/>
        </w:rPr>
        <w:t>此处规定时间的计算以系统中的倒计时间为准，系统中的线上最后报价只有一次机会，提交后无法撤回，请供应商慎重提交。</w:t>
      </w:r>
    </w:p>
    <w:p w14:paraId="09B7CBFA">
      <w:pPr>
        <w:widowControl/>
        <w:spacing w:line="360"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已提交响应文件的供应商，在提交最后报价之前，可以根据谈判情况退出谈判，并在“苏采云”系统中提交“退出谈判函”并加盖CA电子公章。</w:t>
      </w:r>
    </w:p>
    <w:p w14:paraId="01467248">
      <w:pPr>
        <w:widowControl/>
        <w:spacing w:line="360" w:lineRule="auto"/>
        <w:ind w:firstLine="48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进入项目评审流程后，建议各供应商法定代表人或授权委托人始终保持通讯顺畅，及时登录苏采云系统查阅、答复相关信息。 </w:t>
      </w:r>
    </w:p>
    <w:p w14:paraId="784F3944">
      <w:pPr>
        <w:widowControl/>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20.11</w:t>
      </w:r>
      <w:r>
        <w:rPr>
          <w:rFonts w:hint="eastAsia" w:ascii="宋体" w:hAnsi="宋体" w:eastAsia="宋体" w:cs="宋体"/>
          <w:bCs/>
          <w:color w:val="auto"/>
          <w:sz w:val="21"/>
          <w:szCs w:val="21"/>
          <w:highlight w:val="none"/>
        </w:rPr>
        <w:t>谈判小组经过与供应商一轮的谈判根据供应</w:t>
      </w:r>
      <w:r>
        <w:rPr>
          <w:rFonts w:hint="eastAsia" w:ascii="宋体" w:hAnsi="宋体" w:eastAsia="宋体" w:cs="宋体"/>
          <w:color w:val="auto"/>
          <w:sz w:val="21"/>
          <w:szCs w:val="21"/>
          <w:highlight w:val="none"/>
        </w:rPr>
        <w:t>商的承诺、响应程度和供应商的最终总报价按谈判采购文件规定的成交原则进行综合评定。</w:t>
      </w:r>
      <w:r>
        <w:rPr>
          <w:rFonts w:hint="eastAsia" w:ascii="宋体" w:hAnsi="宋体" w:eastAsia="宋体" w:cs="宋体"/>
          <w:color w:val="auto"/>
          <w:sz w:val="21"/>
          <w:szCs w:val="21"/>
          <w:highlight w:val="none"/>
          <w:lang w:val="zh-CN"/>
        </w:rPr>
        <w:t>。</w:t>
      </w:r>
    </w:p>
    <w:p w14:paraId="437D2FF0">
      <w:pPr>
        <w:widowControl/>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20.12谈判小组根据谈判成交原则确定成交供应商，并将结果通知所有参加谈判的供应商。</w:t>
      </w:r>
    </w:p>
    <w:p w14:paraId="2257D6DF">
      <w:pPr>
        <w:widowControl/>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20.13如谈判过程中出现本采购文件未尽事宜，由谈判小组根据政府采购有关法律、法规讨论决定。</w:t>
      </w:r>
    </w:p>
    <w:p w14:paraId="4683DDEE">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21.谈判小组</w:t>
      </w:r>
    </w:p>
    <w:p w14:paraId="1C9B2A99">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21.1谈判小组由谈判采购单位依法组建，由采购单位代表、专家评委组成。</w:t>
      </w:r>
    </w:p>
    <w:p w14:paraId="52304D23">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21.2谈判小组负责具体的谈判事务，并独立履行以下职责：</w:t>
      </w:r>
    </w:p>
    <w:p w14:paraId="2D2CA543">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21.2.1审查谈判响应文件是否符合谈判采购文件的要求，并做出评价；</w:t>
      </w:r>
    </w:p>
    <w:p w14:paraId="666B2F7B">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21.2.2可以要求谈判供应商对谈判响应文件有关事项做出解释或澄清；</w:t>
      </w:r>
    </w:p>
    <w:p w14:paraId="7C37E7F5">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21.2.3推荐成交候选供应商名单；</w:t>
      </w:r>
    </w:p>
    <w:p w14:paraId="2CFA6C7B">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21.2.4向谈判采购单位或者有关部门报告非法干预谈判工作的行为。</w:t>
      </w:r>
    </w:p>
    <w:p w14:paraId="18AABAEE">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21.3谈判小组成员应当履行下列义务：</w:t>
      </w:r>
    </w:p>
    <w:p w14:paraId="32160040">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21.3.1遵纪守法，客观、公正、廉洁地履行职责；</w:t>
      </w:r>
    </w:p>
    <w:p w14:paraId="60AF5D44">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21.3.2按照谈判采购文件规定的评审办法和评分标准进行评审，对评审意见承担个人责任；</w:t>
      </w:r>
    </w:p>
    <w:p w14:paraId="337B8446">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21.3.3对谈判过程和结果，以及谈判供应商的商业秘密保密；</w:t>
      </w:r>
    </w:p>
    <w:p w14:paraId="6F8C55D4">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21.3.4参与评审报告的起草；</w:t>
      </w:r>
    </w:p>
    <w:p w14:paraId="06EC749A">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21.3.5配合相关部门的投诉处理工作；</w:t>
      </w:r>
    </w:p>
    <w:p w14:paraId="605C5C1B">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21.3.6配合谈判采购单位答复谈判供应商提出的质疑。</w:t>
      </w:r>
    </w:p>
    <w:p w14:paraId="16D6A2F0">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22.评审内容的保密</w:t>
      </w:r>
    </w:p>
    <w:p w14:paraId="176ECE4E">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22.1谈判开始后，直到宣布授予成交单位合同为止，凡属于审查、澄清、评价和比较谈判响应文件的所有资料，有关授予合同的信息都不应向谈判供应商或与评审无关的其他人泄露。</w:t>
      </w:r>
    </w:p>
    <w:p w14:paraId="43A05B7D">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22.2在谈判响应文件的审查、澄清、评价和比较以及授予合同的过程中，谈判供应商对谈判采购单位和谈判小组施加影响的任何行为，都将取消其成交资格。</w:t>
      </w:r>
    </w:p>
    <w:p w14:paraId="4755D972">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22.3在评审期间，谈判采购单位将通过指定联络人与谈判供应商进行联系。</w:t>
      </w:r>
    </w:p>
    <w:p w14:paraId="6836F2CC">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23.对谈判响应文件初审</w:t>
      </w:r>
    </w:p>
    <w:p w14:paraId="2CB62482">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开始谈判后，谈判小组将审查谈判响应文件是否实质性响应谈判采购文件的要求、内容是否完整、价格构成有无计算错误、文件签署是否齐全等，谈判响应文件有下列情况之一者，且谈判小组认为在谈判承诺函中无法修正的则有权将其拒绝：</w:t>
      </w:r>
    </w:p>
    <w:p w14:paraId="61BA3A5A">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23.1.1谈判供应商的谈判响应文件未按照本须知规定制作的；</w:t>
      </w:r>
    </w:p>
    <w:p w14:paraId="27CFA76F">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23.1.2未按本须知规定提交资格文件；</w:t>
      </w:r>
    </w:p>
    <w:p w14:paraId="3CB4395A">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23.1.3与谈判采购文件有重大偏离；</w:t>
      </w:r>
    </w:p>
    <w:p w14:paraId="533CA6C5">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23.1.4谈判供应商拒绝修正错误；</w:t>
      </w:r>
    </w:p>
    <w:p w14:paraId="6AB0AC2A">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23.1.5谈判供应商的报价是选择性的；</w:t>
      </w:r>
    </w:p>
    <w:p w14:paraId="6FFF3C1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23.1.6谈判供应商的报价只投了部分内容；</w:t>
      </w:r>
    </w:p>
    <w:p w14:paraId="74EEFF74">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23.1.7谈判供应商的谈判响应文件出现了评标委员会认为不应当雷同的情况；</w:t>
      </w:r>
    </w:p>
    <w:p w14:paraId="6E79DD32">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23.1.8其他被谈判小组认定无效的情况。</w:t>
      </w:r>
    </w:p>
    <w:p w14:paraId="6166B533">
      <w:pPr>
        <w:spacing w:line="360" w:lineRule="auto"/>
        <w:ind w:firstLine="48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23.2谈判小组将对确定为实质上响应的文件进行审核，看其是否有计算上或累加上的算术错误，修正错误的原则如下：</w:t>
      </w:r>
    </w:p>
    <w:p w14:paraId="540D1137">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23.2.1谈判响应文件的大写金额与小写金额不一致的，以大写金额为准；</w:t>
      </w:r>
    </w:p>
    <w:p w14:paraId="543DD039">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23.2.2如果单价乘数量不等于总价，数量符合谈判采购文件要求，以单价计算金额为准；单价金额小数点有明显错位的，应以总价为准，并修改单价；数量不符合谈判采购文件要求的作为未实质性响应谈判采购文件处理，该谈判响应文件将不予以详细评审，也不成交；</w:t>
      </w:r>
    </w:p>
    <w:p w14:paraId="716AAF4F">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23.2.3对不同文字文本谈判响应文件的解释发生异议的，以中文文本为准；</w:t>
      </w:r>
    </w:p>
    <w:p w14:paraId="0CC9A9F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23.2.4谈判供应商不同意以上修正，则其谈判响应文件将被拒绝。</w:t>
      </w:r>
    </w:p>
    <w:p w14:paraId="502791FF">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24.响应文件的澄清、说明和更正</w:t>
      </w:r>
    </w:p>
    <w:p w14:paraId="57002FA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对于响应文件中含义不明确、同类问题表述不一致或者有明显文字和计算错误的内容，评标委员会应当要求供应商做出必要的澄清、说明或者补正。供应商的澄清、说明或者补正不得超出响应文件的范围或者改变响应文件的实质性内容。</w:t>
      </w:r>
    </w:p>
    <w:p w14:paraId="7E4FDF66">
      <w:pPr>
        <w:pStyle w:val="5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24.2本项目投标人的澄清、说明或者补正采用线上澄清: 评标委员会将通过“苏采云”系统向投标人发布“澄清要求函”，接到“澄清要求函”的投标人应当按要求在规定时间内通过“苏采云”系统提交“澄清响应函”并加盖CA电子公章，澄清、说明和补充的内容作为投标文件的补充部分。(此处规定时间的计算以系统中的倒计时间为准，供应商应随时保持系统在线，如因供应商自身原因未在规定时间内提交澄清确认资料的，导致的不利后果由供应商自行承担。</w:t>
      </w:r>
    </w:p>
    <w:p w14:paraId="5EB8E08B">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25．项目的终止</w:t>
      </w:r>
    </w:p>
    <w:p w14:paraId="7F2C7D1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25.1出现下列情形之一的，将终止竞争性谈判采购活动：</w:t>
      </w:r>
    </w:p>
    <w:p w14:paraId="7D088528">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25.1.1因情况变化，不再符合规定的竞争性谈判采购方式适用情形的；</w:t>
      </w:r>
    </w:p>
    <w:p w14:paraId="79DEC738">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25.1.2出现影响采购公正的违法、违规行为的；</w:t>
      </w:r>
    </w:p>
    <w:p w14:paraId="3BE03A90">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25.1.3在采购过程中符合竞争要求的供应商或者报价未超过采购预算的供应商不足3家的。</w:t>
      </w:r>
    </w:p>
    <w:p w14:paraId="2005FD8D">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26.谈判响应文件的评价和比较</w:t>
      </w:r>
    </w:p>
    <w:p w14:paraId="247E9B71">
      <w:pPr>
        <w:spacing w:line="348" w:lineRule="auto"/>
        <w:ind w:firstLine="5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26.1谈判小组将依据采购文件的规定，按第六章评审办法对所有参加谈判的供应商的响应文件进行实质性响应的评价，并确定参加单一谈判的实质性响应采购文件的供应商。</w:t>
      </w:r>
    </w:p>
    <w:p w14:paraId="64B3798F">
      <w:pPr>
        <w:spacing w:line="348" w:lineRule="auto"/>
        <w:ind w:firstLine="5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26.2在谈判过程中，谈判小组如有实质性变动采购需求中的技术、服务要求以及合同草案条款的情形，则仍按第六章的评审办法对供应商就实质性变动内容重新提交的相应的书面响应材料进行评价。</w:t>
      </w:r>
    </w:p>
    <w:p w14:paraId="01B7CD81">
      <w:pPr>
        <w:spacing w:line="348" w:lineRule="auto"/>
        <w:ind w:firstLine="5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采购人授权谈判小组根据本文件的规定，在最后报价不超过采购预算，且响应内容的质量和服务均能满足采购文件实质性响应要求的供应商（不少于三家）中，按照最后报价由低到高的顺序提出成交候选人，其中最后报价最低的供应商为第一成交候选供应商，并编写评审报告。</w:t>
      </w:r>
    </w:p>
    <w:p w14:paraId="62B128F9">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27.成交单位的确认</w:t>
      </w:r>
    </w:p>
    <w:p w14:paraId="49BFFD58">
      <w:pPr>
        <w:pStyle w:val="5"/>
        <w:spacing w:line="348" w:lineRule="auto"/>
        <w:ind w:firstLine="50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27.1谈判小组根据谈判响应单位资格审查情况，以及对谈判响应文件进行评价和比较，按照评审办法和标准进行评审，并根据采购人的委托，按照成交候选人的顺序在成交候选人中直接确定成交人。</w:t>
      </w:r>
    </w:p>
    <w:p w14:paraId="730180CB">
      <w:pPr>
        <w:pStyle w:val="5"/>
        <w:spacing w:line="348" w:lineRule="auto"/>
        <w:ind w:firstLine="50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经谈判小组评审并确定成交单位后，采购人将在规定的时间内将成交结果在相关媒体上予以公告。参加谈判的各响应单位如对公告结果有异议，应在成交结果公告期满后七个工作日内，以书面形式向采购人提出质疑，同时该质疑应有谈判响应单位法定代表人或参加谈判的代理人签署。采购人将在收到经谈判响应单位法定代表人或参加响应供应商的代理人签署的书面质疑后七个工作日内，对质疑内容做出答复。如谈判响应单位未在成交结果公告期满后七个工作日内向采购人提出质疑或质疑未经谈判响应单位法定代表人或参加谈判的代理人签署的，采购人有权对该质疑不予答复。</w:t>
      </w:r>
    </w:p>
    <w:p w14:paraId="24B74B95">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27.3</w:t>
      </w:r>
      <w:r>
        <w:rPr>
          <w:rFonts w:hint="eastAsia" w:ascii="宋体" w:hAnsi="宋体" w:eastAsia="宋体" w:cs="宋体"/>
          <w:color w:val="auto"/>
          <w:kern w:val="2"/>
          <w:sz w:val="21"/>
          <w:szCs w:val="21"/>
          <w:highlight w:val="none"/>
          <w:lang w:val="zh-CN"/>
        </w:rPr>
        <w:t>接收质疑函的方式：书面形式（当场送达或邮寄方式）</w:t>
      </w:r>
    </w:p>
    <w:p w14:paraId="4718DABD">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采购代理机构：苏州市创杰招投标咨询服务有限公司</w:t>
      </w:r>
    </w:p>
    <w:p w14:paraId="3F342AA5">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质疑联系人：路丽丽 潘莉莉   朱晓芹  </w:t>
      </w:r>
      <w:r>
        <w:rPr>
          <w:rFonts w:hint="eastAsia" w:ascii="宋体" w:hAnsi="宋体" w:eastAsia="宋体" w:cs="宋体"/>
          <w:color w:val="auto"/>
          <w:kern w:val="2"/>
          <w:sz w:val="21"/>
          <w:szCs w:val="21"/>
          <w:highlight w:val="none"/>
        </w:rPr>
        <w:t>庄天扬</w:t>
      </w:r>
    </w:p>
    <w:p w14:paraId="7332AC91">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邮编：215000</w:t>
      </w:r>
    </w:p>
    <w:p w14:paraId="36CB313D">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联系电话：0512-65238816</w:t>
      </w:r>
    </w:p>
    <w:p w14:paraId="18B4B68D">
      <w:pPr>
        <w:pStyle w:val="5"/>
        <w:overflowPunct w:val="0"/>
        <w:spacing w:line="360" w:lineRule="auto"/>
        <w:ind w:firstLineChars="200"/>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现场递交地址:苏州市干将西路399号银海大厦303室</w:t>
      </w:r>
    </w:p>
    <w:p w14:paraId="5E68DCA3">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zh-CN"/>
        </w:rPr>
        <w:t>邮寄收取地址:苏州市干将西路399号银海大厦303室</w:t>
      </w:r>
    </w:p>
    <w:p w14:paraId="19DF8AA0">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28.合同授予标准</w:t>
      </w:r>
    </w:p>
    <w:p w14:paraId="485AFEE7">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28.1谈判采购单位将把合同授予其谈判响应文件在实质上响应谈判采购文件要求和按本须知规定评选出的谈判供应商。确定为成交的谈判供应商必须具有实施本合同的能力和资源。</w:t>
      </w:r>
    </w:p>
    <w:p w14:paraId="28E2951A">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29.成交通知书</w:t>
      </w:r>
    </w:p>
    <w:p w14:paraId="7B5A63E3">
      <w:pPr>
        <w:tabs>
          <w:tab w:val="left" w:pos="753"/>
        </w:tabs>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确定出成交单位后谈判响应文件有效期截止前，谈判采购单位将以书面形式通知成交的谈判供应商其响应被接受。在成交通知书中给出成交单位的成交标价、交货时间、质量标准和有关合同签订的日期和地点。</w:t>
      </w:r>
    </w:p>
    <w:p w14:paraId="197876E3">
      <w:pPr>
        <w:tabs>
          <w:tab w:val="left" w:pos="753"/>
        </w:tabs>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29.3确定出成交单位后，采购代理机构在法定时间内向成交单位发出中标（成交）通知书。</w:t>
      </w:r>
      <w:r>
        <w:rPr>
          <w:rFonts w:hint="eastAsia" w:ascii="宋体" w:hAnsi="宋体" w:eastAsia="宋体" w:cs="宋体"/>
          <w:b/>
          <w:bCs/>
          <w:color w:val="auto"/>
          <w:sz w:val="21"/>
          <w:szCs w:val="21"/>
          <w:highlight w:val="none"/>
        </w:rPr>
        <w:t>请成交单位在成交结果公告届满之日起30日内,使用CA证书登录“苏采云”系统及时下载中标（成交）通知书。</w:t>
      </w:r>
      <w:r>
        <w:rPr>
          <w:rFonts w:hint="eastAsia" w:ascii="宋体" w:hAnsi="宋体" w:eastAsia="宋体" w:cs="宋体"/>
          <w:color w:val="auto"/>
          <w:sz w:val="21"/>
          <w:szCs w:val="21"/>
          <w:highlight w:val="none"/>
        </w:rPr>
        <w:t>因系统存储空间有限，自中标结果公告届满之日起30日后，“苏采云”系统不再保证提供下载中标通知书服务,因未及时下载而造成的不利后果由中标人自行承担。</w:t>
      </w:r>
    </w:p>
    <w:p w14:paraId="704A58FF">
      <w:pPr>
        <w:tabs>
          <w:tab w:val="left" w:pos="753"/>
        </w:tabs>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29.4成交通知书将成为合同的组成部分，对采购人和中标人具有同等法律效力。</w:t>
      </w:r>
    </w:p>
    <w:p w14:paraId="07B477C2">
      <w:pPr>
        <w:tabs>
          <w:tab w:val="left" w:pos="753"/>
        </w:tabs>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29.5中标（成交）通知书发出后，采购人不得违法改变成交结果，成交人无正当理由不得放弃。</w:t>
      </w:r>
    </w:p>
    <w:p w14:paraId="289FA03A">
      <w:pPr>
        <w:tabs>
          <w:tab w:val="left" w:pos="753"/>
        </w:tabs>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29.6谈判采购单位对未成交单位不承担解释未成交原因的义务。</w:t>
      </w:r>
    </w:p>
    <w:p w14:paraId="407A3794">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30.质疑</w:t>
      </w:r>
    </w:p>
    <w:p w14:paraId="59DBB920">
      <w:pPr>
        <w:tabs>
          <w:tab w:val="left" w:pos="753"/>
        </w:tabs>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30.1质疑及答复遵守《政府采购质疑和投诉办法》（中华人民共和国财政部令第94号）规定。</w:t>
      </w:r>
    </w:p>
    <w:p w14:paraId="3797D275">
      <w:pPr>
        <w:tabs>
          <w:tab w:val="left" w:pos="753"/>
        </w:tabs>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供应商认为采购文件、采购过程和采购结果使自己的权益受到损害的，可以在知道或应知其权益受到损害之日起七个工作日内，以书面形式根据下述条款的规定向代理提出质疑。上述应知其权益受到损害之日，是指：</w:t>
      </w:r>
    </w:p>
    <w:p w14:paraId="06694CC7">
      <w:pPr>
        <w:tabs>
          <w:tab w:val="left" w:pos="753"/>
        </w:tabs>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①对可以质疑的采购文件提出质疑的，为收到采购文件之日或者采购文件公告期限届满之日；</w:t>
      </w:r>
    </w:p>
    <w:p w14:paraId="1A7A817A">
      <w:pPr>
        <w:tabs>
          <w:tab w:val="left" w:pos="753"/>
        </w:tabs>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②对采购过程提出质疑的，为各采购程序环节结束之日；</w:t>
      </w:r>
    </w:p>
    <w:p w14:paraId="0211A588">
      <w:pPr>
        <w:tabs>
          <w:tab w:val="left" w:pos="753"/>
        </w:tabs>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③对中标或者成交结果提出质疑的，为中标或者成交结果公告期限届满之日。</w:t>
      </w:r>
    </w:p>
    <w:p w14:paraId="692CDA0D">
      <w:pPr>
        <w:tabs>
          <w:tab w:val="left" w:pos="753"/>
        </w:tabs>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30.3供应商应当在法定质疑期内一次性提出针对同一采购程序环节的质疑。供应商如在法定期限内对同一采购程序环节提出多次质疑的，代理将只对供应商第一次质疑作出答复。</w:t>
      </w:r>
    </w:p>
    <w:p w14:paraId="6AF01AAC">
      <w:pPr>
        <w:tabs>
          <w:tab w:val="left" w:pos="753"/>
        </w:tabs>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30.4提出质疑的供应商应当是参与所质疑项目采购活动的供应商，未依照采购公告要求获取采购文件的供应商，视为未参与该项政府采购活动，不具备对该政府采购项目提出质疑的法定权利。</w:t>
      </w:r>
    </w:p>
    <w:p w14:paraId="7365A1AE">
      <w:pPr>
        <w:tabs>
          <w:tab w:val="left" w:pos="753"/>
        </w:tabs>
        <w:spacing w:line="360" w:lineRule="auto"/>
        <w:ind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对采购文件内容质疑时，需提供在《投标供应商确认函》，未提供的视为未依照采购公告要求获取谈判文件的供应商，不具备对该政府采购项目提出质疑的法定权利。</w:t>
      </w:r>
    </w:p>
    <w:p w14:paraId="78393E2A">
      <w:pPr>
        <w:tabs>
          <w:tab w:val="left" w:pos="753"/>
        </w:tabs>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30.5接收质疑函的方式为书面形式（当场送达或邮寄方式）。供应商质疑函范本格式请参照“苏州市政府采购”网站——“下载中心”——“</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"http://czju.suzhou.gov.cn/zfcg/html/content/20180305093615738.shtml" \t "http://czju.suzhou.gov.cn/zfcg/html/channel/_blank" \o "政府采购供应商质疑函范本"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政府采购供应商质疑函范本</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供应商如组成联合体参加投标，则《质疑函范本》中要求签字、盖章、加盖公章之处，联合体各方均须按要求签字、盖章、加盖公章。</w:t>
      </w:r>
    </w:p>
    <w:p w14:paraId="414ADAD3">
      <w:pPr>
        <w:tabs>
          <w:tab w:val="left" w:pos="753"/>
        </w:tabs>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30.6供应商提出书面质疑必须有理、有据，不得捏造事实、提供虚假材料进行恶意质疑。否则，一经查实，代理有权依据政府采购的有关规定，报请政府采购监管部门对该供应商进行相应的行政处罚和记录该供应商的失信信息。</w:t>
      </w:r>
    </w:p>
    <w:p w14:paraId="54F8C05A">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31.合同的签订</w:t>
      </w:r>
    </w:p>
    <w:p w14:paraId="2004A61F">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31.1成交单位应按成交通知书中规定的时间和地点，由法定代表人或代理人与甲方代表签订合同。否则按放弃处理。</w:t>
      </w:r>
    </w:p>
    <w:p w14:paraId="654BB9F5">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31.2签订合同及合同条款应以谈判采购文件和成交单位的谈判响应文件及其澄清文件为依据。</w:t>
      </w:r>
    </w:p>
    <w:p w14:paraId="5438B1AD">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32.代理服务费</w:t>
      </w:r>
    </w:p>
    <w:p w14:paraId="6F6A0FC0">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32.1成交服务费：由成交单位按照预算金额计算并支付，具体为100万元以内1.5%、100万元～500万元以内1.1%差额定率累进法计算并支付成交服务费，该费用应在领取成交通知书时付清。本项目服务费为人民币</w:t>
      </w:r>
      <w:r>
        <w:rPr>
          <w:rFonts w:hint="eastAsia" w:ascii="宋体" w:hAnsi="宋体" w:eastAsia="宋体" w:cs="宋体"/>
          <w:color w:val="auto"/>
          <w:sz w:val="21"/>
          <w:szCs w:val="21"/>
          <w:highlight w:val="none"/>
          <w:lang w:val="en-US" w:eastAsia="zh-CN"/>
        </w:rPr>
        <w:t>玖仟</w:t>
      </w:r>
      <w:r>
        <w:rPr>
          <w:rFonts w:hint="eastAsia" w:ascii="宋体" w:hAnsi="宋体" w:eastAsia="宋体" w:cs="宋体"/>
          <w:color w:val="auto"/>
          <w:sz w:val="21"/>
          <w:szCs w:val="21"/>
          <w:highlight w:val="none"/>
        </w:rPr>
        <w:t>元整。</w:t>
      </w:r>
    </w:p>
    <w:p w14:paraId="7F072B14">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服务费交纳账户：苏州市创杰招投标咨询服务有限公司 </w:t>
      </w:r>
    </w:p>
    <w:p w14:paraId="4DD3A90E">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开户银行：江苏银行苏州金阊支行  </w:t>
      </w:r>
    </w:p>
    <w:p w14:paraId="53EFBBFD">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号：30100188000004892</w:t>
      </w:r>
    </w:p>
    <w:p w14:paraId="2B761FEB">
      <w:pPr>
        <w:pStyle w:val="5"/>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32.2成交单位如果未按规定缴纳代理服务费，招标代理机构将保留诉讼的权利。</w:t>
      </w:r>
    </w:p>
    <w:p w14:paraId="3B4E620D">
      <w:pPr>
        <w:spacing w:line="360" w:lineRule="auto"/>
        <w:ind w:firstLine="48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33.谈判保证金：</w:t>
      </w:r>
    </w:p>
    <w:p w14:paraId="38E4E0DF">
      <w:pPr>
        <w:spacing w:line="360" w:lineRule="auto"/>
        <w:ind w:firstLine="482"/>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不需提交，采购文件中有关谈判保证金的规定均不适用。投标（响应）人应在投标（响应）文件中提交《投标（响应）保证承诺书》（详见附件），否则为无效投标。</w:t>
      </w:r>
    </w:p>
    <w:p w14:paraId="0F0F7FB2">
      <w:pPr>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34</w:t>
      </w:r>
      <w:r>
        <w:rPr>
          <w:rFonts w:hint="eastAsia" w:ascii="宋体" w:hAnsi="宋体" w:eastAsia="宋体" w:cs="宋体"/>
          <w:b/>
          <w:color w:val="auto"/>
          <w:sz w:val="21"/>
          <w:szCs w:val="21"/>
          <w:highlight w:val="none"/>
        </w:rPr>
        <w:t>.未尽事宜</w:t>
      </w:r>
    </w:p>
    <w:p w14:paraId="11EBF7B5">
      <w:pPr>
        <w:pStyle w:val="5"/>
        <w:rPr>
          <w:rFonts w:hint="eastAsia" w:eastAsia="宋体"/>
          <w:color w:val="auto"/>
          <w:highlight w:val="none"/>
          <w:lang w:eastAsia="zh-CN"/>
        </w:rPr>
        <w:sectPr>
          <w:pgSz w:w="11906" w:h="16838"/>
          <w:pgMar w:top="1440" w:right="1417" w:bottom="1440" w:left="1417" w:header="964" w:footer="964" w:gutter="0"/>
          <w:cols w:space="720" w:num="1"/>
          <w:docGrid w:linePitch="360" w:charSpace="0"/>
        </w:sectPr>
      </w:pPr>
      <w:r>
        <w:rPr>
          <w:rFonts w:hint="eastAsia" w:ascii="宋体" w:hAnsi="宋体" w:eastAsia="宋体" w:cs="宋体"/>
          <w:color w:val="auto"/>
          <w:sz w:val="21"/>
          <w:szCs w:val="21"/>
          <w:highlight w:val="none"/>
        </w:rPr>
        <w:t>按《中华人民共和国政府采购法》及其他有关的法律法规的规定执行</w:t>
      </w:r>
      <w:r>
        <w:rPr>
          <w:rFonts w:hint="eastAsia" w:ascii="宋体" w:hAnsi="宋体" w:eastAsia="宋体" w:cs="宋体"/>
          <w:color w:val="auto"/>
          <w:sz w:val="21"/>
          <w:szCs w:val="21"/>
          <w:highlight w:val="none"/>
          <w:lang w:eastAsia="zh-CN"/>
        </w:rPr>
        <w:t>。</w:t>
      </w:r>
    </w:p>
    <w:p w14:paraId="2E8EFADA">
      <w:pPr>
        <w:pageBreakBefore/>
        <w:tabs>
          <w:tab w:val="left" w:pos="315"/>
          <w:tab w:val="center" w:pos="4153"/>
        </w:tabs>
        <w:kinsoku/>
        <w:wordWrap/>
        <w:overflowPunct/>
        <w:topLinePunct w:val="0"/>
        <w:autoSpaceDE/>
        <w:autoSpaceDN/>
        <w:bidi w:val="0"/>
        <w:spacing w:line="360" w:lineRule="auto"/>
        <w:jc w:val="center"/>
        <w:textAlignment w:val="auto"/>
        <w:outlineLvl w:val="0"/>
        <w:rPr>
          <w:rFonts w:hint="eastAsia" w:ascii="宋体" w:hAnsi="宋体" w:cs="宋体"/>
          <w:b/>
          <w:color w:val="auto"/>
          <w:spacing w:val="0"/>
          <w:sz w:val="44"/>
          <w:szCs w:val="44"/>
          <w:highlight w:val="none"/>
          <w:lang w:val="en-US" w:eastAsia="zh-CN"/>
        </w:rPr>
      </w:pPr>
    </w:p>
    <w:p w14:paraId="0EA75C71">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jc w:val="center"/>
        <w:textAlignment w:val="auto"/>
        <w:outlineLvl w:val="0"/>
        <w:rPr>
          <w:rFonts w:hint="eastAsia" w:ascii="宋体" w:hAnsi="宋体" w:cs="宋体"/>
          <w:b/>
          <w:color w:val="auto"/>
          <w:spacing w:val="0"/>
          <w:sz w:val="44"/>
          <w:szCs w:val="44"/>
          <w:highlight w:val="none"/>
          <w:lang w:val="en-US" w:eastAsia="zh-CN"/>
        </w:rPr>
      </w:pPr>
      <w:r>
        <w:rPr>
          <w:rFonts w:hint="eastAsia" w:ascii="宋体" w:hAnsi="宋体" w:cs="宋体"/>
          <w:b/>
          <w:color w:val="auto"/>
          <w:spacing w:val="0"/>
          <w:sz w:val="44"/>
          <w:szCs w:val="44"/>
          <w:highlight w:val="none"/>
          <w:lang w:val="en-US" w:eastAsia="zh-CN"/>
        </w:rPr>
        <w:t>第三章  谈判响应文件格式</w:t>
      </w:r>
    </w:p>
    <w:p w14:paraId="0DB166DD">
      <w:pPr>
        <w:pStyle w:val="5"/>
        <w:spacing w:line="360" w:lineRule="auto"/>
        <w:ind w:firstLine="0"/>
        <w:rPr>
          <w:rFonts w:hint="eastAsia" w:ascii="宋体" w:hAnsi="宋体" w:eastAsia="宋体" w:cs="宋体"/>
          <w:b/>
          <w:color w:val="auto"/>
          <w:highlight w:val="none"/>
        </w:rPr>
      </w:pPr>
    </w:p>
    <w:p w14:paraId="30E04A19">
      <w:pPr>
        <w:pStyle w:val="5"/>
        <w:spacing w:line="360" w:lineRule="auto"/>
        <w:ind w:firstLine="0"/>
        <w:rPr>
          <w:rFonts w:hint="eastAsia" w:ascii="宋体" w:hAnsi="宋体" w:eastAsia="宋体" w:cs="宋体"/>
          <w:b/>
          <w:color w:val="auto"/>
          <w:highlight w:val="none"/>
        </w:rPr>
      </w:pPr>
    </w:p>
    <w:p w14:paraId="22029617">
      <w:pPr>
        <w:pStyle w:val="5"/>
        <w:spacing w:line="360" w:lineRule="auto"/>
        <w:ind w:firstLine="0"/>
        <w:rPr>
          <w:rFonts w:hint="eastAsia" w:ascii="宋体" w:hAnsi="宋体" w:eastAsia="宋体" w:cs="宋体"/>
          <w:b/>
          <w:color w:val="auto"/>
          <w:highlight w:val="none"/>
        </w:rPr>
      </w:pPr>
    </w:p>
    <w:p w14:paraId="30B6B612">
      <w:pPr>
        <w:pStyle w:val="5"/>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说明：</w:t>
      </w:r>
    </w:p>
    <w:p w14:paraId="122DD515">
      <w:pPr>
        <w:pStyle w:val="5"/>
        <w:rPr>
          <w:rFonts w:hint="eastAsia" w:eastAsia="宋体"/>
          <w:color w:val="auto"/>
          <w:highlight w:val="none"/>
          <w:lang w:val="en-US" w:eastAsia="zh-CN"/>
        </w:rPr>
      </w:pPr>
      <w:r>
        <w:rPr>
          <w:rFonts w:hint="eastAsia" w:ascii="宋体" w:hAnsi="宋体" w:eastAsia="宋体" w:cs="宋体"/>
          <w:b/>
          <w:color w:val="auto"/>
          <w:highlight w:val="none"/>
        </w:rPr>
        <w:t>对本章所有的格式 ，谈判供应商可根据自身情况进行补充和修改，但补充和修改不得造成与本格式内容有实质性的违背</w:t>
      </w:r>
      <w:r>
        <w:rPr>
          <w:rFonts w:hint="eastAsia" w:ascii="宋体" w:hAnsi="宋体" w:eastAsia="宋体" w:cs="宋体"/>
          <w:b/>
          <w:color w:val="auto"/>
          <w:highlight w:val="none"/>
          <w:lang w:eastAsia="zh-CN"/>
        </w:rPr>
        <w:t>。</w:t>
      </w:r>
    </w:p>
    <w:p w14:paraId="107A8386">
      <w:pPr>
        <w:pStyle w:val="55"/>
        <w:kinsoku/>
        <w:wordWrap/>
        <w:overflowPunct/>
        <w:topLinePunct w:val="0"/>
        <w:autoSpaceDE/>
        <w:autoSpaceDN/>
        <w:bidi w:val="0"/>
        <w:ind w:firstLine="420"/>
        <w:textAlignment w:val="auto"/>
        <w:rPr>
          <w:rFonts w:hint="eastAsia" w:ascii="宋体" w:hAnsi="宋体" w:eastAsia="宋体" w:cs="宋体"/>
          <w:color w:val="auto"/>
          <w:spacing w:val="0"/>
          <w:sz w:val="21"/>
          <w:szCs w:val="21"/>
          <w:highlight w:val="none"/>
        </w:rPr>
      </w:pPr>
    </w:p>
    <w:p w14:paraId="41271D38">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485F1CE2">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40203193">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042B1DB1">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3C2688F8">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4EB8A3BA">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161B7393">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602A3973">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51D92A5A">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47F0CCF8">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7ABC97E3">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60E3C8A8">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296430C1">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24094EA0">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0A5C8958">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3AE0F006">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079147C0">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7642C44C">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30970F2C">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4328BCC6">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6BBD5743">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296F7B9D">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3D8D768B">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p>
    <w:p w14:paraId="6B3236CD">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附件1：开标一览表</w:t>
      </w:r>
    </w:p>
    <w:p w14:paraId="763AAC56">
      <w:pPr>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Cs w:val="21"/>
          <w:highlight w:val="none"/>
        </w:rPr>
      </w:pPr>
    </w:p>
    <w:p w14:paraId="32F91653">
      <w:pPr>
        <w:spacing w:line="360" w:lineRule="auto"/>
        <w:jc w:val="center"/>
        <w:rPr>
          <w:rFonts w:hint="eastAsia" w:ascii="宋体" w:hAnsi="宋体" w:cs="宋体"/>
          <w:color w:val="auto"/>
          <w:szCs w:val="21"/>
          <w:highlight w:val="none"/>
        </w:rPr>
      </w:pPr>
      <w:r>
        <w:rPr>
          <w:rFonts w:hint="eastAsia" w:ascii="宋体" w:hAnsi="宋体" w:cs="宋体"/>
          <w:b/>
          <w:color w:val="auto"/>
          <w:highlight w:val="none"/>
        </w:rPr>
        <w:t>开标一览表</w:t>
      </w:r>
    </w:p>
    <w:p w14:paraId="6D5BC510">
      <w:pPr>
        <w:spacing w:line="360" w:lineRule="auto"/>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rPr>
        <w:t xml:space="preserve">采购编号：                       </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2498"/>
        <w:gridCol w:w="2335"/>
        <w:gridCol w:w="2381"/>
      </w:tblGrid>
      <w:tr w14:paraId="108B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633" w:type="dxa"/>
            <w:noWrap w:val="0"/>
            <w:vAlign w:val="top"/>
          </w:tcPr>
          <w:p w14:paraId="7D83B1D4">
            <w:pPr>
              <w:pStyle w:val="225"/>
              <w:jc w:val="center"/>
              <w:rPr>
                <w:rFonts w:hint="default" w:hAnsi="宋体" w:eastAsia="宋体" w:cs="宋体"/>
                <w:color w:val="auto"/>
                <w:sz w:val="21"/>
                <w:highlight w:val="none"/>
                <w:lang w:val="en-US" w:eastAsia="zh-CN"/>
              </w:rPr>
            </w:pPr>
            <w:r>
              <w:rPr>
                <w:rFonts w:hint="eastAsia" w:hAnsi="宋体" w:eastAsia="宋体" w:cs="宋体"/>
                <w:color w:val="auto"/>
                <w:sz w:val="21"/>
                <w:highlight w:val="none"/>
                <w:lang w:val="en-US" w:eastAsia="zh-CN"/>
              </w:rPr>
              <w:t>序号</w:t>
            </w:r>
          </w:p>
        </w:tc>
        <w:tc>
          <w:tcPr>
            <w:tcW w:w="2498" w:type="dxa"/>
            <w:noWrap w:val="0"/>
            <w:vAlign w:val="top"/>
          </w:tcPr>
          <w:p w14:paraId="2B88E1C3">
            <w:pPr>
              <w:pStyle w:val="225"/>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项目名称</w:t>
            </w:r>
          </w:p>
        </w:tc>
        <w:tc>
          <w:tcPr>
            <w:tcW w:w="2335" w:type="dxa"/>
            <w:noWrap w:val="0"/>
            <w:vAlign w:val="top"/>
          </w:tcPr>
          <w:p w14:paraId="26240E74">
            <w:pPr>
              <w:pStyle w:val="225"/>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谈判总报价（元）</w:t>
            </w:r>
          </w:p>
        </w:tc>
        <w:tc>
          <w:tcPr>
            <w:tcW w:w="2381" w:type="dxa"/>
            <w:noWrap w:val="0"/>
            <w:vAlign w:val="top"/>
          </w:tcPr>
          <w:p w14:paraId="28BB2ED5">
            <w:pPr>
              <w:pStyle w:val="225"/>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交货期</w:t>
            </w:r>
          </w:p>
        </w:tc>
      </w:tr>
      <w:tr w14:paraId="58B8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633" w:type="dxa"/>
            <w:noWrap w:val="0"/>
            <w:vAlign w:val="top"/>
          </w:tcPr>
          <w:p w14:paraId="5F813340">
            <w:pPr>
              <w:pStyle w:val="225"/>
              <w:jc w:val="center"/>
              <w:rPr>
                <w:rFonts w:hint="eastAsia" w:hAnsi="宋体" w:eastAsia="宋体" w:cs="宋体"/>
                <w:color w:val="auto"/>
                <w:sz w:val="21"/>
                <w:highlight w:val="none"/>
                <w:lang w:eastAsia="zh-CN"/>
              </w:rPr>
            </w:pPr>
          </w:p>
        </w:tc>
        <w:tc>
          <w:tcPr>
            <w:tcW w:w="2498" w:type="dxa"/>
            <w:noWrap w:val="0"/>
            <w:vAlign w:val="top"/>
          </w:tcPr>
          <w:p w14:paraId="137D8068">
            <w:pPr>
              <w:pStyle w:val="225"/>
              <w:jc w:val="center"/>
              <w:rPr>
                <w:rFonts w:hint="eastAsia" w:hAnsi="宋体" w:eastAsia="宋体" w:cs="宋体"/>
                <w:color w:val="auto"/>
                <w:sz w:val="21"/>
                <w:highlight w:val="none"/>
                <w:lang w:eastAsia="zh-CN"/>
              </w:rPr>
            </w:pPr>
          </w:p>
        </w:tc>
        <w:tc>
          <w:tcPr>
            <w:tcW w:w="2335" w:type="dxa"/>
            <w:noWrap w:val="0"/>
            <w:vAlign w:val="top"/>
          </w:tcPr>
          <w:p w14:paraId="7628FB6F">
            <w:pPr>
              <w:pStyle w:val="225"/>
              <w:jc w:val="center"/>
              <w:rPr>
                <w:rFonts w:hint="eastAsia" w:hAnsi="宋体" w:eastAsia="宋体" w:cs="宋体"/>
                <w:color w:val="auto"/>
                <w:sz w:val="21"/>
                <w:highlight w:val="none"/>
                <w:lang w:eastAsia="zh-CN"/>
              </w:rPr>
            </w:pPr>
          </w:p>
        </w:tc>
        <w:tc>
          <w:tcPr>
            <w:tcW w:w="2381" w:type="dxa"/>
            <w:noWrap w:val="0"/>
            <w:vAlign w:val="top"/>
          </w:tcPr>
          <w:p w14:paraId="3704DAAB">
            <w:pPr>
              <w:pStyle w:val="225"/>
              <w:jc w:val="center"/>
              <w:rPr>
                <w:rFonts w:hint="eastAsia" w:hAnsi="宋体" w:eastAsia="宋体" w:cs="宋体"/>
                <w:color w:val="auto"/>
                <w:sz w:val="21"/>
                <w:highlight w:val="none"/>
                <w:lang w:eastAsia="zh-CN"/>
              </w:rPr>
            </w:pPr>
          </w:p>
        </w:tc>
      </w:tr>
      <w:tr w14:paraId="1E39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847" w:type="dxa"/>
            <w:gridSpan w:val="4"/>
            <w:noWrap w:val="0"/>
            <w:vAlign w:val="top"/>
          </w:tcPr>
          <w:p w14:paraId="1968601C">
            <w:pPr>
              <w:pStyle w:val="225"/>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谈判总报价：人民币（大写）</w:t>
            </w:r>
          </w:p>
        </w:tc>
      </w:tr>
    </w:tbl>
    <w:p w14:paraId="53A7B627">
      <w:pPr>
        <w:spacing w:line="360" w:lineRule="auto"/>
        <w:rPr>
          <w:rFonts w:hint="eastAsia" w:ascii="宋体" w:hAnsi="宋体" w:cs="宋体"/>
          <w:color w:val="auto"/>
          <w:szCs w:val="21"/>
          <w:highlight w:val="none"/>
        </w:rPr>
      </w:pPr>
    </w:p>
    <w:p w14:paraId="4146D53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谈判响应单位：（签章）</w:t>
      </w:r>
    </w:p>
    <w:p w14:paraId="7D5D7325">
      <w:pPr>
        <w:kinsoku/>
        <w:wordWrap/>
        <w:overflowPunct/>
        <w:topLinePunct w:val="0"/>
        <w:autoSpaceDE/>
        <w:autoSpaceDN/>
        <w:bidi w:val="0"/>
        <w:spacing w:line="360" w:lineRule="auto"/>
        <w:jc w:val="left"/>
        <w:textAlignment w:val="auto"/>
        <w:rPr>
          <w:rFonts w:hint="eastAsia" w:ascii="宋体" w:hAnsi="宋体" w:eastAsia="宋体" w:cs="宋体"/>
          <w:color w:val="auto"/>
          <w:spacing w:val="0"/>
          <w:szCs w:val="21"/>
          <w:highlight w:val="none"/>
          <w:lang w:eastAsia="zh-CN"/>
        </w:rPr>
      </w:pPr>
      <w:r>
        <w:rPr>
          <w:rFonts w:hint="eastAsia" w:ascii="宋体" w:hAnsi="宋体" w:cs="宋体"/>
          <w:color w:val="auto"/>
          <w:szCs w:val="21"/>
          <w:highlight w:val="none"/>
        </w:rPr>
        <w:t>日期：        年    月    日</w:t>
      </w:r>
    </w:p>
    <w:p w14:paraId="12D8A81C">
      <w:pPr>
        <w:pStyle w:val="2"/>
        <w:pageBreakBefore/>
        <w:kinsoku/>
        <w:wordWrap/>
        <w:overflowPunct/>
        <w:topLinePunct w:val="0"/>
        <w:autoSpaceDE/>
        <w:autoSpaceDN/>
        <w:bidi w:val="0"/>
        <w:spacing w:before="0" w:after="0" w:line="360" w:lineRule="auto"/>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附件</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谈判</w:t>
      </w:r>
      <w:r>
        <w:rPr>
          <w:rFonts w:hint="eastAsia" w:ascii="宋体" w:hAnsi="宋体" w:eastAsia="宋体" w:cs="宋体"/>
          <w:color w:val="auto"/>
          <w:spacing w:val="0"/>
          <w:sz w:val="21"/>
          <w:szCs w:val="21"/>
          <w:highlight w:val="none"/>
        </w:rPr>
        <w:t>报价分析表</w:t>
      </w:r>
    </w:p>
    <w:p w14:paraId="156B86D3">
      <w:pPr>
        <w:kinsoku/>
        <w:wordWrap/>
        <w:overflowPunct/>
        <w:topLinePunct w:val="0"/>
        <w:autoSpaceDE/>
        <w:autoSpaceDN/>
        <w:bidi w:val="0"/>
        <w:jc w:val="center"/>
        <w:textAlignment w:val="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谈判报价分析表</w:t>
      </w:r>
    </w:p>
    <w:p w14:paraId="288952B0">
      <w:pPr>
        <w:kinsoku/>
        <w:wordWrap/>
        <w:overflowPunct/>
        <w:topLinePunct w:val="0"/>
        <w:autoSpaceDE/>
        <w:autoSpaceDN/>
        <w:bidi w:val="0"/>
        <w:spacing w:line="360" w:lineRule="auto"/>
        <w:jc w:val="left"/>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rPr>
        <w:t>采购编号：</w:t>
      </w:r>
      <w:r>
        <w:rPr>
          <w:rFonts w:hint="eastAsia" w:ascii="宋体" w:hAnsi="宋体" w:cs="宋体"/>
          <w:color w:val="auto"/>
          <w:spacing w:val="0"/>
          <w:szCs w:val="21"/>
          <w:highlight w:val="none"/>
          <w:lang w:val="en-US" w:eastAsia="zh-CN"/>
        </w:rPr>
        <w:t xml:space="preserve">                              </w:t>
      </w:r>
    </w:p>
    <w:tbl>
      <w:tblPr>
        <w:tblStyle w:val="4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41"/>
        <w:gridCol w:w="1383"/>
        <w:gridCol w:w="1253"/>
        <w:gridCol w:w="1847"/>
        <w:gridCol w:w="597"/>
        <w:gridCol w:w="597"/>
        <w:gridCol w:w="597"/>
        <w:gridCol w:w="1464"/>
        <w:gridCol w:w="809"/>
      </w:tblGrid>
      <w:tr w14:paraId="2C1E6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77" w:type="dxa"/>
            <w:noWrap w:val="0"/>
            <w:vAlign w:val="center"/>
          </w:tcPr>
          <w:p w14:paraId="15F8293E">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93" w:type="dxa"/>
            <w:noWrap w:val="0"/>
            <w:vAlign w:val="center"/>
          </w:tcPr>
          <w:p w14:paraId="4F1AFCCF">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标的物名称</w:t>
            </w:r>
          </w:p>
        </w:tc>
        <w:tc>
          <w:tcPr>
            <w:tcW w:w="1324" w:type="dxa"/>
            <w:noWrap w:val="0"/>
            <w:vAlign w:val="center"/>
          </w:tcPr>
          <w:p w14:paraId="00460BE6">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品牌、规格</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型号</w:t>
            </w:r>
          </w:p>
        </w:tc>
        <w:tc>
          <w:tcPr>
            <w:tcW w:w="2010" w:type="dxa"/>
            <w:noWrap w:val="0"/>
            <w:vAlign w:val="center"/>
          </w:tcPr>
          <w:p w14:paraId="7031B3A8">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生产制造商</w:t>
            </w:r>
          </w:p>
        </w:tc>
        <w:tc>
          <w:tcPr>
            <w:tcW w:w="617" w:type="dxa"/>
            <w:noWrap w:val="0"/>
            <w:vAlign w:val="center"/>
          </w:tcPr>
          <w:p w14:paraId="6BF98DF1">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17" w:type="dxa"/>
            <w:noWrap w:val="0"/>
            <w:vAlign w:val="center"/>
          </w:tcPr>
          <w:p w14:paraId="0235E2AC">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17" w:type="dxa"/>
            <w:noWrap w:val="0"/>
            <w:vAlign w:val="center"/>
          </w:tcPr>
          <w:p w14:paraId="1318579A">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583" w:type="dxa"/>
            <w:noWrap w:val="0"/>
            <w:vAlign w:val="center"/>
          </w:tcPr>
          <w:p w14:paraId="5D6C97A8">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交付及完成安装期 </w:t>
            </w:r>
          </w:p>
        </w:tc>
        <w:tc>
          <w:tcPr>
            <w:tcW w:w="816" w:type="dxa"/>
            <w:noWrap w:val="0"/>
            <w:vAlign w:val="center"/>
          </w:tcPr>
          <w:p w14:paraId="395B3F0A">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r>
      <w:tr w14:paraId="649CA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77" w:type="dxa"/>
            <w:noWrap w:val="0"/>
          </w:tcPr>
          <w:p w14:paraId="0E1D8312">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3" w:type="dxa"/>
            <w:noWrap w:val="0"/>
          </w:tcPr>
          <w:p w14:paraId="0E5FB16F">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4" w:type="dxa"/>
            <w:noWrap w:val="0"/>
          </w:tcPr>
          <w:p w14:paraId="4C722989">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10" w:type="dxa"/>
            <w:noWrap w:val="0"/>
          </w:tcPr>
          <w:p w14:paraId="0BB574C1">
            <w:pPr>
              <w:pStyle w:val="21"/>
              <w:jc w:val="center"/>
              <w:rPr>
                <w:rFonts w:hint="eastAsia" w:ascii="宋体" w:hAnsi="宋体" w:eastAsia="宋体" w:cs="宋体"/>
                <w:color w:val="auto"/>
                <w:sz w:val="21"/>
                <w:szCs w:val="21"/>
                <w:highlight w:val="none"/>
              </w:rPr>
            </w:pPr>
          </w:p>
        </w:tc>
        <w:tc>
          <w:tcPr>
            <w:tcW w:w="617" w:type="dxa"/>
            <w:noWrap w:val="0"/>
          </w:tcPr>
          <w:p w14:paraId="5CF299FD">
            <w:pPr>
              <w:pStyle w:val="21"/>
              <w:jc w:val="center"/>
              <w:rPr>
                <w:rFonts w:hint="eastAsia" w:ascii="宋体" w:hAnsi="宋体" w:eastAsia="宋体" w:cs="宋体"/>
                <w:color w:val="auto"/>
                <w:sz w:val="21"/>
                <w:szCs w:val="21"/>
                <w:highlight w:val="none"/>
              </w:rPr>
            </w:pPr>
          </w:p>
        </w:tc>
        <w:tc>
          <w:tcPr>
            <w:tcW w:w="617" w:type="dxa"/>
            <w:noWrap w:val="0"/>
          </w:tcPr>
          <w:p w14:paraId="73F70745">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17" w:type="dxa"/>
            <w:noWrap w:val="0"/>
          </w:tcPr>
          <w:p w14:paraId="1D28844C">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83" w:type="dxa"/>
            <w:noWrap w:val="0"/>
          </w:tcPr>
          <w:p w14:paraId="2F9D84EE">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816" w:type="dxa"/>
            <w:noWrap w:val="0"/>
          </w:tcPr>
          <w:p w14:paraId="75AF91C2">
            <w:pPr>
              <w:pStyle w:val="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6=4*5</w:t>
            </w:r>
          </w:p>
        </w:tc>
      </w:tr>
      <w:tr w14:paraId="4E313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77" w:type="dxa"/>
            <w:noWrap w:val="0"/>
          </w:tcPr>
          <w:p w14:paraId="718000F3">
            <w:pPr>
              <w:pStyle w:val="21"/>
              <w:jc w:val="center"/>
              <w:rPr>
                <w:rFonts w:hint="eastAsia" w:ascii="宋体" w:hAnsi="宋体" w:eastAsia="宋体" w:cs="宋体"/>
                <w:color w:val="auto"/>
                <w:sz w:val="21"/>
                <w:szCs w:val="21"/>
                <w:highlight w:val="none"/>
              </w:rPr>
            </w:pPr>
          </w:p>
        </w:tc>
        <w:tc>
          <w:tcPr>
            <w:tcW w:w="1493" w:type="dxa"/>
            <w:noWrap w:val="0"/>
          </w:tcPr>
          <w:p w14:paraId="6C4FDA04">
            <w:pPr>
              <w:pStyle w:val="21"/>
              <w:jc w:val="center"/>
              <w:rPr>
                <w:rFonts w:hint="eastAsia" w:ascii="宋体" w:hAnsi="宋体" w:eastAsia="宋体" w:cs="宋体"/>
                <w:color w:val="auto"/>
                <w:sz w:val="21"/>
                <w:szCs w:val="21"/>
                <w:highlight w:val="none"/>
              </w:rPr>
            </w:pPr>
          </w:p>
        </w:tc>
        <w:tc>
          <w:tcPr>
            <w:tcW w:w="1324" w:type="dxa"/>
            <w:noWrap w:val="0"/>
          </w:tcPr>
          <w:p w14:paraId="2A39F823">
            <w:pPr>
              <w:pStyle w:val="21"/>
              <w:jc w:val="center"/>
              <w:rPr>
                <w:rFonts w:hint="eastAsia" w:ascii="宋体" w:hAnsi="宋体" w:eastAsia="宋体" w:cs="宋体"/>
                <w:color w:val="auto"/>
                <w:sz w:val="21"/>
                <w:szCs w:val="21"/>
                <w:highlight w:val="none"/>
              </w:rPr>
            </w:pPr>
          </w:p>
        </w:tc>
        <w:tc>
          <w:tcPr>
            <w:tcW w:w="2010" w:type="dxa"/>
            <w:noWrap w:val="0"/>
          </w:tcPr>
          <w:p w14:paraId="46898988">
            <w:pPr>
              <w:pStyle w:val="21"/>
              <w:jc w:val="center"/>
              <w:rPr>
                <w:rFonts w:hint="eastAsia" w:ascii="宋体" w:hAnsi="宋体" w:eastAsia="宋体" w:cs="宋体"/>
                <w:color w:val="auto"/>
                <w:sz w:val="21"/>
                <w:szCs w:val="21"/>
                <w:highlight w:val="none"/>
              </w:rPr>
            </w:pPr>
          </w:p>
        </w:tc>
        <w:tc>
          <w:tcPr>
            <w:tcW w:w="617" w:type="dxa"/>
            <w:noWrap w:val="0"/>
          </w:tcPr>
          <w:p w14:paraId="00719226">
            <w:pPr>
              <w:pStyle w:val="21"/>
              <w:jc w:val="center"/>
              <w:rPr>
                <w:rFonts w:hint="eastAsia" w:ascii="宋体" w:hAnsi="宋体" w:eastAsia="宋体" w:cs="宋体"/>
                <w:color w:val="auto"/>
                <w:sz w:val="21"/>
                <w:szCs w:val="21"/>
                <w:highlight w:val="none"/>
              </w:rPr>
            </w:pPr>
          </w:p>
        </w:tc>
        <w:tc>
          <w:tcPr>
            <w:tcW w:w="617" w:type="dxa"/>
            <w:noWrap w:val="0"/>
          </w:tcPr>
          <w:p w14:paraId="632A9C31">
            <w:pPr>
              <w:pStyle w:val="21"/>
              <w:jc w:val="center"/>
              <w:rPr>
                <w:rFonts w:hint="eastAsia" w:ascii="宋体" w:hAnsi="宋体" w:eastAsia="宋体" w:cs="宋体"/>
                <w:color w:val="auto"/>
                <w:sz w:val="21"/>
                <w:szCs w:val="21"/>
                <w:highlight w:val="none"/>
              </w:rPr>
            </w:pPr>
          </w:p>
        </w:tc>
        <w:tc>
          <w:tcPr>
            <w:tcW w:w="617" w:type="dxa"/>
            <w:noWrap w:val="0"/>
          </w:tcPr>
          <w:p w14:paraId="636C69F5">
            <w:pPr>
              <w:pStyle w:val="21"/>
              <w:jc w:val="center"/>
              <w:rPr>
                <w:rFonts w:hint="eastAsia" w:ascii="宋体" w:hAnsi="宋体" w:eastAsia="宋体" w:cs="宋体"/>
                <w:color w:val="auto"/>
                <w:sz w:val="21"/>
                <w:szCs w:val="21"/>
                <w:highlight w:val="none"/>
              </w:rPr>
            </w:pPr>
          </w:p>
        </w:tc>
        <w:tc>
          <w:tcPr>
            <w:tcW w:w="1583" w:type="dxa"/>
            <w:noWrap w:val="0"/>
          </w:tcPr>
          <w:p w14:paraId="0127EA52">
            <w:pPr>
              <w:pStyle w:val="21"/>
              <w:jc w:val="center"/>
              <w:rPr>
                <w:rFonts w:hint="eastAsia" w:ascii="宋体" w:hAnsi="宋体" w:eastAsia="宋体" w:cs="宋体"/>
                <w:color w:val="auto"/>
                <w:sz w:val="21"/>
                <w:szCs w:val="21"/>
                <w:highlight w:val="none"/>
              </w:rPr>
            </w:pPr>
          </w:p>
        </w:tc>
        <w:tc>
          <w:tcPr>
            <w:tcW w:w="816" w:type="dxa"/>
            <w:noWrap w:val="0"/>
          </w:tcPr>
          <w:p w14:paraId="5D826146">
            <w:pPr>
              <w:pStyle w:val="21"/>
              <w:jc w:val="center"/>
              <w:rPr>
                <w:rFonts w:hint="eastAsia" w:ascii="宋体" w:hAnsi="宋体" w:eastAsia="宋体" w:cs="宋体"/>
                <w:color w:val="auto"/>
                <w:sz w:val="21"/>
                <w:szCs w:val="21"/>
                <w:highlight w:val="none"/>
              </w:rPr>
            </w:pPr>
          </w:p>
        </w:tc>
      </w:tr>
      <w:tr w14:paraId="11AB2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77" w:type="dxa"/>
            <w:noWrap w:val="0"/>
          </w:tcPr>
          <w:p w14:paraId="4F8787C5">
            <w:pPr>
              <w:pStyle w:val="21"/>
              <w:jc w:val="center"/>
              <w:rPr>
                <w:rFonts w:hint="eastAsia" w:ascii="宋体" w:hAnsi="宋体" w:eastAsia="宋体" w:cs="宋体"/>
                <w:color w:val="auto"/>
                <w:sz w:val="21"/>
                <w:szCs w:val="21"/>
                <w:highlight w:val="none"/>
              </w:rPr>
            </w:pPr>
          </w:p>
        </w:tc>
        <w:tc>
          <w:tcPr>
            <w:tcW w:w="1493" w:type="dxa"/>
            <w:noWrap w:val="0"/>
          </w:tcPr>
          <w:p w14:paraId="135ECB99">
            <w:pPr>
              <w:pStyle w:val="21"/>
              <w:jc w:val="center"/>
              <w:rPr>
                <w:rFonts w:hint="eastAsia" w:ascii="宋体" w:hAnsi="宋体" w:eastAsia="宋体" w:cs="宋体"/>
                <w:color w:val="auto"/>
                <w:sz w:val="21"/>
                <w:szCs w:val="21"/>
                <w:highlight w:val="none"/>
              </w:rPr>
            </w:pPr>
          </w:p>
        </w:tc>
        <w:tc>
          <w:tcPr>
            <w:tcW w:w="1324" w:type="dxa"/>
            <w:noWrap w:val="0"/>
          </w:tcPr>
          <w:p w14:paraId="1674E77B">
            <w:pPr>
              <w:pStyle w:val="21"/>
              <w:jc w:val="center"/>
              <w:rPr>
                <w:rFonts w:hint="eastAsia" w:ascii="宋体" w:hAnsi="宋体" w:eastAsia="宋体" w:cs="宋体"/>
                <w:color w:val="auto"/>
                <w:sz w:val="21"/>
                <w:szCs w:val="21"/>
                <w:highlight w:val="none"/>
              </w:rPr>
            </w:pPr>
          </w:p>
        </w:tc>
        <w:tc>
          <w:tcPr>
            <w:tcW w:w="2010" w:type="dxa"/>
            <w:noWrap w:val="0"/>
          </w:tcPr>
          <w:p w14:paraId="66406D8E">
            <w:pPr>
              <w:pStyle w:val="21"/>
              <w:jc w:val="center"/>
              <w:rPr>
                <w:rFonts w:hint="eastAsia" w:ascii="宋体" w:hAnsi="宋体" w:eastAsia="宋体" w:cs="宋体"/>
                <w:color w:val="auto"/>
                <w:sz w:val="21"/>
                <w:szCs w:val="21"/>
                <w:highlight w:val="none"/>
              </w:rPr>
            </w:pPr>
          </w:p>
        </w:tc>
        <w:tc>
          <w:tcPr>
            <w:tcW w:w="617" w:type="dxa"/>
            <w:noWrap w:val="0"/>
          </w:tcPr>
          <w:p w14:paraId="06347FEE">
            <w:pPr>
              <w:pStyle w:val="21"/>
              <w:jc w:val="center"/>
              <w:rPr>
                <w:rFonts w:hint="eastAsia" w:ascii="宋体" w:hAnsi="宋体" w:eastAsia="宋体" w:cs="宋体"/>
                <w:color w:val="auto"/>
                <w:sz w:val="21"/>
                <w:szCs w:val="21"/>
                <w:highlight w:val="none"/>
              </w:rPr>
            </w:pPr>
          </w:p>
        </w:tc>
        <w:tc>
          <w:tcPr>
            <w:tcW w:w="617" w:type="dxa"/>
            <w:noWrap w:val="0"/>
          </w:tcPr>
          <w:p w14:paraId="075C9F0A">
            <w:pPr>
              <w:pStyle w:val="21"/>
              <w:jc w:val="center"/>
              <w:rPr>
                <w:rFonts w:hint="eastAsia" w:ascii="宋体" w:hAnsi="宋体" w:eastAsia="宋体" w:cs="宋体"/>
                <w:color w:val="auto"/>
                <w:sz w:val="21"/>
                <w:szCs w:val="21"/>
                <w:highlight w:val="none"/>
              </w:rPr>
            </w:pPr>
          </w:p>
        </w:tc>
        <w:tc>
          <w:tcPr>
            <w:tcW w:w="617" w:type="dxa"/>
            <w:noWrap w:val="0"/>
          </w:tcPr>
          <w:p w14:paraId="13C8DCBD">
            <w:pPr>
              <w:pStyle w:val="21"/>
              <w:jc w:val="center"/>
              <w:rPr>
                <w:rFonts w:hint="eastAsia" w:ascii="宋体" w:hAnsi="宋体" w:eastAsia="宋体" w:cs="宋体"/>
                <w:color w:val="auto"/>
                <w:sz w:val="21"/>
                <w:szCs w:val="21"/>
                <w:highlight w:val="none"/>
              </w:rPr>
            </w:pPr>
          </w:p>
        </w:tc>
        <w:tc>
          <w:tcPr>
            <w:tcW w:w="1583" w:type="dxa"/>
            <w:noWrap w:val="0"/>
          </w:tcPr>
          <w:p w14:paraId="0D2675E0">
            <w:pPr>
              <w:pStyle w:val="21"/>
              <w:jc w:val="center"/>
              <w:rPr>
                <w:rFonts w:hint="eastAsia" w:ascii="宋体" w:hAnsi="宋体" w:eastAsia="宋体" w:cs="宋体"/>
                <w:color w:val="auto"/>
                <w:sz w:val="21"/>
                <w:szCs w:val="21"/>
                <w:highlight w:val="none"/>
              </w:rPr>
            </w:pPr>
          </w:p>
        </w:tc>
        <w:tc>
          <w:tcPr>
            <w:tcW w:w="816" w:type="dxa"/>
            <w:noWrap w:val="0"/>
          </w:tcPr>
          <w:p w14:paraId="62F0B426">
            <w:pPr>
              <w:pStyle w:val="21"/>
              <w:jc w:val="center"/>
              <w:rPr>
                <w:rFonts w:hint="eastAsia" w:ascii="宋体" w:hAnsi="宋体" w:eastAsia="宋体" w:cs="宋体"/>
                <w:color w:val="auto"/>
                <w:sz w:val="21"/>
                <w:szCs w:val="21"/>
                <w:highlight w:val="none"/>
              </w:rPr>
            </w:pPr>
          </w:p>
        </w:tc>
      </w:tr>
      <w:tr w14:paraId="53F2D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77" w:type="dxa"/>
            <w:noWrap w:val="0"/>
          </w:tcPr>
          <w:p w14:paraId="4DB3FF8E">
            <w:pPr>
              <w:pStyle w:val="21"/>
              <w:jc w:val="center"/>
              <w:rPr>
                <w:rFonts w:hint="eastAsia" w:ascii="宋体" w:hAnsi="宋体" w:eastAsia="宋体" w:cs="宋体"/>
                <w:color w:val="auto"/>
                <w:sz w:val="21"/>
                <w:szCs w:val="21"/>
                <w:highlight w:val="none"/>
              </w:rPr>
            </w:pPr>
          </w:p>
        </w:tc>
        <w:tc>
          <w:tcPr>
            <w:tcW w:w="1493" w:type="dxa"/>
            <w:noWrap w:val="0"/>
          </w:tcPr>
          <w:p w14:paraId="7909A111">
            <w:pPr>
              <w:pStyle w:val="21"/>
              <w:jc w:val="center"/>
              <w:rPr>
                <w:rFonts w:hint="eastAsia" w:ascii="宋体" w:hAnsi="宋体" w:eastAsia="宋体" w:cs="宋体"/>
                <w:color w:val="auto"/>
                <w:sz w:val="21"/>
                <w:szCs w:val="21"/>
                <w:highlight w:val="none"/>
              </w:rPr>
            </w:pPr>
          </w:p>
        </w:tc>
        <w:tc>
          <w:tcPr>
            <w:tcW w:w="1324" w:type="dxa"/>
            <w:noWrap w:val="0"/>
          </w:tcPr>
          <w:p w14:paraId="243E6048">
            <w:pPr>
              <w:pStyle w:val="21"/>
              <w:jc w:val="center"/>
              <w:rPr>
                <w:rFonts w:hint="eastAsia" w:ascii="宋体" w:hAnsi="宋体" w:eastAsia="宋体" w:cs="宋体"/>
                <w:color w:val="auto"/>
                <w:sz w:val="21"/>
                <w:szCs w:val="21"/>
                <w:highlight w:val="none"/>
              </w:rPr>
            </w:pPr>
          </w:p>
        </w:tc>
        <w:tc>
          <w:tcPr>
            <w:tcW w:w="2010" w:type="dxa"/>
            <w:noWrap w:val="0"/>
          </w:tcPr>
          <w:p w14:paraId="68756053">
            <w:pPr>
              <w:pStyle w:val="21"/>
              <w:jc w:val="center"/>
              <w:rPr>
                <w:rFonts w:hint="eastAsia" w:ascii="宋体" w:hAnsi="宋体" w:eastAsia="宋体" w:cs="宋体"/>
                <w:color w:val="auto"/>
                <w:sz w:val="21"/>
                <w:szCs w:val="21"/>
                <w:highlight w:val="none"/>
              </w:rPr>
            </w:pPr>
          </w:p>
        </w:tc>
        <w:tc>
          <w:tcPr>
            <w:tcW w:w="617" w:type="dxa"/>
            <w:noWrap w:val="0"/>
          </w:tcPr>
          <w:p w14:paraId="4F599F74">
            <w:pPr>
              <w:pStyle w:val="21"/>
              <w:jc w:val="center"/>
              <w:rPr>
                <w:rFonts w:hint="eastAsia" w:ascii="宋体" w:hAnsi="宋体" w:eastAsia="宋体" w:cs="宋体"/>
                <w:color w:val="auto"/>
                <w:sz w:val="21"/>
                <w:szCs w:val="21"/>
                <w:highlight w:val="none"/>
              </w:rPr>
            </w:pPr>
          </w:p>
        </w:tc>
        <w:tc>
          <w:tcPr>
            <w:tcW w:w="617" w:type="dxa"/>
            <w:noWrap w:val="0"/>
          </w:tcPr>
          <w:p w14:paraId="655FCBD9">
            <w:pPr>
              <w:pStyle w:val="21"/>
              <w:jc w:val="center"/>
              <w:rPr>
                <w:rFonts w:hint="eastAsia" w:ascii="宋体" w:hAnsi="宋体" w:eastAsia="宋体" w:cs="宋体"/>
                <w:color w:val="auto"/>
                <w:sz w:val="21"/>
                <w:szCs w:val="21"/>
                <w:highlight w:val="none"/>
              </w:rPr>
            </w:pPr>
          </w:p>
        </w:tc>
        <w:tc>
          <w:tcPr>
            <w:tcW w:w="617" w:type="dxa"/>
            <w:noWrap w:val="0"/>
          </w:tcPr>
          <w:p w14:paraId="7D0D616B">
            <w:pPr>
              <w:pStyle w:val="21"/>
              <w:jc w:val="center"/>
              <w:rPr>
                <w:rFonts w:hint="eastAsia" w:ascii="宋体" w:hAnsi="宋体" w:eastAsia="宋体" w:cs="宋体"/>
                <w:color w:val="auto"/>
                <w:sz w:val="21"/>
                <w:szCs w:val="21"/>
                <w:highlight w:val="none"/>
              </w:rPr>
            </w:pPr>
          </w:p>
        </w:tc>
        <w:tc>
          <w:tcPr>
            <w:tcW w:w="1583" w:type="dxa"/>
            <w:noWrap w:val="0"/>
          </w:tcPr>
          <w:p w14:paraId="0787B870">
            <w:pPr>
              <w:pStyle w:val="21"/>
              <w:jc w:val="center"/>
              <w:rPr>
                <w:rFonts w:hint="eastAsia" w:ascii="宋体" w:hAnsi="宋体" w:eastAsia="宋体" w:cs="宋体"/>
                <w:color w:val="auto"/>
                <w:sz w:val="21"/>
                <w:szCs w:val="21"/>
                <w:highlight w:val="none"/>
              </w:rPr>
            </w:pPr>
          </w:p>
        </w:tc>
        <w:tc>
          <w:tcPr>
            <w:tcW w:w="816" w:type="dxa"/>
            <w:noWrap w:val="0"/>
          </w:tcPr>
          <w:p w14:paraId="4833762C">
            <w:pPr>
              <w:pStyle w:val="21"/>
              <w:jc w:val="center"/>
              <w:rPr>
                <w:rFonts w:hint="eastAsia" w:ascii="宋体" w:hAnsi="宋体" w:eastAsia="宋体" w:cs="宋体"/>
                <w:color w:val="auto"/>
                <w:sz w:val="21"/>
                <w:szCs w:val="21"/>
                <w:highlight w:val="none"/>
              </w:rPr>
            </w:pPr>
          </w:p>
        </w:tc>
      </w:tr>
      <w:tr w14:paraId="68B2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77" w:type="dxa"/>
            <w:noWrap w:val="0"/>
          </w:tcPr>
          <w:p w14:paraId="12EC6312">
            <w:pPr>
              <w:pStyle w:val="21"/>
              <w:jc w:val="center"/>
              <w:rPr>
                <w:rFonts w:hint="eastAsia" w:ascii="宋体" w:hAnsi="宋体" w:eastAsia="宋体" w:cs="宋体"/>
                <w:color w:val="auto"/>
                <w:sz w:val="21"/>
                <w:szCs w:val="21"/>
                <w:highlight w:val="none"/>
              </w:rPr>
            </w:pPr>
          </w:p>
        </w:tc>
        <w:tc>
          <w:tcPr>
            <w:tcW w:w="1493" w:type="dxa"/>
            <w:noWrap w:val="0"/>
          </w:tcPr>
          <w:p w14:paraId="4DC40FAE">
            <w:pPr>
              <w:pStyle w:val="21"/>
              <w:jc w:val="center"/>
              <w:rPr>
                <w:rFonts w:hint="eastAsia" w:ascii="宋体" w:hAnsi="宋体" w:eastAsia="宋体" w:cs="宋体"/>
                <w:color w:val="auto"/>
                <w:sz w:val="21"/>
                <w:szCs w:val="21"/>
                <w:highlight w:val="none"/>
              </w:rPr>
            </w:pPr>
          </w:p>
        </w:tc>
        <w:tc>
          <w:tcPr>
            <w:tcW w:w="1324" w:type="dxa"/>
            <w:noWrap w:val="0"/>
          </w:tcPr>
          <w:p w14:paraId="16A5762A">
            <w:pPr>
              <w:pStyle w:val="21"/>
              <w:jc w:val="center"/>
              <w:rPr>
                <w:rFonts w:hint="eastAsia" w:ascii="宋体" w:hAnsi="宋体" w:eastAsia="宋体" w:cs="宋体"/>
                <w:color w:val="auto"/>
                <w:sz w:val="21"/>
                <w:szCs w:val="21"/>
                <w:highlight w:val="none"/>
              </w:rPr>
            </w:pPr>
          </w:p>
        </w:tc>
        <w:tc>
          <w:tcPr>
            <w:tcW w:w="2010" w:type="dxa"/>
            <w:noWrap w:val="0"/>
          </w:tcPr>
          <w:p w14:paraId="57D4A435">
            <w:pPr>
              <w:pStyle w:val="21"/>
              <w:jc w:val="center"/>
              <w:rPr>
                <w:rFonts w:hint="eastAsia" w:ascii="宋体" w:hAnsi="宋体" w:eastAsia="宋体" w:cs="宋体"/>
                <w:color w:val="auto"/>
                <w:sz w:val="21"/>
                <w:szCs w:val="21"/>
                <w:highlight w:val="none"/>
              </w:rPr>
            </w:pPr>
          </w:p>
        </w:tc>
        <w:tc>
          <w:tcPr>
            <w:tcW w:w="617" w:type="dxa"/>
            <w:noWrap w:val="0"/>
          </w:tcPr>
          <w:p w14:paraId="5C3FE1AF">
            <w:pPr>
              <w:pStyle w:val="21"/>
              <w:jc w:val="center"/>
              <w:rPr>
                <w:rFonts w:hint="eastAsia" w:ascii="宋体" w:hAnsi="宋体" w:eastAsia="宋体" w:cs="宋体"/>
                <w:color w:val="auto"/>
                <w:sz w:val="21"/>
                <w:szCs w:val="21"/>
                <w:highlight w:val="none"/>
              </w:rPr>
            </w:pPr>
          </w:p>
        </w:tc>
        <w:tc>
          <w:tcPr>
            <w:tcW w:w="617" w:type="dxa"/>
            <w:noWrap w:val="0"/>
          </w:tcPr>
          <w:p w14:paraId="10C228E7">
            <w:pPr>
              <w:pStyle w:val="21"/>
              <w:jc w:val="center"/>
              <w:rPr>
                <w:rFonts w:hint="eastAsia" w:ascii="宋体" w:hAnsi="宋体" w:eastAsia="宋体" w:cs="宋体"/>
                <w:color w:val="auto"/>
                <w:sz w:val="21"/>
                <w:szCs w:val="21"/>
                <w:highlight w:val="none"/>
              </w:rPr>
            </w:pPr>
          </w:p>
        </w:tc>
        <w:tc>
          <w:tcPr>
            <w:tcW w:w="617" w:type="dxa"/>
            <w:noWrap w:val="0"/>
          </w:tcPr>
          <w:p w14:paraId="5658CA1A">
            <w:pPr>
              <w:pStyle w:val="21"/>
              <w:jc w:val="center"/>
              <w:rPr>
                <w:rFonts w:hint="eastAsia" w:ascii="宋体" w:hAnsi="宋体" w:eastAsia="宋体" w:cs="宋体"/>
                <w:color w:val="auto"/>
                <w:sz w:val="21"/>
                <w:szCs w:val="21"/>
                <w:highlight w:val="none"/>
              </w:rPr>
            </w:pPr>
          </w:p>
        </w:tc>
        <w:tc>
          <w:tcPr>
            <w:tcW w:w="1583" w:type="dxa"/>
            <w:noWrap w:val="0"/>
          </w:tcPr>
          <w:p w14:paraId="238B16D1">
            <w:pPr>
              <w:pStyle w:val="21"/>
              <w:jc w:val="center"/>
              <w:rPr>
                <w:rFonts w:hint="eastAsia" w:ascii="宋体" w:hAnsi="宋体" w:eastAsia="宋体" w:cs="宋体"/>
                <w:color w:val="auto"/>
                <w:sz w:val="21"/>
                <w:szCs w:val="21"/>
                <w:highlight w:val="none"/>
              </w:rPr>
            </w:pPr>
          </w:p>
        </w:tc>
        <w:tc>
          <w:tcPr>
            <w:tcW w:w="816" w:type="dxa"/>
            <w:noWrap w:val="0"/>
          </w:tcPr>
          <w:p w14:paraId="37FB24EA">
            <w:pPr>
              <w:pStyle w:val="21"/>
              <w:jc w:val="center"/>
              <w:rPr>
                <w:rFonts w:hint="eastAsia" w:ascii="宋体" w:hAnsi="宋体" w:eastAsia="宋体" w:cs="宋体"/>
                <w:color w:val="auto"/>
                <w:sz w:val="21"/>
                <w:szCs w:val="21"/>
                <w:highlight w:val="none"/>
              </w:rPr>
            </w:pPr>
          </w:p>
        </w:tc>
      </w:tr>
      <w:tr w14:paraId="5963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77" w:type="dxa"/>
            <w:noWrap w:val="0"/>
          </w:tcPr>
          <w:p w14:paraId="0EA43831">
            <w:pPr>
              <w:pStyle w:val="21"/>
              <w:jc w:val="center"/>
              <w:rPr>
                <w:rFonts w:hint="eastAsia" w:ascii="宋体" w:hAnsi="宋体" w:eastAsia="宋体" w:cs="宋体"/>
                <w:color w:val="auto"/>
                <w:sz w:val="21"/>
                <w:szCs w:val="21"/>
                <w:highlight w:val="none"/>
              </w:rPr>
            </w:pPr>
          </w:p>
        </w:tc>
        <w:tc>
          <w:tcPr>
            <w:tcW w:w="1493" w:type="dxa"/>
            <w:noWrap w:val="0"/>
          </w:tcPr>
          <w:p w14:paraId="49BA4BAC">
            <w:pPr>
              <w:pStyle w:val="21"/>
              <w:jc w:val="center"/>
              <w:rPr>
                <w:rFonts w:hint="eastAsia" w:ascii="宋体" w:hAnsi="宋体" w:eastAsia="宋体" w:cs="宋体"/>
                <w:color w:val="auto"/>
                <w:sz w:val="21"/>
                <w:szCs w:val="21"/>
                <w:highlight w:val="none"/>
              </w:rPr>
            </w:pPr>
          </w:p>
        </w:tc>
        <w:tc>
          <w:tcPr>
            <w:tcW w:w="1324" w:type="dxa"/>
            <w:noWrap w:val="0"/>
          </w:tcPr>
          <w:p w14:paraId="3F92BD97">
            <w:pPr>
              <w:pStyle w:val="21"/>
              <w:jc w:val="center"/>
              <w:rPr>
                <w:rFonts w:hint="eastAsia" w:ascii="宋体" w:hAnsi="宋体" w:eastAsia="宋体" w:cs="宋体"/>
                <w:color w:val="auto"/>
                <w:sz w:val="21"/>
                <w:szCs w:val="21"/>
                <w:highlight w:val="none"/>
              </w:rPr>
            </w:pPr>
          </w:p>
        </w:tc>
        <w:tc>
          <w:tcPr>
            <w:tcW w:w="2010" w:type="dxa"/>
            <w:noWrap w:val="0"/>
          </w:tcPr>
          <w:p w14:paraId="42A72861">
            <w:pPr>
              <w:pStyle w:val="21"/>
              <w:jc w:val="center"/>
              <w:rPr>
                <w:rFonts w:hint="eastAsia" w:ascii="宋体" w:hAnsi="宋体" w:eastAsia="宋体" w:cs="宋体"/>
                <w:color w:val="auto"/>
                <w:sz w:val="21"/>
                <w:szCs w:val="21"/>
                <w:highlight w:val="none"/>
              </w:rPr>
            </w:pPr>
          </w:p>
        </w:tc>
        <w:tc>
          <w:tcPr>
            <w:tcW w:w="617" w:type="dxa"/>
            <w:noWrap w:val="0"/>
          </w:tcPr>
          <w:p w14:paraId="2EEB6764">
            <w:pPr>
              <w:pStyle w:val="21"/>
              <w:jc w:val="center"/>
              <w:rPr>
                <w:rFonts w:hint="eastAsia" w:ascii="宋体" w:hAnsi="宋体" w:eastAsia="宋体" w:cs="宋体"/>
                <w:color w:val="auto"/>
                <w:sz w:val="21"/>
                <w:szCs w:val="21"/>
                <w:highlight w:val="none"/>
              </w:rPr>
            </w:pPr>
          </w:p>
        </w:tc>
        <w:tc>
          <w:tcPr>
            <w:tcW w:w="617" w:type="dxa"/>
            <w:noWrap w:val="0"/>
          </w:tcPr>
          <w:p w14:paraId="5D413979">
            <w:pPr>
              <w:pStyle w:val="21"/>
              <w:jc w:val="center"/>
              <w:rPr>
                <w:rFonts w:hint="eastAsia" w:ascii="宋体" w:hAnsi="宋体" w:eastAsia="宋体" w:cs="宋体"/>
                <w:color w:val="auto"/>
                <w:sz w:val="21"/>
                <w:szCs w:val="21"/>
                <w:highlight w:val="none"/>
              </w:rPr>
            </w:pPr>
          </w:p>
        </w:tc>
        <w:tc>
          <w:tcPr>
            <w:tcW w:w="617" w:type="dxa"/>
            <w:noWrap w:val="0"/>
          </w:tcPr>
          <w:p w14:paraId="28447D02">
            <w:pPr>
              <w:pStyle w:val="21"/>
              <w:jc w:val="center"/>
              <w:rPr>
                <w:rFonts w:hint="eastAsia" w:ascii="宋体" w:hAnsi="宋体" w:eastAsia="宋体" w:cs="宋体"/>
                <w:color w:val="auto"/>
                <w:sz w:val="21"/>
                <w:szCs w:val="21"/>
                <w:highlight w:val="none"/>
              </w:rPr>
            </w:pPr>
          </w:p>
        </w:tc>
        <w:tc>
          <w:tcPr>
            <w:tcW w:w="1583" w:type="dxa"/>
            <w:noWrap w:val="0"/>
          </w:tcPr>
          <w:p w14:paraId="595732CC">
            <w:pPr>
              <w:pStyle w:val="21"/>
              <w:jc w:val="center"/>
              <w:rPr>
                <w:rFonts w:hint="eastAsia" w:ascii="宋体" w:hAnsi="宋体" w:eastAsia="宋体" w:cs="宋体"/>
                <w:color w:val="auto"/>
                <w:sz w:val="21"/>
                <w:szCs w:val="21"/>
                <w:highlight w:val="none"/>
              </w:rPr>
            </w:pPr>
          </w:p>
        </w:tc>
        <w:tc>
          <w:tcPr>
            <w:tcW w:w="816" w:type="dxa"/>
            <w:noWrap w:val="0"/>
          </w:tcPr>
          <w:p w14:paraId="67040AA4">
            <w:pPr>
              <w:pStyle w:val="21"/>
              <w:jc w:val="center"/>
              <w:rPr>
                <w:rFonts w:hint="eastAsia" w:ascii="宋体" w:hAnsi="宋体" w:eastAsia="宋体" w:cs="宋体"/>
                <w:color w:val="auto"/>
                <w:sz w:val="21"/>
                <w:szCs w:val="21"/>
                <w:highlight w:val="none"/>
              </w:rPr>
            </w:pPr>
          </w:p>
        </w:tc>
      </w:tr>
      <w:tr w14:paraId="0C1F2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77" w:type="dxa"/>
            <w:noWrap w:val="0"/>
          </w:tcPr>
          <w:p w14:paraId="54628793">
            <w:pPr>
              <w:pStyle w:val="21"/>
              <w:jc w:val="center"/>
              <w:rPr>
                <w:rFonts w:hint="eastAsia" w:ascii="宋体" w:hAnsi="宋体" w:eastAsia="宋体" w:cs="宋体"/>
                <w:color w:val="auto"/>
                <w:sz w:val="21"/>
                <w:szCs w:val="21"/>
                <w:highlight w:val="none"/>
              </w:rPr>
            </w:pPr>
          </w:p>
        </w:tc>
        <w:tc>
          <w:tcPr>
            <w:tcW w:w="1493" w:type="dxa"/>
            <w:noWrap w:val="0"/>
          </w:tcPr>
          <w:p w14:paraId="51A063D7">
            <w:pPr>
              <w:pStyle w:val="21"/>
              <w:jc w:val="center"/>
              <w:rPr>
                <w:rFonts w:hint="eastAsia" w:ascii="宋体" w:hAnsi="宋体" w:eastAsia="宋体" w:cs="宋体"/>
                <w:color w:val="auto"/>
                <w:sz w:val="21"/>
                <w:szCs w:val="21"/>
                <w:highlight w:val="none"/>
              </w:rPr>
            </w:pPr>
          </w:p>
        </w:tc>
        <w:tc>
          <w:tcPr>
            <w:tcW w:w="1324" w:type="dxa"/>
            <w:noWrap w:val="0"/>
          </w:tcPr>
          <w:p w14:paraId="6A3317A0">
            <w:pPr>
              <w:pStyle w:val="21"/>
              <w:jc w:val="center"/>
              <w:rPr>
                <w:rFonts w:hint="eastAsia" w:ascii="宋体" w:hAnsi="宋体" w:eastAsia="宋体" w:cs="宋体"/>
                <w:color w:val="auto"/>
                <w:sz w:val="21"/>
                <w:szCs w:val="21"/>
                <w:highlight w:val="none"/>
              </w:rPr>
            </w:pPr>
          </w:p>
        </w:tc>
        <w:tc>
          <w:tcPr>
            <w:tcW w:w="2010" w:type="dxa"/>
            <w:noWrap w:val="0"/>
          </w:tcPr>
          <w:p w14:paraId="6054EF4A">
            <w:pPr>
              <w:pStyle w:val="21"/>
              <w:jc w:val="center"/>
              <w:rPr>
                <w:rFonts w:hint="eastAsia" w:ascii="宋体" w:hAnsi="宋体" w:eastAsia="宋体" w:cs="宋体"/>
                <w:color w:val="auto"/>
                <w:sz w:val="21"/>
                <w:szCs w:val="21"/>
                <w:highlight w:val="none"/>
              </w:rPr>
            </w:pPr>
          </w:p>
        </w:tc>
        <w:tc>
          <w:tcPr>
            <w:tcW w:w="617" w:type="dxa"/>
            <w:noWrap w:val="0"/>
          </w:tcPr>
          <w:p w14:paraId="2364DAD4">
            <w:pPr>
              <w:pStyle w:val="21"/>
              <w:jc w:val="center"/>
              <w:rPr>
                <w:rFonts w:hint="eastAsia" w:ascii="宋体" w:hAnsi="宋体" w:eastAsia="宋体" w:cs="宋体"/>
                <w:color w:val="auto"/>
                <w:sz w:val="21"/>
                <w:szCs w:val="21"/>
                <w:highlight w:val="none"/>
              </w:rPr>
            </w:pPr>
          </w:p>
        </w:tc>
        <w:tc>
          <w:tcPr>
            <w:tcW w:w="617" w:type="dxa"/>
            <w:noWrap w:val="0"/>
          </w:tcPr>
          <w:p w14:paraId="1E08C2F6">
            <w:pPr>
              <w:pStyle w:val="21"/>
              <w:jc w:val="center"/>
              <w:rPr>
                <w:rFonts w:hint="eastAsia" w:ascii="宋体" w:hAnsi="宋体" w:eastAsia="宋体" w:cs="宋体"/>
                <w:color w:val="auto"/>
                <w:sz w:val="21"/>
                <w:szCs w:val="21"/>
                <w:highlight w:val="none"/>
              </w:rPr>
            </w:pPr>
          </w:p>
        </w:tc>
        <w:tc>
          <w:tcPr>
            <w:tcW w:w="617" w:type="dxa"/>
            <w:noWrap w:val="0"/>
          </w:tcPr>
          <w:p w14:paraId="035E1993">
            <w:pPr>
              <w:pStyle w:val="21"/>
              <w:jc w:val="center"/>
              <w:rPr>
                <w:rFonts w:hint="eastAsia" w:ascii="宋体" w:hAnsi="宋体" w:eastAsia="宋体" w:cs="宋体"/>
                <w:color w:val="auto"/>
                <w:sz w:val="21"/>
                <w:szCs w:val="21"/>
                <w:highlight w:val="none"/>
              </w:rPr>
            </w:pPr>
          </w:p>
        </w:tc>
        <w:tc>
          <w:tcPr>
            <w:tcW w:w="1583" w:type="dxa"/>
            <w:noWrap w:val="0"/>
          </w:tcPr>
          <w:p w14:paraId="2F8C85E0">
            <w:pPr>
              <w:pStyle w:val="21"/>
              <w:jc w:val="center"/>
              <w:rPr>
                <w:rFonts w:hint="eastAsia" w:ascii="宋体" w:hAnsi="宋体" w:eastAsia="宋体" w:cs="宋体"/>
                <w:color w:val="auto"/>
                <w:sz w:val="21"/>
                <w:szCs w:val="21"/>
                <w:highlight w:val="none"/>
              </w:rPr>
            </w:pPr>
          </w:p>
        </w:tc>
        <w:tc>
          <w:tcPr>
            <w:tcW w:w="816" w:type="dxa"/>
            <w:noWrap w:val="0"/>
          </w:tcPr>
          <w:p w14:paraId="7A0CEFA6">
            <w:pPr>
              <w:pStyle w:val="21"/>
              <w:jc w:val="center"/>
              <w:rPr>
                <w:rFonts w:hint="eastAsia" w:ascii="宋体" w:hAnsi="宋体" w:eastAsia="宋体" w:cs="宋体"/>
                <w:color w:val="auto"/>
                <w:sz w:val="21"/>
                <w:szCs w:val="21"/>
                <w:highlight w:val="none"/>
              </w:rPr>
            </w:pPr>
          </w:p>
        </w:tc>
      </w:tr>
      <w:tr w14:paraId="0CCD7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77" w:type="dxa"/>
            <w:noWrap w:val="0"/>
          </w:tcPr>
          <w:p w14:paraId="7E07FAC9">
            <w:pPr>
              <w:pStyle w:val="2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493" w:type="dxa"/>
            <w:noWrap w:val="0"/>
            <w:vAlign w:val="center"/>
          </w:tcPr>
          <w:p w14:paraId="12FF20EA">
            <w:pPr>
              <w:pStyle w:val="21"/>
              <w:rPr>
                <w:rFonts w:hint="eastAsia" w:ascii="宋体" w:hAnsi="宋体" w:eastAsia="宋体" w:cs="宋体"/>
                <w:color w:val="auto"/>
                <w:sz w:val="21"/>
                <w:szCs w:val="21"/>
                <w:highlight w:val="none"/>
              </w:rPr>
            </w:pPr>
          </w:p>
        </w:tc>
        <w:tc>
          <w:tcPr>
            <w:tcW w:w="7584" w:type="dxa"/>
            <w:gridSpan w:val="7"/>
            <w:noWrap w:val="0"/>
            <w:vAlign w:val="center"/>
          </w:tcPr>
          <w:p w14:paraId="1C749987">
            <w:pPr>
              <w:pStyle w:val="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金额（小写）</w:t>
            </w:r>
            <w:r>
              <w:rPr>
                <w:rFonts w:hint="eastAsia" w:ascii="宋体" w:hAnsi="宋体" w:eastAsia="宋体" w:cs="宋体"/>
                <w:color w:val="auto"/>
                <w:sz w:val="21"/>
                <w:szCs w:val="21"/>
                <w:highlight w:val="none"/>
                <w:u w:val="single"/>
              </w:rPr>
              <w:t xml:space="preserve">                              </w:t>
            </w:r>
          </w:p>
        </w:tc>
      </w:tr>
    </w:tbl>
    <w:p w14:paraId="42E1B338">
      <w:pPr>
        <w:pStyle w:val="5"/>
        <w:kinsoku/>
        <w:wordWrap/>
        <w:overflowPunct/>
        <w:topLinePunct w:val="0"/>
        <w:autoSpaceDE/>
        <w:autoSpaceDN/>
        <w:bidi w:val="0"/>
        <w:spacing w:line="360" w:lineRule="auto"/>
        <w:ind w:firstLine="0"/>
        <w:jc w:val="both"/>
        <w:textAlignment w:val="auto"/>
        <w:rPr>
          <w:rFonts w:hint="eastAsia" w:ascii="宋体" w:hAnsi="宋体" w:eastAsia="宋体" w:cs="宋体"/>
          <w:color w:val="auto"/>
          <w:spacing w:val="0"/>
          <w:sz w:val="21"/>
          <w:highlight w:val="none"/>
        </w:rPr>
      </w:pPr>
    </w:p>
    <w:p w14:paraId="4BEEC792">
      <w:pPr>
        <w:pStyle w:val="5"/>
        <w:kinsoku/>
        <w:wordWrap/>
        <w:overflowPunct/>
        <w:topLinePunct w:val="0"/>
        <w:autoSpaceDE/>
        <w:autoSpaceDN/>
        <w:bidi w:val="0"/>
        <w:spacing w:line="360" w:lineRule="auto"/>
        <w:ind w:firstLine="0"/>
        <w:jc w:val="both"/>
        <w:textAlignment w:val="auto"/>
        <w:rPr>
          <w:rFonts w:hint="eastAsia" w:ascii="宋体" w:hAnsi="宋体" w:eastAsia="宋体" w:cs="宋体"/>
          <w:color w:val="auto"/>
          <w:spacing w:val="0"/>
          <w:sz w:val="21"/>
          <w:highlight w:val="none"/>
        </w:rPr>
      </w:pPr>
    </w:p>
    <w:p w14:paraId="49BB8819">
      <w:pPr>
        <w:pStyle w:val="5"/>
        <w:kinsoku/>
        <w:wordWrap/>
        <w:overflowPunct/>
        <w:topLinePunct w:val="0"/>
        <w:autoSpaceDE/>
        <w:autoSpaceDN/>
        <w:bidi w:val="0"/>
        <w:spacing w:line="360" w:lineRule="auto"/>
        <w:ind w:firstLine="0"/>
        <w:jc w:val="both"/>
        <w:textAlignment w:val="auto"/>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谈判响应单位：（</w:t>
      </w:r>
      <w:r>
        <w:rPr>
          <w:rFonts w:hint="eastAsia" w:ascii="宋体" w:hAnsi="宋体" w:eastAsia="宋体" w:cs="宋体"/>
          <w:color w:val="auto"/>
          <w:spacing w:val="0"/>
          <w:sz w:val="21"/>
          <w:highlight w:val="none"/>
          <w:lang w:val="en-US" w:eastAsia="zh-CN"/>
        </w:rPr>
        <w:t>签</w:t>
      </w:r>
      <w:r>
        <w:rPr>
          <w:rFonts w:hint="eastAsia" w:ascii="宋体" w:hAnsi="宋体" w:eastAsia="宋体" w:cs="宋体"/>
          <w:color w:val="auto"/>
          <w:spacing w:val="0"/>
          <w:sz w:val="21"/>
          <w:highlight w:val="none"/>
        </w:rPr>
        <w:t>章）</w:t>
      </w:r>
    </w:p>
    <w:p w14:paraId="14500A7E">
      <w:pPr>
        <w:pStyle w:val="5"/>
        <w:kinsoku/>
        <w:wordWrap/>
        <w:overflowPunct/>
        <w:topLinePunct w:val="0"/>
        <w:autoSpaceDE/>
        <w:autoSpaceDN/>
        <w:bidi w:val="0"/>
        <w:spacing w:line="360" w:lineRule="auto"/>
        <w:ind w:firstLine="0"/>
        <w:jc w:val="both"/>
        <w:textAlignment w:val="auto"/>
        <w:rPr>
          <w:rFonts w:hint="eastAsia" w:ascii="宋体" w:hAnsi="宋体" w:eastAsia="宋体" w:cs="宋体"/>
          <w:color w:val="auto"/>
          <w:spacing w:val="0"/>
          <w:highlight w:val="none"/>
        </w:rPr>
        <w:sectPr>
          <w:pgSz w:w="11906" w:h="16838"/>
          <w:pgMar w:top="1440" w:right="1417" w:bottom="1440" w:left="1417" w:header="964" w:footer="964" w:gutter="0"/>
          <w:cols w:space="720" w:num="1"/>
          <w:docGrid w:linePitch="360" w:charSpace="0"/>
        </w:sectPr>
      </w:pPr>
      <w:r>
        <w:rPr>
          <w:rFonts w:hint="eastAsia" w:ascii="宋体" w:hAnsi="宋体" w:eastAsia="宋体" w:cs="宋体"/>
          <w:color w:val="auto"/>
          <w:spacing w:val="0"/>
          <w:sz w:val="21"/>
          <w:szCs w:val="21"/>
          <w:highlight w:val="none"/>
        </w:rPr>
        <w:t>日期：        年    月    日</w:t>
      </w:r>
    </w:p>
    <w:p w14:paraId="41A36F4F">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附件</w:t>
      </w:r>
      <w:r>
        <w:rPr>
          <w:rFonts w:hint="eastAsia" w:ascii="宋体" w:hAnsi="宋体" w:eastAsia="宋体" w:cs="宋体"/>
          <w:b/>
          <w:color w:val="auto"/>
          <w:spacing w:val="0"/>
          <w:szCs w:val="21"/>
          <w:highlight w:val="none"/>
          <w:lang w:val="en-US" w:eastAsia="zh-CN"/>
        </w:rPr>
        <w:t>3</w:t>
      </w:r>
      <w:r>
        <w:rPr>
          <w:rFonts w:hint="eastAsia" w:ascii="宋体" w:hAnsi="宋体" w:eastAsia="宋体" w:cs="宋体"/>
          <w:b/>
          <w:color w:val="auto"/>
          <w:spacing w:val="0"/>
          <w:szCs w:val="21"/>
          <w:highlight w:val="none"/>
        </w:rPr>
        <w:t>：谈判响应函</w:t>
      </w:r>
    </w:p>
    <w:p w14:paraId="175EBE0B">
      <w:pPr>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谈判响应函</w:t>
      </w:r>
    </w:p>
    <w:p w14:paraId="5F9A8E32">
      <w:pPr>
        <w:kinsoku/>
        <w:wordWrap/>
        <w:overflowPunct/>
        <w:topLinePunct w:val="0"/>
        <w:autoSpaceDE/>
        <w:autoSpaceDN/>
        <w:bidi w:val="0"/>
        <w:spacing w:line="360" w:lineRule="auto"/>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苏州市创杰招投标咨询服务有限公司：</w:t>
      </w:r>
    </w:p>
    <w:p w14:paraId="4D620A82">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我们收到你们</w:t>
      </w:r>
      <w:r>
        <w:rPr>
          <w:rFonts w:hint="eastAsia" w:ascii="宋体" w:hAnsi="宋体" w:cs="宋体"/>
          <w:color w:val="auto"/>
          <w:spacing w:val="0"/>
          <w:szCs w:val="21"/>
          <w:highlight w:val="none"/>
          <w:lang w:eastAsia="zh-CN"/>
        </w:rPr>
        <w:t>JSZC-320509-CJZB-T2025-0085</w:t>
      </w:r>
      <w:r>
        <w:rPr>
          <w:rFonts w:hint="eastAsia" w:ascii="宋体" w:hAnsi="宋体" w:eastAsia="宋体" w:cs="宋体"/>
          <w:color w:val="auto"/>
          <w:spacing w:val="0"/>
          <w:szCs w:val="21"/>
          <w:highlight w:val="none"/>
        </w:rPr>
        <w:t>号</w:t>
      </w:r>
      <w:r>
        <w:rPr>
          <w:rFonts w:hint="eastAsia" w:ascii="宋体" w:hAnsi="宋体" w:eastAsia="宋体" w:cs="宋体"/>
          <w:color w:val="auto"/>
          <w:spacing w:val="0"/>
          <w:sz w:val="21"/>
          <w:szCs w:val="21"/>
          <w:highlight w:val="none"/>
          <w:lang w:val="en-US" w:eastAsia="zh-CN"/>
        </w:rPr>
        <w:t>谈判</w:t>
      </w:r>
      <w:r>
        <w:rPr>
          <w:rFonts w:hint="eastAsia" w:ascii="宋体" w:hAnsi="宋体" w:eastAsia="宋体" w:cs="宋体"/>
          <w:color w:val="auto"/>
          <w:spacing w:val="0"/>
          <w:szCs w:val="21"/>
          <w:highlight w:val="none"/>
        </w:rPr>
        <w:t>采购文件，经仔细阅读和研究，我们决定参加本项目的</w:t>
      </w:r>
      <w:r>
        <w:rPr>
          <w:rFonts w:hint="eastAsia" w:ascii="宋体" w:hAnsi="宋体" w:eastAsia="宋体" w:cs="宋体"/>
          <w:color w:val="auto"/>
          <w:spacing w:val="0"/>
          <w:sz w:val="21"/>
          <w:szCs w:val="21"/>
          <w:highlight w:val="none"/>
          <w:lang w:val="en-US" w:eastAsia="zh-CN"/>
        </w:rPr>
        <w:t>谈判</w:t>
      </w:r>
      <w:r>
        <w:rPr>
          <w:rFonts w:hint="eastAsia" w:ascii="宋体" w:hAnsi="宋体" w:eastAsia="宋体" w:cs="宋体"/>
          <w:color w:val="auto"/>
          <w:spacing w:val="0"/>
          <w:szCs w:val="21"/>
          <w:highlight w:val="none"/>
        </w:rPr>
        <w:t>。</w:t>
      </w:r>
    </w:p>
    <w:p w14:paraId="753907FD">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1、我们愿意按照采购文件的一切要求，提供投标产品及其配套服务，</w:t>
      </w:r>
      <w:r>
        <w:rPr>
          <w:rFonts w:hint="eastAsia" w:ascii="宋体" w:hAnsi="宋体" w:cs="宋体"/>
          <w:color w:val="auto"/>
          <w:spacing w:val="0"/>
          <w:szCs w:val="21"/>
          <w:highlight w:val="none"/>
          <w:lang w:val="en-US" w:eastAsia="zh-CN"/>
        </w:rPr>
        <w:t>谈判</w:t>
      </w:r>
      <w:r>
        <w:rPr>
          <w:rFonts w:hint="eastAsia" w:ascii="宋体" w:hAnsi="宋体" w:eastAsia="宋体" w:cs="宋体"/>
          <w:color w:val="auto"/>
          <w:spacing w:val="0"/>
          <w:szCs w:val="21"/>
          <w:highlight w:val="none"/>
        </w:rPr>
        <w:t>总报价</w:t>
      </w:r>
      <w:r>
        <w:rPr>
          <w:rFonts w:hint="eastAsia" w:ascii="宋体" w:hAnsi="宋体" w:eastAsia="宋体" w:cs="宋体"/>
          <w:color w:val="auto"/>
          <w:sz w:val="21"/>
          <w:szCs w:val="21"/>
          <w:highlight w:val="none"/>
        </w:rPr>
        <w:t>包括但不限于本合同所涉全部</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、辅助材料、安装、调试、培训、验收、人工、机械、运输、仓储、保险、运费、</w:t>
      </w:r>
      <w:r>
        <w:rPr>
          <w:rFonts w:hint="eastAsia" w:ascii="宋体" w:hAnsi="宋体" w:eastAsia="宋体" w:cs="宋体"/>
          <w:color w:val="auto"/>
          <w:sz w:val="21"/>
          <w:szCs w:val="21"/>
          <w:highlight w:val="none"/>
          <w:lang w:val="en-US" w:eastAsia="zh-CN"/>
        </w:rPr>
        <w:t>采购代理服务费、</w:t>
      </w:r>
      <w:r>
        <w:rPr>
          <w:rFonts w:hint="eastAsia" w:ascii="宋体" w:hAnsi="宋体" w:eastAsia="宋体" w:cs="宋体"/>
          <w:color w:val="auto"/>
          <w:sz w:val="21"/>
          <w:szCs w:val="21"/>
          <w:highlight w:val="none"/>
        </w:rPr>
        <w:t>各种税费、劳保、专利技术及质保期间等一切费用；</w:t>
      </w:r>
      <w:r>
        <w:rPr>
          <w:rFonts w:hint="eastAsia"/>
          <w:color w:val="auto"/>
          <w:highlight w:val="none"/>
        </w:rPr>
        <w:t>与医院现有</w:t>
      </w:r>
      <w:r>
        <w:rPr>
          <w:rFonts w:hint="eastAsia" w:ascii="Calibri" w:hAnsi="Calibri"/>
          <w:color w:val="auto"/>
          <w:highlight w:val="none"/>
          <w:lang w:bidi="ar"/>
        </w:rPr>
        <w:t>护理系统对接费；</w:t>
      </w:r>
      <w:r>
        <w:rPr>
          <w:rFonts w:hint="eastAsia" w:ascii="宋体" w:hAnsi="宋体" w:cs="宋体"/>
          <w:color w:val="auto"/>
          <w:kern w:val="0"/>
          <w:szCs w:val="21"/>
          <w:highlight w:val="none"/>
        </w:rPr>
        <w:t>医院平台各系统（如HIS系统、LIS系统、PACS系统等）的接口费用（如有）；与现有/后期设备对接等（如有）；甲方无须支付其他任何费用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同时，除非合同条款中另有规定，否则</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zh-CN"/>
        </w:rPr>
        <w:t>所报价格在合同实施期间不因市场变化因素而变动</w:t>
      </w:r>
      <w:r>
        <w:rPr>
          <w:rFonts w:hint="eastAsia" w:ascii="宋体" w:hAnsi="宋体" w:eastAsia="宋体" w:cs="宋体"/>
          <w:color w:val="auto"/>
          <w:spacing w:val="0"/>
          <w:szCs w:val="21"/>
          <w:highlight w:val="none"/>
        </w:rPr>
        <w:t>。</w:t>
      </w:r>
    </w:p>
    <w:p w14:paraId="6A992E86">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2、如果我们的响应文件被接受，我们将严格履行</w:t>
      </w:r>
      <w:r>
        <w:rPr>
          <w:rFonts w:hint="eastAsia" w:ascii="宋体" w:hAnsi="宋体" w:eastAsia="宋体" w:cs="宋体"/>
          <w:color w:val="auto"/>
          <w:spacing w:val="0"/>
          <w:sz w:val="21"/>
          <w:szCs w:val="21"/>
          <w:highlight w:val="none"/>
          <w:lang w:val="en-US" w:eastAsia="zh-CN"/>
        </w:rPr>
        <w:t>谈判</w:t>
      </w:r>
      <w:r>
        <w:rPr>
          <w:rFonts w:hint="eastAsia" w:ascii="宋体" w:hAnsi="宋体" w:eastAsia="宋体" w:cs="宋体"/>
          <w:color w:val="auto"/>
          <w:spacing w:val="0"/>
          <w:szCs w:val="21"/>
          <w:highlight w:val="none"/>
        </w:rPr>
        <w:t>采购文件中规定的每一项要求，按期、按质、按量履行服务义务。</w:t>
      </w:r>
    </w:p>
    <w:p w14:paraId="66C641BF">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3、我们同意按</w:t>
      </w:r>
      <w:r>
        <w:rPr>
          <w:rFonts w:hint="eastAsia" w:ascii="宋体" w:hAnsi="宋体" w:eastAsia="宋体" w:cs="宋体"/>
          <w:color w:val="auto"/>
          <w:spacing w:val="0"/>
          <w:sz w:val="21"/>
          <w:szCs w:val="21"/>
          <w:highlight w:val="none"/>
          <w:lang w:val="en-US" w:eastAsia="zh-CN"/>
        </w:rPr>
        <w:t>谈判</w:t>
      </w:r>
      <w:r>
        <w:rPr>
          <w:rFonts w:hint="eastAsia" w:ascii="宋体" w:hAnsi="宋体" w:eastAsia="宋体" w:cs="宋体"/>
          <w:color w:val="auto"/>
          <w:spacing w:val="0"/>
          <w:szCs w:val="21"/>
          <w:highlight w:val="none"/>
        </w:rPr>
        <w:t>采购文件中的规定，本响应文件的有效期限为自开标之日起45日。</w:t>
      </w:r>
    </w:p>
    <w:p w14:paraId="7DB579DA">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4、我们愿意提供采购人在</w:t>
      </w:r>
      <w:r>
        <w:rPr>
          <w:rFonts w:hint="eastAsia" w:ascii="宋体" w:hAnsi="宋体" w:eastAsia="宋体" w:cs="宋体"/>
          <w:color w:val="auto"/>
          <w:spacing w:val="0"/>
          <w:sz w:val="21"/>
          <w:szCs w:val="21"/>
          <w:highlight w:val="none"/>
          <w:lang w:val="en-US" w:eastAsia="zh-CN"/>
        </w:rPr>
        <w:t>谈判</w:t>
      </w:r>
      <w:r>
        <w:rPr>
          <w:rFonts w:hint="eastAsia" w:ascii="宋体" w:hAnsi="宋体" w:eastAsia="宋体" w:cs="宋体"/>
          <w:color w:val="auto"/>
          <w:spacing w:val="0"/>
          <w:szCs w:val="21"/>
          <w:highlight w:val="none"/>
        </w:rPr>
        <w:t>采购文件中要求的所有资料。</w:t>
      </w:r>
    </w:p>
    <w:p w14:paraId="4397B946">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5、我方愿意遵守</w:t>
      </w:r>
      <w:r>
        <w:rPr>
          <w:rFonts w:hint="eastAsia" w:ascii="宋体" w:hAnsi="宋体" w:eastAsia="宋体" w:cs="宋体"/>
          <w:color w:val="auto"/>
          <w:spacing w:val="0"/>
          <w:sz w:val="21"/>
          <w:szCs w:val="21"/>
          <w:highlight w:val="none"/>
          <w:lang w:val="en-US" w:eastAsia="zh-CN"/>
        </w:rPr>
        <w:t>谈判</w:t>
      </w:r>
      <w:r>
        <w:rPr>
          <w:rFonts w:hint="eastAsia" w:ascii="宋体" w:hAnsi="宋体" w:eastAsia="宋体" w:cs="宋体"/>
          <w:color w:val="auto"/>
          <w:spacing w:val="0"/>
          <w:szCs w:val="21"/>
          <w:highlight w:val="none"/>
        </w:rPr>
        <w:t>采购文件中所列的收费标准。</w:t>
      </w:r>
    </w:p>
    <w:p w14:paraId="01741DD5">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6、我方在</w:t>
      </w:r>
      <w:r>
        <w:rPr>
          <w:rFonts w:hint="eastAsia" w:ascii="宋体" w:hAnsi="宋体" w:eastAsia="宋体" w:cs="宋体"/>
          <w:color w:val="auto"/>
          <w:spacing w:val="0"/>
          <w:sz w:val="21"/>
          <w:szCs w:val="21"/>
          <w:highlight w:val="none"/>
          <w:lang w:val="en-US" w:eastAsia="zh-CN"/>
        </w:rPr>
        <w:t>谈判</w:t>
      </w:r>
      <w:r>
        <w:rPr>
          <w:rFonts w:hint="eastAsia" w:ascii="宋体" w:hAnsi="宋体" w:eastAsia="宋体" w:cs="宋体"/>
          <w:color w:val="auto"/>
          <w:spacing w:val="0"/>
          <w:szCs w:val="21"/>
          <w:highlight w:val="none"/>
        </w:rPr>
        <w:t>响应文件和</w:t>
      </w:r>
      <w:r>
        <w:rPr>
          <w:rFonts w:hint="eastAsia" w:ascii="宋体" w:hAnsi="宋体" w:eastAsia="宋体" w:cs="宋体"/>
          <w:color w:val="auto"/>
          <w:spacing w:val="0"/>
          <w:sz w:val="21"/>
          <w:szCs w:val="21"/>
          <w:highlight w:val="none"/>
          <w:lang w:val="en-US" w:eastAsia="zh-CN"/>
        </w:rPr>
        <w:t>谈判</w:t>
      </w:r>
      <w:r>
        <w:rPr>
          <w:rFonts w:hint="eastAsia" w:ascii="宋体" w:hAnsi="宋体" w:eastAsia="宋体" w:cs="宋体"/>
          <w:color w:val="auto"/>
          <w:spacing w:val="0"/>
          <w:szCs w:val="21"/>
          <w:highlight w:val="none"/>
        </w:rPr>
        <w:t>中所作的承诺在</w:t>
      </w:r>
      <w:r>
        <w:rPr>
          <w:rFonts w:hint="eastAsia" w:ascii="宋体" w:hAnsi="宋体" w:eastAsia="宋体" w:cs="宋体"/>
          <w:color w:val="auto"/>
          <w:spacing w:val="0"/>
          <w:sz w:val="21"/>
          <w:szCs w:val="21"/>
          <w:highlight w:val="none"/>
          <w:lang w:val="en-US" w:eastAsia="zh-CN"/>
        </w:rPr>
        <w:t>谈判</w:t>
      </w:r>
      <w:r>
        <w:rPr>
          <w:rFonts w:hint="eastAsia" w:ascii="宋体" w:hAnsi="宋体" w:eastAsia="宋体" w:cs="宋体"/>
          <w:color w:val="auto"/>
          <w:spacing w:val="0"/>
          <w:szCs w:val="21"/>
          <w:highlight w:val="none"/>
        </w:rPr>
        <w:t>后保持有效，不作任何更改和变动。</w:t>
      </w:r>
    </w:p>
    <w:p w14:paraId="2DDBD3F0">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7、如我方成为成交单位，我方愿意在领取成交通知书时按采购文件要求向代理机构支付成交服务费。</w:t>
      </w:r>
    </w:p>
    <w:p w14:paraId="3770AE21">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8</w:t>
      </w:r>
      <w:r>
        <w:rPr>
          <w:rFonts w:hint="eastAsia" w:ascii="宋体" w:hAnsi="宋体" w:eastAsia="宋体" w:cs="宋体"/>
          <w:color w:val="auto"/>
          <w:spacing w:val="0"/>
          <w:szCs w:val="21"/>
          <w:highlight w:val="none"/>
        </w:rPr>
        <w:t>、我们愿意按照</w:t>
      </w:r>
      <w:r>
        <w:rPr>
          <w:rFonts w:hint="eastAsia" w:ascii="宋体" w:hAnsi="宋体" w:eastAsia="宋体" w:cs="宋体"/>
          <w:bCs/>
          <w:color w:val="auto"/>
          <w:spacing w:val="0"/>
          <w:szCs w:val="21"/>
          <w:highlight w:val="none"/>
        </w:rPr>
        <w:t>《中华人民共和国民法典》</w:t>
      </w:r>
      <w:r>
        <w:rPr>
          <w:rFonts w:hint="eastAsia" w:ascii="宋体" w:hAnsi="宋体" w:eastAsia="宋体" w:cs="宋体"/>
          <w:color w:val="auto"/>
          <w:spacing w:val="0"/>
          <w:szCs w:val="21"/>
          <w:highlight w:val="none"/>
        </w:rPr>
        <w:t>履行自己应该承担的全部责任。</w:t>
      </w:r>
    </w:p>
    <w:p w14:paraId="2B9B5766">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9</w:t>
      </w:r>
      <w:r>
        <w:rPr>
          <w:rFonts w:hint="eastAsia" w:ascii="宋体" w:hAnsi="宋体" w:eastAsia="宋体" w:cs="宋体"/>
          <w:color w:val="auto"/>
          <w:spacing w:val="0"/>
          <w:szCs w:val="21"/>
          <w:highlight w:val="none"/>
        </w:rPr>
        <w:t>、我们愿意按照贵公司</w:t>
      </w:r>
      <w:r>
        <w:rPr>
          <w:rFonts w:hint="eastAsia" w:ascii="宋体" w:hAnsi="宋体" w:eastAsia="宋体" w:cs="宋体"/>
          <w:color w:val="auto"/>
          <w:spacing w:val="0"/>
          <w:sz w:val="21"/>
          <w:szCs w:val="21"/>
          <w:highlight w:val="none"/>
          <w:lang w:val="en-US" w:eastAsia="zh-CN"/>
        </w:rPr>
        <w:t>谈判</w:t>
      </w:r>
      <w:r>
        <w:rPr>
          <w:rFonts w:hint="eastAsia" w:ascii="宋体" w:hAnsi="宋体" w:eastAsia="宋体" w:cs="宋体"/>
          <w:color w:val="auto"/>
          <w:spacing w:val="0"/>
          <w:szCs w:val="21"/>
          <w:highlight w:val="none"/>
        </w:rPr>
        <w:t>采购文件的要求提供电子响应文件，并保证全部</w:t>
      </w:r>
      <w:r>
        <w:rPr>
          <w:rFonts w:hint="eastAsia" w:ascii="宋体" w:hAnsi="宋体" w:eastAsia="宋体" w:cs="宋体"/>
          <w:color w:val="auto"/>
          <w:spacing w:val="0"/>
          <w:sz w:val="21"/>
          <w:szCs w:val="21"/>
          <w:highlight w:val="none"/>
          <w:lang w:val="en-US" w:eastAsia="zh-CN"/>
        </w:rPr>
        <w:t>谈判</w:t>
      </w:r>
      <w:r>
        <w:rPr>
          <w:rFonts w:hint="eastAsia" w:ascii="宋体" w:hAnsi="宋体" w:eastAsia="宋体" w:cs="宋体"/>
          <w:color w:val="auto"/>
          <w:spacing w:val="0"/>
          <w:szCs w:val="21"/>
          <w:highlight w:val="none"/>
        </w:rPr>
        <w:t>响应文件内容真实有效，若有虚假，我公司愿意承担与此相关的一切责任。</w:t>
      </w:r>
    </w:p>
    <w:p w14:paraId="5CCEACEF">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0</w:t>
      </w:r>
      <w:r>
        <w:rPr>
          <w:rFonts w:hint="eastAsia" w:ascii="宋体" w:hAnsi="宋体" w:eastAsia="宋体" w:cs="宋体"/>
          <w:color w:val="auto"/>
          <w:spacing w:val="0"/>
          <w:szCs w:val="21"/>
          <w:highlight w:val="none"/>
        </w:rPr>
        <w:t>、综合说明：</w:t>
      </w:r>
    </w:p>
    <w:p w14:paraId="6461BA35">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（1）伴随服务及配合措施；</w:t>
      </w:r>
    </w:p>
    <w:p w14:paraId="5803EA6E">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（2）要求采购单位提供的配合；</w:t>
      </w:r>
    </w:p>
    <w:p w14:paraId="325B758F">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（3）对</w:t>
      </w:r>
      <w:r>
        <w:rPr>
          <w:rFonts w:hint="eastAsia" w:ascii="宋体" w:hAnsi="宋体" w:eastAsia="宋体" w:cs="宋体"/>
          <w:color w:val="auto"/>
          <w:spacing w:val="0"/>
          <w:szCs w:val="21"/>
          <w:highlight w:val="none"/>
          <w:lang w:eastAsia="zh-CN"/>
        </w:rPr>
        <w:t>谈判</w:t>
      </w:r>
      <w:r>
        <w:rPr>
          <w:rFonts w:hint="eastAsia" w:ascii="宋体" w:hAnsi="宋体" w:eastAsia="宋体" w:cs="宋体"/>
          <w:color w:val="auto"/>
          <w:spacing w:val="0"/>
          <w:szCs w:val="21"/>
          <w:highlight w:val="none"/>
        </w:rPr>
        <w:t>采购文件有不同意见的偏离说明；</w:t>
      </w:r>
    </w:p>
    <w:p w14:paraId="3E497C50">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（4）其它说明；</w:t>
      </w:r>
    </w:p>
    <w:p w14:paraId="2AC5FF72">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所有有关标书的函电，请按下列地址联系：</w:t>
      </w:r>
    </w:p>
    <w:p w14:paraId="2F61F8D9">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单位：              邮编：</w:t>
      </w:r>
    </w:p>
    <w:p w14:paraId="4B7FC815">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联系人：            地址：</w:t>
      </w:r>
    </w:p>
    <w:p w14:paraId="454C6035">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开户名称：          电话：</w:t>
      </w:r>
    </w:p>
    <w:p w14:paraId="365A650B">
      <w:pPr>
        <w:pStyle w:val="5"/>
        <w:kinsoku/>
        <w:wordWrap/>
        <w:overflowPunct/>
        <w:topLinePunct w:val="0"/>
        <w:autoSpaceDE/>
        <w:autoSpaceDN/>
        <w:bidi w:val="0"/>
        <w:spacing w:line="360" w:lineRule="auto"/>
        <w:ind w:firstLine="0"/>
        <w:jc w:val="both"/>
        <w:textAlignment w:val="auto"/>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谈判响应单位：（</w:t>
      </w:r>
      <w:r>
        <w:rPr>
          <w:rFonts w:hint="eastAsia" w:ascii="宋体" w:hAnsi="宋体" w:eastAsia="宋体" w:cs="宋体"/>
          <w:color w:val="auto"/>
          <w:spacing w:val="0"/>
          <w:sz w:val="21"/>
          <w:highlight w:val="none"/>
          <w:lang w:val="en-US" w:eastAsia="zh-CN"/>
        </w:rPr>
        <w:t>签</w:t>
      </w:r>
      <w:r>
        <w:rPr>
          <w:rFonts w:hint="eastAsia" w:ascii="宋体" w:hAnsi="宋体" w:eastAsia="宋体" w:cs="宋体"/>
          <w:color w:val="auto"/>
          <w:spacing w:val="0"/>
          <w:sz w:val="21"/>
          <w:highlight w:val="none"/>
        </w:rPr>
        <w:t>章）</w:t>
      </w:r>
    </w:p>
    <w:p w14:paraId="1B69B4A3">
      <w:pPr>
        <w:pStyle w:val="5"/>
        <w:kinsoku/>
        <w:wordWrap/>
        <w:overflowPunct/>
        <w:topLinePunct w:val="0"/>
        <w:autoSpaceDE/>
        <w:autoSpaceDN/>
        <w:bidi w:val="0"/>
        <w:spacing w:line="360" w:lineRule="auto"/>
        <w:ind w:firstLine="0"/>
        <w:jc w:val="both"/>
        <w:textAlignment w:val="auto"/>
        <w:rPr>
          <w:rFonts w:hint="eastAsia" w:ascii="宋体" w:hAnsi="宋体" w:eastAsia="宋体" w:cs="宋体"/>
          <w:color w:val="auto"/>
          <w:spacing w:val="0"/>
          <w:sz w:val="21"/>
          <w:szCs w:val="21"/>
          <w:highlight w:val="none"/>
        </w:rPr>
        <w:sectPr>
          <w:pgSz w:w="11906" w:h="16838"/>
          <w:pgMar w:top="1440" w:right="1417" w:bottom="1440" w:left="1417" w:header="964" w:footer="964" w:gutter="0"/>
          <w:cols w:space="720" w:num="1"/>
          <w:docGrid w:linePitch="360" w:charSpace="0"/>
        </w:sectPr>
      </w:pPr>
      <w:r>
        <w:rPr>
          <w:rFonts w:hint="eastAsia" w:ascii="宋体" w:hAnsi="宋体" w:eastAsia="宋体" w:cs="宋体"/>
          <w:color w:val="auto"/>
          <w:spacing w:val="0"/>
          <w:sz w:val="21"/>
          <w:szCs w:val="21"/>
          <w:highlight w:val="none"/>
        </w:rPr>
        <w:t>日期：        年    月    日</w:t>
      </w:r>
    </w:p>
    <w:p w14:paraId="16209478">
      <w:pPr>
        <w:pStyle w:val="5"/>
        <w:pageBreakBefore/>
        <w:kinsoku/>
        <w:wordWrap/>
        <w:overflowPunct/>
        <w:topLinePunct w:val="0"/>
        <w:autoSpaceDE/>
        <w:autoSpaceDN/>
        <w:bidi w:val="0"/>
        <w:spacing w:line="360" w:lineRule="auto"/>
        <w:ind w:firstLine="0"/>
        <w:jc w:val="both"/>
        <w:textAlignment w:val="auto"/>
        <w:rPr>
          <w:rFonts w:hint="eastAsia" w:ascii="宋体" w:hAnsi="宋体" w:eastAsia="宋体" w:cs="宋体"/>
          <w:b/>
          <w:color w:val="auto"/>
          <w:spacing w:val="0"/>
          <w:sz w:val="21"/>
          <w:highlight w:val="none"/>
        </w:rPr>
      </w:pPr>
      <w:r>
        <w:rPr>
          <w:rFonts w:hint="eastAsia" w:ascii="宋体" w:hAnsi="宋体" w:eastAsia="宋体" w:cs="宋体"/>
          <w:b/>
          <w:color w:val="auto"/>
          <w:spacing w:val="0"/>
          <w:sz w:val="21"/>
          <w:highlight w:val="none"/>
        </w:rPr>
        <w:t>附件</w:t>
      </w:r>
      <w:r>
        <w:rPr>
          <w:rFonts w:hint="eastAsia" w:ascii="宋体" w:hAnsi="宋体" w:eastAsia="宋体" w:cs="宋体"/>
          <w:b/>
          <w:color w:val="auto"/>
          <w:spacing w:val="0"/>
          <w:sz w:val="21"/>
          <w:highlight w:val="none"/>
          <w:lang w:val="en-US" w:eastAsia="zh-CN"/>
        </w:rPr>
        <w:t>4</w:t>
      </w:r>
      <w:r>
        <w:rPr>
          <w:rFonts w:hint="eastAsia" w:ascii="宋体" w:hAnsi="宋体" w:eastAsia="宋体" w:cs="宋体"/>
          <w:b/>
          <w:color w:val="auto"/>
          <w:spacing w:val="0"/>
          <w:sz w:val="21"/>
          <w:highlight w:val="none"/>
        </w:rPr>
        <w:t>：设备配置清单表</w:t>
      </w:r>
    </w:p>
    <w:p w14:paraId="543CE1A5">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设备配置清单表</w:t>
      </w:r>
    </w:p>
    <w:p w14:paraId="3B0A012C">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 xml:space="preserve">采购编号：                         </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1956"/>
        <w:gridCol w:w="1742"/>
        <w:gridCol w:w="1742"/>
        <w:gridCol w:w="725"/>
        <w:gridCol w:w="772"/>
        <w:gridCol w:w="1097"/>
      </w:tblGrid>
      <w:tr w14:paraId="73C40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exac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717F2873">
            <w:pPr>
              <w:jc w:val="center"/>
              <w:rPr>
                <w:rFonts w:ascii="宋体" w:hAnsi="宋体"/>
                <w:color w:val="auto"/>
                <w:szCs w:val="21"/>
                <w:highlight w:val="none"/>
              </w:rPr>
            </w:pPr>
            <w:r>
              <w:rPr>
                <w:rFonts w:hint="eastAsia" w:ascii="宋体" w:hAnsi="宋体" w:cs="宋体"/>
                <w:color w:val="auto"/>
                <w:szCs w:val="21"/>
                <w:highlight w:val="none"/>
                <w:lang w:val="zh-CN"/>
              </w:rPr>
              <w:t>序号</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2B29D187">
            <w:pPr>
              <w:jc w:val="center"/>
              <w:rPr>
                <w:rFonts w:ascii="宋体" w:hAnsi="宋体"/>
                <w:color w:val="auto"/>
                <w:szCs w:val="21"/>
                <w:highlight w:val="none"/>
              </w:rPr>
            </w:pPr>
            <w:r>
              <w:rPr>
                <w:rFonts w:hint="eastAsia" w:ascii="宋体" w:hAnsi="宋体" w:cs="宋体"/>
                <w:color w:val="auto"/>
                <w:szCs w:val="21"/>
                <w:highlight w:val="none"/>
                <w:lang w:val="zh-CN"/>
              </w:rPr>
              <w:t>名称</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6207B4EF">
            <w:pPr>
              <w:jc w:val="center"/>
              <w:rPr>
                <w:rFonts w:ascii="宋体" w:hAnsi="宋体" w:cs="宋体"/>
                <w:color w:val="auto"/>
                <w:szCs w:val="21"/>
                <w:highlight w:val="none"/>
              </w:rPr>
            </w:pPr>
            <w:r>
              <w:rPr>
                <w:rFonts w:hint="eastAsia" w:ascii="宋体" w:hAnsi="宋体" w:cs="宋体"/>
                <w:color w:val="auto"/>
                <w:szCs w:val="21"/>
                <w:highlight w:val="none"/>
                <w:lang w:val="zh-CN"/>
              </w:rPr>
              <w:t>生产厂家</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5B396FB3">
            <w:pPr>
              <w:jc w:val="center"/>
              <w:rPr>
                <w:rFonts w:ascii="宋体" w:hAnsi="宋体"/>
                <w:color w:val="auto"/>
                <w:szCs w:val="21"/>
                <w:highlight w:val="none"/>
              </w:rPr>
            </w:pPr>
            <w:r>
              <w:rPr>
                <w:rFonts w:hint="eastAsia" w:ascii="宋体" w:hAnsi="宋体"/>
                <w:color w:val="auto"/>
                <w:szCs w:val="21"/>
                <w:highlight w:val="none"/>
              </w:rPr>
              <w:t>规格、型号</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E0D64A7">
            <w:pPr>
              <w:jc w:val="center"/>
              <w:rPr>
                <w:rFonts w:ascii="宋体" w:hAnsi="宋体"/>
                <w:color w:val="auto"/>
                <w:szCs w:val="21"/>
                <w:highlight w:val="none"/>
              </w:rPr>
            </w:pPr>
            <w:r>
              <w:rPr>
                <w:rFonts w:hint="eastAsia" w:ascii="宋体" w:hAnsi="宋体"/>
                <w:color w:val="auto"/>
                <w:szCs w:val="21"/>
                <w:highlight w:val="none"/>
              </w:rPr>
              <w:t>单位</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C34AE48">
            <w:pPr>
              <w:jc w:val="center"/>
              <w:rPr>
                <w:rFonts w:ascii="宋体" w:hAnsi="宋体" w:cs="宋体"/>
                <w:color w:val="auto"/>
                <w:szCs w:val="21"/>
                <w:highlight w:val="none"/>
              </w:rPr>
            </w:pPr>
            <w:r>
              <w:rPr>
                <w:rFonts w:hint="eastAsia" w:ascii="宋体" w:hAnsi="宋体" w:cs="宋体"/>
                <w:color w:val="auto"/>
                <w:szCs w:val="21"/>
                <w:highlight w:val="none"/>
                <w:lang w:val="zh-CN"/>
              </w:rPr>
              <w:t>数量</w:t>
            </w:r>
          </w:p>
        </w:tc>
        <w:tc>
          <w:tcPr>
            <w:tcW w:w="1097" w:type="dxa"/>
            <w:tcBorders>
              <w:top w:val="single" w:color="auto" w:sz="4" w:space="0"/>
              <w:left w:val="single" w:color="auto" w:sz="4" w:space="0"/>
              <w:bottom w:val="single" w:color="auto" w:sz="4" w:space="0"/>
              <w:right w:val="single" w:color="auto" w:sz="4" w:space="0"/>
            </w:tcBorders>
            <w:noWrap w:val="0"/>
            <w:vAlign w:val="center"/>
          </w:tcPr>
          <w:p w14:paraId="10A65F3E">
            <w:pPr>
              <w:jc w:val="center"/>
              <w:rPr>
                <w:rFonts w:ascii="宋体" w:hAnsi="宋体" w:cs="宋体"/>
                <w:color w:val="auto"/>
                <w:szCs w:val="21"/>
                <w:highlight w:val="none"/>
              </w:rPr>
            </w:pPr>
            <w:r>
              <w:rPr>
                <w:rFonts w:hint="eastAsia" w:ascii="宋体" w:hAnsi="宋体" w:cs="宋体"/>
                <w:color w:val="auto"/>
                <w:szCs w:val="21"/>
                <w:highlight w:val="none"/>
                <w:lang w:val="zh-CN"/>
              </w:rPr>
              <w:t>备注</w:t>
            </w:r>
          </w:p>
        </w:tc>
      </w:tr>
      <w:tr w14:paraId="1F729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0"/>
          </w:tcPr>
          <w:p w14:paraId="7E3ACB89">
            <w:pPr>
              <w:rPr>
                <w:rFonts w:ascii="宋体" w:hAnsi="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tcPr>
          <w:p w14:paraId="37FEC9B0">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543C5B84">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3CF8CD9C">
            <w:pPr>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tcPr>
          <w:p w14:paraId="1ADB8CE3">
            <w:pPr>
              <w:rPr>
                <w:rFonts w:ascii="宋体" w:hAnsi="宋体"/>
                <w:color w:val="auto"/>
                <w:szCs w:val="21"/>
                <w:highlight w:val="none"/>
              </w:rPr>
            </w:pPr>
          </w:p>
        </w:tc>
        <w:tc>
          <w:tcPr>
            <w:tcW w:w="772" w:type="dxa"/>
            <w:tcBorders>
              <w:top w:val="single" w:color="auto" w:sz="4" w:space="0"/>
              <w:left w:val="single" w:color="auto" w:sz="4" w:space="0"/>
              <w:bottom w:val="single" w:color="auto" w:sz="4" w:space="0"/>
              <w:right w:val="single" w:color="auto" w:sz="4" w:space="0"/>
            </w:tcBorders>
            <w:noWrap w:val="0"/>
          </w:tcPr>
          <w:p w14:paraId="11489EC3">
            <w:pPr>
              <w:rPr>
                <w:rFonts w:ascii="宋体" w:hAnsi="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tcPr>
          <w:p w14:paraId="238DC1EC">
            <w:pPr>
              <w:rPr>
                <w:rFonts w:ascii="宋体" w:hAnsi="宋体"/>
                <w:color w:val="auto"/>
                <w:szCs w:val="21"/>
                <w:highlight w:val="none"/>
              </w:rPr>
            </w:pPr>
          </w:p>
        </w:tc>
      </w:tr>
      <w:tr w14:paraId="1F3D1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0"/>
          </w:tcPr>
          <w:p w14:paraId="28A35E92">
            <w:pPr>
              <w:rPr>
                <w:rFonts w:ascii="宋体" w:hAnsi="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tcPr>
          <w:p w14:paraId="510CD0BE">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1DC5FCD0">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7AC9417A">
            <w:pPr>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tcPr>
          <w:p w14:paraId="2C99DE4D">
            <w:pPr>
              <w:rPr>
                <w:rFonts w:ascii="宋体" w:hAnsi="宋体"/>
                <w:color w:val="auto"/>
                <w:szCs w:val="21"/>
                <w:highlight w:val="none"/>
              </w:rPr>
            </w:pPr>
          </w:p>
        </w:tc>
        <w:tc>
          <w:tcPr>
            <w:tcW w:w="772" w:type="dxa"/>
            <w:tcBorders>
              <w:top w:val="single" w:color="auto" w:sz="4" w:space="0"/>
              <w:left w:val="single" w:color="auto" w:sz="4" w:space="0"/>
              <w:bottom w:val="single" w:color="auto" w:sz="4" w:space="0"/>
              <w:right w:val="single" w:color="auto" w:sz="4" w:space="0"/>
            </w:tcBorders>
            <w:noWrap w:val="0"/>
          </w:tcPr>
          <w:p w14:paraId="01724BDB">
            <w:pPr>
              <w:rPr>
                <w:rFonts w:ascii="宋体" w:hAnsi="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tcPr>
          <w:p w14:paraId="6B62FF5B">
            <w:pPr>
              <w:rPr>
                <w:rFonts w:ascii="宋体" w:hAnsi="宋体"/>
                <w:color w:val="auto"/>
                <w:szCs w:val="21"/>
                <w:highlight w:val="none"/>
              </w:rPr>
            </w:pPr>
          </w:p>
        </w:tc>
      </w:tr>
      <w:tr w14:paraId="68670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0"/>
          </w:tcPr>
          <w:p w14:paraId="1652E093">
            <w:pPr>
              <w:rPr>
                <w:rFonts w:ascii="宋体" w:hAnsi="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tcPr>
          <w:p w14:paraId="74D6C1F2">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15472593">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2322D7A2">
            <w:pPr>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tcPr>
          <w:p w14:paraId="1AFA5FD6">
            <w:pPr>
              <w:rPr>
                <w:rFonts w:ascii="宋体" w:hAnsi="宋体"/>
                <w:color w:val="auto"/>
                <w:szCs w:val="21"/>
                <w:highlight w:val="none"/>
              </w:rPr>
            </w:pPr>
          </w:p>
        </w:tc>
        <w:tc>
          <w:tcPr>
            <w:tcW w:w="772" w:type="dxa"/>
            <w:tcBorders>
              <w:top w:val="single" w:color="auto" w:sz="4" w:space="0"/>
              <w:left w:val="single" w:color="auto" w:sz="4" w:space="0"/>
              <w:bottom w:val="single" w:color="auto" w:sz="4" w:space="0"/>
              <w:right w:val="single" w:color="auto" w:sz="4" w:space="0"/>
            </w:tcBorders>
            <w:noWrap w:val="0"/>
          </w:tcPr>
          <w:p w14:paraId="6A16BCE7">
            <w:pPr>
              <w:rPr>
                <w:rFonts w:ascii="宋体" w:hAnsi="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tcPr>
          <w:p w14:paraId="23C9D583">
            <w:pPr>
              <w:rPr>
                <w:rFonts w:ascii="宋体" w:hAnsi="宋体"/>
                <w:color w:val="auto"/>
                <w:szCs w:val="21"/>
                <w:highlight w:val="none"/>
              </w:rPr>
            </w:pPr>
          </w:p>
        </w:tc>
      </w:tr>
      <w:tr w14:paraId="483FC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0"/>
          </w:tcPr>
          <w:p w14:paraId="42CF1E43">
            <w:pPr>
              <w:rPr>
                <w:rFonts w:ascii="宋体" w:hAnsi="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tcPr>
          <w:p w14:paraId="540D7F38">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3237912F">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40E36447">
            <w:pPr>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tcPr>
          <w:p w14:paraId="0BF3AC3A">
            <w:pPr>
              <w:rPr>
                <w:rFonts w:ascii="宋体" w:hAnsi="宋体"/>
                <w:color w:val="auto"/>
                <w:szCs w:val="21"/>
                <w:highlight w:val="none"/>
              </w:rPr>
            </w:pPr>
          </w:p>
        </w:tc>
        <w:tc>
          <w:tcPr>
            <w:tcW w:w="772" w:type="dxa"/>
            <w:tcBorders>
              <w:top w:val="single" w:color="auto" w:sz="4" w:space="0"/>
              <w:left w:val="single" w:color="auto" w:sz="4" w:space="0"/>
              <w:bottom w:val="single" w:color="auto" w:sz="4" w:space="0"/>
              <w:right w:val="single" w:color="auto" w:sz="4" w:space="0"/>
            </w:tcBorders>
            <w:noWrap w:val="0"/>
          </w:tcPr>
          <w:p w14:paraId="0D82A96C">
            <w:pPr>
              <w:rPr>
                <w:rFonts w:ascii="宋体" w:hAnsi="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tcPr>
          <w:p w14:paraId="5A5CC9C3">
            <w:pPr>
              <w:rPr>
                <w:rFonts w:ascii="宋体" w:hAnsi="宋体"/>
                <w:color w:val="auto"/>
                <w:szCs w:val="21"/>
                <w:highlight w:val="none"/>
              </w:rPr>
            </w:pPr>
          </w:p>
        </w:tc>
      </w:tr>
      <w:tr w14:paraId="409D7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0"/>
          </w:tcPr>
          <w:p w14:paraId="138C81F2">
            <w:pPr>
              <w:rPr>
                <w:rFonts w:ascii="宋体" w:hAnsi="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tcPr>
          <w:p w14:paraId="5FA8F024">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3121656E">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0EF3B6D4">
            <w:pPr>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tcPr>
          <w:p w14:paraId="39A8C610">
            <w:pPr>
              <w:rPr>
                <w:rFonts w:ascii="宋体" w:hAnsi="宋体"/>
                <w:color w:val="auto"/>
                <w:szCs w:val="21"/>
                <w:highlight w:val="none"/>
              </w:rPr>
            </w:pPr>
          </w:p>
        </w:tc>
        <w:tc>
          <w:tcPr>
            <w:tcW w:w="772" w:type="dxa"/>
            <w:tcBorders>
              <w:top w:val="single" w:color="auto" w:sz="4" w:space="0"/>
              <w:left w:val="single" w:color="auto" w:sz="4" w:space="0"/>
              <w:bottom w:val="single" w:color="auto" w:sz="4" w:space="0"/>
              <w:right w:val="single" w:color="auto" w:sz="4" w:space="0"/>
            </w:tcBorders>
            <w:noWrap w:val="0"/>
          </w:tcPr>
          <w:p w14:paraId="18C51BF1">
            <w:pPr>
              <w:rPr>
                <w:rFonts w:ascii="宋体" w:hAnsi="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tcPr>
          <w:p w14:paraId="5A40581F">
            <w:pPr>
              <w:rPr>
                <w:rFonts w:ascii="宋体" w:hAnsi="宋体"/>
                <w:color w:val="auto"/>
                <w:szCs w:val="21"/>
                <w:highlight w:val="none"/>
              </w:rPr>
            </w:pPr>
          </w:p>
        </w:tc>
      </w:tr>
      <w:tr w14:paraId="42E07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0"/>
          </w:tcPr>
          <w:p w14:paraId="78C99ECB">
            <w:pPr>
              <w:rPr>
                <w:rFonts w:ascii="宋体" w:hAnsi="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tcPr>
          <w:p w14:paraId="57E55531">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5D3C4DFA">
            <w:pPr>
              <w:rPr>
                <w:rFonts w:ascii="宋体" w:hAnsi="宋体"/>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tcPr>
          <w:p w14:paraId="1E63D22F">
            <w:pPr>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tcPr>
          <w:p w14:paraId="09A02AED">
            <w:pPr>
              <w:rPr>
                <w:rFonts w:ascii="宋体" w:hAnsi="宋体"/>
                <w:color w:val="auto"/>
                <w:szCs w:val="21"/>
                <w:highlight w:val="none"/>
              </w:rPr>
            </w:pPr>
          </w:p>
        </w:tc>
        <w:tc>
          <w:tcPr>
            <w:tcW w:w="772" w:type="dxa"/>
            <w:tcBorders>
              <w:top w:val="single" w:color="auto" w:sz="4" w:space="0"/>
              <w:left w:val="single" w:color="auto" w:sz="4" w:space="0"/>
              <w:bottom w:val="single" w:color="auto" w:sz="4" w:space="0"/>
              <w:right w:val="single" w:color="auto" w:sz="4" w:space="0"/>
            </w:tcBorders>
            <w:noWrap w:val="0"/>
          </w:tcPr>
          <w:p w14:paraId="578A0949">
            <w:pPr>
              <w:rPr>
                <w:rFonts w:ascii="宋体" w:hAnsi="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tcPr>
          <w:p w14:paraId="60C9141A">
            <w:pPr>
              <w:rPr>
                <w:rFonts w:ascii="宋体" w:hAnsi="宋体"/>
                <w:color w:val="auto"/>
                <w:szCs w:val="21"/>
                <w:highlight w:val="none"/>
              </w:rPr>
            </w:pPr>
          </w:p>
        </w:tc>
      </w:tr>
    </w:tbl>
    <w:p w14:paraId="4D102073">
      <w:pPr>
        <w:spacing w:line="360" w:lineRule="auto"/>
        <w:jc w:val="left"/>
        <w:rPr>
          <w:rFonts w:ascii="宋体" w:hAnsi="宋体"/>
          <w:b/>
          <w:bCs/>
          <w:color w:val="auto"/>
          <w:szCs w:val="21"/>
          <w:highlight w:val="none"/>
        </w:rPr>
      </w:pPr>
    </w:p>
    <w:p w14:paraId="7C85F75C">
      <w:pPr>
        <w:spacing w:line="360" w:lineRule="auto"/>
        <w:jc w:val="left"/>
        <w:rPr>
          <w:rFonts w:ascii="宋体" w:hAnsi="宋体"/>
          <w:b/>
          <w:bCs/>
          <w:color w:val="auto"/>
          <w:szCs w:val="21"/>
          <w:highlight w:val="none"/>
        </w:rPr>
      </w:pPr>
    </w:p>
    <w:p w14:paraId="099D7679">
      <w:pPr>
        <w:pStyle w:val="5"/>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b w:val="0"/>
          <w:bCs/>
          <w:color w:val="auto"/>
          <w:spacing w:val="0"/>
          <w:sz w:val="21"/>
          <w:highlight w:val="none"/>
        </w:rPr>
      </w:pPr>
      <w:r>
        <w:rPr>
          <w:rFonts w:hint="eastAsia" w:ascii="宋体" w:hAnsi="宋体" w:eastAsia="宋体" w:cs="宋体"/>
          <w:b w:val="0"/>
          <w:bCs/>
          <w:color w:val="auto"/>
          <w:spacing w:val="0"/>
          <w:sz w:val="21"/>
          <w:highlight w:val="none"/>
        </w:rPr>
        <w:t>谈判响应单位：（签章）</w:t>
      </w:r>
    </w:p>
    <w:p w14:paraId="3C3B86F9">
      <w:pPr>
        <w:pStyle w:val="5"/>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b w:val="0"/>
          <w:bCs/>
          <w:color w:val="auto"/>
          <w:spacing w:val="0"/>
          <w:sz w:val="21"/>
          <w:highlight w:val="none"/>
        </w:rPr>
      </w:pPr>
      <w:r>
        <w:rPr>
          <w:rFonts w:hint="eastAsia" w:ascii="宋体" w:hAnsi="宋体" w:eastAsia="宋体" w:cs="宋体"/>
          <w:b w:val="0"/>
          <w:bCs/>
          <w:color w:val="auto"/>
          <w:spacing w:val="0"/>
          <w:sz w:val="21"/>
          <w:highlight w:val="none"/>
        </w:rPr>
        <w:t>日期：        年    月    日</w:t>
      </w:r>
    </w:p>
    <w:p w14:paraId="2669FE13">
      <w:pPr>
        <w:pStyle w:val="259"/>
        <w:spacing w:line="360" w:lineRule="auto"/>
        <w:ind w:firstLine="0"/>
        <w:rPr>
          <w:rFonts w:hint="eastAsia" w:ascii="宋体" w:hAnsi="宋体" w:eastAsia="宋体" w:cs="宋体"/>
          <w:b/>
          <w:color w:val="auto"/>
          <w:spacing w:val="0"/>
          <w:sz w:val="21"/>
          <w:highlight w:val="none"/>
          <w:lang w:val="en-US" w:eastAsia="zh-CN"/>
        </w:rPr>
      </w:pPr>
    </w:p>
    <w:p w14:paraId="65C52B85">
      <w:pPr>
        <w:pStyle w:val="259"/>
        <w:spacing w:line="360" w:lineRule="auto"/>
        <w:ind w:firstLine="0"/>
        <w:rPr>
          <w:rFonts w:hint="eastAsia" w:ascii="宋体" w:hAnsi="宋体" w:eastAsia="宋体" w:cs="宋体"/>
          <w:b/>
          <w:color w:val="auto"/>
          <w:spacing w:val="0"/>
          <w:sz w:val="21"/>
          <w:highlight w:val="none"/>
          <w:lang w:val="en-US" w:eastAsia="zh-CN"/>
        </w:rPr>
      </w:pPr>
    </w:p>
    <w:p w14:paraId="4E692B4B">
      <w:pPr>
        <w:pStyle w:val="259"/>
        <w:spacing w:line="360" w:lineRule="auto"/>
        <w:ind w:firstLine="0"/>
        <w:rPr>
          <w:rFonts w:hint="eastAsia" w:ascii="宋体" w:hAnsi="宋体" w:eastAsia="宋体" w:cs="宋体"/>
          <w:b/>
          <w:color w:val="auto"/>
          <w:spacing w:val="0"/>
          <w:sz w:val="21"/>
          <w:highlight w:val="none"/>
          <w:lang w:val="en-US" w:eastAsia="zh-CN"/>
        </w:rPr>
      </w:pPr>
    </w:p>
    <w:p w14:paraId="3A25DB28">
      <w:pPr>
        <w:pStyle w:val="259"/>
        <w:spacing w:line="360" w:lineRule="auto"/>
        <w:ind w:firstLine="0"/>
        <w:rPr>
          <w:rFonts w:hint="eastAsia" w:ascii="宋体" w:hAnsi="宋体" w:eastAsia="宋体" w:cs="宋体"/>
          <w:b/>
          <w:color w:val="auto"/>
          <w:spacing w:val="0"/>
          <w:sz w:val="21"/>
          <w:highlight w:val="none"/>
          <w:lang w:val="en-US" w:eastAsia="zh-CN"/>
        </w:rPr>
      </w:pPr>
    </w:p>
    <w:p w14:paraId="7DCC887A">
      <w:pPr>
        <w:pStyle w:val="259"/>
        <w:spacing w:line="360" w:lineRule="auto"/>
        <w:ind w:firstLine="0"/>
        <w:rPr>
          <w:rFonts w:hint="eastAsia" w:ascii="宋体" w:hAnsi="宋体" w:eastAsia="宋体" w:cs="宋体"/>
          <w:b/>
          <w:color w:val="auto"/>
          <w:spacing w:val="0"/>
          <w:sz w:val="21"/>
          <w:highlight w:val="none"/>
          <w:lang w:val="en-US" w:eastAsia="zh-CN"/>
        </w:rPr>
      </w:pPr>
    </w:p>
    <w:p w14:paraId="4C46B01C">
      <w:pPr>
        <w:pStyle w:val="259"/>
        <w:spacing w:line="360" w:lineRule="auto"/>
        <w:ind w:firstLine="0"/>
        <w:rPr>
          <w:rFonts w:hint="eastAsia" w:ascii="宋体" w:hAnsi="宋体" w:eastAsia="宋体" w:cs="宋体"/>
          <w:b/>
          <w:color w:val="auto"/>
          <w:spacing w:val="0"/>
          <w:sz w:val="21"/>
          <w:highlight w:val="none"/>
          <w:lang w:val="en-US" w:eastAsia="zh-CN"/>
        </w:rPr>
      </w:pPr>
    </w:p>
    <w:p w14:paraId="5851BF12">
      <w:pPr>
        <w:pStyle w:val="259"/>
        <w:spacing w:line="360" w:lineRule="auto"/>
        <w:ind w:firstLine="0"/>
        <w:rPr>
          <w:rFonts w:hint="eastAsia" w:ascii="宋体" w:hAnsi="宋体" w:eastAsia="宋体" w:cs="宋体"/>
          <w:b/>
          <w:color w:val="auto"/>
          <w:spacing w:val="0"/>
          <w:sz w:val="21"/>
          <w:highlight w:val="none"/>
          <w:lang w:val="en-US" w:eastAsia="zh-CN"/>
        </w:rPr>
      </w:pPr>
    </w:p>
    <w:p w14:paraId="592CD7F7">
      <w:pPr>
        <w:pStyle w:val="259"/>
        <w:spacing w:line="360" w:lineRule="auto"/>
        <w:ind w:firstLine="0"/>
        <w:rPr>
          <w:rFonts w:hint="eastAsia" w:ascii="宋体" w:hAnsi="宋体" w:eastAsia="宋体" w:cs="宋体"/>
          <w:b/>
          <w:color w:val="auto"/>
          <w:spacing w:val="0"/>
          <w:sz w:val="21"/>
          <w:highlight w:val="none"/>
          <w:lang w:val="en-US" w:eastAsia="zh-CN"/>
        </w:rPr>
      </w:pPr>
    </w:p>
    <w:p w14:paraId="59BFEA40">
      <w:pPr>
        <w:pStyle w:val="259"/>
        <w:spacing w:line="360" w:lineRule="auto"/>
        <w:ind w:firstLine="0"/>
        <w:rPr>
          <w:rFonts w:hint="eastAsia" w:ascii="宋体" w:hAnsi="宋体" w:eastAsia="宋体" w:cs="宋体"/>
          <w:b/>
          <w:color w:val="auto"/>
          <w:spacing w:val="0"/>
          <w:sz w:val="21"/>
          <w:highlight w:val="none"/>
          <w:lang w:val="en-US" w:eastAsia="zh-CN"/>
        </w:rPr>
      </w:pPr>
    </w:p>
    <w:p w14:paraId="78A8BCC2">
      <w:pPr>
        <w:pStyle w:val="259"/>
        <w:spacing w:line="360" w:lineRule="auto"/>
        <w:ind w:firstLine="0"/>
        <w:rPr>
          <w:rFonts w:hint="eastAsia" w:ascii="宋体" w:hAnsi="宋体" w:eastAsia="宋体" w:cs="宋体"/>
          <w:b/>
          <w:color w:val="auto"/>
          <w:spacing w:val="0"/>
          <w:sz w:val="21"/>
          <w:highlight w:val="none"/>
          <w:lang w:val="en-US" w:eastAsia="zh-CN"/>
        </w:rPr>
      </w:pPr>
    </w:p>
    <w:p w14:paraId="1931F0D7">
      <w:pPr>
        <w:pStyle w:val="259"/>
        <w:spacing w:line="360" w:lineRule="auto"/>
        <w:ind w:firstLine="0"/>
        <w:rPr>
          <w:rFonts w:hint="eastAsia" w:ascii="宋体" w:hAnsi="宋体" w:eastAsia="宋体" w:cs="宋体"/>
          <w:b/>
          <w:color w:val="auto"/>
          <w:spacing w:val="0"/>
          <w:sz w:val="21"/>
          <w:highlight w:val="none"/>
          <w:lang w:val="en-US" w:eastAsia="zh-CN"/>
        </w:rPr>
      </w:pPr>
    </w:p>
    <w:p w14:paraId="7CE22318">
      <w:pPr>
        <w:pStyle w:val="259"/>
        <w:spacing w:line="360" w:lineRule="auto"/>
        <w:ind w:firstLine="0"/>
        <w:rPr>
          <w:rFonts w:hint="eastAsia" w:ascii="宋体" w:hAnsi="宋体" w:eastAsia="宋体" w:cs="宋体"/>
          <w:b/>
          <w:color w:val="auto"/>
          <w:spacing w:val="0"/>
          <w:sz w:val="21"/>
          <w:highlight w:val="none"/>
          <w:lang w:val="en-US" w:eastAsia="zh-CN"/>
        </w:rPr>
      </w:pPr>
    </w:p>
    <w:p w14:paraId="49ED7702">
      <w:pPr>
        <w:pStyle w:val="259"/>
        <w:spacing w:line="360" w:lineRule="auto"/>
        <w:ind w:firstLine="0"/>
        <w:rPr>
          <w:rFonts w:hint="eastAsia" w:ascii="宋体" w:hAnsi="宋体" w:eastAsia="宋体" w:cs="宋体"/>
          <w:b/>
          <w:color w:val="auto"/>
          <w:spacing w:val="0"/>
          <w:sz w:val="21"/>
          <w:highlight w:val="none"/>
          <w:lang w:val="en-US" w:eastAsia="zh-CN"/>
        </w:rPr>
      </w:pPr>
    </w:p>
    <w:p w14:paraId="0A48FA4D">
      <w:pPr>
        <w:pStyle w:val="259"/>
        <w:spacing w:line="360" w:lineRule="auto"/>
        <w:ind w:firstLine="0"/>
        <w:rPr>
          <w:rFonts w:hint="eastAsia" w:ascii="宋体" w:hAnsi="宋体" w:eastAsia="宋体" w:cs="宋体"/>
          <w:b/>
          <w:color w:val="auto"/>
          <w:spacing w:val="0"/>
          <w:sz w:val="21"/>
          <w:highlight w:val="none"/>
          <w:lang w:val="en-US" w:eastAsia="zh-CN"/>
        </w:rPr>
      </w:pPr>
    </w:p>
    <w:p w14:paraId="51FCB876">
      <w:pPr>
        <w:pStyle w:val="259"/>
        <w:spacing w:line="360" w:lineRule="auto"/>
        <w:ind w:firstLine="0"/>
        <w:rPr>
          <w:rFonts w:hint="eastAsia" w:ascii="宋体" w:hAnsi="宋体" w:eastAsia="宋体" w:cs="宋体"/>
          <w:b/>
          <w:color w:val="auto"/>
          <w:spacing w:val="0"/>
          <w:sz w:val="21"/>
          <w:highlight w:val="none"/>
          <w:lang w:val="en-US" w:eastAsia="zh-CN"/>
        </w:rPr>
      </w:pPr>
    </w:p>
    <w:p w14:paraId="6E9C2742">
      <w:pPr>
        <w:pStyle w:val="259"/>
        <w:spacing w:line="360" w:lineRule="auto"/>
        <w:ind w:firstLine="0"/>
        <w:rPr>
          <w:rFonts w:hint="eastAsia" w:ascii="宋体" w:hAnsi="宋体" w:eastAsia="宋体" w:cs="宋体"/>
          <w:b/>
          <w:color w:val="auto"/>
          <w:spacing w:val="0"/>
          <w:sz w:val="21"/>
          <w:highlight w:val="none"/>
          <w:lang w:val="en-US" w:eastAsia="zh-CN"/>
        </w:rPr>
      </w:pPr>
    </w:p>
    <w:p w14:paraId="4D08398E">
      <w:pPr>
        <w:pStyle w:val="259"/>
        <w:spacing w:line="360" w:lineRule="auto"/>
        <w:ind w:firstLine="0"/>
        <w:rPr>
          <w:rFonts w:hint="eastAsia" w:ascii="Arial" w:hAnsi="Arial" w:eastAsia="宋体" w:cs="Arial"/>
          <w:b/>
          <w:color w:val="auto"/>
          <w:sz w:val="21"/>
          <w:szCs w:val="21"/>
          <w:highlight w:val="none"/>
        </w:rPr>
      </w:pPr>
      <w:r>
        <w:rPr>
          <w:rFonts w:hint="eastAsia" w:ascii="宋体" w:hAnsi="宋体" w:eastAsia="宋体" w:cs="宋体"/>
          <w:b/>
          <w:color w:val="auto"/>
          <w:spacing w:val="0"/>
          <w:sz w:val="21"/>
          <w:highlight w:val="none"/>
          <w:lang w:val="en-US" w:eastAsia="zh-CN"/>
        </w:rPr>
        <w:t>附件5：</w:t>
      </w:r>
      <w:r>
        <w:rPr>
          <w:rFonts w:hint="eastAsia" w:ascii="Arial" w:hAnsi="Arial" w:eastAsia="宋体" w:cs="Arial"/>
          <w:b/>
          <w:color w:val="auto"/>
          <w:sz w:val="21"/>
          <w:szCs w:val="21"/>
          <w:highlight w:val="none"/>
        </w:rPr>
        <w:t>主要配件和易损件价格清单表</w:t>
      </w:r>
    </w:p>
    <w:p w14:paraId="44EDA45E">
      <w:pPr>
        <w:pStyle w:val="259"/>
        <w:spacing w:line="360" w:lineRule="auto"/>
        <w:ind w:firstLine="0"/>
        <w:rPr>
          <w:rFonts w:hint="eastAsia" w:ascii="Arial" w:hAnsi="Arial" w:eastAsia="宋体" w:cs="Arial"/>
          <w:color w:val="auto"/>
          <w:sz w:val="21"/>
          <w:szCs w:val="21"/>
          <w:highlight w:val="none"/>
        </w:rPr>
      </w:pPr>
    </w:p>
    <w:p w14:paraId="5B2A6994">
      <w:pPr>
        <w:spacing w:line="360" w:lineRule="auto"/>
        <w:jc w:val="center"/>
        <w:rPr>
          <w:rFonts w:hint="eastAsia" w:ascii="宋体" w:hAnsi="宋体" w:cs="Arial"/>
          <w:b/>
          <w:color w:val="auto"/>
          <w:szCs w:val="21"/>
          <w:highlight w:val="none"/>
          <w:lang w:val="zh-CN"/>
        </w:rPr>
      </w:pPr>
      <w:r>
        <w:rPr>
          <w:rFonts w:hint="eastAsia" w:ascii="宋体" w:hAnsi="宋体" w:cs="Arial"/>
          <w:b/>
          <w:color w:val="auto"/>
          <w:szCs w:val="21"/>
          <w:highlight w:val="none"/>
          <w:lang w:val="zh-CN"/>
        </w:rPr>
        <w:t>主要配件和易损件价格清单表</w:t>
      </w:r>
    </w:p>
    <w:p w14:paraId="4C5E434F">
      <w:pPr>
        <w:spacing w:line="360" w:lineRule="auto"/>
        <w:jc w:val="left"/>
        <w:rPr>
          <w:rFonts w:hint="default" w:ascii="宋体" w:hAnsi="宋体" w:eastAsia="宋体" w:cs="Arial"/>
          <w:b w:val="0"/>
          <w:bCs/>
          <w:color w:val="auto"/>
          <w:szCs w:val="21"/>
          <w:highlight w:val="none"/>
          <w:lang w:val="en-US" w:eastAsia="zh-CN"/>
        </w:rPr>
      </w:pPr>
      <w:r>
        <w:rPr>
          <w:rFonts w:hint="eastAsia" w:ascii="宋体" w:hAnsi="宋体" w:cs="Arial"/>
          <w:b w:val="0"/>
          <w:bCs/>
          <w:color w:val="auto"/>
          <w:szCs w:val="21"/>
          <w:highlight w:val="none"/>
          <w:lang w:val="en-US" w:eastAsia="zh-CN"/>
        </w:rPr>
        <w:t>采购编号：</w:t>
      </w:r>
    </w:p>
    <w:tbl>
      <w:tblPr>
        <w:tblStyle w:val="43"/>
        <w:tblW w:w="8771"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645"/>
        <w:gridCol w:w="1921"/>
        <w:gridCol w:w="1362"/>
        <w:gridCol w:w="1792"/>
        <w:gridCol w:w="772"/>
        <w:gridCol w:w="1317"/>
        <w:gridCol w:w="962"/>
      </w:tblGrid>
      <w:tr w14:paraId="3272743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74" w:hRule="exact"/>
        </w:trPr>
        <w:tc>
          <w:tcPr>
            <w:tcW w:w="645" w:type="dxa"/>
            <w:noWrap w:val="0"/>
            <w:vAlign w:val="center"/>
          </w:tcPr>
          <w:p w14:paraId="0AAD2884">
            <w:pPr>
              <w:spacing w:line="360" w:lineRule="auto"/>
              <w:jc w:val="center"/>
              <w:rPr>
                <w:rFonts w:ascii="Arial" w:hAnsi="Arial" w:cs="Arial"/>
                <w:color w:val="auto"/>
                <w:szCs w:val="21"/>
                <w:highlight w:val="none"/>
              </w:rPr>
            </w:pPr>
            <w:r>
              <w:rPr>
                <w:rFonts w:hint="eastAsia" w:ascii="Arial" w:hAnsi="Arial" w:cs="Arial"/>
                <w:color w:val="auto"/>
                <w:szCs w:val="21"/>
                <w:highlight w:val="none"/>
                <w:lang w:val="zh-CN"/>
              </w:rPr>
              <w:t>序号</w:t>
            </w:r>
          </w:p>
        </w:tc>
        <w:tc>
          <w:tcPr>
            <w:tcW w:w="1921" w:type="dxa"/>
            <w:noWrap w:val="0"/>
            <w:vAlign w:val="center"/>
          </w:tcPr>
          <w:p w14:paraId="2830B0E1">
            <w:pPr>
              <w:spacing w:line="360" w:lineRule="auto"/>
              <w:jc w:val="center"/>
              <w:rPr>
                <w:rFonts w:ascii="Arial" w:hAnsi="Arial" w:cs="Arial"/>
                <w:color w:val="auto"/>
                <w:szCs w:val="21"/>
                <w:highlight w:val="none"/>
              </w:rPr>
            </w:pPr>
            <w:r>
              <w:rPr>
                <w:rFonts w:hint="eastAsia" w:ascii="Arial" w:hAnsi="Arial" w:cs="Arial"/>
                <w:color w:val="auto"/>
                <w:szCs w:val="21"/>
                <w:highlight w:val="none"/>
                <w:lang w:val="zh-CN"/>
              </w:rPr>
              <w:t>名称</w:t>
            </w:r>
          </w:p>
        </w:tc>
        <w:tc>
          <w:tcPr>
            <w:tcW w:w="1362" w:type="dxa"/>
            <w:noWrap w:val="0"/>
            <w:vAlign w:val="center"/>
          </w:tcPr>
          <w:p w14:paraId="44C69ED0">
            <w:pPr>
              <w:spacing w:line="360" w:lineRule="auto"/>
              <w:jc w:val="center"/>
              <w:rPr>
                <w:rFonts w:ascii="Arial" w:hAnsi="Arial" w:cs="Arial"/>
                <w:color w:val="auto"/>
                <w:szCs w:val="21"/>
                <w:highlight w:val="none"/>
              </w:rPr>
            </w:pPr>
            <w:r>
              <w:rPr>
                <w:rFonts w:hint="eastAsia" w:ascii="Arial" w:cs="Arial"/>
                <w:color w:val="auto"/>
                <w:szCs w:val="21"/>
                <w:highlight w:val="none"/>
              </w:rPr>
              <w:t>生产厂家</w:t>
            </w:r>
          </w:p>
        </w:tc>
        <w:tc>
          <w:tcPr>
            <w:tcW w:w="1792" w:type="dxa"/>
            <w:noWrap w:val="0"/>
            <w:vAlign w:val="center"/>
          </w:tcPr>
          <w:p w14:paraId="4076821E">
            <w:pPr>
              <w:spacing w:line="360" w:lineRule="auto"/>
              <w:jc w:val="center"/>
              <w:rPr>
                <w:rFonts w:ascii="Arial" w:hAnsi="Arial" w:cs="Arial"/>
                <w:color w:val="auto"/>
                <w:szCs w:val="21"/>
                <w:highlight w:val="none"/>
              </w:rPr>
            </w:pPr>
            <w:r>
              <w:rPr>
                <w:rFonts w:hint="eastAsia" w:ascii="Arial" w:cs="Arial"/>
                <w:color w:val="auto"/>
                <w:szCs w:val="21"/>
                <w:highlight w:val="none"/>
              </w:rPr>
              <w:t>规格、型号</w:t>
            </w:r>
          </w:p>
        </w:tc>
        <w:tc>
          <w:tcPr>
            <w:tcW w:w="772" w:type="dxa"/>
            <w:noWrap w:val="0"/>
            <w:vAlign w:val="center"/>
          </w:tcPr>
          <w:p w14:paraId="0CE64432">
            <w:pPr>
              <w:spacing w:line="360" w:lineRule="auto"/>
              <w:jc w:val="center"/>
              <w:rPr>
                <w:rFonts w:ascii="Arial" w:hAnsi="Arial" w:cs="Arial"/>
                <w:color w:val="auto"/>
                <w:szCs w:val="21"/>
                <w:highlight w:val="none"/>
                <w:lang w:val="zh-CN"/>
              </w:rPr>
            </w:pPr>
            <w:r>
              <w:rPr>
                <w:rFonts w:hint="eastAsia" w:ascii="Arial" w:cs="Arial"/>
                <w:color w:val="auto"/>
                <w:szCs w:val="21"/>
                <w:highlight w:val="none"/>
              </w:rPr>
              <w:t>单位</w:t>
            </w:r>
          </w:p>
        </w:tc>
        <w:tc>
          <w:tcPr>
            <w:tcW w:w="1317" w:type="dxa"/>
            <w:noWrap w:val="0"/>
            <w:vAlign w:val="center"/>
          </w:tcPr>
          <w:p w14:paraId="2F0371C0">
            <w:pPr>
              <w:spacing w:line="360" w:lineRule="auto"/>
              <w:jc w:val="center"/>
              <w:rPr>
                <w:rFonts w:ascii="Arial" w:hAnsi="Arial" w:cs="Arial"/>
                <w:color w:val="auto"/>
                <w:szCs w:val="21"/>
                <w:highlight w:val="none"/>
                <w:lang w:val="zh-CN"/>
              </w:rPr>
            </w:pPr>
            <w:r>
              <w:rPr>
                <w:rFonts w:hint="eastAsia" w:ascii="Arial" w:hAnsi="Arial" w:cs="Arial"/>
                <w:color w:val="auto"/>
                <w:szCs w:val="21"/>
                <w:highlight w:val="none"/>
                <w:lang w:val="zh-CN"/>
              </w:rPr>
              <w:t>单价（元）</w:t>
            </w:r>
          </w:p>
        </w:tc>
        <w:tc>
          <w:tcPr>
            <w:tcW w:w="962" w:type="dxa"/>
            <w:noWrap w:val="0"/>
            <w:vAlign w:val="center"/>
          </w:tcPr>
          <w:p w14:paraId="05BCE63B">
            <w:pPr>
              <w:spacing w:line="360" w:lineRule="auto"/>
              <w:jc w:val="center"/>
              <w:rPr>
                <w:rFonts w:ascii="Arial" w:hAnsi="Arial" w:cs="Arial"/>
                <w:color w:val="auto"/>
                <w:szCs w:val="21"/>
                <w:highlight w:val="none"/>
                <w:lang w:val="zh-CN"/>
              </w:rPr>
            </w:pPr>
            <w:r>
              <w:rPr>
                <w:rFonts w:hint="eastAsia" w:ascii="Arial" w:hAnsi="Arial" w:cs="Arial"/>
                <w:color w:val="auto"/>
                <w:szCs w:val="21"/>
                <w:highlight w:val="none"/>
                <w:lang w:val="zh-CN"/>
              </w:rPr>
              <w:t>备注</w:t>
            </w:r>
          </w:p>
        </w:tc>
      </w:tr>
      <w:tr w14:paraId="6AC8CF6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645" w:type="dxa"/>
            <w:noWrap w:val="0"/>
            <w:vAlign w:val="top"/>
          </w:tcPr>
          <w:p w14:paraId="7E036EF2">
            <w:pPr>
              <w:spacing w:line="360" w:lineRule="auto"/>
              <w:rPr>
                <w:rFonts w:ascii="Arial" w:hAnsi="Arial" w:cs="Arial"/>
                <w:color w:val="auto"/>
                <w:szCs w:val="21"/>
                <w:highlight w:val="none"/>
              </w:rPr>
            </w:pPr>
            <w:r>
              <w:rPr>
                <w:rFonts w:ascii="Arial" w:hAnsi="Arial" w:cs="Arial"/>
                <w:color w:val="auto"/>
                <w:szCs w:val="21"/>
                <w:highlight w:val="none"/>
              </w:rPr>
              <w:t>1</w:t>
            </w:r>
          </w:p>
        </w:tc>
        <w:tc>
          <w:tcPr>
            <w:tcW w:w="1921" w:type="dxa"/>
            <w:noWrap w:val="0"/>
            <w:vAlign w:val="top"/>
          </w:tcPr>
          <w:p w14:paraId="77527551">
            <w:pPr>
              <w:spacing w:line="360" w:lineRule="auto"/>
              <w:rPr>
                <w:rFonts w:ascii="Arial" w:hAnsi="Arial" w:cs="Arial"/>
                <w:color w:val="auto"/>
                <w:szCs w:val="21"/>
                <w:highlight w:val="none"/>
              </w:rPr>
            </w:pPr>
          </w:p>
        </w:tc>
        <w:tc>
          <w:tcPr>
            <w:tcW w:w="1362" w:type="dxa"/>
            <w:noWrap w:val="0"/>
            <w:vAlign w:val="top"/>
          </w:tcPr>
          <w:p w14:paraId="18D56574">
            <w:pPr>
              <w:spacing w:line="360" w:lineRule="auto"/>
              <w:rPr>
                <w:rFonts w:ascii="Arial" w:hAnsi="Arial" w:cs="Arial"/>
                <w:color w:val="auto"/>
                <w:szCs w:val="21"/>
                <w:highlight w:val="none"/>
              </w:rPr>
            </w:pPr>
          </w:p>
        </w:tc>
        <w:tc>
          <w:tcPr>
            <w:tcW w:w="1792" w:type="dxa"/>
            <w:noWrap w:val="0"/>
            <w:vAlign w:val="top"/>
          </w:tcPr>
          <w:p w14:paraId="0C629229">
            <w:pPr>
              <w:spacing w:line="360" w:lineRule="auto"/>
              <w:rPr>
                <w:rFonts w:ascii="Arial" w:hAnsi="Arial" w:cs="Arial"/>
                <w:color w:val="auto"/>
                <w:szCs w:val="21"/>
                <w:highlight w:val="none"/>
              </w:rPr>
            </w:pPr>
          </w:p>
        </w:tc>
        <w:tc>
          <w:tcPr>
            <w:tcW w:w="772" w:type="dxa"/>
            <w:noWrap w:val="0"/>
            <w:vAlign w:val="top"/>
          </w:tcPr>
          <w:p w14:paraId="6FFA8FC6">
            <w:pPr>
              <w:spacing w:line="360" w:lineRule="auto"/>
              <w:rPr>
                <w:rFonts w:ascii="Arial" w:hAnsi="Arial" w:cs="Arial"/>
                <w:color w:val="auto"/>
                <w:szCs w:val="21"/>
                <w:highlight w:val="none"/>
              </w:rPr>
            </w:pPr>
          </w:p>
        </w:tc>
        <w:tc>
          <w:tcPr>
            <w:tcW w:w="1317" w:type="dxa"/>
            <w:noWrap w:val="0"/>
            <w:vAlign w:val="top"/>
          </w:tcPr>
          <w:p w14:paraId="523CCD6D">
            <w:pPr>
              <w:spacing w:line="360" w:lineRule="auto"/>
              <w:rPr>
                <w:rFonts w:ascii="Arial" w:hAnsi="Arial" w:cs="Arial"/>
                <w:color w:val="auto"/>
                <w:szCs w:val="21"/>
                <w:highlight w:val="none"/>
              </w:rPr>
            </w:pPr>
          </w:p>
        </w:tc>
        <w:tc>
          <w:tcPr>
            <w:tcW w:w="962" w:type="dxa"/>
            <w:noWrap w:val="0"/>
            <w:vAlign w:val="top"/>
          </w:tcPr>
          <w:p w14:paraId="634DCE3F">
            <w:pPr>
              <w:spacing w:line="360" w:lineRule="auto"/>
              <w:rPr>
                <w:rFonts w:ascii="Arial" w:hAnsi="Arial" w:cs="Arial"/>
                <w:color w:val="auto"/>
                <w:szCs w:val="21"/>
                <w:highlight w:val="none"/>
              </w:rPr>
            </w:pPr>
          </w:p>
        </w:tc>
      </w:tr>
      <w:tr w14:paraId="47B90E8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645" w:type="dxa"/>
            <w:noWrap w:val="0"/>
            <w:vAlign w:val="top"/>
          </w:tcPr>
          <w:p w14:paraId="46045193">
            <w:pPr>
              <w:spacing w:line="360" w:lineRule="auto"/>
              <w:rPr>
                <w:rFonts w:ascii="Arial" w:hAnsi="Arial" w:cs="Arial"/>
                <w:color w:val="auto"/>
                <w:szCs w:val="21"/>
                <w:highlight w:val="none"/>
              </w:rPr>
            </w:pPr>
            <w:r>
              <w:rPr>
                <w:rFonts w:ascii="Arial" w:hAnsi="Arial" w:cs="Arial"/>
                <w:color w:val="auto"/>
                <w:szCs w:val="21"/>
                <w:highlight w:val="none"/>
              </w:rPr>
              <w:t>2</w:t>
            </w:r>
          </w:p>
        </w:tc>
        <w:tc>
          <w:tcPr>
            <w:tcW w:w="1921" w:type="dxa"/>
            <w:noWrap w:val="0"/>
            <w:vAlign w:val="top"/>
          </w:tcPr>
          <w:p w14:paraId="49D1F2E7">
            <w:pPr>
              <w:spacing w:line="360" w:lineRule="auto"/>
              <w:rPr>
                <w:rFonts w:ascii="Arial" w:hAnsi="Arial" w:cs="Arial"/>
                <w:color w:val="auto"/>
                <w:szCs w:val="21"/>
                <w:highlight w:val="none"/>
              </w:rPr>
            </w:pPr>
          </w:p>
        </w:tc>
        <w:tc>
          <w:tcPr>
            <w:tcW w:w="1362" w:type="dxa"/>
            <w:noWrap w:val="0"/>
            <w:vAlign w:val="top"/>
          </w:tcPr>
          <w:p w14:paraId="67C23B67">
            <w:pPr>
              <w:spacing w:line="360" w:lineRule="auto"/>
              <w:rPr>
                <w:rFonts w:ascii="Arial" w:hAnsi="Arial" w:cs="Arial"/>
                <w:color w:val="auto"/>
                <w:szCs w:val="21"/>
                <w:highlight w:val="none"/>
              </w:rPr>
            </w:pPr>
          </w:p>
        </w:tc>
        <w:tc>
          <w:tcPr>
            <w:tcW w:w="1792" w:type="dxa"/>
            <w:noWrap w:val="0"/>
            <w:vAlign w:val="top"/>
          </w:tcPr>
          <w:p w14:paraId="0A6C4CB7">
            <w:pPr>
              <w:spacing w:line="360" w:lineRule="auto"/>
              <w:rPr>
                <w:rFonts w:ascii="Arial" w:hAnsi="Arial" w:cs="Arial"/>
                <w:color w:val="auto"/>
                <w:szCs w:val="21"/>
                <w:highlight w:val="none"/>
              </w:rPr>
            </w:pPr>
          </w:p>
        </w:tc>
        <w:tc>
          <w:tcPr>
            <w:tcW w:w="772" w:type="dxa"/>
            <w:noWrap w:val="0"/>
            <w:vAlign w:val="top"/>
          </w:tcPr>
          <w:p w14:paraId="57A55805">
            <w:pPr>
              <w:spacing w:line="360" w:lineRule="auto"/>
              <w:rPr>
                <w:rFonts w:ascii="Arial" w:hAnsi="Arial" w:cs="Arial"/>
                <w:color w:val="auto"/>
                <w:szCs w:val="21"/>
                <w:highlight w:val="none"/>
              </w:rPr>
            </w:pPr>
          </w:p>
        </w:tc>
        <w:tc>
          <w:tcPr>
            <w:tcW w:w="1317" w:type="dxa"/>
            <w:noWrap w:val="0"/>
            <w:vAlign w:val="top"/>
          </w:tcPr>
          <w:p w14:paraId="3A2A78BB">
            <w:pPr>
              <w:spacing w:line="360" w:lineRule="auto"/>
              <w:rPr>
                <w:rFonts w:ascii="Arial" w:hAnsi="Arial" w:cs="Arial"/>
                <w:color w:val="auto"/>
                <w:szCs w:val="21"/>
                <w:highlight w:val="none"/>
              </w:rPr>
            </w:pPr>
          </w:p>
        </w:tc>
        <w:tc>
          <w:tcPr>
            <w:tcW w:w="962" w:type="dxa"/>
            <w:noWrap w:val="0"/>
            <w:vAlign w:val="top"/>
          </w:tcPr>
          <w:p w14:paraId="708E4E72">
            <w:pPr>
              <w:spacing w:line="360" w:lineRule="auto"/>
              <w:rPr>
                <w:rFonts w:ascii="Arial" w:hAnsi="Arial" w:cs="Arial"/>
                <w:color w:val="auto"/>
                <w:szCs w:val="21"/>
                <w:highlight w:val="none"/>
              </w:rPr>
            </w:pPr>
          </w:p>
        </w:tc>
      </w:tr>
      <w:tr w14:paraId="46A360A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645" w:type="dxa"/>
            <w:noWrap w:val="0"/>
            <w:vAlign w:val="top"/>
          </w:tcPr>
          <w:p w14:paraId="3F503A6B">
            <w:pPr>
              <w:spacing w:line="360" w:lineRule="auto"/>
              <w:rPr>
                <w:rFonts w:ascii="Arial" w:hAnsi="Arial" w:cs="Arial"/>
                <w:color w:val="auto"/>
                <w:szCs w:val="21"/>
                <w:highlight w:val="none"/>
              </w:rPr>
            </w:pPr>
            <w:r>
              <w:rPr>
                <w:rFonts w:ascii="Arial" w:hAnsi="Arial" w:cs="Arial"/>
                <w:color w:val="auto"/>
                <w:szCs w:val="21"/>
                <w:highlight w:val="none"/>
              </w:rPr>
              <w:t>3</w:t>
            </w:r>
          </w:p>
        </w:tc>
        <w:tc>
          <w:tcPr>
            <w:tcW w:w="1921" w:type="dxa"/>
            <w:noWrap w:val="0"/>
            <w:vAlign w:val="top"/>
          </w:tcPr>
          <w:p w14:paraId="043D1259">
            <w:pPr>
              <w:spacing w:line="360" w:lineRule="auto"/>
              <w:rPr>
                <w:rFonts w:ascii="Arial" w:hAnsi="Arial" w:cs="Arial"/>
                <w:color w:val="auto"/>
                <w:szCs w:val="21"/>
                <w:highlight w:val="none"/>
              </w:rPr>
            </w:pPr>
          </w:p>
        </w:tc>
        <w:tc>
          <w:tcPr>
            <w:tcW w:w="1362" w:type="dxa"/>
            <w:noWrap w:val="0"/>
            <w:vAlign w:val="top"/>
          </w:tcPr>
          <w:p w14:paraId="2C14B5BE">
            <w:pPr>
              <w:spacing w:line="360" w:lineRule="auto"/>
              <w:rPr>
                <w:rFonts w:ascii="Arial" w:hAnsi="Arial" w:cs="Arial"/>
                <w:color w:val="auto"/>
                <w:szCs w:val="21"/>
                <w:highlight w:val="none"/>
              </w:rPr>
            </w:pPr>
          </w:p>
        </w:tc>
        <w:tc>
          <w:tcPr>
            <w:tcW w:w="1792" w:type="dxa"/>
            <w:noWrap w:val="0"/>
            <w:vAlign w:val="top"/>
          </w:tcPr>
          <w:p w14:paraId="1730414B">
            <w:pPr>
              <w:spacing w:line="360" w:lineRule="auto"/>
              <w:rPr>
                <w:rFonts w:ascii="Arial" w:hAnsi="Arial" w:cs="Arial"/>
                <w:color w:val="auto"/>
                <w:szCs w:val="21"/>
                <w:highlight w:val="none"/>
              </w:rPr>
            </w:pPr>
          </w:p>
        </w:tc>
        <w:tc>
          <w:tcPr>
            <w:tcW w:w="772" w:type="dxa"/>
            <w:noWrap w:val="0"/>
            <w:vAlign w:val="top"/>
          </w:tcPr>
          <w:p w14:paraId="7B45719A">
            <w:pPr>
              <w:spacing w:line="360" w:lineRule="auto"/>
              <w:rPr>
                <w:rFonts w:ascii="Arial" w:hAnsi="Arial" w:cs="Arial"/>
                <w:color w:val="auto"/>
                <w:szCs w:val="21"/>
                <w:highlight w:val="none"/>
              </w:rPr>
            </w:pPr>
          </w:p>
        </w:tc>
        <w:tc>
          <w:tcPr>
            <w:tcW w:w="1317" w:type="dxa"/>
            <w:noWrap w:val="0"/>
            <w:vAlign w:val="top"/>
          </w:tcPr>
          <w:p w14:paraId="35058441">
            <w:pPr>
              <w:spacing w:line="360" w:lineRule="auto"/>
              <w:rPr>
                <w:rFonts w:ascii="Arial" w:hAnsi="Arial" w:cs="Arial"/>
                <w:color w:val="auto"/>
                <w:szCs w:val="21"/>
                <w:highlight w:val="none"/>
              </w:rPr>
            </w:pPr>
          </w:p>
        </w:tc>
        <w:tc>
          <w:tcPr>
            <w:tcW w:w="962" w:type="dxa"/>
            <w:noWrap w:val="0"/>
            <w:vAlign w:val="top"/>
          </w:tcPr>
          <w:p w14:paraId="02E21054">
            <w:pPr>
              <w:spacing w:line="360" w:lineRule="auto"/>
              <w:rPr>
                <w:rFonts w:ascii="Arial" w:hAnsi="Arial" w:cs="Arial"/>
                <w:color w:val="auto"/>
                <w:szCs w:val="21"/>
                <w:highlight w:val="none"/>
              </w:rPr>
            </w:pPr>
          </w:p>
        </w:tc>
      </w:tr>
      <w:tr w14:paraId="1A6D8FC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645" w:type="dxa"/>
            <w:noWrap w:val="0"/>
            <w:vAlign w:val="top"/>
          </w:tcPr>
          <w:p w14:paraId="34AB2FE0">
            <w:pPr>
              <w:spacing w:line="360" w:lineRule="auto"/>
              <w:rPr>
                <w:rFonts w:ascii="Arial" w:hAnsi="Arial" w:cs="Arial"/>
                <w:color w:val="auto"/>
                <w:szCs w:val="21"/>
                <w:highlight w:val="none"/>
              </w:rPr>
            </w:pPr>
            <w:r>
              <w:rPr>
                <w:rFonts w:hint="eastAsia" w:ascii="Arial" w:hAnsi="Arial" w:cs="Arial"/>
                <w:color w:val="auto"/>
                <w:szCs w:val="21"/>
                <w:highlight w:val="none"/>
              </w:rPr>
              <w:t>4</w:t>
            </w:r>
          </w:p>
        </w:tc>
        <w:tc>
          <w:tcPr>
            <w:tcW w:w="1921" w:type="dxa"/>
            <w:noWrap w:val="0"/>
            <w:vAlign w:val="top"/>
          </w:tcPr>
          <w:p w14:paraId="29BD8E06">
            <w:pPr>
              <w:spacing w:line="360" w:lineRule="auto"/>
              <w:rPr>
                <w:rFonts w:ascii="Arial" w:hAnsi="Arial" w:cs="Arial"/>
                <w:color w:val="auto"/>
                <w:szCs w:val="21"/>
                <w:highlight w:val="none"/>
              </w:rPr>
            </w:pPr>
          </w:p>
        </w:tc>
        <w:tc>
          <w:tcPr>
            <w:tcW w:w="1362" w:type="dxa"/>
            <w:noWrap w:val="0"/>
            <w:vAlign w:val="top"/>
          </w:tcPr>
          <w:p w14:paraId="55FE39A3">
            <w:pPr>
              <w:spacing w:line="360" w:lineRule="auto"/>
              <w:rPr>
                <w:rFonts w:ascii="Arial" w:hAnsi="Arial" w:cs="Arial"/>
                <w:color w:val="auto"/>
                <w:szCs w:val="21"/>
                <w:highlight w:val="none"/>
              </w:rPr>
            </w:pPr>
          </w:p>
        </w:tc>
        <w:tc>
          <w:tcPr>
            <w:tcW w:w="1792" w:type="dxa"/>
            <w:noWrap w:val="0"/>
            <w:vAlign w:val="top"/>
          </w:tcPr>
          <w:p w14:paraId="404A2071">
            <w:pPr>
              <w:spacing w:line="360" w:lineRule="auto"/>
              <w:rPr>
                <w:rFonts w:ascii="Arial" w:hAnsi="Arial" w:cs="Arial"/>
                <w:color w:val="auto"/>
                <w:szCs w:val="21"/>
                <w:highlight w:val="none"/>
              </w:rPr>
            </w:pPr>
          </w:p>
        </w:tc>
        <w:tc>
          <w:tcPr>
            <w:tcW w:w="772" w:type="dxa"/>
            <w:noWrap w:val="0"/>
            <w:vAlign w:val="top"/>
          </w:tcPr>
          <w:p w14:paraId="06B75E4B">
            <w:pPr>
              <w:spacing w:line="360" w:lineRule="auto"/>
              <w:rPr>
                <w:rFonts w:ascii="Arial" w:hAnsi="Arial" w:cs="Arial"/>
                <w:color w:val="auto"/>
                <w:szCs w:val="21"/>
                <w:highlight w:val="none"/>
              </w:rPr>
            </w:pPr>
          </w:p>
        </w:tc>
        <w:tc>
          <w:tcPr>
            <w:tcW w:w="1317" w:type="dxa"/>
            <w:noWrap w:val="0"/>
            <w:vAlign w:val="top"/>
          </w:tcPr>
          <w:p w14:paraId="41BBC7B9">
            <w:pPr>
              <w:spacing w:line="360" w:lineRule="auto"/>
              <w:rPr>
                <w:rFonts w:ascii="Arial" w:hAnsi="Arial" w:cs="Arial"/>
                <w:color w:val="auto"/>
                <w:szCs w:val="21"/>
                <w:highlight w:val="none"/>
              </w:rPr>
            </w:pPr>
          </w:p>
        </w:tc>
        <w:tc>
          <w:tcPr>
            <w:tcW w:w="962" w:type="dxa"/>
            <w:noWrap w:val="0"/>
            <w:vAlign w:val="top"/>
          </w:tcPr>
          <w:p w14:paraId="6B6D6AC5">
            <w:pPr>
              <w:spacing w:line="360" w:lineRule="auto"/>
              <w:rPr>
                <w:rFonts w:ascii="Arial" w:hAnsi="Arial" w:cs="Arial"/>
                <w:color w:val="auto"/>
                <w:szCs w:val="21"/>
                <w:highlight w:val="none"/>
              </w:rPr>
            </w:pPr>
          </w:p>
        </w:tc>
      </w:tr>
      <w:tr w14:paraId="72070CF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645" w:type="dxa"/>
            <w:noWrap w:val="0"/>
            <w:vAlign w:val="top"/>
          </w:tcPr>
          <w:p w14:paraId="2EB6637A">
            <w:pPr>
              <w:spacing w:line="360" w:lineRule="auto"/>
              <w:rPr>
                <w:rFonts w:ascii="Arial" w:hAnsi="Arial" w:cs="Arial"/>
                <w:color w:val="auto"/>
                <w:szCs w:val="21"/>
                <w:highlight w:val="none"/>
              </w:rPr>
            </w:pPr>
            <w:r>
              <w:rPr>
                <w:rFonts w:hint="eastAsia" w:ascii="Arial" w:hAnsi="Arial" w:cs="Arial"/>
                <w:color w:val="auto"/>
                <w:szCs w:val="21"/>
                <w:highlight w:val="none"/>
              </w:rPr>
              <w:t>5</w:t>
            </w:r>
          </w:p>
        </w:tc>
        <w:tc>
          <w:tcPr>
            <w:tcW w:w="1921" w:type="dxa"/>
            <w:noWrap w:val="0"/>
            <w:vAlign w:val="top"/>
          </w:tcPr>
          <w:p w14:paraId="24B30F5E">
            <w:pPr>
              <w:spacing w:line="360" w:lineRule="auto"/>
              <w:rPr>
                <w:rFonts w:ascii="Arial" w:hAnsi="Arial" w:cs="Arial"/>
                <w:color w:val="auto"/>
                <w:szCs w:val="21"/>
                <w:highlight w:val="none"/>
              </w:rPr>
            </w:pPr>
          </w:p>
        </w:tc>
        <w:tc>
          <w:tcPr>
            <w:tcW w:w="1362" w:type="dxa"/>
            <w:noWrap w:val="0"/>
            <w:vAlign w:val="top"/>
          </w:tcPr>
          <w:p w14:paraId="142A8F0A">
            <w:pPr>
              <w:spacing w:line="360" w:lineRule="auto"/>
              <w:rPr>
                <w:rFonts w:ascii="Arial" w:hAnsi="Arial" w:cs="Arial"/>
                <w:color w:val="auto"/>
                <w:szCs w:val="21"/>
                <w:highlight w:val="none"/>
              </w:rPr>
            </w:pPr>
          </w:p>
        </w:tc>
        <w:tc>
          <w:tcPr>
            <w:tcW w:w="1792" w:type="dxa"/>
            <w:noWrap w:val="0"/>
            <w:vAlign w:val="top"/>
          </w:tcPr>
          <w:p w14:paraId="374500C2">
            <w:pPr>
              <w:spacing w:line="360" w:lineRule="auto"/>
              <w:rPr>
                <w:rFonts w:ascii="Arial" w:hAnsi="Arial" w:cs="Arial"/>
                <w:color w:val="auto"/>
                <w:szCs w:val="21"/>
                <w:highlight w:val="none"/>
              </w:rPr>
            </w:pPr>
          </w:p>
        </w:tc>
        <w:tc>
          <w:tcPr>
            <w:tcW w:w="772" w:type="dxa"/>
            <w:noWrap w:val="0"/>
            <w:vAlign w:val="top"/>
          </w:tcPr>
          <w:p w14:paraId="60EB1DF5">
            <w:pPr>
              <w:spacing w:line="360" w:lineRule="auto"/>
              <w:rPr>
                <w:rFonts w:ascii="Arial" w:hAnsi="Arial" w:cs="Arial"/>
                <w:color w:val="auto"/>
                <w:szCs w:val="21"/>
                <w:highlight w:val="none"/>
              </w:rPr>
            </w:pPr>
          </w:p>
        </w:tc>
        <w:tc>
          <w:tcPr>
            <w:tcW w:w="1317" w:type="dxa"/>
            <w:noWrap w:val="0"/>
            <w:vAlign w:val="top"/>
          </w:tcPr>
          <w:p w14:paraId="0EEC5733">
            <w:pPr>
              <w:spacing w:line="360" w:lineRule="auto"/>
              <w:rPr>
                <w:rFonts w:ascii="Arial" w:hAnsi="Arial" w:cs="Arial"/>
                <w:color w:val="auto"/>
                <w:szCs w:val="21"/>
                <w:highlight w:val="none"/>
              </w:rPr>
            </w:pPr>
          </w:p>
        </w:tc>
        <w:tc>
          <w:tcPr>
            <w:tcW w:w="962" w:type="dxa"/>
            <w:noWrap w:val="0"/>
            <w:vAlign w:val="top"/>
          </w:tcPr>
          <w:p w14:paraId="3AABF927">
            <w:pPr>
              <w:spacing w:line="360" w:lineRule="auto"/>
              <w:rPr>
                <w:rFonts w:ascii="Arial" w:hAnsi="Arial" w:cs="Arial"/>
                <w:color w:val="auto"/>
                <w:szCs w:val="21"/>
                <w:highlight w:val="none"/>
              </w:rPr>
            </w:pPr>
          </w:p>
        </w:tc>
      </w:tr>
      <w:tr w14:paraId="07D2E19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645" w:type="dxa"/>
            <w:noWrap w:val="0"/>
            <w:vAlign w:val="top"/>
          </w:tcPr>
          <w:p w14:paraId="2F0B07F9">
            <w:pPr>
              <w:spacing w:line="360" w:lineRule="auto"/>
              <w:rPr>
                <w:rFonts w:ascii="Arial" w:hAnsi="Arial" w:cs="Arial"/>
                <w:color w:val="auto"/>
                <w:szCs w:val="21"/>
                <w:highlight w:val="none"/>
              </w:rPr>
            </w:pPr>
            <w:r>
              <w:rPr>
                <w:rFonts w:hint="eastAsia" w:ascii="Arial" w:hAnsi="Arial" w:cs="Arial"/>
                <w:color w:val="auto"/>
                <w:szCs w:val="21"/>
                <w:highlight w:val="none"/>
              </w:rPr>
              <w:t>6</w:t>
            </w:r>
          </w:p>
        </w:tc>
        <w:tc>
          <w:tcPr>
            <w:tcW w:w="1921" w:type="dxa"/>
            <w:noWrap w:val="0"/>
            <w:vAlign w:val="top"/>
          </w:tcPr>
          <w:p w14:paraId="6F7D517F">
            <w:pPr>
              <w:spacing w:line="360" w:lineRule="auto"/>
              <w:rPr>
                <w:rFonts w:ascii="Arial" w:hAnsi="Arial" w:cs="Arial"/>
                <w:color w:val="auto"/>
                <w:szCs w:val="21"/>
                <w:highlight w:val="none"/>
              </w:rPr>
            </w:pPr>
          </w:p>
        </w:tc>
        <w:tc>
          <w:tcPr>
            <w:tcW w:w="1362" w:type="dxa"/>
            <w:noWrap w:val="0"/>
            <w:vAlign w:val="top"/>
          </w:tcPr>
          <w:p w14:paraId="7E387F80">
            <w:pPr>
              <w:spacing w:line="360" w:lineRule="auto"/>
              <w:rPr>
                <w:rFonts w:ascii="Arial" w:hAnsi="Arial" w:cs="Arial"/>
                <w:color w:val="auto"/>
                <w:szCs w:val="21"/>
                <w:highlight w:val="none"/>
              </w:rPr>
            </w:pPr>
          </w:p>
        </w:tc>
        <w:tc>
          <w:tcPr>
            <w:tcW w:w="1792" w:type="dxa"/>
            <w:noWrap w:val="0"/>
            <w:vAlign w:val="top"/>
          </w:tcPr>
          <w:p w14:paraId="757F7F70">
            <w:pPr>
              <w:spacing w:line="360" w:lineRule="auto"/>
              <w:rPr>
                <w:rFonts w:ascii="Arial" w:hAnsi="Arial" w:cs="Arial"/>
                <w:color w:val="auto"/>
                <w:szCs w:val="21"/>
                <w:highlight w:val="none"/>
              </w:rPr>
            </w:pPr>
          </w:p>
        </w:tc>
        <w:tc>
          <w:tcPr>
            <w:tcW w:w="772" w:type="dxa"/>
            <w:noWrap w:val="0"/>
            <w:vAlign w:val="top"/>
          </w:tcPr>
          <w:p w14:paraId="586E1C1D">
            <w:pPr>
              <w:spacing w:line="360" w:lineRule="auto"/>
              <w:rPr>
                <w:rFonts w:ascii="Arial" w:hAnsi="Arial" w:cs="Arial"/>
                <w:color w:val="auto"/>
                <w:szCs w:val="21"/>
                <w:highlight w:val="none"/>
              </w:rPr>
            </w:pPr>
          </w:p>
        </w:tc>
        <w:tc>
          <w:tcPr>
            <w:tcW w:w="1317" w:type="dxa"/>
            <w:noWrap w:val="0"/>
            <w:vAlign w:val="top"/>
          </w:tcPr>
          <w:p w14:paraId="39700083">
            <w:pPr>
              <w:spacing w:line="360" w:lineRule="auto"/>
              <w:rPr>
                <w:rFonts w:ascii="Arial" w:hAnsi="Arial" w:cs="Arial"/>
                <w:color w:val="auto"/>
                <w:szCs w:val="21"/>
                <w:highlight w:val="none"/>
              </w:rPr>
            </w:pPr>
          </w:p>
        </w:tc>
        <w:tc>
          <w:tcPr>
            <w:tcW w:w="962" w:type="dxa"/>
            <w:noWrap w:val="0"/>
            <w:vAlign w:val="top"/>
          </w:tcPr>
          <w:p w14:paraId="30B735E7">
            <w:pPr>
              <w:spacing w:line="360" w:lineRule="auto"/>
              <w:rPr>
                <w:rFonts w:ascii="Arial" w:hAnsi="Arial" w:cs="Arial"/>
                <w:color w:val="auto"/>
                <w:szCs w:val="21"/>
                <w:highlight w:val="none"/>
              </w:rPr>
            </w:pPr>
          </w:p>
        </w:tc>
      </w:tr>
    </w:tbl>
    <w:p w14:paraId="100D4055">
      <w:pPr>
        <w:pStyle w:val="21"/>
        <w:spacing w:line="360" w:lineRule="auto"/>
        <w:ind w:firstLine="420"/>
        <w:rPr>
          <w:rFonts w:hint="eastAsia" w:hAnsi="宋体" w:eastAsia="宋体" w:cs="宋体"/>
          <w:color w:val="auto"/>
          <w:sz w:val="21"/>
          <w:highlight w:val="none"/>
        </w:rPr>
      </w:pPr>
    </w:p>
    <w:p w14:paraId="3E9B9D3B">
      <w:pPr>
        <w:pStyle w:val="21"/>
        <w:spacing w:line="360" w:lineRule="auto"/>
        <w:ind w:firstLine="420"/>
        <w:rPr>
          <w:rFonts w:hint="eastAsia" w:hAnsi="宋体" w:eastAsia="宋体" w:cs="宋体"/>
          <w:color w:val="auto"/>
          <w:sz w:val="21"/>
          <w:highlight w:val="none"/>
        </w:rPr>
      </w:pPr>
      <w:r>
        <w:rPr>
          <w:rFonts w:hint="eastAsia" w:hAnsi="宋体" w:eastAsia="宋体" w:cs="宋体"/>
          <w:color w:val="auto"/>
          <w:sz w:val="21"/>
          <w:highlight w:val="none"/>
        </w:rPr>
        <w:t>谈判响应单位：（签章）</w:t>
      </w:r>
    </w:p>
    <w:p w14:paraId="38943E97">
      <w:pPr>
        <w:pStyle w:val="21"/>
        <w:spacing w:line="360" w:lineRule="auto"/>
        <w:ind w:firstLine="420"/>
        <w:rPr>
          <w:rFonts w:hint="eastAsia" w:hAnsi="宋体" w:eastAsia="宋体" w:cs="宋体"/>
          <w:color w:val="auto"/>
          <w:sz w:val="21"/>
          <w:highlight w:val="none"/>
        </w:rPr>
      </w:pPr>
      <w:r>
        <w:rPr>
          <w:rFonts w:hint="eastAsia" w:hAnsi="宋体" w:eastAsia="宋体" w:cs="宋体"/>
          <w:color w:val="auto"/>
          <w:sz w:val="21"/>
          <w:highlight w:val="none"/>
        </w:rPr>
        <w:t xml:space="preserve">日期：        年    月    日                  </w:t>
      </w:r>
    </w:p>
    <w:p w14:paraId="5786232C">
      <w:pPr>
        <w:pStyle w:val="5"/>
        <w:pageBreakBefore/>
        <w:kinsoku/>
        <w:wordWrap/>
        <w:overflowPunct/>
        <w:topLinePunct w:val="0"/>
        <w:autoSpaceDE/>
        <w:autoSpaceDN/>
        <w:bidi w:val="0"/>
        <w:spacing w:line="360" w:lineRule="auto"/>
        <w:ind w:firstLine="0"/>
        <w:jc w:val="both"/>
        <w:textAlignment w:val="auto"/>
        <w:rPr>
          <w:rFonts w:hint="eastAsia" w:ascii="宋体" w:hAnsi="宋体" w:eastAsia="宋体" w:cs="宋体"/>
          <w:b/>
          <w:color w:val="auto"/>
          <w:spacing w:val="0"/>
          <w:sz w:val="21"/>
          <w:highlight w:val="none"/>
        </w:rPr>
      </w:pPr>
      <w:r>
        <w:rPr>
          <w:rFonts w:hint="eastAsia" w:ascii="宋体" w:hAnsi="宋体" w:eastAsia="宋体" w:cs="宋体"/>
          <w:b/>
          <w:color w:val="auto"/>
          <w:spacing w:val="0"/>
          <w:sz w:val="21"/>
          <w:highlight w:val="none"/>
          <w:lang w:val="en-US" w:eastAsia="zh-CN"/>
        </w:rPr>
        <w:t>附件6：</w:t>
      </w:r>
      <w:r>
        <w:rPr>
          <w:rFonts w:hint="eastAsia" w:ascii="宋体" w:hAnsi="宋体" w:eastAsia="宋体" w:cs="宋体"/>
          <w:b/>
          <w:color w:val="auto"/>
          <w:spacing w:val="0"/>
          <w:sz w:val="21"/>
          <w:highlight w:val="none"/>
        </w:rPr>
        <w:t>关于资格文件的声明函</w:t>
      </w:r>
    </w:p>
    <w:p w14:paraId="40198052">
      <w:pPr>
        <w:pStyle w:val="5"/>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highlight w:val="none"/>
        </w:rPr>
      </w:pPr>
    </w:p>
    <w:p w14:paraId="2C4E4FDF">
      <w:pPr>
        <w:pStyle w:val="5"/>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关于资格文件的声明函</w:t>
      </w:r>
    </w:p>
    <w:p w14:paraId="62AC2A5E">
      <w:pPr>
        <w:pStyle w:val="5"/>
        <w:kinsoku/>
        <w:wordWrap/>
        <w:overflowPunct/>
        <w:topLinePunct w:val="0"/>
        <w:autoSpaceDE/>
        <w:autoSpaceDN/>
        <w:bidi w:val="0"/>
        <w:spacing w:line="360" w:lineRule="auto"/>
        <w:ind w:firstLine="0"/>
        <w:textAlignment w:val="auto"/>
        <w:rPr>
          <w:rFonts w:hint="eastAsia" w:ascii="宋体" w:hAnsi="宋体" w:eastAsia="宋体" w:cs="宋体"/>
          <w:color w:val="auto"/>
          <w:spacing w:val="0"/>
          <w:sz w:val="21"/>
          <w:highlight w:val="none"/>
          <w:u w:val="single"/>
        </w:rPr>
      </w:pPr>
    </w:p>
    <w:p w14:paraId="1EC4AEA8">
      <w:pPr>
        <w:pStyle w:val="5"/>
        <w:kinsoku/>
        <w:wordWrap/>
        <w:overflowPunct/>
        <w:topLinePunct w:val="0"/>
        <w:autoSpaceDE/>
        <w:autoSpaceDN/>
        <w:bidi w:val="0"/>
        <w:spacing w:line="360" w:lineRule="auto"/>
        <w:ind w:left="0" w:leftChars="0" w:firstLine="1260" w:firstLineChars="600"/>
        <w:textAlignment w:val="auto"/>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w:t>
      </w:r>
    </w:p>
    <w:p w14:paraId="56857AC3">
      <w:pPr>
        <w:pStyle w:val="5"/>
        <w:kinsoku/>
        <w:wordWrap/>
        <w:overflowPunct/>
        <w:topLinePunct w:val="0"/>
        <w:autoSpaceDE/>
        <w:autoSpaceDN/>
        <w:bidi w:val="0"/>
        <w:spacing w:line="360" w:lineRule="auto"/>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highlight w:val="none"/>
        </w:rPr>
        <w:t>本公司愿就由贵公司组织实施的编号为</w:t>
      </w:r>
      <w:r>
        <w:rPr>
          <w:rFonts w:hint="eastAsia" w:ascii="宋体" w:hAnsi="宋体" w:eastAsia="宋体" w:cs="宋体"/>
          <w:color w:val="auto"/>
          <w:spacing w:val="0"/>
          <w:sz w:val="21"/>
          <w:highlight w:val="none"/>
          <w:lang w:eastAsia="zh-CN"/>
        </w:rPr>
        <w:t>JSZC-320509-CJZB-T2025-0085</w:t>
      </w:r>
      <w:r>
        <w:rPr>
          <w:rFonts w:hint="eastAsia" w:ascii="宋体" w:hAnsi="宋体" w:eastAsia="宋体" w:cs="宋体"/>
          <w:color w:val="auto"/>
          <w:spacing w:val="0"/>
          <w:sz w:val="21"/>
          <w:highlight w:val="none"/>
        </w:rPr>
        <w:t>号的招标活动进行投标。本公司所提交的响应文件中所有关于投标资格的文件、证明和陈述均是真实的、准确的。本公司愿意提供采购文件中要求的所有资料，本公司承诺我单位符合采购文件中的所有资格要求。若与真实情况不符，本公司愿意承担由此而产生的一切后果。</w:t>
      </w:r>
    </w:p>
    <w:p w14:paraId="19D13426">
      <w:pPr>
        <w:pStyle w:val="5"/>
        <w:kinsoku/>
        <w:wordWrap/>
        <w:overflowPunct/>
        <w:topLinePunct w:val="0"/>
        <w:autoSpaceDE/>
        <w:autoSpaceDN/>
        <w:bidi w:val="0"/>
        <w:spacing w:line="360" w:lineRule="auto"/>
        <w:ind w:firstLine="0"/>
        <w:jc w:val="both"/>
        <w:textAlignment w:val="auto"/>
        <w:rPr>
          <w:rFonts w:hint="eastAsia" w:ascii="宋体" w:hAnsi="宋体" w:eastAsia="宋体" w:cs="宋体"/>
          <w:color w:val="auto"/>
          <w:spacing w:val="0"/>
          <w:sz w:val="21"/>
          <w:highlight w:val="none"/>
        </w:rPr>
      </w:pPr>
    </w:p>
    <w:p w14:paraId="16A718F5">
      <w:pPr>
        <w:pStyle w:val="5"/>
        <w:kinsoku/>
        <w:wordWrap/>
        <w:overflowPunct/>
        <w:topLinePunct w:val="0"/>
        <w:autoSpaceDE/>
        <w:autoSpaceDN/>
        <w:bidi w:val="0"/>
        <w:spacing w:line="360" w:lineRule="auto"/>
        <w:ind w:firstLine="0"/>
        <w:jc w:val="both"/>
        <w:textAlignment w:val="auto"/>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lang w:eastAsia="zh-CN"/>
        </w:rPr>
        <w:t>谈判</w:t>
      </w:r>
      <w:r>
        <w:rPr>
          <w:rFonts w:hint="eastAsia" w:ascii="宋体" w:hAnsi="宋体" w:eastAsia="宋体" w:cs="宋体"/>
          <w:color w:val="auto"/>
          <w:spacing w:val="0"/>
          <w:sz w:val="21"/>
          <w:highlight w:val="none"/>
        </w:rPr>
        <w:t>响应单位：（</w:t>
      </w:r>
      <w:r>
        <w:rPr>
          <w:rFonts w:hint="eastAsia" w:ascii="宋体" w:hAnsi="宋体" w:eastAsia="宋体" w:cs="宋体"/>
          <w:color w:val="auto"/>
          <w:spacing w:val="0"/>
          <w:sz w:val="21"/>
          <w:highlight w:val="none"/>
          <w:lang w:val="en-US" w:eastAsia="zh-CN"/>
        </w:rPr>
        <w:t>签</w:t>
      </w:r>
      <w:r>
        <w:rPr>
          <w:rFonts w:hint="eastAsia" w:ascii="宋体" w:hAnsi="宋体" w:eastAsia="宋体" w:cs="宋体"/>
          <w:color w:val="auto"/>
          <w:spacing w:val="0"/>
          <w:sz w:val="21"/>
          <w:highlight w:val="none"/>
        </w:rPr>
        <w:t>章）</w:t>
      </w:r>
    </w:p>
    <w:p w14:paraId="1CA650DF">
      <w:pPr>
        <w:pStyle w:val="5"/>
        <w:kinsoku/>
        <w:wordWrap/>
        <w:overflowPunct/>
        <w:topLinePunct w:val="0"/>
        <w:autoSpaceDE/>
        <w:autoSpaceDN/>
        <w:bidi w:val="0"/>
        <w:spacing w:line="360" w:lineRule="auto"/>
        <w:ind w:firstLine="0"/>
        <w:jc w:val="both"/>
        <w:textAlignment w:val="auto"/>
        <w:rPr>
          <w:rFonts w:hint="eastAsia" w:ascii="宋体" w:hAnsi="宋体" w:eastAsia="宋体" w:cs="宋体"/>
          <w:color w:val="auto"/>
          <w:spacing w:val="0"/>
          <w:sz w:val="21"/>
          <w:szCs w:val="21"/>
          <w:highlight w:val="none"/>
        </w:rPr>
        <w:sectPr>
          <w:pgSz w:w="11906" w:h="16838"/>
          <w:pgMar w:top="1440" w:right="1417" w:bottom="1440" w:left="1417" w:header="964" w:footer="964" w:gutter="0"/>
          <w:cols w:space="720" w:num="1"/>
          <w:docGrid w:linePitch="360" w:charSpace="0"/>
        </w:sectPr>
      </w:pPr>
      <w:r>
        <w:rPr>
          <w:rFonts w:hint="eastAsia" w:ascii="宋体" w:hAnsi="宋体" w:eastAsia="宋体" w:cs="宋体"/>
          <w:color w:val="auto"/>
          <w:spacing w:val="0"/>
          <w:sz w:val="21"/>
          <w:szCs w:val="21"/>
          <w:highlight w:val="none"/>
        </w:rPr>
        <w:t>日期：        年    月    日</w:t>
      </w:r>
    </w:p>
    <w:p w14:paraId="4DFAFF71">
      <w:pPr>
        <w:pageBreakBefore/>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lang w:eastAsia="zh-CN"/>
        </w:rPr>
      </w:pPr>
      <w:r>
        <w:rPr>
          <w:rFonts w:hint="eastAsia" w:ascii="宋体" w:hAnsi="宋体" w:eastAsia="宋体" w:cs="宋体"/>
          <w:b/>
          <w:color w:val="auto"/>
          <w:spacing w:val="0"/>
          <w:szCs w:val="21"/>
          <w:highlight w:val="none"/>
        </w:rPr>
        <w:t>附件</w:t>
      </w:r>
      <w:r>
        <w:rPr>
          <w:rFonts w:hint="eastAsia" w:ascii="宋体" w:hAnsi="宋体" w:cs="宋体"/>
          <w:b/>
          <w:color w:val="auto"/>
          <w:spacing w:val="0"/>
          <w:szCs w:val="21"/>
          <w:highlight w:val="none"/>
          <w:lang w:val="en-US" w:eastAsia="zh-CN"/>
        </w:rPr>
        <w:t>7</w:t>
      </w:r>
      <w:r>
        <w:rPr>
          <w:rFonts w:hint="eastAsia" w:ascii="宋体" w:hAnsi="宋体" w:eastAsia="宋体" w:cs="宋体"/>
          <w:b/>
          <w:color w:val="auto"/>
          <w:spacing w:val="0"/>
          <w:szCs w:val="21"/>
          <w:highlight w:val="none"/>
        </w:rPr>
        <w:t>：（</w:t>
      </w:r>
      <w:r>
        <w:rPr>
          <w:rFonts w:hint="eastAsia" w:ascii="宋体" w:hAnsi="宋体" w:eastAsia="宋体" w:cs="宋体"/>
          <w:b/>
          <w:color w:val="auto"/>
          <w:spacing w:val="0"/>
          <w:szCs w:val="21"/>
          <w:highlight w:val="none"/>
          <w:lang w:eastAsia="zh-CN"/>
        </w:rPr>
        <w:t>谈判</w:t>
      </w:r>
      <w:r>
        <w:rPr>
          <w:rFonts w:hint="eastAsia" w:ascii="宋体" w:hAnsi="宋体" w:eastAsia="宋体" w:cs="宋体"/>
          <w:b/>
          <w:color w:val="auto"/>
          <w:spacing w:val="0"/>
          <w:szCs w:val="21"/>
          <w:highlight w:val="none"/>
        </w:rPr>
        <w:t>响应单位）</w:t>
      </w:r>
      <w:r>
        <w:rPr>
          <w:rFonts w:hint="eastAsia" w:ascii="宋体" w:hAnsi="宋体" w:eastAsia="宋体" w:cs="宋体"/>
          <w:b/>
          <w:color w:val="auto"/>
          <w:spacing w:val="0"/>
          <w:szCs w:val="21"/>
          <w:highlight w:val="none"/>
          <w:lang w:eastAsia="zh-CN"/>
        </w:rPr>
        <w:t>法人授权委托书</w:t>
      </w:r>
    </w:p>
    <w:p w14:paraId="695D4116">
      <w:pPr>
        <w:pStyle w:val="5"/>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 w:val="21"/>
          <w:szCs w:val="21"/>
          <w:highlight w:val="none"/>
        </w:rPr>
      </w:pPr>
    </w:p>
    <w:p w14:paraId="427C6738">
      <w:pPr>
        <w:pStyle w:val="5"/>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pacing w:val="0"/>
          <w:sz w:val="21"/>
          <w:szCs w:val="21"/>
          <w:highlight w:val="none"/>
          <w:lang w:eastAsia="zh-CN"/>
        </w:rPr>
      </w:pPr>
      <w:r>
        <w:rPr>
          <w:rFonts w:hint="eastAsia" w:ascii="宋体" w:hAnsi="宋体" w:eastAsia="宋体" w:cs="宋体"/>
          <w:b/>
          <w:color w:val="auto"/>
          <w:spacing w:val="0"/>
          <w:sz w:val="21"/>
          <w:szCs w:val="21"/>
          <w:highlight w:val="none"/>
          <w:lang w:eastAsia="zh-CN"/>
        </w:rPr>
        <w:t>法人授权委托书</w:t>
      </w:r>
    </w:p>
    <w:p w14:paraId="679DC75D">
      <w:pPr>
        <w:pStyle w:val="5"/>
        <w:kinsoku/>
        <w:wordWrap/>
        <w:overflowPunct/>
        <w:topLinePunct w:val="0"/>
        <w:autoSpaceDE/>
        <w:autoSpaceDN/>
        <w:bidi w:val="0"/>
        <w:spacing w:line="360" w:lineRule="auto"/>
        <w:textAlignment w:val="auto"/>
        <w:rPr>
          <w:rFonts w:hint="eastAsia" w:ascii="宋体" w:hAnsi="宋体" w:eastAsia="宋体" w:cs="宋体"/>
          <w:color w:val="auto"/>
          <w:spacing w:val="0"/>
          <w:sz w:val="21"/>
          <w:szCs w:val="21"/>
          <w:highlight w:val="none"/>
        </w:rPr>
      </w:pPr>
    </w:p>
    <w:p w14:paraId="1A007E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本授权书声明： </w:t>
      </w:r>
      <w:r>
        <w:rPr>
          <w:rFonts w:hint="eastAsia" w:ascii="宋体" w:hAnsi="宋体" w:eastAsia="宋体" w:cs="宋体"/>
          <w:color w:val="auto"/>
          <w:spacing w:val="0"/>
          <w:szCs w:val="21"/>
          <w:highlight w:val="none"/>
          <w:u w:val="single"/>
        </w:rPr>
        <w:t>（供应商名称）</w:t>
      </w:r>
      <w:r>
        <w:rPr>
          <w:rFonts w:hint="eastAsia" w:ascii="宋体" w:hAnsi="宋体" w:eastAsia="宋体" w:cs="宋体"/>
          <w:color w:val="auto"/>
          <w:spacing w:val="0"/>
          <w:szCs w:val="21"/>
          <w:highlight w:val="none"/>
        </w:rPr>
        <w:t xml:space="preserve">授权 </w:t>
      </w:r>
      <w:r>
        <w:rPr>
          <w:rFonts w:hint="eastAsia" w:ascii="宋体" w:hAnsi="宋体" w:eastAsia="宋体" w:cs="宋体"/>
          <w:color w:val="auto"/>
          <w:spacing w:val="0"/>
          <w:szCs w:val="21"/>
          <w:highlight w:val="none"/>
          <w:u w:val="single"/>
        </w:rPr>
        <w:t>（被授权人的姓名）</w:t>
      </w:r>
      <w:r>
        <w:rPr>
          <w:rFonts w:hint="eastAsia" w:ascii="宋体" w:hAnsi="宋体" w:eastAsia="宋体" w:cs="宋体"/>
          <w:color w:val="auto"/>
          <w:spacing w:val="0"/>
          <w:szCs w:val="21"/>
          <w:highlight w:val="none"/>
        </w:rPr>
        <w:t>为我方授权代表（即代理人），参加</w:t>
      </w:r>
      <w:r>
        <w:rPr>
          <w:rFonts w:hint="eastAsia" w:ascii="宋体" w:hAnsi="宋体" w:eastAsia="宋体" w:cs="宋体"/>
          <w:color w:val="auto"/>
          <w:spacing w:val="0"/>
          <w:szCs w:val="21"/>
          <w:highlight w:val="none"/>
          <w:u w:val="single"/>
          <w:lang w:eastAsia="zh-CN"/>
        </w:rPr>
        <w:t>苏州市创杰招投标咨询服务有限公司</w:t>
      </w:r>
      <w:r>
        <w:rPr>
          <w:rFonts w:hint="eastAsia" w:ascii="宋体" w:hAnsi="宋体" w:eastAsia="宋体" w:cs="宋体"/>
          <w:color w:val="auto"/>
          <w:spacing w:val="0"/>
          <w:szCs w:val="21"/>
          <w:highlight w:val="none"/>
        </w:rPr>
        <w:t>组织实施的编号为</w:t>
      </w:r>
      <w:r>
        <w:rPr>
          <w:rFonts w:hint="eastAsia" w:ascii="宋体" w:hAnsi="宋体" w:eastAsia="宋体" w:cs="宋体"/>
          <w:color w:val="auto"/>
          <w:spacing w:val="0"/>
          <w:szCs w:val="21"/>
          <w:highlight w:val="none"/>
          <w:u w:val="single"/>
        </w:rPr>
        <w:t>（采购编号）</w:t>
      </w:r>
      <w:r>
        <w:rPr>
          <w:rFonts w:hint="eastAsia" w:ascii="宋体" w:hAnsi="宋体" w:eastAsia="宋体" w:cs="宋体"/>
          <w:color w:val="auto"/>
          <w:spacing w:val="0"/>
          <w:szCs w:val="21"/>
          <w:highlight w:val="none"/>
        </w:rPr>
        <w:t>的</w:t>
      </w:r>
      <w:r>
        <w:rPr>
          <w:rFonts w:hint="eastAsia" w:ascii="宋体" w:hAnsi="宋体" w:eastAsia="宋体" w:cs="宋体"/>
          <w:color w:val="auto"/>
          <w:spacing w:val="0"/>
          <w:szCs w:val="21"/>
          <w:highlight w:val="none"/>
          <w:lang w:eastAsia="zh-CN"/>
        </w:rPr>
        <w:t>竞争性谈判</w:t>
      </w:r>
      <w:r>
        <w:rPr>
          <w:rFonts w:hint="eastAsia" w:ascii="宋体" w:hAnsi="宋体" w:eastAsia="宋体" w:cs="宋体"/>
          <w:color w:val="auto"/>
          <w:spacing w:val="0"/>
          <w:szCs w:val="21"/>
          <w:highlight w:val="none"/>
        </w:rPr>
        <w:t>项目。代理人在本次招标活动过程、合同签订及处理有关事宜所作出的全部意思表示（包括签署的全部文件），我司均予以承认并由我司承担相应法律后果。</w:t>
      </w:r>
    </w:p>
    <w:p w14:paraId="0E8326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如我司需撤销该代理人授权或更换代理人的，必须另行向贵方提交相应正式书面文件，并经贵方确认送达后方可实施。代理人撤销授权或更换完成之前所作的各项意思表示不受撤销或更换的影响，我司仍予以承认。</w:t>
      </w:r>
    </w:p>
    <w:p w14:paraId="407C82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本授权委托书有效期自委托书作出之日起至本项目合同履行完毕之日止。</w:t>
      </w:r>
    </w:p>
    <w:p w14:paraId="1A9994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代理人无转委托权。</w:t>
      </w:r>
    </w:p>
    <w:p w14:paraId="2BC620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被授权人身份证号码： </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w:t>
      </w:r>
    </w:p>
    <w:p w14:paraId="2E5CEF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被授权人联系电话：</w:t>
      </w:r>
      <w:r>
        <w:rPr>
          <w:rFonts w:hint="eastAsia" w:ascii="宋体" w:hAnsi="宋体" w:eastAsia="宋体" w:cs="宋体"/>
          <w:color w:val="auto"/>
          <w:spacing w:val="0"/>
          <w:szCs w:val="21"/>
          <w:highlight w:val="none"/>
          <w:u w:val="single"/>
        </w:rPr>
        <w:t xml:space="preserve">（手机）                </w:t>
      </w:r>
      <w:r>
        <w:rPr>
          <w:rFonts w:hint="eastAsia" w:ascii="宋体" w:hAnsi="宋体" w:eastAsia="宋体" w:cs="宋体"/>
          <w:color w:val="auto"/>
          <w:spacing w:val="0"/>
          <w:szCs w:val="21"/>
          <w:highlight w:val="none"/>
        </w:rPr>
        <w:t>。</w:t>
      </w:r>
    </w:p>
    <w:p w14:paraId="1F0F73FD">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p>
    <w:p w14:paraId="765626A3">
      <w:pPr>
        <w:kinsoku/>
        <w:wordWrap/>
        <w:overflowPunct/>
        <w:topLinePunct w:val="0"/>
        <w:autoSpaceDE/>
        <w:autoSpaceDN/>
        <w:bidi w:val="0"/>
        <w:spacing w:line="360" w:lineRule="auto"/>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单位名称：（加盖CA电子公章）</w:t>
      </w:r>
    </w:p>
    <w:p w14:paraId="594E0BC8">
      <w:pPr>
        <w:kinsoku/>
        <w:wordWrap/>
        <w:overflowPunct/>
        <w:topLinePunct w:val="0"/>
        <w:autoSpaceDE/>
        <w:autoSpaceDN/>
        <w:bidi w:val="0"/>
        <w:spacing w:line="360" w:lineRule="auto"/>
        <w:ind w:right="630"/>
        <w:jc w:val="both"/>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日期：　　　　年　　  月　　  日</w:t>
      </w:r>
    </w:p>
    <w:p w14:paraId="6887E998">
      <w:pPr>
        <w:widowControl/>
        <w:kinsoku/>
        <w:wordWrap/>
        <w:overflowPunct/>
        <w:topLinePunct w:val="0"/>
        <w:autoSpaceDE/>
        <w:autoSpaceDN/>
        <w:bidi w:val="0"/>
        <w:jc w:val="left"/>
        <w:textAlignment w:val="auto"/>
        <w:rPr>
          <w:rFonts w:hint="eastAsia" w:ascii="宋体" w:hAnsi="宋体" w:eastAsia="宋体" w:cs="宋体"/>
          <w:color w:val="auto"/>
          <w:spacing w:val="0"/>
          <w:szCs w:val="21"/>
          <w:highlight w:val="none"/>
        </w:rPr>
      </w:pPr>
    </w:p>
    <w:p w14:paraId="667092F9">
      <w:pPr>
        <w:widowControl/>
        <w:kinsoku/>
        <w:wordWrap/>
        <w:overflowPunct/>
        <w:topLinePunct w:val="0"/>
        <w:autoSpaceDE/>
        <w:autoSpaceDN/>
        <w:bidi w:val="0"/>
        <w:jc w:val="left"/>
        <w:textAlignment w:val="auto"/>
        <w:rPr>
          <w:rFonts w:hint="eastAsia" w:ascii="宋体" w:hAnsi="宋体" w:eastAsia="宋体" w:cs="宋体"/>
          <w:color w:val="auto"/>
          <w:spacing w:val="0"/>
          <w:szCs w:val="21"/>
          <w:highlight w:val="none"/>
        </w:rPr>
      </w:pPr>
    </w:p>
    <w:p w14:paraId="6A43B7E9">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备注：供应商如有授权委托，必须提供</w:t>
      </w:r>
      <w:r>
        <w:rPr>
          <w:rFonts w:hint="eastAsia" w:ascii="宋体" w:hAnsi="宋体" w:eastAsia="宋体" w:cs="宋体"/>
          <w:b/>
          <w:color w:val="auto"/>
          <w:spacing w:val="0"/>
          <w:sz w:val="21"/>
          <w:szCs w:val="21"/>
          <w:highlight w:val="none"/>
        </w:rPr>
        <w:t>法定代表人身份证</w:t>
      </w:r>
      <w:r>
        <w:rPr>
          <w:rFonts w:hint="eastAsia" w:ascii="宋体" w:hAnsi="宋体" w:eastAsia="宋体" w:cs="宋体"/>
          <w:b/>
          <w:color w:val="auto"/>
          <w:spacing w:val="0"/>
          <w:sz w:val="21"/>
          <w:szCs w:val="21"/>
          <w:highlight w:val="none"/>
          <w:lang w:val="en-US" w:eastAsia="zh-CN"/>
        </w:rPr>
        <w:t>复印件</w:t>
      </w:r>
      <w:r>
        <w:rPr>
          <w:rFonts w:hint="eastAsia" w:ascii="宋体" w:hAnsi="宋体" w:eastAsia="宋体" w:cs="宋体"/>
          <w:b/>
          <w:color w:val="auto"/>
          <w:spacing w:val="0"/>
          <w:sz w:val="21"/>
          <w:szCs w:val="21"/>
          <w:highlight w:val="none"/>
          <w:lang w:eastAsia="zh-CN"/>
        </w:rPr>
        <w:t>、</w:t>
      </w:r>
      <w:r>
        <w:rPr>
          <w:rFonts w:hint="eastAsia" w:ascii="宋体" w:hAnsi="宋体" w:eastAsia="宋体" w:cs="宋体"/>
          <w:b/>
          <w:color w:val="auto"/>
          <w:spacing w:val="0"/>
          <w:szCs w:val="21"/>
          <w:highlight w:val="none"/>
        </w:rPr>
        <w:t>法人授权委托书及代理人身份证</w:t>
      </w:r>
      <w:r>
        <w:rPr>
          <w:rFonts w:hint="eastAsia" w:ascii="宋体" w:hAnsi="宋体" w:eastAsia="宋体" w:cs="宋体"/>
          <w:b/>
          <w:color w:val="auto"/>
          <w:spacing w:val="0"/>
          <w:szCs w:val="21"/>
          <w:highlight w:val="none"/>
          <w:lang w:val="en-US" w:eastAsia="zh-CN"/>
        </w:rPr>
        <w:t>复印件</w:t>
      </w:r>
      <w:r>
        <w:rPr>
          <w:rFonts w:hint="eastAsia" w:ascii="宋体" w:hAnsi="宋体" w:eastAsia="宋体" w:cs="宋体"/>
          <w:b/>
          <w:color w:val="auto"/>
          <w:spacing w:val="0"/>
          <w:szCs w:val="21"/>
          <w:highlight w:val="none"/>
        </w:rPr>
        <w:t>，否则投标无效；</w:t>
      </w:r>
    </w:p>
    <w:p w14:paraId="476F3519">
      <w:pPr>
        <w:pStyle w:val="5"/>
        <w:keepNext w:val="0"/>
        <w:keepLines w:val="0"/>
        <w:pageBreakBefore w:val="0"/>
        <w:widowControl/>
        <w:kinsoku/>
        <w:wordWrap/>
        <w:overflowPunct/>
        <w:topLinePunct w:val="0"/>
        <w:autoSpaceDE/>
        <w:autoSpaceDN/>
        <w:bidi w:val="0"/>
        <w:adjustRightInd/>
        <w:snapToGrid/>
        <w:spacing w:line="360" w:lineRule="auto"/>
        <w:ind w:left="630" w:leftChars="300" w:firstLine="0"/>
        <w:textAlignment w:val="auto"/>
        <w:rPr>
          <w:rFonts w:hint="eastAsia" w:ascii="宋体" w:hAnsi="宋体" w:eastAsia="宋体" w:cs="宋体"/>
          <w:color w:val="auto"/>
          <w:spacing w:val="0"/>
          <w:sz w:val="21"/>
          <w:szCs w:val="21"/>
          <w:highlight w:val="none"/>
        </w:rPr>
        <w:sectPr>
          <w:pgSz w:w="11906" w:h="16838"/>
          <w:pgMar w:top="1440" w:right="1417" w:bottom="1440" w:left="1417" w:header="964" w:footer="964" w:gutter="0"/>
          <w:cols w:space="720" w:num="1"/>
          <w:docGrid w:linePitch="360" w:charSpace="0"/>
        </w:sectPr>
      </w:pPr>
      <w:r>
        <w:rPr>
          <w:rFonts w:hint="eastAsia" w:ascii="宋体" w:hAnsi="宋体" w:eastAsia="宋体" w:cs="宋体"/>
          <w:b/>
          <w:color w:val="auto"/>
          <w:spacing w:val="0"/>
          <w:sz w:val="21"/>
          <w:szCs w:val="21"/>
          <w:highlight w:val="none"/>
        </w:rPr>
        <w:t>供应商无授权委托的情况下，必须提供法定代表人身份证</w:t>
      </w:r>
      <w:r>
        <w:rPr>
          <w:rFonts w:hint="eastAsia" w:ascii="宋体" w:hAnsi="宋体" w:eastAsia="宋体" w:cs="宋体"/>
          <w:b/>
          <w:color w:val="auto"/>
          <w:spacing w:val="0"/>
          <w:sz w:val="21"/>
          <w:szCs w:val="21"/>
          <w:highlight w:val="none"/>
          <w:lang w:val="en-US" w:eastAsia="zh-CN"/>
        </w:rPr>
        <w:t>复印件</w:t>
      </w:r>
      <w:r>
        <w:rPr>
          <w:rFonts w:hint="eastAsia" w:ascii="宋体" w:hAnsi="宋体" w:eastAsia="宋体" w:cs="宋体"/>
          <w:b/>
          <w:color w:val="auto"/>
          <w:spacing w:val="0"/>
          <w:sz w:val="21"/>
          <w:szCs w:val="21"/>
          <w:highlight w:val="none"/>
        </w:rPr>
        <w:t>，否则投标无效。</w:t>
      </w:r>
    </w:p>
    <w:p w14:paraId="302EC65B">
      <w:pPr>
        <w:widowControl/>
        <w:kinsoku/>
        <w:wordWrap/>
        <w:overflowPunct/>
        <w:topLinePunct w:val="0"/>
        <w:autoSpaceDE/>
        <w:autoSpaceDN/>
        <w:bidi w:val="0"/>
        <w:spacing w:line="360" w:lineRule="auto"/>
        <w:jc w:val="left"/>
        <w:textAlignment w:val="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附件</w:t>
      </w:r>
      <w:r>
        <w:rPr>
          <w:rFonts w:hint="eastAsia" w:ascii="宋体" w:hAnsi="宋体" w:cs="宋体"/>
          <w:b/>
          <w:color w:val="auto"/>
          <w:spacing w:val="0"/>
          <w:szCs w:val="21"/>
          <w:highlight w:val="none"/>
          <w:lang w:val="en-US" w:eastAsia="zh-CN"/>
        </w:rPr>
        <w:t>8</w:t>
      </w:r>
      <w:r>
        <w:rPr>
          <w:rFonts w:hint="eastAsia" w:ascii="宋体" w:hAnsi="宋体" w:eastAsia="宋体" w:cs="宋体"/>
          <w:b/>
          <w:color w:val="auto"/>
          <w:spacing w:val="0"/>
          <w:szCs w:val="21"/>
          <w:highlight w:val="none"/>
        </w:rPr>
        <w:t>：</w:t>
      </w:r>
      <w:r>
        <w:rPr>
          <w:rFonts w:hint="eastAsia" w:ascii="宋体" w:hAnsi="宋体" w:eastAsia="宋体" w:cs="宋体"/>
          <w:b/>
          <w:color w:val="auto"/>
          <w:spacing w:val="0"/>
          <w:szCs w:val="21"/>
          <w:highlight w:val="none"/>
          <w:lang w:val="en-US" w:eastAsia="zh-CN"/>
        </w:rPr>
        <w:t>技术要求</w:t>
      </w:r>
      <w:r>
        <w:rPr>
          <w:rFonts w:hint="eastAsia" w:ascii="宋体" w:hAnsi="宋体" w:eastAsia="宋体" w:cs="宋体"/>
          <w:b/>
          <w:color w:val="auto"/>
          <w:spacing w:val="0"/>
          <w:szCs w:val="21"/>
          <w:highlight w:val="none"/>
        </w:rPr>
        <w:t>偏离表</w:t>
      </w:r>
    </w:p>
    <w:p w14:paraId="6F109DA9">
      <w:pPr>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技术要求偏离表</w:t>
      </w:r>
    </w:p>
    <w:p w14:paraId="0FE77C99">
      <w:pPr>
        <w:kinsoku/>
        <w:wordWrap/>
        <w:overflowPunct/>
        <w:topLinePunct w:val="0"/>
        <w:autoSpaceDE/>
        <w:autoSpaceDN/>
        <w:bidi w:val="0"/>
        <w:spacing w:line="360" w:lineRule="auto"/>
        <w:jc w:val="left"/>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rPr>
        <w:t>采购编号：</w:t>
      </w:r>
      <w:r>
        <w:rPr>
          <w:rFonts w:hint="eastAsia" w:ascii="宋体" w:hAnsi="宋体" w:cs="宋体"/>
          <w:color w:val="auto"/>
          <w:spacing w:val="0"/>
          <w:szCs w:val="21"/>
          <w:highlight w:val="none"/>
          <w:lang w:val="en-US" w:eastAsia="zh-CN"/>
        </w:rPr>
        <w:t xml:space="preserve">                       </w:t>
      </w:r>
    </w:p>
    <w:tbl>
      <w:tblPr>
        <w:tblStyle w:val="43"/>
        <w:tblW w:w="49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792"/>
        <w:gridCol w:w="1613"/>
        <w:gridCol w:w="1433"/>
        <w:gridCol w:w="1692"/>
        <w:gridCol w:w="1748"/>
      </w:tblGrid>
      <w:tr w14:paraId="5F6CC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4" w:type="dxa"/>
            <w:noWrap w:val="0"/>
            <w:vAlign w:val="center"/>
          </w:tcPr>
          <w:p w14:paraId="3BE593B4">
            <w:pPr>
              <w:kinsoku/>
              <w:wordWrap/>
              <w:overflowPunct/>
              <w:topLinePunct w:val="0"/>
              <w:autoSpaceDE/>
              <w:autoSpaceDN/>
              <w:bidi w:val="0"/>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序号</w:t>
            </w:r>
          </w:p>
        </w:tc>
        <w:tc>
          <w:tcPr>
            <w:tcW w:w="1901" w:type="dxa"/>
            <w:noWrap w:val="0"/>
            <w:vAlign w:val="center"/>
          </w:tcPr>
          <w:p w14:paraId="0EBEC3E3">
            <w:pPr>
              <w:kinsoku/>
              <w:wordWrap/>
              <w:overflowPunct/>
              <w:topLinePunct w:val="0"/>
              <w:autoSpaceDE/>
              <w:autoSpaceDN/>
              <w:bidi w:val="0"/>
              <w:jc w:val="center"/>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val="en-US" w:eastAsia="zh-CN"/>
              </w:rPr>
              <w:t>名称</w:t>
            </w:r>
          </w:p>
        </w:tc>
        <w:tc>
          <w:tcPr>
            <w:tcW w:w="1711" w:type="dxa"/>
            <w:noWrap w:val="0"/>
            <w:vAlign w:val="center"/>
          </w:tcPr>
          <w:p w14:paraId="08AF1EE7">
            <w:pPr>
              <w:kinsoku/>
              <w:wordWrap/>
              <w:overflowPunct/>
              <w:topLinePunct w:val="0"/>
              <w:autoSpaceDE/>
              <w:autoSpaceDN/>
              <w:bidi w:val="0"/>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采购要求</w:t>
            </w:r>
          </w:p>
        </w:tc>
        <w:tc>
          <w:tcPr>
            <w:tcW w:w="1521" w:type="dxa"/>
            <w:noWrap w:val="0"/>
            <w:vAlign w:val="center"/>
          </w:tcPr>
          <w:p w14:paraId="1D11D3A9">
            <w:pPr>
              <w:kinsoku/>
              <w:wordWrap/>
              <w:overflowPunct/>
              <w:topLinePunct w:val="0"/>
              <w:autoSpaceDE/>
              <w:autoSpaceDN/>
              <w:bidi w:val="0"/>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投标要求</w:t>
            </w:r>
          </w:p>
        </w:tc>
        <w:tc>
          <w:tcPr>
            <w:tcW w:w="1795" w:type="dxa"/>
            <w:noWrap w:val="0"/>
            <w:vAlign w:val="center"/>
          </w:tcPr>
          <w:p w14:paraId="56DF1EDC">
            <w:pPr>
              <w:kinsoku/>
              <w:wordWrap/>
              <w:overflowPunct/>
              <w:topLinePunct w:val="0"/>
              <w:autoSpaceDE/>
              <w:autoSpaceDN/>
              <w:bidi w:val="0"/>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偏离/响应</w:t>
            </w:r>
          </w:p>
        </w:tc>
        <w:tc>
          <w:tcPr>
            <w:tcW w:w="1855" w:type="dxa"/>
            <w:noWrap w:val="0"/>
            <w:vAlign w:val="center"/>
          </w:tcPr>
          <w:p w14:paraId="12E0AC6D">
            <w:pPr>
              <w:kinsoku/>
              <w:wordWrap/>
              <w:overflowPunct/>
              <w:topLinePunct w:val="0"/>
              <w:autoSpaceDE/>
              <w:autoSpaceDN/>
              <w:bidi w:val="0"/>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说明</w:t>
            </w:r>
          </w:p>
        </w:tc>
      </w:tr>
      <w:tr w14:paraId="49407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4" w:type="dxa"/>
            <w:noWrap w:val="0"/>
            <w:vAlign w:val="center"/>
          </w:tcPr>
          <w:p w14:paraId="3F7B278C">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901" w:type="dxa"/>
            <w:noWrap w:val="0"/>
            <w:vAlign w:val="center"/>
          </w:tcPr>
          <w:p w14:paraId="6171749C">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1" w:type="dxa"/>
            <w:noWrap w:val="0"/>
            <w:vAlign w:val="center"/>
          </w:tcPr>
          <w:p w14:paraId="0585745A">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521" w:type="dxa"/>
            <w:noWrap w:val="0"/>
            <w:vAlign w:val="center"/>
          </w:tcPr>
          <w:p w14:paraId="5241E2E8">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95" w:type="dxa"/>
            <w:noWrap w:val="0"/>
            <w:vAlign w:val="center"/>
          </w:tcPr>
          <w:p w14:paraId="3D419157">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855" w:type="dxa"/>
            <w:noWrap w:val="0"/>
            <w:vAlign w:val="center"/>
          </w:tcPr>
          <w:p w14:paraId="390156CF">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501FB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4" w:type="dxa"/>
            <w:noWrap w:val="0"/>
            <w:vAlign w:val="center"/>
          </w:tcPr>
          <w:p w14:paraId="50AAC450">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901" w:type="dxa"/>
            <w:noWrap w:val="0"/>
            <w:vAlign w:val="center"/>
          </w:tcPr>
          <w:p w14:paraId="3EBC60F0">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1" w:type="dxa"/>
            <w:noWrap w:val="0"/>
            <w:vAlign w:val="center"/>
          </w:tcPr>
          <w:p w14:paraId="268C8E7D">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521" w:type="dxa"/>
            <w:noWrap w:val="0"/>
            <w:vAlign w:val="center"/>
          </w:tcPr>
          <w:p w14:paraId="7C42F492">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95" w:type="dxa"/>
            <w:noWrap w:val="0"/>
            <w:vAlign w:val="center"/>
          </w:tcPr>
          <w:p w14:paraId="33733E32">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855" w:type="dxa"/>
            <w:noWrap w:val="0"/>
            <w:vAlign w:val="center"/>
          </w:tcPr>
          <w:p w14:paraId="278FFAB7">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44809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4" w:type="dxa"/>
            <w:noWrap w:val="0"/>
            <w:vAlign w:val="center"/>
          </w:tcPr>
          <w:p w14:paraId="5E816160">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901" w:type="dxa"/>
            <w:noWrap w:val="0"/>
            <w:vAlign w:val="center"/>
          </w:tcPr>
          <w:p w14:paraId="6AD71CF1">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1" w:type="dxa"/>
            <w:noWrap w:val="0"/>
            <w:vAlign w:val="center"/>
          </w:tcPr>
          <w:p w14:paraId="6F31FF57">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521" w:type="dxa"/>
            <w:noWrap w:val="0"/>
            <w:vAlign w:val="center"/>
          </w:tcPr>
          <w:p w14:paraId="554035FA">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95" w:type="dxa"/>
            <w:noWrap w:val="0"/>
            <w:vAlign w:val="center"/>
          </w:tcPr>
          <w:p w14:paraId="248F0DD9">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855" w:type="dxa"/>
            <w:noWrap w:val="0"/>
            <w:vAlign w:val="center"/>
          </w:tcPr>
          <w:p w14:paraId="599B4B7F">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735F7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4" w:type="dxa"/>
            <w:noWrap w:val="0"/>
            <w:vAlign w:val="center"/>
          </w:tcPr>
          <w:p w14:paraId="3442F535">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901" w:type="dxa"/>
            <w:noWrap w:val="0"/>
            <w:vAlign w:val="center"/>
          </w:tcPr>
          <w:p w14:paraId="76DADF6A">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1" w:type="dxa"/>
            <w:noWrap w:val="0"/>
            <w:vAlign w:val="center"/>
          </w:tcPr>
          <w:p w14:paraId="2D3849E0">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521" w:type="dxa"/>
            <w:noWrap w:val="0"/>
            <w:vAlign w:val="center"/>
          </w:tcPr>
          <w:p w14:paraId="28C13447">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95" w:type="dxa"/>
            <w:noWrap w:val="0"/>
            <w:vAlign w:val="center"/>
          </w:tcPr>
          <w:p w14:paraId="7E4B4D0D">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855" w:type="dxa"/>
            <w:noWrap w:val="0"/>
            <w:vAlign w:val="center"/>
          </w:tcPr>
          <w:p w14:paraId="04DA9242">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5A0D9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4" w:type="dxa"/>
            <w:noWrap w:val="0"/>
            <w:vAlign w:val="center"/>
          </w:tcPr>
          <w:p w14:paraId="2A9033AE">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901" w:type="dxa"/>
            <w:noWrap w:val="0"/>
            <w:vAlign w:val="center"/>
          </w:tcPr>
          <w:p w14:paraId="2F7F1C2E">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1" w:type="dxa"/>
            <w:noWrap w:val="0"/>
            <w:vAlign w:val="center"/>
          </w:tcPr>
          <w:p w14:paraId="22C479F4">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521" w:type="dxa"/>
            <w:noWrap w:val="0"/>
            <w:vAlign w:val="center"/>
          </w:tcPr>
          <w:p w14:paraId="46067305">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95" w:type="dxa"/>
            <w:noWrap w:val="0"/>
            <w:vAlign w:val="center"/>
          </w:tcPr>
          <w:p w14:paraId="7BCD257E">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855" w:type="dxa"/>
            <w:noWrap w:val="0"/>
            <w:vAlign w:val="center"/>
          </w:tcPr>
          <w:p w14:paraId="593385AC">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53112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4" w:type="dxa"/>
            <w:noWrap w:val="0"/>
            <w:vAlign w:val="center"/>
          </w:tcPr>
          <w:p w14:paraId="064C2B9D">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901" w:type="dxa"/>
            <w:noWrap w:val="0"/>
            <w:vAlign w:val="center"/>
          </w:tcPr>
          <w:p w14:paraId="7498B04A">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1" w:type="dxa"/>
            <w:noWrap w:val="0"/>
            <w:vAlign w:val="center"/>
          </w:tcPr>
          <w:p w14:paraId="54004017">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521" w:type="dxa"/>
            <w:noWrap w:val="0"/>
            <w:vAlign w:val="center"/>
          </w:tcPr>
          <w:p w14:paraId="0741CA97">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95" w:type="dxa"/>
            <w:noWrap w:val="0"/>
            <w:vAlign w:val="center"/>
          </w:tcPr>
          <w:p w14:paraId="4E1CE6EA">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855" w:type="dxa"/>
            <w:noWrap w:val="0"/>
            <w:vAlign w:val="center"/>
          </w:tcPr>
          <w:p w14:paraId="74E1C6A3">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18813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4" w:type="dxa"/>
            <w:noWrap w:val="0"/>
            <w:vAlign w:val="center"/>
          </w:tcPr>
          <w:p w14:paraId="4EEADC1B">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901" w:type="dxa"/>
            <w:noWrap w:val="0"/>
            <w:vAlign w:val="center"/>
          </w:tcPr>
          <w:p w14:paraId="2DAD2711">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1" w:type="dxa"/>
            <w:noWrap w:val="0"/>
            <w:vAlign w:val="center"/>
          </w:tcPr>
          <w:p w14:paraId="5E50ACEE">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521" w:type="dxa"/>
            <w:noWrap w:val="0"/>
            <w:vAlign w:val="center"/>
          </w:tcPr>
          <w:p w14:paraId="404A0F1D">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95" w:type="dxa"/>
            <w:noWrap w:val="0"/>
            <w:vAlign w:val="center"/>
          </w:tcPr>
          <w:p w14:paraId="07106BB6">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855" w:type="dxa"/>
            <w:noWrap w:val="0"/>
            <w:vAlign w:val="center"/>
          </w:tcPr>
          <w:p w14:paraId="2E259667">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2A289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4" w:type="dxa"/>
            <w:noWrap w:val="0"/>
            <w:vAlign w:val="center"/>
          </w:tcPr>
          <w:p w14:paraId="40792608">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901" w:type="dxa"/>
            <w:noWrap w:val="0"/>
            <w:vAlign w:val="center"/>
          </w:tcPr>
          <w:p w14:paraId="759A81B1">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1" w:type="dxa"/>
            <w:noWrap w:val="0"/>
            <w:vAlign w:val="center"/>
          </w:tcPr>
          <w:p w14:paraId="7070045A">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521" w:type="dxa"/>
            <w:noWrap w:val="0"/>
            <w:vAlign w:val="center"/>
          </w:tcPr>
          <w:p w14:paraId="68FBC200">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95" w:type="dxa"/>
            <w:noWrap w:val="0"/>
            <w:vAlign w:val="center"/>
          </w:tcPr>
          <w:p w14:paraId="652BF2BA">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855" w:type="dxa"/>
            <w:noWrap w:val="0"/>
            <w:vAlign w:val="center"/>
          </w:tcPr>
          <w:p w14:paraId="5A80B23E">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bl>
    <w:p w14:paraId="21FBCCCA">
      <w:pPr>
        <w:kinsoku/>
        <w:wordWrap/>
        <w:overflowPunct/>
        <w:topLinePunct w:val="0"/>
        <w:autoSpaceDE/>
        <w:autoSpaceDN/>
        <w:bidi w:val="0"/>
        <w:spacing w:line="360" w:lineRule="auto"/>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注：供应商须在偏离表中如实填写响应情况，如有要求提供材料的，须按要求提供相应材料。偏离表未填写、负偏离、未提供所要求的材料的，将被视为无效响应。</w:t>
      </w:r>
    </w:p>
    <w:p w14:paraId="6C382A20">
      <w:pPr>
        <w:kinsoku/>
        <w:wordWrap/>
        <w:overflowPunct/>
        <w:topLinePunct w:val="0"/>
        <w:autoSpaceDE/>
        <w:autoSpaceDN/>
        <w:bidi w:val="0"/>
        <w:spacing w:line="360" w:lineRule="auto"/>
        <w:textAlignment w:val="auto"/>
        <w:rPr>
          <w:rFonts w:hint="eastAsia" w:ascii="宋体" w:hAnsi="宋体" w:eastAsia="宋体" w:cs="宋体"/>
          <w:color w:val="auto"/>
          <w:spacing w:val="0"/>
          <w:szCs w:val="21"/>
          <w:highlight w:val="none"/>
        </w:rPr>
      </w:pPr>
    </w:p>
    <w:p w14:paraId="4466308F">
      <w:pPr>
        <w:kinsoku/>
        <w:wordWrap/>
        <w:overflowPunct/>
        <w:topLinePunct w:val="0"/>
        <w:autoSpaceDE/>
        <w:autoSpaceDN/>
        <w:bidi w:val="0"/>
        <w:spacing w:line="360" w:lineRule="auto"/>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谈判</w:t>
      </w:r>
      <w:r>
        <w:rPr>
          <w:rFonts w:hint="eastAsia" w:ascii="宋体" w:hAnsi="宋体" w:eastAsia="宋体" w:cs="宋体"/>
          <w:color w:val="auto"/>
          <w:spacing w:val="0"/>
          <w:szCs w:val="21"/>
          <w:highlight w:val="none"/>
        </w:rPr>
        <w:t>响应单位：（</w:t>
      </w:r>
      <w:r>
        <w:rPr>
          <w:rFonts w:hint="eastAsia" w:ascii="宋体" w:hAnsi="宋体" w:eastAsia="宋体" w:cs="宋体"/>
          <w:color w:val="auto"/>
          <w:spacing w:val="0"/>
          <w:szCs w:val="21"/>
          <w:highlight w:val="none"/>
          <w:lang w:val="en-US" w:eastAsia="zh-CN"/>
        </w:rPr>
        <w:t>签</w:t>
      </w:r>
      <w:r>
        <w:rPr>
          <w:rFonts w:hint="eastAsia" w:ascii="宋体" w:hAnsi="宋体" w:eastAsia="宋体" w:cs="宋体"/>
          <w:color w:val="auto"/>
          <w:spacing w:val="0"/>
          <w:szCs w:val="21"/>
          <w:highlight w:val="none"/>
        </w:rPr>
        <w:t>章）</w:t>
      </w:r>
    </w:p>
    <w:p w14:paraId="051312FB">
      <w:pPr>
        <w:kinsoku/>
        <w:wordWrap/>
        <w:overflowPunct/>
        <w:topLinePunct w:val="0"/>
        <w:autoSpaceDE/>
        <w:autoSpaceDN/>
        <w:bidi w:val="0"/>
        <w:spacing w:line="360" w:lineRule="auto"/>
        <w:textAlignment w:val="auto"/>
        <w:rPr>
          <w:rFonts w:hint="eastAsia" w:ascii="宋体" w:hAnsi="宋体" w:eastAsia="宋体" w:cs="宋体"/>
          <w:b/>
          <w:color w:val="auto"/>
          <w:spacing w:val="0"/>
          <w:szCs w:val="21"/>
          <w:highlight w:val="none"/>
        </w:rPr>
      </w:pPr>
      <w:r>
        <w:rPr>
          <w:rFonts w:hint="eastAsia" w:ascii="宋体" w:hAnsi="宋体" w:eastAsia="宋体" w:cs="宋体"/>
          <w:color w:val="auto"/>
          <w:spacing w:val="0"/>
          <w:szCs w:val="21"/>
          <w:highlight w:val="none"/>
        </w:rPr>
        <w:t>日期：        年    月    日</w:t>
      </w:r>
      <w:r>
        <w:rPr>
          <w:rFonts w:hint="eastAsia" w:ascii="宋体" w:hAnsi="宋体" w:eastAsia="宋体" w:cs="宋体"/>
          <w:b/>
          <w:color w:val="auto"/>
          <w:spacing w:val="0"/>
          <w:szCs w:val="21"/>
          <w:highlight w:val="none"/>
        </w:rPr>
        <w:br w:type="page" w:clear="all"/>
      </w:r>
      <w:r>
        <w:rPr>
          <w:rFonts w:hint="eastAsia" w:ascii="宋体" w:hAnsi="宋体" w:eastAsia="宋体" w:cs="宋体"/>
          <w:b/>
          <w:color w:val="auto"/>
          <w:spacing w:val="0"/>
          <w:szCs w:val="21"/>
          <w:highlight w:val="none"/>
        </w:rPr>
        <w:t>附件</w:t>
      </w:r>
      <w:r>
        <w:rPr>
          <w:rFonts w:hint="eastAsia" w:ascii="宋体" w:hAnsi="宋体" w:cs="宋体"/>
          <w:b/>
          <w:color w:val="auto"/>
          <w:spacing w:val="0"/>
          <w:szCs w:val="21"/>
          <w:highlight w:val="none"/>
          <w:lang w:val="en-US" w:eastAsia="zh-CN"/>
        </w:rPr>
        <w:t>9</w:t>
      </w:r>
      <w:r>
        <w:rPr>
          <w:rFonts w:hint="eastAsia" w:ascii="宋体" w:hAnsi="宋体" w:eastAsia="宋体" w:cs="宋体"/>
          <w:b/>
          <w:color w:val="auto"/>
          <w:spacing w:val="0"/>
          <w:szCs w:val="21"/>
          <w:highlight w:val="none"/>
        </w:rPr>
        <w:t>：商务条款偏离表</w:t>
      </w:r>
    </w:p>
    <w:p w14:paraId="230B0909">
      <w:pPr>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商务条款偏离表</w:t>
      </w:r>
    </w:p>
    <w:p w14:paraId="25C82FE4">
      <w:pPr>
        <w:kinsoku/>
        <w:wordWrap/>
        <w:overflowPunct/>
        <w:topLinePunct w:val="0"/>
        <w:autoSpaceDE/>
        <w:autoSpaceDN/>
        <w:bidi w:val="0"/>
        <w:spacing w:line="360" w:lineRule="auto"/>
        <w:jc w:val="left"/>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rPr>
        <w:t>采购编号：</w:t>
      </w:r>
      <w:r>
        <w:rPr>
          <w:rFonts w:hint="eastAsia" w:ascii="宋体" w:hAnsi="宋体" w:cs="宋体"/>
          <w:color w:val="auto"/>
          <w:spacing w:val="0"/>
          <w:szCs w:val="21"/>
          <w:highlight w:val="none"/>
          <w:lang w:val="en-US" w:eastAsia="zh-CN"/>
        </w:rPr>
        <w:t xml:space="preserve">                          </w:t>
      </w:r>
    </w:p>
    <w:tbl>
      <w:tblPr>
        <w:tblStyle w:val="43"/>
        <w:tblW w:w="49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2"/>
        <w:gridCol w:w="2389"/>
        <w:gridCol w:w="2389"/>
        <w:gridCol w:w="1708"/>
      </w:tblGrid>
      <w:tr w14:paraId="5F401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noWrap w:val="0"/>
            <w:vAlign w:val="center"/>
          </w:tcPr>
          <w:p w14:paraId="0B7A3C58">
            <w:pPr>
              <w:kinsoku/>
              <w:wordWrap/>
              <w:overflowPunct/>
              <w:topLinePunct w:val="0"/>
              <w:autoSpaceDE/>
              <w:autoSpaceDN/>
              <w:bidi w:val="0"/>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序号</w:t>
            </w:r>
          </w:p>
        </w:tc>
        <w:tc>
          <w:tcPr>
            <w:tcW w:w="1920" w:type="dxa"/>
            <w:noWrap w:val="0"/>
            <w:vAlign w:val="center"/>
          </w:tcPr>
          <w:p w14:paraId="37C9F278">
            <w:pPr>
              <w:kinsoku/>
              <w:wordWrap/>
              <w:overflowPunct/>
              <w:topLinePunct w:val="0"/>
              <w:autoSpaceDE/>
              <w:autoSpaceDN/>
              <w:bidi w:val="0"/>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采购文件条目号</w:t>
            </w:r>
          </w:p>
        </w:tc>
        <w:tc>
          <w:tcPr>
            <w:tcW w:w="2400" w:type="dxa"/>
            <w:noWrap w:val="0"/>
            <w:vAlign w:val="center"/>
          </w:tcPr>
          <w:p w14:paraId="61645881">
            <w:pPr>
              <w:kinsoku/>
              <w:wordWrap/>
              <w:overflowPunct/>
              <w:topLinePunct w:val="0"/>
              <w:autoSpaceDE/>
              <w:autoSpaceDN/>
              <w:bidi w:val="0"/>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采购文件的商务条款</w:t>
            </w:r>
          </w:p>
        </w:tc>
        <w:tc>
          <w:tcPr>
            <w:tcW w:w="2400" w:type="dxa"/>
            <w:noWrap w:val="0"/>
            <w:vAlign w:val="center"/>
          </w:tcPr>
          <w:p w14:paraId="3F97050E">
            <w:pPr>
              <w:kinsoku/>
              <w:wordWrap/>
              <w:overflowPunct/>
              <w:topLinePunct w:val="0"/>
              <w:autoSpaceDE/>
              <w:autoSpaceDN/>
              <w:bidi w:val="0"/>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响应文件的商务条款</w:t>
            </w:r>
          </w:p>
        </w:tc>
        <w:tc>
          <w:tcPr>
            <w:tcW w:w="1716" w:type="dxa"/>
            <w:noWrap w:val="0"/>
            <w:vAlign w:val="center"/>
          </w:tcPr>
          <w:p w14:paraId="14C9213D">
            <w:pPr>
              <w:kinsoku/>
              <w:wordWrap/>
              <w:overflowPunct/>
              <w:topLinePunct w:val="0"/>
              <w:autoSpaceDE/>
              <w:autoSpaceDN/>
              <w:bidi w:val="0"/>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说明</w:t>
            </w:r>
          </w:p>
        </w:tc>
      </w:tr>
      <w:tr w14:paraId="26CAC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noWrap w:val="0"/>
            <w:vAlign w:val="center"/>
          </w:tcPr>
          <w:p w14:paraId="06FFD26A">
            <w:pPr>
              <w:kinsoku/>
              <w:wordWrap/>
              <w:overflowPunct/>
              <w:topLinePunct w:val="0"/>
              <w:autoSpaceDE/>
              <w:autoSpaceDN/>
              <w:bidi w:val="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p>
        </w:tc>
        <w:tc>
          <w:tcPr>
            <w:tcW w:w="1920" w:type="dxa"/>
            <w:noWrap w:val="0"/>
            <w:vAlign w:val="center"/>
          </w:tcPr>
          <w:p w14:paraId="1F559269">
            <w:pPr>
              <w:kinsoku/>
              <w:wordWrap/>
              <w:overflowPunct/>
              <w:topLinePunct w:val="0"/>
              <w:autoSpaceDE/>
              <w:autoSpaceDN/>
              <w:bidi w:val="0"/>
              <w:textAlignment w:val="auto"/>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交货</w:t>
            </w:r>
            <w:r>
              <w:rPr>
                <w:rFonts w:hint="eastAsia" w:ascii="宋体" w:hAnsi="宋体" w:eastAsia="宋体" w:cs="宋体"/>
                <w:color w:val="auto"/>
                <w:spacing w:val="0"/>
                <w:szCs w:val="21"/>
                <w:highlight w:val="none"/>
              </w:rPr>
              <w:t>期限</w:t>
            </w:r>
          </w:p>
        </w:tc>
        <w:tc>
          <w:tcPr>
            <w:tcW w:w="2400" w:type="dxa"/>
            <w:noWrap w:val="0"/>
            <w:vAlign w:val="center"/>
          </w:tcPr>
          <w:p w14:paraId="5378A85E">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10A07E04">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6" w:type="dxa"/>
            <w:noWrap w:val="0"/>
            <w:vAlign w:val="center"/>
          </w:tcPr>
          <w:p w14:paraId="1A8EC4DC">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0EF25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noWrap w:val="0"/>
            <w:vAlign w:val="center"/>
          </w:tcPr>
          <w:p w14:paraId="0BEC2B6C">
            <w:pPr>
              <w:kinsoku/>
              <w:wordWrap/>
              <w:overflowPunct/>
              <w:topLinePunct w:val="0"/>
              <w:autoSpaceDE/>
              <w:autoSpaceDN/>
              <w:bidi w:val="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w:t>
            </w:r>
          </w:p>
        </w:tc>
        <w:tc>
          <w:tcPr>
            <w:tcW w:w="1920" w:type="dxa"/>
            <w:noWrap w:val="0"/>
            <w:vAlign w:val="center"/>
          </w:tcPr>
          <w:p w14:paraId="11C279A9">
            <w:pPr>
              <w:kinsoku/>
              <w:wordWrap/>
              <w:overflowPunct/>
              <w:topLinePunct w:val="0"/>
              <w:autoSpaceDE/>
              <w:autoSpaceDN/>
              <w:bidi w:val="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付款步骤</w:t>
            </w:r>
          </w:p>
        </w:tc>
        <w:tc>
          <w:tcPr>
            <w:tcW w:w="2400" w:type="dxa"/>
            <w:noWrap w:val="0"/>
            <w:vAlign w:val="center"/>
          </w:tcPr>
          <w:p w14:paraId="248C7696">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6C88DBAA">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6" w:type="dxa"/>
            <w:noWrap w:val="0"/>
            <w:vAlign w:val="center"/>
          </w:tcPr>
          <w:p w14:paraId="66DE3D49">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6F5A9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noWrap w:val="0"/>
            <w:vAlign w:val="center"/>
          </w:tcPr>
          <w:p w14:paraId="63C45440">
            <w:pPr>
              <w:kinsoku/>
              <w:wordWrap/>
              <w:overflowPunct/>
              <w:topLinePunct w:val="0"/>
              <w:autoSpaceDE/>
              <w:autoSpaceDN/>
              <w:bidi w:val="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w:t>
            </w:r>
          </w:p>
        </w:tc>
        <w:tc>
          <w:tcPr>
            <w:tcW w:w="1920" w:type="dxa"/>
            <w:noWrap w:val="0"/>
            <w:vAlign w:val="center"/>
          </w:tcPr>
          <w:p w14:paraId="3D694624">
            <w:pPr>
              <w:kinsoku/>
              <w:wordWrap/>
              <w:overflowPunct/>
              <w:topLinePunct w:val="0"/>
              <w:autoSpaceDE/>
              <w:autoSpaceDN/>
              <w:bidi w:val="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合同条款</w:t>
            </w:r>
          </w:p>
        </w:tc>
        <w:tc>
          <w:tcPr>
            <w:tcW w:w="2400" w:type="dxa"/>
            <w:noWrap w:val="0"/>
            <w:vAlign w:val="center"/>
          </w:tcPr>
          <w:p w14:paraId="49E2B289">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2076BDDE">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6" w:type="dxa"/>
            <w:noWrap w:val="0"/>
            <w:vAlign w:val="center"/>
          </w:tcPr>
          <w:p w14:paraId="1B00C214">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6F09B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noWrap w:val="0"/>
            <w:vAlign w:val="center"/>
          </w:tcPr>
          <w:p w14:paraId="75E49D71">
            <w:pPr>
              <w:kinsoku/>
              <w:wordWrap/>
              <w:overflowPunct/>
              <w:topLinePunct w:val="0"/>
              <w:autoSpaceDE/>
              <w:autoSpaceDN/>
              <w:bidi w:val="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w:t>
            </w:r>
          </w:p>
        </w:tc>
        <w:tc>
          <w:tcPr>
            <w:tcW w:w="1920" w:type="dxa"/>
            <w:noWrap w:val="0"/>
            <w:vAlign w:val="center"/>
          </w:tcPr>
          <w:p w14:paraId="4583CB19">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501B875A">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60E126A1">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6" w:type="dxa"/>
            <w:noWrap w:val="0"/>
            <w:vAlign w:val="center"/>
          </w:tcPr>
          <w:p w14:paraId="11CB4EC1">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0CE23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noWrap w:val="0"/>
            <w:vAlign w:val="center"/>
          </w:tcPr>
          <w:p w14:paraId="3F91FD36">
            <w:pPr>
              <w:kinsoku/>
              <w:wordWrap/>
              <w:overflowPunct/>
              <w:topLinePunct w:val="0"/>
              <w:autoSpaceDE/>
              <w:autoSpaceDN/>
              <w:bidi w:val="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w:t>
            </w:r>
          </w:p>
        </w:tc>
        <w:tc>
          <w:tcPr>
            <w:tcW w:w="1920" w:type="dxa"/>
            <w:noWrap w:val="0"/>
            <w:vAlign w:val="center"/>
          </w:tcPr>
          <w:p w14:paraId="775855C6">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67A2B918">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5DAF5FEB">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6" w:type="dxa"/>
            <w:noWrap w:val="0"/>
            <w:vAlign w:val="center"/>
          </w:tcPr>
          <w:p w14:paraId="555800CC">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6C928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noWrap w:val="0"/>
            <w:vAlign w:val="center"/>
          </w:tcPr>
          <w:p w14:paraId="1CCA9222">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920" w:type="dxa"/>
            <w:noWrap w:val="0"/>
            <w:vAlign w:val="center"/>
          </w:tcPr>
          <w:p w14:paraId="0CB2FBE0">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1C697988">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572F8FC6">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6" w:type="dxa"/>
            <w:noWrap w:val="0"/>
            <w:vAlign w:val="center"/>
          </w:tcPr>
          <w:p w14:paraId="34F30316">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3210D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noWrap w:val="0"/>
            <w:vAlign w:val="center"/>
          </w:tcPr>
          <w:p w14:paraId="30D2563A">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920" w:type="dxa"/>
            <w:noWrap w:val="0"/>
            <w:vAlign w:val="center"/>
          </w:tcPr>
          <w:p w14:paraId="631C5270">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5899260B">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2BD1E895">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6" w:type="dxa"/>
            <w:noWrap w:val="0"/>
            <w:vAlign w:val="center"/>
          </w:tcPr>
          <w:p w14:paraId="27664C66">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20B4F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noWrap w:val="0"/>
            <w:vAlign w:val="center"/>
          </w:tcPr>
          <w:p w14:paraId="5A57AA47">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920" w:type="dxa"/>
            <w:noWrap w:val="0"/>
            <w:vAlign w:val="center"/>
          </w:tcPr>
          <w:p w14:paraId="45567479">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13A46155">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771638D6">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6" w:type="dxa"/>
            <w:noWrap w:val="0"/>
            <w:vAlign w:val="center"/>
          </w:tcPr>
          <w:p w14:paraId="05B329BE">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6816C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noWrap w:val="0"/>
            <w:vAlign w:val="center"/>
          </w:tcPr>
          <w:p w14:paraId="07AD3808">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920" w:type="dxa"/>
            <w:noWrap w:val="0"/>
            <w:vAlign w:val="center"/>
          </w:tcPr>
          <w:p w14:paraId="6F6436DF">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1ADA2220">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5D210273">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6" w:type="dxa"/>
            <w:noWrap w:val="0"/>
            <w:vAlign w:val="center"/>
          </w:tcPr>
          <w:p w14:paraId="32578261">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r w14:paraId="586BF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8" w:type="dxa"/>
            <w:noWrap w:val="0"/>
            <w:vAlign w:val="center"/>
          </w:tcPr>
          <w:p w14:paraId="5C0CAD3E">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920" w:type="dxa"/>
            <w:noWrap w:val="0"/>
            <w:vAlign w:val="center"/>
          </w:tcPr>
          <w:p w14:paraId="2E68626A">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6CE33325">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2400" w:type="dxa"/>
            <w:noWrap w:val="0"/>
            <w:vAlign w:val="center"/>
          </w:tcPr>
          <w:p w14:paraId="02FBC15F">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c>
          <w:tcPr>
            <w:tcW w:w="1716" w:type="dxa"/>
            <w:noWrap w:val="0"/>
            <w:vAlign w:val="center"/>
          </w:tcPr>
          <w:p w14:paraId="66D62E42">
            <w:pPr>
              <w:kinsoku/>
              <w:wordWrap/>
              <w:overflowPunct/>
              <w:topLinePunct w:val="0"/>
              <w:autoSpaceDE/>
              <w:autoSpaceDN/>
              <w:bidi w:val="0"/>
              <w:textAlignment w:val="auto"/>
              <w:rPr>
                <w:rFonts w:hint="eastAsia" w:ascii="宋体" w:hAnsi="宋体" w:eastAsia="宋体" w:cs="宋体"/>
                <w:color w:val="auto"/>
                <w:spacing w:val="0"/>
                <w:szCs w:val="21"/>
                <w:highlight w:val="none"/>
              </w:rPr>
            </w:pPr>
          </w:p>
        </w:tc>
      </w:tr>
    </w:tbl>
    <w:p w14:paraId="5658C627">
      <w:pPr>
        <w:kinsoku/>
        <w:wordWrap/>
        <w:overflowPunct/>
        <w:topLinePunct w:val="0"/>
        <w:autoSpaceDE/>
        <w:autoSpaceDN/>
        <w:bidi w:val="0"/>
        <w:spacing w:line="360" w:lineRule="auto"/>
        <w:ind w:left="420" w:hanging="420"/>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注：供应商须在偏离表中如实填写响应情况，如有要求提供材料的，须按要求提供相应材料。偏离表未填写、负偏离、未提供所要求的材料的，将被视为无效响应。</w:t>
      </w:r>
    </w:p>
    <w:p w14:paraId="3B40CD88">
      <w:pPr>
        <w:kinsoku/>
        <w:wordWrap/>
        <w:overflowPunct/>
        <w:topLinePunct w:val="0"/>
        <w:autoSpaceDE/>
        <w:autoSpaceDN/>
        <w:bidi w:val="0"/>
        <w:spacing w:line="360" w:lineRule="auto"/>
        <w:textAlignment w:val="auto"/>
        <w:rPr>
          <w:rFonts w:hint="eastAsia" w:ascii="宋体" w:hAnsi="宋体" w:eastAsia="宋体" w:cs="宋体"/>
          <w:color w:val="auto"/>
          <w:spacing w:val="0"/>
          <w:szCs w:val="21"/>
          <w:highlight w:val="none"/>
        </w:rPr>
      </w:pPr>
    </w:p>
    <w:p w14:paraId="687D3E59">
      <w:pPr>
        <w:kinsoku/>
        <w:wordWrap/>
        <w:overflowPunct/>
        <w:topLinePunct w:val="0"/>
        <w:autoSpaceDE/>
        <w:autoSpaceDN/>
        <w:bidi w:val="0"/>
        <w:spacing w:line="360" w:lineRule="auto"/>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谈判</w:t>
      </w:r>
      <w:r>
        <w:rPr>
          <w:rFonts w:hint="eastAsia" w:ascii="宋体" w:hAnsi="宋体" w:eastAsia="宋体" w:cs="宋体"/>
          <w:color w:val="auto"/>
          <w:spacing w:val="0"/>
          <w:szCs w:val="21"/>
          <w:highlight w:val="none"/>
        </w:rPr>
        <w:t>响应单位：（</w:t>
      </w:r>
      <w:r>
        <w:rPr>
          <w:rFonts w:hint="eastAsia" w:ascii="宋体" w:hAnsi="宋体" w:eastAsia="宋体" w:cs="宋体"/>
          <w:color w:val="auto"/>
          <w:spacing w:val="0"/>
          <w:szCs w:val="21"/>
          <w:highlight w:val="none"/>
          <w:lang w:val="en-US" w:eastAsia="zh-CN"/>
        </w:rPr>
        <w:t>签</w:t>
      </w:r>
      <w:r>
        <w:rPr>
          <w:rFonts w:hint="eastAsia" w:ascii="宋体" w:hAnsi="宋体" w:eastAsia="宋体" w:cs="宋体"/>
          <w:color w:val="auto"/>
          <w:spacing w:val="0"/>
          <w:szCs w:val="21"/>
          <w:highlight w:val="none"/>
        </w:rPr>
        <w:t>章）</w:t>
      </w:r>
    </w:p>
    <w:p w14:paraId="26360991">
      <w:pPr>
        <w:widowControl/>
        <w:kinsoku/>
        <w:wordWrap/>
        <w:overflowPunct/>
        <w:topLinePunct w:val="0"/>
        <w:autoSpaceDE/>
        <w:autoSpaceDN/>
        <w:bidi w:val="0"/>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日期：        年    月    日</w:t>
      </w:r>
    </w:p>
    <w:p w14:paraId="70D50DB1">
      <w:pPr>
        <w:pStyle w:val="42"/>
        <w:kinsoku/>
        <w:wordWrap/>
        <w:overflowPunct/>
        <w:topLinePunct w:val="0"/>
        <w:autoSpaceDE/>
        <w:autoSpaceDN/>
        <w:bidi w:val="0"/>
        <w:textAlignment w:val="auto"/>
        <w:rPr>
          <w:rFonts w:hint="eastAsia" w:ascii="宋体" w:hAnsi="宋体" w:eastAsia="宋体" w:cs="宋体"/>
          <w:color w:val="auto"/>
          <w:spacing w:val="0"/>
          <w:szCs w:val="21"/>
          <w:highlight w:val="none"/>
        </w:rPr>
      </w:pPr>
    </w:p>
    <w:p w14:paraId="0B60F235">
      <w:pPr>
        <w:spacing w:line="360" w:lineRule="auto"/>
        <w:outlineLvl w:val="1"/>
        <w:rPr>
          <w:rFonts w:hint="eastAsia" w:ascii="宋体" w:hAnsi="宋体" w:eastAsia="宋体" w:cs="宋体"/>
          <w:b/>
          <w:color w:val="auto"/>
          <w:spacing w:val="0"/>
          <w:highlight w:val="none"/>
        </w:rPr>
      </w:pPr>
    </w:p>
    <w:p w14:paraId="3A3244F0">
      <w:pPr>
        <w:spacing w:line="360" w:lineRule="auto"/>
        <w:outlineLvl w:val="1"/>
        <w:rPr>
          <w:rFonts w:hint="eastAsia" w:ascii="宋体" w:hAnsi="宋体" w:eastAsia="宋体" w:cs="宋体"/>
          <w:b/>
          <w:color w:val="auto"/>
          <w:spacing w:val="0"/>
          <w:highlight w:val="none"/>
        </w:rPr>
      </w:pPr>
    </w:p>
    <w:p w14:paraId="733A4A5B">
      <w:pPr>
        <w:spacing w:line="360" w:lineRule="auto"/>
        <w:outlineLvl w:val="1"/>
        <w:rPr>
          <w:rFonts w:hint="eastAsia" w:ascii="宋体" w:hAnsi="宋体" w:eastAsia="宋体" w:cs="宋体"/>
          <w:b/>
          <w:color w:val="auto"/>
          <w:spacing w:val="0"/>
          <w:highlight w:val="none"/>
        </w:rPr>
      </w:pPr>
    </w:p>
    <w:p w14:paraId="23FB6B03">
      <w:pPr>
        <w:spacing w:line="360" w:lineRule="auto"/>
        <w:outlineLvl w:val="1"/>
        <w:rPr>
          <w:rFonts w:hint="eastAsia" w:ascii="宋体" w:hAnsi="宋体" w:eastAsia="宋体" w:cs="宋体"/>
          <w:b/>
          <w:color w:val="auto"/>
          <w:spacing w:val="0"/>
          <w:highlight w:val="none"/>
        </w:rPr>
      </w:pPr>
    </w:p>
    <w:p w14:paraId="18635C17">
      <w:pPr>
        <w:spacing w:line="360" w:lineRule="auto"/>
        <w:outlineLvl w:val="1"/>
        <w:rPr>
          <w:rFonts w:hint="eastAsia" w:ascii="宋体" w:hAnsi="宋体" w:eastAsia="宋体" w:cs="宋体"/>
          <w:b/>
          <w:color w:val="auto"/>
          <w:spacing w:val="0"/>
          <w:sz w:val="21"/>
          <w:szCs w:val="21"/>
          <w:highlight w:val="none"/>
        </w:rPr>
      </w:pPr>
    </w:p>
    <w:p w14:paraId="3D259320">
      <w:pPr>
        <w:spacing w:line="360" w:lineRule="auto"/>
        <w:outlineLvl w:val="1"/>
        <w:rPr>
          <w:rFonts w:hint="eastAsia" w:ascii="宋体" w:hAnsi="宋体" w:eastAsia="宋体" w:cs="宋体"/>
          <w:b/>
          <w:color w:val="auto"/>
          <w:spacing w:val="0"/>
          <w:sz w:val="21"/>
          <w:szCs w:val="21"/>
          <w:highlight w:val="none"/>
        </w:rPr>
      </w:pPr>
    </w:p>
    <w:p w14:paraId="34F7243E">
      <w:pPr>
        <w:widowControl/>
        <w:spacing w:line="440" w:lineRule="exact"/>
        <w:ind w:right="960"/>
        <w:rPr>
          <w:rFonts w:hint="eastAsia" w:ascii="宋体" w:hAnsi="宋体" w:eastAsia="宋体" w:cs="宋体"/>
          <w:color w:val="auto"/>
          <w:sz w:val="21"/>
          <w:szCs w:val="21"/>
          <w:highlight w:val="none"/>
        </w:rPr>
      </w:pPr>
      <w:r>
        <w:rPr>
          <w:rFonts w:hint="eastAsia" w:ascii="宋体" w:hAnsi="宋体" w:eastAsia="宋体" w:cs="宋体"/>
          <w:b/>
          <w:color w:val="auto"/>
          <w:spacing w:val="0"/>
          <w:sz w:val="21"/>
          <w:szCs w:val="21"/>
          <w:highlight w:val="none"/>
        </w:rPr>
        <w:t>附件</w:t>
      </w:r>
      <w:r>
        <w:rPr>
          <w:rFonts w:hint="eastAsia" w:ascii="宋体" w:hAnsi="宋体" w:cs="宋体"/>
          <w:b/>
          <w:color w:val="auto"/>
          <w:spacing w:val="0"/>
          <w:sz w:val="21"/>
          <w:szCs w:val="21"/>
          <w:highlight w:val="none"/>
          <w:lang w:val="en-US" w:eastAsia="zh-CN"/>
        </w:rPr>
        <w:t>10</w:t>
      </w:r>
      <w:r>
        <w:rPr>
          <w:rFonts w:hint="eastAsia" w:ascii="宋体" w:hAnsi="宋体" w:eastAsia="宋体" w:cs="宋体"/>
          <w:b/>
          <w:color w:val="auto"/>
          <w:spacing w:val="0"/>
          <w:sz w:val="21"/>
          <w:szCs w:val="21"/>
          <w:highlight w:val="none"/>
        </w:rPr>
        <w:t>：</w:t>
      </w:r>
      <w:r>
        <w:rPr>
          <w:rFonts w:hint="eastAsia" w:ascii="宋体" w:hAnsi="宋体" w:cs="宋体"/>
          <w:b/>
          <w:bCs/>
          <w:color w:val="auto"/>
          <w:szCs w:val="21"/>
          <w:highlight w:val="none"/>
          <w:lang w:val="zh-CN"/>
        </w:rPr>
        <w:t>售后服务承诺书</w:t>
      </w:r>
    </w:p>
    <w:p w14:paraId="707FD45B">
      <w:pPr>
        <w:pStyle w:val="5"/>
        <w:ind w:firstLine="0"/>
        <w:outlineLvl w:val="1"/>
        <w:rPr>
          <w:rFonts w:hint="eastAsia" w:ascii="宋体" w:hAnsi="宋体" w:eastAsia="宋体" w:cs="宋体"/>
          <w:b/>
          <w:bCs/>
          <w:color w:val="auto"/>
          <w:highlight w:val="none"/>
        </w:rPr>
      </w:pPr>
    </w:p>
    <w:p w14:paraId="25501454">
      <w:pPr>
        <w:spacing w:line="40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售后服务承诺书</w:t>
      </w:r>
    </w:p>
    <w:p w14:paraId="62A91C67">
      <w:pPr>
        <w:spacing w:line="400" w:lineRule="exact"/>
        <w:jc w:val="center"/>
        <w:rPr>
          <w:rFonts w:ascii="宋体" w:hAnsi="宋体" w:cs="宋体"/>
          <w:b/>
          <w:color w:val="auto"/>
          <w:szCs w:val="21"/>
          <w:highlight w:val="none"/>
          <w:lang w:val="zh-CN"/>
        </w:rPr>
      </w:pP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060"/>
        <w:gridCol w:w="2452"/>
        <w:gridCol w:w="2523"/>
      </w:tblGrid>
      <w:tr w14:paraId="73272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828" w:type="dxa"/>
            <w:noWrap/>
            <w:vAlign w:val="center"/>
          </w:tcPr>
          <w:p w14:paraId="452442A0">
            <w:pPr>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序号</w:t>
            </w:r>
          </w:p>
        </w:tc>
        <w:tc>
          <w:tcPr>
            <w:tcW w:w="3060" w:type="dxa"/>
            <w:noWrap/>
            <w:vAlign w:val="center"/>
          </w:tcPr>
          <w:p w14:paraId="0FCB1B3A">
            <w:pPr>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售后服务内容</w:t>
            </w:r>
          </w:p>
        </w:tc>
        <w:tc>
          <w:tcPr>
            <w:tcW w:w="2452" w:type="dxa"/>
            <w:noWrap/>
            <w:vAlign w:val="center"/>
          </w:tcPr>
          <w:p w14:paraId="53849F5A">
            <w:pPr>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期限（时间）</w:t>
            </w:r>
          </w:p>
        </w:tc>
        <w:tc>
          <w:tcPr>
            <w:tcW w:w="2523" w:type="dxa"/>
            <w:noWrap/>
            <w:vAlign w:val="center"/>
          </w:tcPr>
          <w:p w14:paraId="369FB616">
            <w:pPr>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备注</w:t>
            </w:r>
          </w:p>
        </w:tc>
      </w:tr>
      <w:tr w14:paraId="57672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828" w:type="dxa"/>
            <w:noWrap/>
            <w:vAlign w:val="center"/>
          </w:tcPr>
          <w:p w14:paraId="6E56823D">
            <w:pPr>
              <w:spacing w:before="25" w:after="25"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060" w:type="dxa"/>
            <w:noWrap/>
            <w:vAlign w:val="center"/>
          </w:tcPr>
          <w:p w14:paraId="5B18E79F">
            <w:pPr>
              <w:spacing w:before="25" w:after="25" w:line="400" w:lineRule="exact"/>
              <w:jc w:val="center"/>
              <w:rPr>
                <w:rFonts w:ascii="宋体" w:hAnsi="宋体" w:cs="宋体"/>
                <w:color w:val="auto"/>
                <w:szCs w:val="21"/>
                <w:highlight w:val="none"/>
                <w:lang w:val="zh-CN"/>
              </w:rPr>
            </w:pPr>
            <w:r>
              <w:rPr>
                <w:rFonts w:hint="eastAsia" w:ascii="宋体" w:hAnsi="宋体" w:cs="宋体"/>
                <w:color w:val="auto"/>
                <w:szCs w:val="21"/>
                <w:highlight w:val="none"/>
              </w:rPr>
              <w:t>质保期</w:t>
            </w:r>
          </w:p>
        </w:tc>
        <w:tc>
          <w:tcPr>
            <w:tcW w:w="2452" w:type="dxa"/>
            <w:noWrap/>
            <w:vAlign w:val="center"/>
          </w:tcPr>
          <w:p w14:paraId="6C67BF88">
            <w:pPr>
              <w:spacing w:before="25" w:after="25" w:line="400" w:lineRule="exact"/>
              <w:jc w:val="center"/>
              <w:rPr>
                <w:rFonts w:ascii="宋体" w:hAnsi="宋体" w:cs="宋体"/>
                <w:color w:val="auto"/>
                <w:szCs w:val="21"/>
                <w:highlight w:val="none"/>
              </w:rPr>
            </w:pPr>
          </w:p>
        </w:tc>
        <w:tc>
          <w:tcPr>
            <w:tcW w:w="2523" w:type="dxa"/>
            <w:noWrap/>
            <w:vAlign w:val="center"/>
          </w:tcPr>
          <w:p w14:paraId="5F2A8798">
            <w:pPr>
              <w:spacing w:before="25" w:after="25" w:line="400" w:lineRule="exact"/>
              <w:jc w:val="center"/>
              <w:rPr>
                <w:rFonts w:ascii="宋体" w:hAnsi="宋体" w:cs="宋体"/>
                <w:color w:val="auto"/>
                <w:szCs w:val="21"/>
                <w:highlight w:val="none"/>
              </w:rPr>
            </w:pPr>
          </w:p>
        </w:tc>
      </w:tr>
      <w:tr w14:paraId="6391B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828" w:type="dxa"/>
            <w:noWrap/>
            <w:vAlign w:val="center"/>
          </w:tcPr>
          <w:p w14:paraId="799A8784">
            <w:pPr>
              <w:spacing w:before="25" w:after="25"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3060" w:type="dxa"/>
            <w:noWrap/>
            <w:vAlign w:val="center"/>
          </w:tcPr>
          <w:p w14:paraId="00ACE3EE">
            <w:pPr>
              <w:spacing w:before="25" w:after="25"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服务响应</w:t>
            </w:r>
          </w:p>
        </w:tc>
        <w:tc>
          <w:tcPr>
            <w:tcW w:w="2452" w:type="dxa"/>
            <w:noWrap/>
            <w:vAlign w:val="center"/>
          </w:tcPr>
          <w:p w14:paraId="07A02AE2">
            <w:pPr>
              <w:spacing w:before="25" w:after="25" w:line="400" w:lineRule="exact"/>
              <w:jc w:val="center"/>
              <w:rPr>
                <w:rFonts w:ascii="宋体" w:hAnsi="宋体" w:cs="宋体"/>
                <w:color w:val="auto"/>
                <w:szCs w:val="21"/>
                <w:highlight w:val="none"/>
              </w:rPr>
            </w:pPr>
          </w:p>
        </w:tc>
        <w:tc>
          <w:tcPr>
            <w:tcW w:w="2523" w:type="dxa"/>
            <w:noWrap/>
            <w:vAlign w:val="center"/>
          </w:tcPr>
          <w:p w14:paraId="273059B3">
            <w:pPr>
              <w:spacing w:before="25" w:after="25" w:line="400" w:lineRule="exact"/>
              <w:jc w:val="center"/>
              <w:rPr>
                <w:rFonts w:ascii="宋体" w:hAnsi="宋体" w:cs="宋体"/>
                <w:color w:val="auto"/>
                <w:szCs w:val="21"/>
                <w:highlight w:val="none"/>
              </w:rPr>
            </w:pPr>
          </w:p>
        </w:tc>
      </w:tr>
      <w:tr w14:paraId="1F700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828" w:type="dxa"/>
            <w:noWrap/>
            <w:vAlign w:val="center"/>
          </w:tcPr>
          <w:p w14:paraId="0FF24F33">
            <w:pPr>
              <w:spacing w:before="25" w:after="25"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0" w:type="dxa"/>
            <w:noWrap/>
            <w:vAlign w:val="center"/>
          </w:tcPr>
          <w:p w14:paraId="6F9BCF82">
            <w:pPr>
              <w:spacing w:before="25" w:after="25"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到达现场</w:t>
            </w:r>
          </w:p>
        </w:tc>
        <w:tc>
          <w:tcPr>
            <w:tcW w:w="2452" w:type="dxa"/>
            <w:noWrap/>
            <w:vAlign w:val="center"/>
          </w:tcPr>
          <w:p w14:paraId="7FD447F1">
            <w:pPr>
              <w:spacing w:before="25" w:after="25" w:line="400" w:lineRule="exact"/>
              <w:jc w:val="center"/>
              <w:rPr>
                <w:rFonts w:ascii="宋体" w:hAnsi="宋体" w:cs="宋体"/>
                <w:color w:val="auto"/>
                <w:szCs w:val="21"/>
                <w:highlight w:val="none"/>
              </w:rPr>
            </w:pPr>
          </w:p>
        </w:tc>
        <w:tc>
          <w:tcPr>
            <w:tcW w:w="2523" w:type="dxa"/>
            <w:noWrap/>
            <w:vAlign w:val="center"/>
          </w:tcPr>
          <w:p w14:paraId="5987846D">
            <w:pPr>
              <w:spacing w:before="25" w:after="25" w:line="400" w:lineRule="exact"/>
              <w:jc w:val="center"/>
              <w:rPr>
                <w:rFonts w:ascii="宋体" w:hAnsi="宋体" w:cs="宋体"/>
                <w:color w:val="auto"/>
                <w:szCs w:val="21"/>
                <w:highlight w:val="none"/>
              </w:rPr>
            </w:pPr>
          </w:p>
        </w:tc>
      </w:tr>
      <w:tr w14:paraId="25DF6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828" w:type="dxa"/>
            <w:noWrap/>
            <w:vAlign w:val="center"/>
          </w:tcPr>
          <w:p w14:paraId="71A720E7">
            <w:pPr>
              <w:spacing w:before="25" w:after="25"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0" w:type="dxa"/>
            <w:noWrap/>
            <w:vAlign w:val="center"/>
          </w:tcPr>
          <w:p w14:paraId="35967149">
            <w:pPr>
              <w:spacing w:before="25" w:after="25"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解决问题</w:t>
            </w:r>
          </w:p>
        </w:tc>
        <w:tc>
          <w:tcPr>
            <w:tcW w:w="2452" w:type="dxa"/>
            <w:noWrap/>
            <w:vAlign w:val="center"/>
          </w:tcPr>
          <w:p w14:paraId="54AF1C5D">
            <w:pPr>
              <w:spacing w:before="25" w:after="25" w:line="400" w:lineRule="exact"/>
              <w:jc w:val="center"/>
              <w:rPr>
                <w:rFonts w:ascii="宋体" w:hAnsi="宋体" w:cs="宋体"/>
                <w:color w:val="auto"/>
                <w:szCs w:val="21"/>
                <w:highlight w:val="none"/>
              </w:rPr>
            </w:pPr>
          </w:p>
        </w:tc>
        <w:tc>
          <w:tcPr>
            <w:tcW w:w="2523" w:type="dxa"/>
            <w:noWrap/>
            <w:vAlign w:val="center"/>
          </w:tcPr>
          <w:p w14:paraId="7E8A3A51">
            <w:pPr>
              <w:spacing w:before="25" w:after="25" w:line="400" w:lineRule="exact"/>
              <w:jc w:val="center"/>
              <w:rPr>
                <w:rFonts w:ascii="宋体" w:hAnsi="宋体" w:cs="宋体"/>
                <w:color w:val="auto"/>
                <w:szCs w:val="21"/>
                <w:highlight w:val="none"/>
              </w:rPr>
            </w:pPr>
          </w:p>
        </w:tc>
      </w:tr>
      <w:tr w14:paraId="479B6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828" w:type="dxa"/>
            <w:noWrap/>
            <w:vAlign w:val="center"/>
          </w:tcPr>
          <w:p w14:paraId="4146DD64">
            <w:pPr>
              <w:spacing w:before="25" w:after="25" w:line="400" w:lineRule="exact"/>
              <w:jc w:val="center"/>
              <w:rPr>
                <w:rFonts w:ascii="宋体" w:hAnsi="宋体" w:cs="宋体"/>
                <w:color w:val="auto"/>
                <w:szCs w:val="21"/>
                <w:highlight w:val="none"/>
              </w:rPr>
            </w:pPr>
          </w:p>
        </w:tc>
        <w:tc>
          <w:tcPr>
            <w:tcW w:w="3060" w:type="dxa"/>
            <w:noWrap/>
            <w:vAlign w:val="center"/>
          </w:tcPr>
          <w:p w14:paraId="141E3142">
            <w:pPr>
              <w:spacing w:before="25" w:after="25" w:line="400" w:lineRule="exact"/>
              <w:jc w:val="center"/>
              <w:rPr>
                <w:rFonts w:ascii="宋体" w:hAnsi="宋体" w:cs="宋体"/>
                <w:color w:val="auto"/>
                <w:szCs w:val="21"/>
                <w:highlight w:val="none"/>
              </w:rPr>
            </w:pPr>
          </w:p>
        </w:tc>
        <w:tc>
          <w:tcPr>
            <w:tcW w:w="2452" w:type="dxa"/>
            <w:noWrap/>
            <w:vAlign w:val="center"/>
          </w:tcPr>
          <w:p w14:paraId="6007C361">
            <w:pPr>
              <w:spacing w:before="25" w:after="25" w:line="400" w:lineRule="exact"/>
              <w:jc w:val="center"/>
              <w:rPr>
                <w:rFonts w:ascii="宋体" w:hAnsi="宋体" w:cs="宋体"/>
                <w:color w:val="auto"/>
                <w:szCs w:val="21"/>
                <w:highlight w:val="none"/>
              </w:rPr>
            </w:pPr>
          </w:p>
        </w:tc>
        <w:tc>
          <w:tcPr>
            <w:tcW w:w="2523" w:type="dxa"/>
            <w:noWrap/>
            <w:vAlign w:val="center"/>
          </w:tcPr>
          <w:p w14:paraId="23FC7F74">
            <w:pPr>
              <w:spacing w:before="25" w:after="25" w:line="400" w:lineRule="exact"/>
              <w:jc w:val="center"/>
              <w:rPr>
                <w:rFonts w:ascii="宋体" w:hAnsi="宋体" w:cs="宋体"/>
                <w:color w:val="auto"/>
                <w:szCs w:val="21"/>
                <w:highlight w:val="none"/>
              </w:rPr>
            </w:pPr>
          </w:p>
        </w:tc>
      </w:tr>
    </w:tbl>
    <w:p w14:paraId="22B4EE7E">
      <w:pPr>
        <w:spacing w:before="25" w:after="25"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注：1、针对服务内容有必须说明的事项，请在“备注”栏目内注明；</w:t>
      </w:r>
    </w:p>
    <w:p w14:paraId="4D7A8B2D">
      <w:pPr>
        <w:spacing w:before="25" w:after="25" w:line="400" w:lineRule="exact"/>
        <w:ind w:firstLine="480"/>
        <w:rPr>
          <w:rFonts w:ascii="宋体" w:hAnsi="宋体" w:cs="宋体"/>
          <w:color w:val="auto"/>
          <w:szCs w:val="21"/>
          <w:highlight w:val="none"/>
          <w:lang w:val="zh-CN"/>
        </w:rPr>
      </w:pPr>
      <w:r>
        <w:rPr>
          <w:rFonts w:hint="eastAsia" w:ascii="宋体" w:hAnsi="宋体" w:cs="宋体"/>
          <w:color w:val="auto"/>
          <w:szCs w:val="21"/>
          <w:highlight w:val="none"/>
          <w:lang w:val="zh-CN"/>
        </w:rPr>
        <w:t>2、如有其它售后服务内容，可自行参照填写。</w:t>
      </w:r>
    </w:p>
    <w:p w14:paraId="760CF33E">
      <w:pPr>
        <w:spacing w:before="25" w:after="25" w:line="400" w:lineRule="exact"/>
        <w:rPr>
          <w:rFonts w:ascii="宋体" w:hAnsi="宋体" w:cs="宋体"/>
          <w:color w:val="auto"/>
          <w:szCs w:val="21"/>
          <w:highlight w:val="none"/>
          <w:lang w:val="zh-CN"/>
        </w:rPr>
      </w:pPr>
    </w:p>
    <w:p w14:paraId="5E9B4938">
      <w:pPr>
        <w:widowControl/>
        <w:spacing w:line="440" w:lineRule="exact"/>
        <w:ind w:right="96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谈判响应单位：（签章）</w:t>
      </w:r>
    </w:p>
    <w:p w14:paraId="578E1206">
      <w:pPr>
        <w:widowControl/>
        <w:spacing w:line="440" w:lineRule="exact"/>
        <w:ind w:right="960"/>
        <w:rPr>
          <w:rFonts w:hint="eastAsia" w:ascii="宋体" w:hAnsi="宋体" w:eastAsia="宋体" w:cs="宋体"/>
          <w:color w:val="auto"/>
          <w:sz w:val="21"/>
          <w:szCs w:val="21"/>
          <w:highlight w:val="none"/>
        </w:rPr>
      </w:pPr>
      <w:r>
        <w:rPr>
          <w:rFonts w:hint="eastAsia" w:ascii="宋体" w:hAnsi="宋体" w:eastAsia="宋体" w:cs="宋体"/>
          <w:b w:val="0"/>
          <w:bCs w:val="0"/>
          <w:color w:val="auto"/>
          <w:highlight w:val="none"/>
        </w:rPr>
        <w:t>日期：        年    月    日</w:t>
      </w:r>
    </w:p>
    <w:p w14:paraId="4B08559C">
      <w:pPr>
        <w:pageBreakBefore/>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lang w:val="en-US" w:eastAsia="zh-CN"/>
        </w:rPr>
        <w:t>附件1</w:t>
      </w:r>
      <w:r>
        <w:rPr>
          <w:rFonts w:hint="eastAsia" w:ascii="宋体" w:hAnsi="宋体" w:cs="宋体"/>
          <w:b/>
          <w:color w:val="auto"/>
          <w:spacing w:val="0"/>
          <w:highlight w:val="none"/>
          <w:lang w:val="en-US" w:eastAsia="zh-CN"/>
        </w:rPr>
        <w:t>1</w:t>
      </w:r>
      <w:r>
        <w:rPr>
          <w:rFonts w:hint="eastAsia" w:ascii="宋体" w:hAnsi="宋体" w:eastAsia="宋体" w:cs="宋体"/>
          <w:b/>
          <w:color w:val="auto"/>
          <w:spacing w:val="0"/>
          <w:highlight w:val="none"/>
          <w:lang w:val="en-US" w:eastAsia="zh-CN"/>
        </w:rPr>
        <w:t>：</w:t>
      </w:r>
      <w:r>
        <w:rPr>
          <w:rFonts w:hint="eastAsia" w:ascii="宋体" w:hAnsi="宋体" w:eastAsia="宋体" w:cs="宋体"/>
          <w:b/>
          <w:color w:val="auto"/>
          <w:spacing w:val="0"/>
          <w:highlight w:val="none"/>
        </w:rPr>
        <w:t>投标（响应）保证承诺书</w:t>
      </w:r>
    </w:p>
    <w:p w14:paraId="2C322AD0">
      <w:pPr>
        <w:widowControl/>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投标（响应）保证承诺书</w:t>
      </w:r>
    </w:p>
    <w:p w14:paraId="2CED17D8">
      <w:pPr>
        <w:widowControl/>
        <w:kinsoku/>
        <w:wordWrap/>
        <w:overflowPunct/>
        <w:topLinePunct w:val="0"/>
        <w:autoSpaceDE/>
        <w:autoSpaceDN/>
        <w:bidi w:val="0"/>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致：</w:t>
      </w:r>
      <w:r>
        <w:rPr>
          <w:rFonts w:hint="eastAsia" w:ascii="宋体" w:hAnsi="宋体" w:eastAsia="宋体" w:cs="宋体"/>
          <w:color w:val="auto"/>
          <w:spacing w:val="0"/>
          <w:szCs w:val="21"/>
          <w:highlight w:val="none"/>
          <w:u w:val="single"/>
        </w:rPr>
        <w:t>         （采购代理机构名称）</w:t>
      </w:r>
    </w:p>
    <w:p w14:paraId="7089FD2B">
      <w:pPr>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我（单位/本人，以下统称我单位）自愿参加</w:t>
      </w:r>
      <w:r>
        <w:rPr>
          <w:rFonts w:hint="eastAsia" w:ascii="宋体" w:hAnsi="宋体" w:eastAsia="宋体" w:cs="宋体"/>
          <w:color w:val="auto"/>
          <w:spacing w:val="0"/>
          <w:szCs w:val="21"/>
          <w:highlight w:val="none"/>
          <w:u w:val="single"/>
        </w:rPr>
        <w:t xml:space="preserve">              （项目名称和采购编号）</w:t>
      </w:r>
      <w:r>
        <w:rPr>
          <w:rFonts w:hint="eastAsia" w:ascii="宋体" w:hAnsi="宋体" w:eastAsia="宋体" w:cs="宋体"/>
          <w:color w:val="auto"/>
          <w:spacing w:val="0"/>
          <w:szCs w:val="21"/>
          <w:highlight w:val="none"/>
        </w:rPr>
        <w:t>的投标（响应），并做出如下承诺：</w:t>
      </w:r>
    </w:p>
    <w:p w14:paraId="2EFFE2AA">
      <w:pPr>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一、除不可抗力外，我单位如果发生以下行为，将在行为发生的10个工作日内，向贵方</w:t>
      </w:r>
      <w:r>
        <w:rPr>
          <w:rFonts w:hint="eastAsia" w:ascii="宋体" w:hAnsi="宋体" w:eastAsia="宋体" w:cs="宋体"/>
          <w:color w:val="auto"/>
          <w:spacing w:val="0"/>
          <w:szCs w:val="21"/>
          <w:highlight w:val="none"/>
          <w:u w:val="single"/>
        </w:rPr>
        <w:t>（或采购人）</w:t>
      </w:r>
      <w:r>
        <w:rPr>
          <w:rFonts w:hint="eastAsia" w:ascii="宋体" w:hAnsi="宋体" w:eastAsia="宋体" w:cs="宋体"/>
          <w:color w:val="auto"/>
          <w:spacing w:val="0"/>
          <w:szCs w:val="21"/>
          <w:highlight w:val="none"/>
        </w:rPr>
        <w:t>支付本采购文件公布的预算金额（或最高限价）的2%作为违约赔偿金（数量不确定的单价采购须约定具体金额）。</w:t>
      </w:r>
    </w:p>
    <w:p w14:paraId="6CEE7A98">
      <w:pPr>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1.自投标（响应）截止时间至本项目发布中标（成交）公告为止，撤销投标（响应）；</w:t>
      </w:r>
    </w:p>
    <w:p w14:paraId="30BA8CF0">
      <w:pPr>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2.中标（成交）后不依法与采购人签订合同；</w:t>
      </w:r>
    </w:p>
    <w:p w14:paraId="4E427DB2">
      <w:pPr>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3.中标（成交）后不按本采购文件规定向采购人提交履约保证金（如有）；</w:t>
      </w:r>
    </w:p>
    <w:p w14:paraId="6E7E4924">
      <w:pPr>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4.中标（成交）后不按本采购文件规定向贵方缴纳采购代理费。</w:t>
      </w:r>
    </w:p>
    <w:p w14:paraId="03DE632A">
      <w:pPr>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二、我单位知晓上述行为的法律后果，承认本承诺书作为贵方</w:t>
      </w:r>
      <w:r>
        <w:rPr>
          <w:rFonts w:hint="eastAsia" w:ascii="宋体" w:hAnsi="宋体" w:eastAsia="宋体" w:cs="宋体"/>
          <w:color w:val="auto"/>
          <w:spacing w:val="0"/>
          <w:szCs w:val="21"/>
          <w:highlight w:val="none"/>
          <w:u w:val="single"/>
        </w:rPr>
        <w:t>（或采购人）</w:t>
      </w:r>
      <w:r>
        <w:rPr>
          <w:rFonts w:hint="eastAsia" w:ascii="宋体" w:hAnsi="宋体" w:eastAsia="宋体" w:cs="宋体"/>
          <w:color w:val="auto"/>
          <w:spacing w:val="0"/>
          <w:szCs w:val="21"/>
          <w:highlight w:val="none"/>
        </w:rPr>
        <w:t>要求我单位履行违约赔偿义务的依据作用。</w:t>
      </w:r>
    </w:p>
    <w:p w14:paraId="726A17F8">
      <w:pPr>
        <w:widowControl/>
        <w:kinsoku/>
        <w:wordWrap/>
        <w:overflowPunct/>
        <w:topLinePunct w:val="0"/>
        <w:autoSpaceDE/>
        <w:autoSpaceDN/>
        <w:bidi w:val="0"/>
        <w:spacing w:line="360" w:lineRule="auto"/>
        <w:jc w:val="left"/>
        <w:textAlignment w:val="auto"/>
        <w:rPr>
          <w:rFonts w:hint="eastAsia" w:ascii="宋体" w:hAnsi="宋体" w:eastAsia="宋体" w:cs="宋体"/>
          <w:color w:val="auto"/>
          <w:spacing w:val="0"/>
          <w:szCs w:val="21"/>
          <w:highlight w:val="none"/>
        </w:rPr>
      </w:pPr>
    </w:p>
    <w:p w14:paraId="653722FC">
      <w:pPr>
        <w:widowControl/>
        <w:kinsoku/>
        <w:wordWrap/>
        <w:overflowPunct/>
        <w:topLinePunct w:val="0"/>
        <w:autoSpaceDE/>
        <w:autoSpaceDN/>
        <w:bidi w:val="0"/>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投标（响应）人（</w:t>
      </w:r>
      <w:r>
        <w:rPr>
          <w:rFonts w:hint="eastAsia" w:ascii="宋体" w:hAnsi="宋体" w:eastAsia="宋体" w:cs="宋体"/>
          <w:color w:val="auto"/>
          <w:spacing w:val="0"/>
          <w:szCs w:val="21"/>
          <w:highlight w:val="none"/>
          <w:lang w:val="en-US" w:eastAsia="zh-CN"/>
        </w:rPr>
        <w:t>签</w:t>
      </w:r>
      <w:r>
        <w:rPr>
          <w:rFonts w:hint="eastAsia" w:ascii="宋体" w:hAnsi="宋体" w:eastAsia="宋体" w:cs="宋体"/>
          <w:color w:val="auto"/>
          <w:spacing w:val="0"/>
          <w:szCs w:val="21"/>
          <w:highlight w:val="none"/>
        </w:rPr>
        <w:t>章）：</w:t>
      </w:r>
    </w:p>
    <w:p w14:paraId="31C8A898">
      <w:pPr>
        <w:widowControl/>
        <w:kinsoku/>
        <w:wordWrap/>
        <w:overflowPunct/>
        <w:topLinePunct w:val="0"/>
        <w:autoSpaceDE/>
        <w:autoSpaceDN/>
        <w:bidi w:val="0"/>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地址：</w:t>
      </w:r>
    </w:p>
    <w:p w14:paraId="34C7A7A3">
      <w:pPr>
        <w:widowControl/>
        <w:kinsoku/>
        <w:wordWrap/>
        <w:overflowPunct/>
        <w:topLinePunct w:val="0"/>
        <w:autoSpaceDE/>
        <w:autoSpaceDN/>
        <w:bidi w:val="0"/>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电话：</w:t>
      </w:r>
    </w:p>
    <w:p w14:paraId="7A39EB35">
      <w:pPr>
        <w:widowControl/>
        <w:kinsoku/>
        <w:wordWrap/>
        <w:overflowPunct/>
        <w:topLinePunct w:val="0"/>
        <w:autoSpaceDE/>
        <w:autoSpaceDN/>
        <w:bidi w:val="0"/>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传真：</w:t>
      </w:r>
    </w:p>
    <w:p w14:paraId="35C43356">
      <w:pPr>
        <w:widowControl/>
        <w:kinsoku/>
        <w:wordWrap/>
        <w:overflowPunct/>
        <w:topLinePunct w:val="0"/>
        <w:autoSpaceDE/>
        <w:autoSpaceDN/>
        <w:bidi w:val="0"/>
        <w:spacing w:line="360" w:lineRule="auto"/>
        <w:jc w:val="left"/>
        <w:textAlignment w:val="auto"/>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电子邮件：</w:t>
      </w:r>
    </w:p>
    <w:p w14:paraId="6168C6E0">
      <w:pPr>
        <w:widowControl/>
        <w:kinsoku/>
        <w:wordWrap/>
        <w:overflowPunct/>
        <w:topLinePunct w:val="0"/>
        <w:autoSpaceDE/>
        <w:autoSpaceDN/>
        <w:bidi w:val="0"/>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邮编：</w:t>
      </w:r>
    </w:p>
    <w:p w14:paraId="5EA64156">
      <w:pPr>
        <w:widowControl/>
        <w:kinsoku/>
        <w:wordWrap/>
        <w:overflowPunct/>
        <w:topLinePunct w:val="0"/>
        <w:autoSpaceDE/>
        <w:autoSpaceDN/>
        <w:bidi w:val="0"/>
        <w:spacing w:line="360" w:lineRule="auto"/>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日期：</w:t>
      </w:r>
    </w:p>
    <w:p w14:paraId="54DBC0B9">
      <w:pPr>
        <w:pStyle w:val="42"/>
        <w:kinsoku/>
        <w:wordWrap/>
        <w:overflowPunct/>
        <w:topLinePunct w:val="0"/>
        <w:autoSpaceDE/>
        <w:autoSpaceDN/>
        <w:bidi w:val="0"/>
        <w:textAlignment w:val="auto"/>
        <w:rPr>
          <w:rFonts w:hint="eastAsia" w:ascii="宋体" w:hAnsi="宋体" w:eastAsia="宋体" w:cs="宋体"/>
          <w:color w:val="auto"/>
          <w:spacing w:val="0"/>
          <w:szCs w:val="21"/>
          <w:highlight w:val="none"/>
        </w:rPr>
        <w:sectPr>
          <w:pgSz w:w="11906" w:h="16838"/>
          <w:pgMar w:top="1440" w:right="1417" w:bottom="1440" w:left="1417" w:header="964" w:footer="964" w:gutter="0"/>
          <w:cols w:space="720" w:num="1"/>
          <w:docGrid w:linePitch="360" w:charSpace="0"/>
        </w:sectPr>
      </w:pPr>
    </w:p>
    <w:p w14:paraId="44C46A1C">
      <w:pPr>
        <w:pStyle w:val="5"/>
        <w:kinsoku/>
        <w:wordWrap/>
        <w:overflowPunct/>
        <w:topLinePunct w:val="0"/>
        <w:autoSpaceDE/>
        <w:autoSpaceDN/>
        <w:bidi w:val="0"/>
        <w:spacing w:line="360" w:lineRule="auto"/>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附件</w:t>
      </w:r>
      <w:r>
        <w:rPr>
          <w:rFonts w:hint="eastAsia" w:ascii="宋体" w:hAnsi="宋体" w:eastAsia="宋体" w:cs="宋体"/>
          <w:b/>
          <w:color w:val="auto"/>
          <w:spacing w:val="0"/>
          <w:sz w:val="21"/>
          <w:szCs w:val="21"/>
          <w:highlight w:val="none"/>
          <w:lang w:val="en-US" w:eastAsia="zh-CN"/>
        </w:rPr>
        <w:t>12</w:t>
      </w:r>
      <w:r>
        <w:rPr>
          <w:rFonts w:hint="eastAsia" w:ascii="宋体" w:hAnsi="宋体" w:eastAsia="宋体" w:cs="宋体"/>
          <w:b/>
          <w:color w:val="auto"/>
          <w:spacing w:val="0"/>
          <w:sz w:val="21"/>
          <w:szCs w:val="21"/>
          <w:highlight w:val="none"/>
        </w:rPr>
        <w:t>：</w:t>
      </w:r>
      <w:r>
        <w:rPr>
          <w:rFonts w:hint="eastAsia" w:ascii="宋体" w:hAnsi="宋体" w:eastAsia="宋体" w:cs="宋体"/>
          <w:b/>
          <w:color w:val="auto"/>
          <w:spacing w:val="0"/>
          <w:sz w:val="21"/>
          <w:szCs w:val="21"/>
          <w:highlight w:val="none"/>
          <w:lang w:eastAsia="zh-CN"/>
        </w:rPr>
        <w:t>谈判</w:t>
      </w:r>
      <w:r>
        <w:rPr>
          <w:rFonts w:hint="eastAsia" w:ascii="宋体" w:hAnsi="宋体" w:eastAsia="宋体" w:cs="宋体"/>
          <w:b/>
          <w:color w:val="auto"/>
          <w:spacing w:val="0"/>
          <w:sz w:val="21"/>
          <w:szCs w:val="21"/>
          <w:highlight w:val="none"/>
        </w:rPr>
        <w:t>响应单位基本情况表</w:t>
      </w:r>
    </w:p>
    <w:p w14:paraId="675C52FF">
      <w:pPr>
        <w:pStyle w:val="5"/>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highlight w:val="none"/>
        </w:rPr>
      </w:pPr>
    </w:p>
    <w:p w14:paraId="7F96882E">
      <w:pPr>
        <w:pStyle w:val="5"/>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谈判</w:t>
      </w:r>
      <w:r>
        <w:rPr>
          <w:rFonts w:hint="eastAsia" w:ascii="宋体" w:hAnsi="宋体" w:eastAsia="宋体" w:cs="宋体"/>
          <w:color w:val="auto"/>
          <w:spacing w:val="0"/>
          <w:sz w:val="21"/>
          <w:szCs w:val="21"/>
          <w:highlight w:val="none"/>
        </w:rPr>
        <w:t>响应单位基本情况表</w:t>
      </w:r>
    </w:p>
    <w:p w14:paraId="4111E55F">
      <w:pPr>
        <w:pStyle w:val="5"/>
        <w:kinsoku/>
        <w:wordWrap/>
        <w:overflowPunct/>
        <w:topLinePunct w:val="0"/>
        <w:autoSpaceDE/>
        <w:autoSpaceDN/>
        <w:bidi w:val="0"/>
        <w:spacing w:line="360" w:lineRule="auto"/>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单位名称：（</w:t>
      </w:r>
      <w:r>
        <w:rPr>
          <w:rFonts w:hint="eastAsia" w:ascii="宋体" w:hAnsi="宋体" w:eastAsia="宋体" w:cs="宋体"/>
          <w:color w:val="auto"/>
          <w:spacing w:val="0"/>
          <w:sz w:val="21"/>
          <w:szCs w:val="21"/>
          <w:highlight w:val="none"/>
          <w:lang w:val="en-US" w:eastAsia="zh-CN"/>
        </w:rPr>
        <w:t>签</w:t>
      </w:r>
      <w:r>
        <w:rPr>
          <w:rFonts w:hint="eastAsia" w:ascii="宋体" w:hAnsi="宋体" w:eastAsia="宋体" w:cs="宋体"/>
          <w:color w:val="auto"/>
          <w:spacing w:val="0"/>
          <w:sz w:val="21"/>
          <w:szCs w:val="21"/>
          <w:highlight w:val="none"/>
        </w:rPr>
        <w:t>章）</w:t>
      </w:r>
    </w:p>
    <w:tbl>
      <w:tblPr>
        <w:tblStyle w:val="43"/>
        <w:tblW w:w="49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63"/>
        <w:gridCol w:w="1871"/>
        <w:gridCol w:w="1434"/>
        <w:gridCol w:w="2019"/>
        <w:gridCol w:w="1215"/>
      </w:tblGrid>
      <w:tr w14:paraId="45631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719" w:type="dxa"/>
            <w:noWrap w:val="0"/>
            <w:vAlign w:val="center"/>
          </w:tcPr>
          <w:p w14:paraId="302B1BFF">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法定代表人</w:t>
            </w:r>
          </w:p>
        </w:tc>
        <w:tc>
          <w:tcPr>
            <w:tcW w:w="1985" w:type="dxa"/>
            <w:noWrap w:val="0"/>
            <w:vAlign w:val="center"/>
          </w:tcPr>
          <w:p w14:paraId="03F26590">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c>
          <w:tcPr>
            <w:tcW w:w="1522" w:type="dxa"/>
            <w:noWrap w:val="0"/>
            <w:vAlign w:val="center"/>
          </w:tcPr>
          <w:p w14:paraId="1A178069">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成立日期</w:t>
            </w:r>
          </w:p>
        </w:tc>
        <w:tc>
          <w:tcPr>
            <w:tcW w:w="3431" w:type="dxa"/>
            <w:gridSpan w:val="2"/>
            <w:noWrap w:val="0"/>
            <w:vAlign w:val="center"/>
          </w:tcPr>
          <w:p w14:paraId="5D38C533">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r>
      <w:tr w14:paraId="2ADAC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719" w:type="dxa"/>
            <w:noWrap w:val="0"/>
            <w:vAlign w:val="center"/>
          </w:tcPr>
          <w:p w14:paraId="2B332FDE">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企业地址</w:t>
            </w:r>
          </w:p>
        </w:tc>
        <w:tc>
          <w:tcPr>
            <w:tcW w:w="1985" w:type="dxa"/>
            <w:noWrap w:val="0"/>
            <w:vAlign w:val="center"/>
          </w:tcPr>
          <w:p w14:paraId="5C3102DF">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c>
          <w:tcPr>
            <w:tcW w:w="1522" w:type="dxa"/>
            <w:noWrap w:val="0"/>
            <w:vAlign w:val="center"/>
          </w:tcPr>
          <w:p w14:paraId="39C0482E">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注册资本</w:t>
            </w:r>
          </w:p>
        </w:tc>
        <w:tc>
          <w:tcPr>
            <w:tcW w:w="3431" w:type="dxa"/>
            <w:gridSpan w:val="2"/>
            <w:noWrap w:val="0"/>
            <w:vAlign w:val="center"/>
          </w:tcPr>
          <w:p w14:paraId="3B6AF99E">
            <w:pPr>
              <w:pStyle w:val="5"/>
              <w:kinsoku/>
              <w:wordWrap/>
              <w:overflowPunct/>
              <w:topLinePunct w:val="0"/>
              <w:autoSpaceDE/>
              <w:autoSpaceDN/>
              <w:bidi w:val="0"/>
              <w:ind w:firstLine="216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万元</w:t>
            </w:r>
          </w:p>
        </w:tc>
      </w:tr>
      <w:tr w14:paraId="52517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719" w:type="dxa"/>
            <w:noWrap w:val="0"/>
            <w:vAlign w:val="center"/>
          </w:tcPr>
          <w:p w14:paraId="02F47A75">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经营范围</w:t>
            </w:r>
          </w:p>
        </w:tc>
        <w:tc>
          <w:tcPr>
            <w:tcW w:w="6938" w:type="dxa"/>
            <w:gridSpan w:val="4"/>
            <w:noWrap w:val="0"/>
            <w:vAlign w:val="center"/>
          </w:tcPr>
          <w:p w14:paraId="6B31485D">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r>
      <w:tr w14:paraId="3F89F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719" w:type="dxa"/>
            <w:noWrap w:val="0"/>
            <w:vAlign w:val="center"/>
          </w:tcPr>
          <w:p w14:paraId="61A89856">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职工人数</w:t>
            </w:r>
          </w:p>
        </w:tc>
        <w:tc>
          <w:tcPr>
            <w:tcW w:w="1985" w:type="dxa"/>
            <w:noWrap w:val="0"/>
            <w:vAlign w:val="center"/>
          </w:tcPr>
          <w:p w14:paraId="090D4B75">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c>
          <w:tcPr>
            <w:tcW w:w="3664" w:type="dxa"/>
            <w:gridSpan w:val="2"/>
            <w:noWrap w:val="0"/>
            <w:vAlign w:val="center"/>
          </w:tcPr>
          <w:p w14:paraId="26096B0C">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其中：有中高级以上职称的人数</w:t>
            </w:r>
          </w:p>
        </w:tc>
        <w:tc>
          <w:tcPr>
            <w:tcW w:w="1289" w:type="dxa"/>
            <w:noWrap w:val="0"/>
            <w:vAlign w:val="center"/>
          </w:tcPr>
          <w:p w14:paraId="5D38D10B">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r>
      <w:tr w14:paraId="37990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719" w:type="dxa"/>
            <w:noWrap w:val="0"/>
            <w:vAlign w:val="center"/>
          </w:tcPr>
          <w:p w14:paraId="2CA83E3B">
            <w:pPr>
              <w:pStyle w:val="5"/>
              <w:kinsoku/>
              <w:wordWrap/>
              <w:overflowPunct/>
              <w:topLinePunct w:val="0"/>
              <w:autoSpaceDE/>
              <w:autoSpaceDN/>
              <w:bidi w:val="0"/>
              <w:ind w:firstLine="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资产总计</w:t>
            </w:r>
          </w:p>
        </w:tc>
        <w:tc>
          <w:tcPr>
            <w:tcW w:w="1985" w:type="dxa"/>
            <w:noWrap w:val="0"/>
            <w:vAlign w:val="center"/>
          </w:tcPr>
          <w:p w14:paraId="2E614268">
            <w:pPr>
              <w:pStyle w:val="5"/>
              <w:kinsoku/>
              <w:wordWrap/>
              <w:overflowPunct/>
              <w:topLinePunct w:val="0"/>
              <w:autoSpaceDE/>
              <w:autoSpaceDN/>
              <w:bidi w:val="0"/>
              <w:ind w:firstLine="840"/>
              <w:jc w:val="righ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万元</w:t>
            </w:r>
          </w:p>
        </w:tc>
        <w:tc>
          <w:tcPr>
            <w:tcW w:w="1522" w:type="dxa"/>
            <w:noWrap w:val="0"/>
            <w:vAlign w:val="center"/>
          </w:tcPr>
          <w:p w14:paraId="49F803F2">
            <w:pPr>
              <w:pStyle w:val="5"/>
              <w:kinsoku/>
              <w:wordWrap/>
              <w:overflowPunct/>
              <w:topLinePunct w:val="0"/>
              <w:autoSpaceDE/>
              <w:autoSpaceDN/>
              <w:bidi w:val="0"/>
              <w:ind w:firstLine="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净资产</w:t>
            </w:r>
          </w:p>
        </w:tc>
        <w:tc>
          <w:tcPr>
            <w:tcW w:w="3431" w:type="dxa"/>
            <w:gridSpan w:val="2"/>
            <w:noWrap w:val="0"/>
            <w:vAlign w:val="center"/>
          </w:tcPr>
          <w:p w14:paraId="01886AC5">
            <w:pPr>
              <w:pStyle w:val="5"/>
              <w:kinsoku/>
              <w:wordWrap/>
              <w:overflowPunct/>
              <w:topLinePunct w:val="0"/>
              <w:autoSpaceDE/>
              <w:autoSpaceDN/>
              <w:bidi w:val="0"/>
              <w:ind w:firstLine="210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万元</w:t>
            </w:r>
          </w:p>
        </w:tc>
      </w:tr>
      <w:tr w14:paraId="0FC46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719" w:type="dxa"/>
            <w:noWrap w:val="0"/>
            <w:vAlign w:val="center"/>
          </w:tcPr>
          <w:p w14:paraId="54884D1D">
            <w:pPr>
              <w:pStyle w:val="5"/>
              <w:kinsoku/>
              <w:wordWrap/>
              <w:overflowPunct/>
              <w:topLinePunct w:val="0"/>
              <w:autoSpaceDE/>
              <w:autoSpaceDN/>
              <w:bidi w:val="0"/>
              <w:ind w:firstLine="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股东权益</w:t>
            </w:r>
          </w:p>
        </w:tc>
        <w:tc>
          <w:tcPr>
            <w:tcW w:w="1985" w:type="dxa"/>
            <w:noWrap w:val="0"/>
            <w:vAlign w:val="center"/>
          </w:tcPr>
          <w:p w14:paraId="76270C63">
            <w:pPr>
              <w:pStyle w:val="5"/>
              <w:kinsoku/>
              <w:wordWrap/>
              <w:overflowPunct/>
              <w:topLinePunct w:val="0"/>
              <w:autoSpaceDE/>
              <w:autoSpaceDN/>
              <w:bidi w:val="0"/>
              <w:ind w:firstLine="1260"/>
              <w:jc w:val="righ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万元</w:t>
            </w:r>
          </w:p>
        </w:tc>
        <w:tc>
          <w:tcPr>
            <w:tcW w:w="1522" w:type="dxa"/>
            <w:noWrap w:val="0"/>
            <w:vAlign w:val="center"/>
          </w:tcPr>
          <w:p w14:paraId="5968023B">
            <w:pPr>
              <w:pStyle w:val="5"/>
              <w:kinsoku/>
              <w:wordWrap/>
              <w:overflowPunct/>
              <w:topLinePunct w:val="0"/>
              <w:autoSpaceDE/>
              <w:autoSpaceDN/>
              <w:bidi w:val="0"/>
              <w:ind w:firstLine="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销售收入</w:t>
            </w:r>
          </w:p>
        </w:tc>
        <w:tc>
          <w:tcPr>
            <w:tcW w:w="3431" w:type="dxa"/>
            <w:gridSpan w:val="2"/>
            <w:noWrap w:val="0"/>
            <w:vAlign w:val="center"/>
          </w:tcPr>
          <w:p w14:paraId="218BE03C">
            <w:pPr>
              <w:pStyle w:val="5"/>
              <w:kinsoku/>
              <w:wordWrap/>
              <w:overflowPunct/>
              <w:topLinePunct w:val="0"/>
              <w:autoSpaceDE/>
              <w:autoSpaceDN/>
              <w:bidi w:val="0"/>
              <w:ind w:firstLine="0"/>
              <w:jc w:val="center"/>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202</w:t>
            </w: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年       万元</w:t>
            </w:r>
          </w:p>
        </w:tc>
      </w:tr>
      <w:tr w14:paraId="5B475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719" w:type="dxa"/>
            <w:noWrap w:val="0"/>
            <w:vAlign w:val="center"/>
          </w:tcPr>
          <w:p w14:paraId="24C22AD0">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实现利润</w:t>
            </w:r>
          </w:p>
        </w:tc>
        <w:tc>
          <w:tcPr>
            <w:tcW w:w="1985" w:type="dxa"/>
            <w:noWrap w:val="0"/>
            <w:vAlign w:val="center"/>
          </w:tcPr>
          <w:p w14:paraId="180274E0">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202</w:t>
            </w: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年     万元</w:t>
            </w:r>
          </w:p>
        </w:tc>
        <w:tc>
          <w:tcPr>
            <w:tcW w:w="1522" w:type="dxa"/>
            <w:noWrap w:val="0"/>
            <w:vAlign w:val="center"/>
          </w:tcPr>
          <w:p w14:paraId="5120C621">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c>
          <w:tcPr>
            <w:tcW w:w="3431" w:type="dxa"/>
            <w:gridSpan w:val="2"/>
            <w:noWrap w:val="0"/>
            <w:vAlign w:val="center"/>
          </w:tcPr>
          <w:p w14:paraId="1B40B6B0">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r>
      <w:tr w14:paraId="159E8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719" w:type="dxa"/>
            <w:noWrap w:val="0"/>
            <w:vAlign w:val="center"/>
          </w:tcPr>
          <w:p w14:paraId="48C7DF00">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营业面积（含厂房面积）</w:t>
            </w:r>
          </w:p>
        </w:tc>
        <w:tc>
          <w:tcPr>
            <w:tcW w:w="1985" w:type="dxa"/>
            <w:noWrap w:val="0"/>
            <w:vAlign w:val="center"/>
          </w:tcPr>
          <w:p w14:paraId="64D521CA">
            <w:pPr>
              <w:pStyle w:val="5"/>
              <w:kinsoku/>
              <w:wordWrap/>
              <w:overflowPunct/>
              <w:topLinePunct w:val="0"/>
              <w:autoSpaceDE/>
              <w:autoSpaceDN/>
              <w:bidi w:val="0"/>
              <w:ind w:firstLine="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         平方米</w:t>
            </w:r>
          </w:p>
        </w:tc>
        <w:tc>
          <w:tcPr>
            <w:tcW w:w="1522" w:type="dxa"/>
            <w:noWrap w:val="0"/>
            <w:vAlign w:val="center"/>
          </w:tcPr>
          <w:p w14:paraId="10B97A93">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其中：</w:t>
            </w:r>
          </w:p>
        </w:tc>
        <w:tc>
          <w:tcPr>
            <w:tcW w:w="3431" w:type="dxa"/>
            <w:gridSpan w:val="2"/>
            <w:noWrap w:val="0"/>
            <w:vAlign w:val="center"/>
          </w:tcPr>
          <w:p w14:paraId="4AEF0EB4">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自有面积      平方米</w:t>
            </w:r>
          </w:p>
          <w:p w14:paraId="4EE49489">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承租面积      平方米</w:t>
            </w:r>
          </w:p>
        </w:tc>
      </w:tr>
      <w:tr w14:paraId="582B4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719" w:type="dxa"/>
            <w:noWrap w:val="0"/>
            <w:vAlign w:val="center"/>
          </w:tcPr>
          <w:p w14:paraId="29529F44">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p w14:paraId="084B8897">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单位简历及内设机构情况</w:t>
            </w:r>
          </w:p>
          <w:p w14:paraId="2EC34484">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c>
          <w:tcPr>
            <w:tcW w:w="6938" w:type="dxa"/>
            <w:gridSpan w:val="4"/>
            <w:noWrap w:val="0"/>
            <w:vAlign w:val="center"/>
          </w:tcPr>
          <w:p w14:paraId="57A50F74">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r>
      <w:tr w14:paraId="56A4F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719" w:type="dxa"/>
            <w:noWrap w:val="0"/>
            <w:vAlign w:val="center"/>
          </w:tcPr>
          <w:p w14:paraId="3B15CC26">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p w14:paraId="18C99B4A">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单位优势及特长</w:t>
            </w:r>
          </w:p>
          <w:p w14:paraId="177A542E">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c>
          <w:tcPr>
            <w:tcW w:w="6938" w:type="dxa"/>
            <w:gridSpan w:val="4"/>
            <w:noWrap w:val="0"/>
            <w:vAlign w:val="center"/>
          </w:tcPr>
          <w:p w14:paraId="53B98FEE">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r>
      <w:tr w14:paraId="714C0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719" w:type="dxa"/>
            <w:noWrap w:val="0"/>
            <w:vAlign w:val="center"/>
          </w:tcPr>
          <w:p w14:paraId="3788786A">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近三年来完成或正在履行的重大合同情况</w:t>
            </w:r>
          </w:p>
        </w:tc>
        <w:tc>
          <w:tcPr>
            <w:tcW w:w="6938" w:type="dxa"/>
            <w:gridSpan w:val="4"/>
            <w:noWrap w:val="0"/>
            <w:vAlign w:val="center"/>
          </w:tcPr>
          <w:p w14:paraId="202EAF1C">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r>
      <w:tr w14:paraId="35343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719" w:type="dxa"/>
            <w:noWrap w:val="0"/>
            <w:vAlign w:val="center"/>
          </w:tcPr>
          <w:p w14:paraId="00386B62">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最近2年内在经营过程中受到何种奖励或处分</w:t>
            </w:r>
          </w:p>
        </w:tc>
        <w:tc>
          <w:tcPr>
            <w:tcW w:w="6938" w:type="dxa"/>
            <w:gridSpan w:val="4"/>
            <w:noWrap w:val="0"/>
            <w:vAlign w:val="center"/>
          </w:tcPr>
          <w:p w14:paraId="48E4442A">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（包括财政、工商、税务、物价、技监部门稽查情况和结果）</w:t>
            </w:r>
          </w:p>
        </w:tc>
      </w:tr>
      <w:tr w14:paraId="476A3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719" w:type="dxa"/>
            <w:noWrap w:val="0"/>
            <w:vAlign w:val="center"/>
          </w:tcPr>
          <w:p w14:paraId="4E677C41">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最近3年内有无因售假、售劣或是其他原因被消费者投诉或起诉的情况及说明</w:t>
            </w:r>
          </w:p>
        </w:tc>
        <w:tc>
          <w:tcPr>
            <w:tcW w:w="6938" w:type="dxa"/>
            <w:gridSpan w:val="4"/>
            <w:noWrap w:val="0"/>
            <w:vAlign w:val="center"/>
          </w:tcPr>
          <w:p w14:paraId="3EE143BF">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（包括解决方式和结果）</w:t>
            </w:r>
          </w:p>
        </w:tc>
      </w:tr>
      <w:tr w14:paraId="78028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719" w:type="dxa"/>
            <w:noWrap w:val="0"/>
            <w:vAlign w:val="center"/>
          </w:tcPr>
          <w:p w14:paraId="285DC470">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参加政府采购活动前三年内，在经营活动中有无重大违法记录情况及说明</w:t>
            </w:r>
          </w:p>
        </w:tc>
        <w:tc>
          <w:tcPr>
            <w:tcW w:w="6938" w:type="dxa"/>
            <w:gridSpan w:val="4"/>
            <w:noWrap w:val="0"/>
            <w:vAlign w:val="center"/>
          </w:tcPr>
          <w:p w14:paraId="06AE1C72">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r>
      <w:tr w14:paraId="60DEA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719" w:type="dxa"/>
            <w:noWrap w:val="0"/>
            <w:vAlign w:val="center"/>
          </w:tcPr>
          <w:p w14:paraId="2FF551E9">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获得技术认证的工程师及简介</w:t>
            </w:r>
          </w:p>
        </w:tc>
        <w:tc>
          <w:tcPr>
            <w:tcW w:w="6938" w:type="dxa"/>
            <w:gridSpan w:val="4"/>
            <w:noWrap w:val="0"/>
            <w:vAlign w:val="center"/>
          </w:tcPr>
          <w:p w14:paraId="1A02BDA7">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r>
      <w:tr w14:paraId="4B6F0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719" w:type="dxa"/>
            <w:noWrap w:val="0"/>
            <w:vAlign w:val="center"/>
          </w:tcPr>
          <w:p w14:paraId="370E4F35">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其他需要说明的情况</w:t>
            </w:r>
          </w:p>
        </w:tc>
        <w:tc>
          <w:tcPr>
            <w:tcW w:w="6938" w:type="dxa"/>
            <w:gridSpan w:val="4"/>
            <w:noWrap w:val="0"/>
            <w:vAlign w:val="center"/>
          </w:tcPr>
          <w:p w14:paraId="46F511FA">
            <w:pPr>
              <w:pStyle w:val="5"/>
              <w:kinsoku/>
              <w:wordWrap/>
              <w:overflowPunct/>
              <w:topLinePunct w:val="0"/>
              <w:autoSpaceDE/>
              <w:autoSpaceDN/>
              <w:bidi w:val="0"/>
              <w:ind w:firstLine="0"/>
              <w:textAlignment w:val="auto"/>
              <w:rPr>
                <w:rFonts w:hint="eastAsia" w:ascii="宋体" w:hAnsi="宋体" w:eastAsia="宋体" w:cs="宋体"/>
                <w:color w:val="auto"/>
                <w:spacing w:val="0"/>
                <w:sz w:val="21"/>
                <w:szCs w:val="21"/>
                <w:highlight w:val="none"/>
              </w:rPr>
            </w:pPr>
          </w:p>
        </w:tc>
      </w:tr>
    </w:tbl>
    <w:p w14:paraId="6504133E">
      <w:pPr>
        <w:kinsoku/>
        <w:wordWrap/>
        <w:overflowPunct/>
        <w:topLinePunct w:val="0"/>
        <w:autoSpaceDE/>
        <w:autoSpaceDN/>
        <w:bidi w:val="0"/>
        <w:spacing w:line="360" w:lineRule="auto"/>
        <w:textAlignment w:val="auto"/>
        <w:rPr>
          <w:rFonts w:hint="eastAsia" w:ascii="宋体" w:hAnsi="宋体" w:eastAsia="宋体" w:cs="宋体"/>
          <w:b/>
          <w:color w:val="auto"/>
          <w:spacing w:val="0"/>
          <w:highlight w:val="none"/>
        </w:rPr>
        <w:sectPr>
          <w:pgSz w:w="11906" w:h="16838"/>
          <w:pgMar w:top="1440" w:right="1417" w:bottom="1440" w:left="1417" w:header="964" w:footer="964" w:gutter="0"/>
          <w:cols w:space="720" w:num="1"/>
          <w:docGrid w:linePitch="360" w:charSpace="0"/>
        </w:sectPr>
      </w:pPr>
    </w:p>
    <w:p w14:paraId="77790B25">
      <w:pPr>
        <w:pageBreakBefore/>
        <w:kinsoku/>
        <w:wordWrap/>
        <w:overflowPunct/>
        <w:topLinePunct w:val="0"/>
        <w:autoSpaceDE/>
        <w:autoSpaceDN/>
        <w:bidi w:val="0"/>
        <w:spacing w:line="360" w:lineRule="auto"/>
        <w:textAlignment w:val="auto"/>
        <w:rPr>
          <w:rFonts w:hint="eastAsia" w:ascii="宋体" w:hAnsi="宋体" w:eastAsia="宋体" w:cs="宋体"/>
          <w:b/>
          <w:color w:val="auto"/>
          <w:spacing w:val="0"/>
          <w:highlight w:val="none"/>
          <w:lang w:val="en-US" w:eastAsia="zh-CN"/>
        </w:rPr>
      </w:pPr>
      <w:r>
        <w:rPr>
          <w:rFonts w:hint="eastAsia" w:ascii="宋体" w:hAnsi="宋体" w:eastAsia="宋体" w:cs="宋体"/>
          <w:b/>
          <w:color w:val="auto"/>
          <w:spacing w:val="0"/>
          <w:highlight w:val="none"/>
        </w:rPr>
        <w:t>附件1</w:t>
      </w:r>
      <w:r>
        <w:rPr>
          <w:rFonts w:hint="eastAsia" w:ascii="宋体" w:hAnsi="宋体" w:cs="宋体"/>
          <w:b/>
          <w:color w:val="auto"/>
          <w:spacing w:val="0"/>
          <w:highlight w:val="none"/>
          <w:lang w:val="en-US" w:eastAsia="zh-CN"/>
        </w:rPr>
        <w:t>3</w:t>
      </w:r>
      <w:r>
        <w:rPr>
          <w:rFonts w:hint="eastAsia" w:ascii="宋体" w:hAnsi="宋体" w:eastAsia="宋体" w:cs="宋体"/>
          <w:b/>
          <w:color w:val="auto"/>
          <w:spacing w:val="0"/>
          <w:highlight w:val="none"/>
        </w:rPr>
        <w:t>：类似项目</w:t>
      </w:r>
      <w:r>
        <w:rPr>
          <w:rFonts w:hint="eastAsia" w:ascii="宋体" w:hAnsi="宋体" w:eastAsia="宋体" w:cs="宋体"/>
          <w:b/>
          <w:color w:val="auto"/>
          <w:spacing w:val="0"/>
          <w:highlight w:val="none"/>
          <w:lang w:val="zh-CN"/>
        </w:rPr>
        <w:t>业绩一览表（</w:t>
      </w:r>
      <w:r>
        <w:rPr>
          <w:rFonts w:hint="eastAsia" w:ascii="宋体" w:hAnsi="宋体" w:eastAsia="宋体" w:cs="宋体"/>
          <w:b/>
          <w:color w:val="auto"/>
          <w:spacing w:val="0"/>
          <w:highlight w:val="none"/>
          <w:lang w:val="en-US" w:eastAsia="zh-CN"/>
        </w:rPr>
        <w:t>如有）</w:t>
      </w:r>
    </w:p>
    <w:p w14:paraId="2677AECB">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类似项目</w:t>
      </w:r>
      <w:r>
        <w:rPr>
          <w:rFonts w:hint="eastAsia" w:ascii="宋体" w:hAnsi="宋体" w:eastAsia="宋体" w:cs="宋体"/>
          <w:b/>
          <w:color w:val="auto"/>
          <w:spacing w:val="0"/>
          <w:highlight w:val="none"/>
          <w:lang w:val="zh-CN"/>
        </w:rPr>
        <w:t>业绩一览表</w:t>
      </w:r>
    </w:p>
    <w:p w14:paraId="053B1DC8">
      <w:pPr>
        <w:kinsoku/>
        <w:wordWrap/>
        <w:overflowPunct/>
        <w:topLinePunct w:val="0"/>
        <w:autoSpaceDE/>
        <w:autoSpaceDN/>
        <w:bidi w:val="0"/>
        <w:spacing w:line="360" w:lineRule="auto"/>
        <w:textAlignment w:val="auto"/>
        <w:rPr>
          <w:rFonts w:hint="eastAsia" w:ascii="宋体" w:hAnsi="宋体" w:eastAsia="宋体" w:cs="宋体"/>
          <w:color w:val="auto"/>
          <w:spacing w:val="0"/>
          <w:highlight w:val="none"/>
        </w:rPr>
      </w:pPr>
    </w:p>
    <w:p w14:paraId="0368D7C4">
      <w:pPr>
        <w:kinsoku/>
        <w:wordWrap/>
        <w:overflowPunct/>
        <w:topLinePunct w:val="0"/>
        <w:autoSpaceDE/>
        <w:autoSpaceDN/>
        <w:bidi w:val="0"/>
        <w:spacing w:line="360" w:lineRule="auto"/>
        <w:jc w:val="left"/>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rPr>
        <w:t>采购编号：</w:t>
      </w:r>
      <w:r>
        <w:rPr>
          <w:rFonts w:hint="eastAsia" w:ascii="宋体" w:hAnsi="宋体" w:cs="宋体"/>
          <w:color w:val="auto"/>
          <w:spacing w:val="0"/>
          <w:szCs w:val="21"/>
          <w:highlight w:val="none"/>
          <w:lang w:val="en-US" w:eastAsia="zh-CN"/>
        </w:rPr>
        <w:t xml:space="preserve">                             </w:t>
      </w:r>
    </w:p>
    <w:tbl>
      <w:tblPr>
        <w:tblStyle w:val="4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2"/>
        <w:gridCol w:w="1716"/>
        <w:gridCol w:w="1422"/>
        <w:gridCol w:w="1518"/>
        <w:gridCol w:w="1627"/>
        <w:gridCol w:w="1783"/>
      </w:tblGrid>
      <w:tr w14:paraId="5D501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062" w:type="dxa"/>
            <w:noWrap w:val="0"/>
            <w:vAlign w:val="center"/>
          </w:tcPr>
          <w:p w14:paraId="6FA838E0">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序号</w:t>
            </w:r>
          </w:p>
        </w:tc>
        <w:tc>
          <w:tcPr>
            <w:tcW w:w="1716" w:type="dxa"/>
            <w:noWrap w:val="0"/>
            <w:vAlign w:val="center"/>
          </w:tcPr>
          <w:p w14:paraId="02F7D12D">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项目名称</w:t>
            </w:r>
          </w:p>
        </w:tc>
        <w:tc>
          <w:tcPr>
            <w:tcW w:w="1422" w:type="dxa"/>
            <w:noWrap w:val="0"/>
            <w:vAlign w:val="center"/>
          </w:tcPr>
          <w:p w14:paraId="1D0FFB80">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业主单位</w:t>
            </w:r>
          </w:p>
        </w:tc>
        <w:tc>
          <w:tcPr>
            <w:tcW w:w="1518" w:type="dxa"/>
            <w:tcBorders>
              <w:right w:val="single" w:color="auto" w:sz="4" w:space="0"/>
            </w:tcBorders>
            <w:noWrap w:val="0"/>
            <w:vAlign w:val="center"/>
          </w:tcPr>
          <w:p w14:paraId="776F1E5C">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合同签订日期</w:t>
            </w:r>
          </w:p>
        </w:tc>
        <w:tc>
          <w:tcPr>
            <w:tcW w:w="1627" w:type="dxa"/>
            <w:tcBorders>
              <w:left w:val="single" w:color="auto" w:sz="4" w:space="0"/>
              <w:right w:val="single" w:color="auto" w:sz="4" w:space="0"/>
            </w:tcBorders>
            <w:noWrap w:val="0"/>
            <w:vAlign w:val="center"/>
          </w:tcPr>
          <w:p w14:paraId="2EC9E509">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项目内容</w:t>
            </w:r>
          </w:p>
        </w:tc>
        <w:tc>
          <w:tcPr>
            <w:tcW w:w="1783" w:type="dxa"/>
            <w:noWrap w:val="0"/>
            <w:vAlign w:val="center"/>
          </w:tcPr>
          <w:p w14:paraId="4D5E5018">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合同金额（万元）</w:t>
            </w:r>
          </w:p>
        </w:tc>
      </w:tr>
      <w:tr w14:paraId="47895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062" w:type="dxa"/>
            <w:noWrap w:val="0"/>
            <w:vAlign w:val="center"/>
          </w:tcPr>
          <w:p w14:paraId="7280818D">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p>
        </w:tc>
        <w:tc>
          <w:tcPr>
            <w:tcW w:w="1716" w:type="dxa"/>
            <w:noWrap w:val="0"/>
            <w:vAlign w:val="center"/>
          </w:tcPr>
          <w:p w14:paraId="5BF7E168">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422" w:type="dxa"/>
            <w:noWrap w:val="0"/>
            <w:vAlign w:val="center"/>
          </w:tcPr>
          <w:p w14:paraId="6A888E70">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518" w:type="dxa"/>
            <w:tcBorders>
              <w:right w:val="single" w:color="auto" w:sz="4" w:space="0"/>
            </w:tcBorders>
            <w:noWrap w:val="0"/>
            <w:vAlign w:val="center"/>
          </w:tcPr>
          <w:p w14:paraId="34E79ACE">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627" w:type="dxa"/>
            <w:tcBorders>
              <w:left w:val="single" w:color="auto" w:sz="4" w:space="0"/>
              <w:right w:val="single" w:color="auto" w:sz="4" w:space="0"/>
            </w:tcBorders>
            <w:noWrap w:val="0"/>
            <w:vAlign w:val="center"/>
          </w:tcPr>
          <w:p w14:paraId="52A26980">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783" w:type="dxa"/>
            <w:noWrap w:val="0"/>
            <w:vAlign w:val="center"/>
          </w:tcPr>
          <w:p w14:paraId="6B7F115A">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r>
      <w:tr w14:paraId="24AA6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062" w:type="dxa"/>
            <w:noWrap w:val="0"/>
            <w:vAlign w:val="center"/>
          </w:tcPr>
          <w:p w14:paraId="0EB91441">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w:t>
            </w:r>
          </w:p>
        </w:tc>
        <w:tc>
          <w:tcPr>
            <w:tcW w:w="1716" w:type="dxa"/>
            <w:noWrap w:val="0"/>
            <w:vAlign w:val="center"/>
          </w:tcPr>
          <w:p w14:paraId="011151B4">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422" w:type="dxa"/>
            <w:noWrap w:val="0"/>
            <w:vAlign w:val="center"/>
          </w:tcPr>
          <w:p w14:paraId="397347A5">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518" w:type="dxa"/>
            <w:tcBorders>
              <w:right w:val="single" w:color="auto" w:sz="4" w:space="0"/>
            </w:tcBorders>
            <w:noWrap w:val="0"/>
            <w:vAlign w:val="center"/>
          </w:tcPr>
          <w:p w14:paraId="0D27417D">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627" w:type="dxa"/>
            <w:tcBorders>
              <w:left w:val="single" w:color="auto" w:sz="4" w:space="0"/>
              <w:right w:val="single" w:color="auto" w:sz="4" w:space="0"/>
            </w:tcBorders>
            <w:noWrap w:val="0"/>
            <w:vAlign w:val="center"/>
          </w:tcPr>
          <w:p w14:paraId="309F2BDA">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783" w:type="dxa"/>
            <w:noWrap w:val="0"/>
            <w:vAlign w:val="center"/>
          </w:tcPr>
          <w:p w14:paraId="50874201">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r>
      <w:tr w14:paraId="4A53B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062" w:type="dxa"/>
            <w:noWrap w:val="0"/>
            <w:vAlign w:val="center"/>
          </w:tcPr>
          <w:p w14:paraId="6519A0EE">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w:t>
            </w:r>
          </w:p>
        </w:tc>
        <w:tc>
          <w:tcPr>
            <w:tcW w:w="1716" w:type="dxa"/>
            <w:noWrap w:val="0"/>
            <w:vAlign w:val="center"/>
          </w:tcPr>
          <w:p w14:paraId="37F05FC3">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422" w:type="dxa"/>
            <w:noWrap w:val="0"/>
            <w:vAlign w:val="center"/>
          </w:tcPr>
          <w:p w14:paraId="3EC3E5DF">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518" w:type="dxa"/>
            <w:tcBorders>
              <w:right w:val="single" w:color="auto" w:sz="4" w:space="0"/>
            </w:tcBorders>
            <w:noWrap w:val="0"/>
            <w:vAlign w:val="center"/>
          </w:tcPr>
          <w:p w14:paraId="44DF0B86">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627" w:type="dxa"/>
            <w:tcBorders>
              <w:left w:val="single" w:color="auto" w:sz="4" w:space="0"/>
              <w:right w:val="single" w:color="auto" w:sz="4" w:space="0"/>
            </w:tcBorders>
            <w:noWrap w:val="0"/>
            <w:vAlign w:val="center"/>
          </w:tcPr>
          <w:p w14:paraId="5545268D">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783" w:type="dxa"/>
            <w:noWrap w:val="0"/>
            <w:vAlign w:val="center"/>
          </w:tcPr>
          <w:p w14:paraId="1662CE37">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r>
      <w:tr w14:paraId="62D7B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062" w:type="dxa"/>
            <w:noWrap w:val="0"/>
            <w:vAlign w:val="center"/>
          </w:tcPr>
          <w:p w14:paraId="0DF9E033">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w:t>
            </w:r>
          </w:p>
        </w:tc>
        <w:tc>
          <w:tcPr>
            <w:tcW w:w="1716" w:type="dxa"/>
            <w:noWrap w:val="0"/>
            <w:vAlign w:val="center"/>
          </w:tcPr>
          <w:p w14:paraId="1042A41F">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422" w:type="dxa"/>
            <w:noWrap w:val="0"/>
            <w:vAlign w:val="center"/>
          </w:tcPr>
          <w:p w14:paraId="76AFE2E4">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518" w:type="dxa"/>
            <w:tcBorders>
              <w:right w:val="single" w:color="auto" w:sz="4" w:space="0"/>
            </w:tcBorders>
            <w:noWrap w:val="0"/>
            <w:vAlign w:val="center"/>
          </w:tcPr>
          <w:p w14:paraId="5FD11BB7">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627" w:type="dxa"/>
            <w:tcBorders>
              <w:left w:val="single" w:color="auto" w:sz="4" w:space="0"/>
              <w:right w:val="single" w:color="auto" w:sz="4" w:space="0"/>
            </w:tcBorders>
            <w:noWrap w:val="0"/>
            <w:vAlign w:val="center"/>
          </w:tcPr>
          <w:p w14:paraId="74769E04">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783" w:type="dxa"/>
            <w:noWrap w:val="0"/>
            <w:vAlign w:val="center"/>
          </w:tcPr>
          <w:p w14:paraId="0BE424BE">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r>
      <w:tr w14:paraId="3A911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062" w:type="dxa"/>
            <w:noWrap w:val="0"/>
            <w:vAlign w:val="center"/>
          </w:tcPr>
          <w:p w14:paraId="7E1060AC">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5</w:t>
            </w:r>
          </w:p>
        </w:tc>
        <w:tc>
          <w:tcPr>
            <w:tcW w:w="1716" w:type="dxa"/>
            <w:noWrap w:val="0"/>
            <w:vAlign w:val="center"/>
          </w:tcPr>
          <w:p w14:paraId="77D1E2F7">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422" w:type="dxa"/>
            <w:noWrap w:val="0"/>
            <w:vAlign w:val="center"/>
          </w:tcPr>
          <w:p w14:paraId="6ABFB799">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518" w:type="dxa"/>
            <w:tcBorders>
              <w:right w:val="single" w:color="auto" w:sz="4" w:space="0"/>
            </w:tcBorders>
            <w:noWrap w:val="0"/>
            <w:vAlign w:val="center"/>
          </w:tcPr>
          <w:p w14:paraId="52EC015B">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627" w:type="dxa"/>
            <w:tcBorders>
              <w:left w:val="single" w:color="auto" w:sz="4" w:space="0"/>
              <w:right w:val="single" w:color="auto" w:sz="4" w:space="0"/>
            </w:tcBorders>
            <w:noWrap w:val="0"/>
            <w:vAlign w:val="center"/>
          </w:tcPr>
          <w:p w14:paraId="3692CCB4">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783" w:type="dxa"/>
            <w:noWrap w:val="0"/>
            <w:vAlign w:val="center"/>
          </w:tcPr>
          <w:p w14:paraId="57E57265">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r>
      <w:tr w14:paraId="32658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062" w:type="dxa"/>
            <w:noWrap w:val="0"/>
            <w:vAlign w:val="center"/>
          </w:tcPr>
          <w:p w14:paraId="470FFCE9">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6</w:t>
            </w:r>
          </w:p>
        </w:tc>
        <w:tc>
          <w:tcPr>
            <w:tcW w:w="1716" w:type="dxa"/>
            <w:noWrap w:val="0"/>
            <w:vAlign w:val="center"/>
          </w:tcPr>
          <w:p w14:paraId="37DECA0B">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422" w:type="dxa"/>
            <w:noWrap w:val="0"/>
            <w:vAlign w:val="center"/>
          </w:tcPr>
          <w:p w14:paraId="756E0245">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518" w:type="dxa"/>
            <w:tcBorders>
              <w:right w:val="single" w:color="auto" w:sz="4" w:space="0"/>
            </w:tcBorders>
            <w:noWrap w:val="0"/>
            <w:vAlign w:val="center"/>
          </w:tcPr>
          <w:p w14:paraId="34A67FFA">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627" w:type="dxa"/>
            <w:tcBorders>
              <w:left w:val="single" w:color="auto" w:sz="4" w:space="0"/>
              <w:right w:val="single" w:color="auto" w:sz="4" w:space="0"/>
            </w:tcBorders>
            <w:noWrap w:val="0"/>
            <w:vAlign w:val="center"/>
          </w:tcPr>
          <w:p w14:paraId="314B3C1C">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c>
          <w:tcPr>
            <w:tcW w:w="1783" w:type="dxa"/>
            <w:noWrap w:val="0"/>
            <w:vAlign w:val="center"/>
          </w:tcPr>
          <w:p w14:paraId="76AA71C4">
            <w:pPr>
              <w:kinsoku/>
              <w:wordWrap/>
              <w:overflowPunct/>
              <w:topLinePunct w:val="0"/>
              <w:autoSpaceDE/>
              <w:autoSpaceDN/>
              <w:bidi w:val="0"/>
              <w:spacing w:line="360" w:lineRule="auto"/>
              <w:ind w:left="420"/>
              <w:textAlignment w:val="auto"/>
              <w:rPr>
                <w:rFonts w:hint="eastAsia" w:ascii="宋体" w:hAnsi="宋体" w:eastAsia="宋体" w:cs="宋体"/>
                <w:color w:val="auto"/>
                <w:spacing w:val="0"/>
                <w:szCs w:val="21"/>
                <w:highlight w:val="none"/>
              </w:rPr>
            </w:pPr>
          </w:p>
        </w:tc>
      </w:tr>
      <w:tr w14:paraId="36BD4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062" w:type="dxa"/>
            <w:noWrap w:val="0"/>
            <w:vAlign w:val="center"/>
          </w:tcPr>
          <w:p w14:paraId="1127F915">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7</w:t>
            </w:r>
          </w:p>
        </w:tc>
        <w:tc>
          <w:tcPr>
            <w:tcW w:w="1716" w:type="dxa"/>
            <w:noWrap w:val="0"/>
            <w:vAlign w:val="center"/>
          </w:tcPr>
          <w:p w14:paraId="64B28374">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p>
        </w:tc>
        <w:tc>
          <w:tcPr>
            <w:tcW w:w="1422" w:type="dxa"/>
            <w:noWrap w:val="0"/>
            <w:vAlign w:val="center"/>
          </w:tcPr>
          <w:p w14:paraId="2BD9D337">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p>
        </w:tc>
        <w:tc>
          <w:tcPr>
            <w:tcW w:w="1518" w:type="dxa"/>
            <w:tcBorders>
              <w:right w:val="single" w:color="auto" w:sz="4" w:space="0"/>
            </w:tcBorders>
            <w:noWrap w:val="0"/>
            <w:vAlign w:val="center"/>
          </w:tcPr>
          <w:p w14:paraId="2AAB78B6">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p>
        </w:tc>
        <w:tc>
          <w:tcPr>
            <w:tcW w:w="1627" w:type="dxa"/>
            <w:tcBorders>
              <w:left w:val="single" w:color="auto" w:sz="4" w:space="0"/>
              <w:right w:val="single" w:color="auto" w:sz="4" w:space="0"/>
            </w:tcBorders>
            <w:noWrap w:val="0"/>
            <w:vAlign w:val="center"/>
          </w:tcPr>
          <w:p w14:paraId="6427490D">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p>
        </w:tc>
        <w:tc>
          <w:tcPr>
            <w:tcW w:w="1783" w:type="dxa"/>
            <w:noWrap w:val="0"/>
            <w:vAlign w:val="center"/>
          </w:tcPr>
          <w:p w14:paraId="10D3538F">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p>
        </w:tc>
      </w:tr>
      <w:tr w14:paraId="65078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062" w:type="dxa"/>
            <w:noWrap w:val="0"/>
            <w:vAlign w:val="center"/>
          </w:tcPr>
          <w:p w14:paraId="43962AFA">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w:t>
            </w:r>
          </w:p>
        </w:tc>
        <w:tc>
          <w:tcPr>
            <w:tcW w:w="1716" w:type="dxa"/>
            <w:noWrap w:val="0"/>
            <w:vAlign w:val="center"/>
          </w:tcPr>
          <w:p w14:paraId="6A8CFD55">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p>
        </w:tc>
        <w:tc>
          <w:tcPr>
            <w:tcW w:w="1422" w:type="dxa"/>
            <w:noWrap w:val="0"/>
            <w:vAlign w:val="center"/>
          </w:tcPr>
          <w:p w14:paraId="34C0F1F4">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p>
        </w:tc>
        <w:tc>
          <w:tcPr>
            <w:tcW w:w="1518" w:type="dxa"/>
            <w:tcBorders>
              <w:right w:val="single" w:color="auto" w:sz="4" w:space="0"/>
            </w:tcBorders>
            <w:noWrap w:val="0"/>
            <w:vAlign w:val="center"/>
          </w:tcPr>
          <w:p w14:paraId="190A8E96">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p>
        </w:tc>
        <w:tc>
          <w:tcPr>
            <w:tcW w:w="1627" w:type="dxa"/>
            <w:tcBorders>
              <w:left w:val="single" w:color="auto" w:sz="4" w:space="0"/>
              <w:right w:val="single" w:color="auto" w:sz="4" w:space="0"/>
            </w:tcBorders>
            <w:noWrap w:val="0"/>
            <w:vAlign w:val="center"/>
          </w:tcPr>
          <w:p w14:paraId="4FF1619E">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p>
        </w:tc>
        <w:tc>
          <w:tcPr>
            <w:tcW w:w="1783" w:type="dxa"/>
            <w:noWrap w:val="0"/>
            <w:vAlign w:val="center"/>
          </w:tcPr>
          <w:p w14:paraId="5E857C79">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szCs w:val="21"/>
                <w:highlight w:val="none"/>
              </w:rPr>
            </w:pPr>
          </w:p>
        </w:tc>
      </w:tr>
    </w:tbl>
    <w:p w14:paraId="4FF7AEE1">
      <w:pPr>
        <w:pStyle w:val="252"/>
        <w:kinsoku/>
        <w:wordWrap/>
        <w:overflowPunct/>
        <w:topLinePunct w:val="0"/>
        <w:autoSpaceDE/>
        <w:autoSpaceDN/>
        <w:bidi w:val="0"/>
        <w:spacing w:line="360" w:lineRule="auto"/>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谈判</w:t>
      </w:r>
      <w:r>
        <w:rPr>
          <w:rFonts w:hint="eastAsia" w:ascii="宋体" w:hAnsi="宋体" w:eastAsia="宋体" w:cs="宋体"/>
          <w:color w:val="auto"/>
          <w:spacing w:val="0"/>
          <w:sz w:val="21"/>
          <w:szCs w:val="21"/>
          <w:highlight w:val="none"/>
        </w:rPr>
        <w:t>响应单位（</w:t>
      </w:r>
      <w:r>
        <w:rPr>
          <w:rFonts w:hint="eastAsia" w:ascii="宋体" w:hAnsi="宋体" w:eastAsia="宋体" w:cs="宋体"/>
          <w:color w:val="auto"/>
          <w:spacing w:val="0"/>
          <w:sz w:val="21"/>
          <w:szCs w:val="21"/>
          <w:highlight w:val="none"/>
          <w:lang w:val="en-US" w:eastAsia="zh-CN"/>
        </w:rPr>
        <w:t>签</w:t>
      </w:r>
      <w:r>
        <w:rPr>
          <w:rFonts w:hint="eastAsia" w:ascii="宋体" w:hAnsi="宋体" w:eastAsia="宋体" w:cs="宋体"/>
          <w:color w:val="auto"/>
          <w:spacing w:val="0"/>
          <w:sz w:val="21"/>
          <w:szCs w:val="21"/>
          <w:highlight w:val="none"/>
        </w:rPr>
        <w:t>章）：</w:t>
      </w:r>
    </w:p>
    <w:p w14:paraId="46B1256B">
      <w:pPr>
        <w:pStyle w:val="252"/>
        <w:kinsoku/>
        <w:wordWrap/>
        <w:overflowPunct/>
        <w:topLinePunct w:val="0"/>
        <w:autoSpaceDE/>
        <w:autoSpaceDN/>
        <w:bidi w:val="0"/>
        <w:spacing w:line="360" w:lineRule="auto"/>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日期：</w:t>
      </w:r>
    </w:p>
    <w:p w14:paraId="0A94EE9B">
      <w:pPr>
        <w:kinsoku/>
        <w:wordWrap/>
        <w:overflowPunct/>
        <w:topLinePunct w:val="0"/>
        <w:autoSpaceDE/>
        <w:autoSpaceDN/>
        <w:bidi w:val="0"/>
        <w:textAlignment w:val="auto"/>
        <w:rPr>
          <w:rFonts w:hint="eastAsia" w:ascii="宋体" w:hAnsi="宋体" w:eastAsia="宋体" w:cs="宋体"/>
          <w:color w:val="auto"/>
          <w:spacing w:val="0"/>
          <w:highlight w:val="none"/>
        </w:rPr>
      </w:pPr>
    </w:p>
    <w:p w14:paraId="3559EF4A">
      <w:pPr>
        <w:kinsoku/>
        <w:wordWrap/>
        <w:overflowPunct/>
        <w:topLinePunct w:val="0"/>
        <w:autoSpaceDE/>
        <w:autoSpaceDN/>
        <w:bidi w:val="0"/>
        <w:textAlignment w:val="auto"/>
        <w:rPr>
          <w:rFonts w:hint="eastAsia" w:ascii="宋体" w:hAnsi="宋体" w:eastAsia="宋体" w:cs="宋体"/>
          <w:color w:val="auto"/>
          <w:spacing w:val="0"/>
          <w:highlight w:val="none"/>
        </w:rPr>
      </w:pPr>
    </w:p>
    <w:p w14:paraId="568341AE">
      <w:pPr>
        <w:kinsoku/>
        <w:wordWrap/>
        <w:overflowPunct/>
        <w:topLinePunct w:val="0"/>
        <w:autoSpaceDE/>
        <w:autoSpaceDN/>
        <w:bidi w:val="0"/>
        <w:textAlignment w:val="auto"/>
        <w:rPr>
          <w:rFonts w:hint="eastAsia" w:ascii="宋体" w:hAnsi="宋体" w:eastAsia="宋体" w:cs="宋体"/>
          <w:color w:val="auto"/>
          <w:spacing w:val="0"/>
          <w:highlight w:val="none"/>
        </w:rPr>
      </w:pPr>
    </w:p>
    <w:p w14:paraId="3AF8C88D">
      <w:pPr>
        <w:pageBreakBefore/>
        <w:kinsoku/>
        <w:wordWrap/>
        <w:overflowPunct/>
        <w:topLinePunct w:val="0"/>
        <w:autoSpaceDE/>
        <w:autoSpaceDN/>
        <w:bidi w:val="0"/>
        <w:spacing w:line="360" w:lineRule="auto"/>
        <w:textAlignment w:val="auto"/>
        <w:outlineLvl w:val="1"/>
        <w:rPr>
          <w:rFonts w:hint="eastAsia" w:ascii="宋体" w:hAnsi="宋体" w:eastAsia="宋体" w:cs="宋体"/>
          <w:color w:val="auto"/>
          <w:spacing w:val="0"/>
          <w:szCs w:val="21"/>
          <w:highlight w:val="none"/>
        </w:rPr>
      </w:pPr>
      <w:r>
        <w:rPr>
          <w:rFonts w:hint="eastAsia" w:ascii="宋体" w:hAnsi="宋体" w:eastAsia="宋体" w:cs="宋体"/>
          <w:b/>
          <w:color w:val="auto"/>
          <w:spacing w:val="0"/>
          <w:szCs w:val="21"/>
          <w:highlight w:val="none"/>
        </w:rPr>
        <w:t>附件1</w:t>
      </w:r>
      <w:r>
        <w:rPr>
          <w:rFonts w:hint="eastAsia" w:ascii="宋体" w:hAnsi="宋体" w:cs="宋体"/>
          <w:b/>
          <w:color w:val="auto"/>
          <w:spacing w:val="0"/>
          <w:szCs w:val="21"/>
          <w:highlight w:val="none"/>
          <w:lang w:val="en-US" w:eastAsia="zh-CN"/>
        </w:rPr>
        <w:t>4</w:t>
      </w:r>
      <w:r>
        <w:rPr>
          <w:rFonts w:hint="eastAsia" w:ascii="宋体" w:hAnsi="宋体" w:eastAsia="宋体" w:cs="宋体"/>
          <w:b/>
          <w:color w:val="auto"/>
          <w:spacing w:val="0"/>
          <w:szCs w:val="21"/>
          <w:highlight w:val="none"/>
        </w:rPr>
        <w:t>：中小企业声明函（参考格式）</w:t>
      </w:r>
    </w:p>
    <w:p w14:paraId="41806CDD">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highlight w:val="none"/>
        </w:rPr>
      </w:pPr>
    </w:p>
    <w:p w14:paraId="669841DB">
      <w:pPr>
        <w:kinsoku/>
        <w:wordWrap/>
        <w:overflowPunct/>
        <w:topLinePunct w:val="0"/>
        <w:autoSpaceDE/>
        <w:autoSpaceDN/>
        <w:bidi w:val="0"/>
        <w:spacing w:line="360" w:lineRule="auto"/>
        <w:jc w:val="center"/>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中小企业声明函（</w:t>
      </w:r>
      <w:r>
        <w:rPr>
          <w:rFonts w:hint="eastAsia" w:ascii="宋体" w:hAnsi="宋体" w:cs="宋体"/>
          <w:color w:val="auto"/>
          <w:spacing w:val="0"/>
          <w:highlight w:val="none"/>
          <w:lang w:val="en-US" w:eastAsia="zh-CN"/>
        </w:rPr>
        <w:t>货物</w:t>
      </w:r>
      <w:r>
        <w:rPr>
          <w:rFonts w:hint="eastAsia" w:ascii="宋体" w:hAnsi="宋体" w:eastAsia="宋体" w:cs="宋体"/>
          <w:color w:val="auto"/>
          <w:spacing w:val="0"/>
          <w:highlight w:val="none"/>
        </w:rPr>
        <w:t xml:space="preserve">） </w:t>
      </w:r>
    </w:p>
    <w:p w14:paraId="40839810">
      <w:pPr>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本公司（</w:t>
      </w: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val="zh-CN"/>
        </w:rPr>
        <w:t>）郑重声明，根据《政府采购促进中小企业发展管理办法》（财库﹝2020﹞46 号）的规定，本公司（</w:t>
      </w: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val="zh-CN"/>
        </w:rPr>
        <w:t>）参加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kern w:val="0"/>
          <w:szCs w:val="21"/>
          <w:highlight w:val="none"/>
          <w:u w:val="single"/>
          <w:lang w:bidi="ar"/>
        </w:rPr>
        <w:t>（单位名称）</w:t>
      </w:r>
      <w:r>
        <w:rPr>
          <w:rFonts w:hint="eastAsia" w:ascii="宋体" w:hAnsi="宋体" w:cs="宋体"/>
          <w:color w:val="auto"/>
          <w:kern w:val="0"/>
          <w:szCs w:val="21"/>
          <w:highlight w:val="none"/>
          <w:lang w:bidi="ar"/>
        </w:rPr>
        <w:t>的</w:t>
      </w:r>
      <w:r>
        <w:rPr>
          <w:rFonts w:hint="eastAsia" w:ascii="宋体" w:hAnsi="宋体" w:cs="宋体"/>
          <w:color w:val="auto"/>
          <w:kern w:val="0"/>
          <w:szCs w:val="21"/>
          <w:highlight w:val="none"/>
          <w:u w:val="single"/>
          <w:lang w:bidi="ar"/>
        </w:rPr>
        <w:t>（项目名称）</w:t>
      </w:r>
      <w:r>
        <w:rPr>
          <w:rFonts w:hint="eastAsia" w:ascii="宋体" w:hAnsi="宋体" w:eastAsia="宋体" w:cs="宋体"/>
          <w:color w:val="auto"/>
          <w:sz w:val="21"/>
          <w:szCs w:val="21"/>
          <w:highlight w:val="none"/>
          <w:lang w:val="zh-CN"/>
        </w:rPr>
        <w:t>采购活动，提供的货物全部由符合政策要求的中小企业制造。相关企业（含联合体中的中小企业、签订分包意向协议的中小企业）的具体情况如下：</w:t>
      </w:r>
    </w:p>
    <w:p w14:paraId="6E01079E">
      <w:pPr>
        <w:numPr>
          <w:ilvl w:val="0"/>
          <w:numId w:val="3"/>
        </w:numPr>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（标的名称） </w:t>
      </w:r>
      <w:r>
        <w:rPr>
          <w:rFonts w:hint="eastAsia" w:ascii="宋体" w:hAnsi="宋体" w:eastAsia="宋体" w:cs="宋体"/>
          <w:color w:val="auto"/>
          <w:sz w:val="21"/>
          <w:szCs w:val="21"/>
          <w:highlight w:val="none"/>
          <w:lang w:val="zh-CN"/>
        </w:rPr>
        <w:t>，属于</w:t>
      </w:r>
      <w:r>
        <w:rPr>
          <w:rFonts w:hint="eastAsia" w:ascii="宋体" w:hAnsi="宋体" w:eastAsia="宋体" w:cs="宋体"/>
          <w:color w:val="auto"/>
          <w:sz w:val="21"/>
          <w:szCs w:val="21"/>
          <w:highlight w:val="none"/>
          <w:u w:val="single"/>
          <w:lang w:val="zh-CN"/>
        </w:rPr>
        <w:t>工业</w:t>
      </w:r>
      <w:r>
        <w:rPr>
          <w:rFonts w:hint="eastAsia" w:ascii="宋体" w:hAnsi="宋体" w:eastAsia="宋体" w:cs="宋体"/>
          <w:color w:val="auto"/>
          <w:sz w:val="21"/>
          <w:szCs w:val="21"/>
          <w:highlight w:val="none"/>
          <w:lang w:val="zh-CN"/>
        </w:rPr>
        <w:t>；制造商为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（企业名称）</w:t>
      </w:r>
      <w:r>
        <w:rPr>
          <w:rFonts w:hint="eastAsia" w:ascii="宋体" w:hAnsi="宋体" w:eastAsia="宋体" w:cs="宋体"/>
          <w:color w:val="auto"/>
          <w:sz w:val="21"/>
          <w:szCs w:val="21"/>
          <w:highlight w:val="none"/>
          <w:lang w:val="zh-CN"/>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万元，属于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（中型企业、小型企业、微型企业）</w:t>
      </w:r>
      <w:r>
        <w:rPr>
          <w:rFonts w:hint="eastAsia" w:ascii="宋体" w:hAnsi="宋体" w:eastAsia="宋体" w:cs="宋体"/>
          <w:color w:val="auto"/>
          <w:sz w:val="21"/>
          <w:szCs w:val="21"/>
          <w:highlight w:val="none"/>
          <w:lang w:val="zh-CN"/>
        </w:rPr>
        <w:t>；</w:t>
      </w:r>
      <w:r>
        <w:rPr>
          <w:rFonts w:hint="eastAsia" w:ascii="宋体" w:hAnsi="宋体" w:eastAsia="宋体" w:cs="宋体"/>
          <w:b/>
          <w:color w:val="auto"/>
          <w:sz w:val="21"/>
          <w:szCs w:val="21"/>
          <w:highlight w:val="none"/>
          <w:lang w:val="zh-CN"/>
        </w:rPr>
        <w:t>注：（企业类型选填一项）</w:t>
      </w:r>
    </w:p>
    <w:p w14:paraId="6A01121E">
      <w:pPr>
        <w:kinsoku/>
        <w:wordWrap/>
        <w:overflowPunct/>
        <w:topLinePunct w:val="0"/>
        <w:autoSpaceDE/>
        <w:autoSpaceDN/>
        <w:bidi w:val="0"/>
        <w:spacing w:line="360" w:lineRule="auto"/>
        <w:ind w:firstLine="42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（标的名称） </w:t>
      </w:r>
      <w:r>
        <w:rPr>
          <w:rFonts w:hint="eastAsia" w:ascii="宋体" w:hAnsi="宋体" w:eastAsia="宋体" w:cs="宋体"/>
          <w:color w:val="auto"/>
          <w:sz w:val="21"/>
          <w:szCs w:val="21"/>
          <w:highlight w:val="none"/>
          <w:lang w:val="zh-CN"/>
        </w:rPr>
        <w:t>，属于</w:t>
      </w:r>
      <w:r>
        <w:rPr>
          <w:rFonts w:hint="eastAsia" w:ascii="宋体" w:hAnsi="宋体" w:eastAsia="宋体" w:cs="宋体"/>
          <w:color w:val="auto"/>
          <w:sz w:val="21"/>
          <w:szCs w:val="21"/>
          <w:highlight w:val="none"/>
          <w:u w:val="single"/>
          <w:lang w:val="zh-CN"/>
        </w:rPr>
        <w:t>工业</w:t>
      </w:r>
      <w:r>
        <w:rPr>
          <w:rFonts w:hint="eastAsia" w:ascii="宋体" w:hAnsi="宋体" w:eastAsia="宋体" w:cs="宋体"/>
          <w:color w:val="auto"/>
          <w:sz w:val="21"/>
          <w:szCs w:val="21"/>
          <w:highlight w:val="none"/>
          <w:lang w:val="zh-CN"/>
        </w:rPr>
        <w:t>；制造商为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（企业名称）</w:t>
      </w:r>
      <w:r>
        <w:rPr>
          <w:rFonts w:hint="eastAsia" w:ascii="宋体" w:hAnsi="宋体" w:eastAsia="宋体" w:cs="宋体"/>
          <w:color w:val="auto"/>
          <w:sz w:val="21"/>
          <w:szCs w:val="21"/>
          <w:highlight w:val="none"/>
          <w:lang w:val="zh-CN"/>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万元，属于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（中型企业、小型企业、微型企业）</w:t>
      </w:r>
      <w:r>
        <w:rPr>
          <w:rFonts w:hint="eastAsia" w:ascii="宋体" w:hAnsi="宋体" w:eastAsia="宋体" w:cs="宋体"/>
          <w:color w:val="auto"/>
          <w:sz w:val="21"/>
          <w:szCs w:val="21"/>
          <w:highlight w:val="none"/>
          <w:lang w:val="zh-CN"/>
        </w:rPr>
        <w:t>；</w:t>
      </w:r>
      <w:r>
        <w:rPr>
          <w:rFonts w:hint="eastAsia" w:ascii="宋体" w:hAnsi="宋体" w:eastAsia="宋体" w:cs="宋体"/>
          <w:b/>
          <w:color w:val="auto"/>
          <w:sz w:val="21"/>
          <w:szCs w:val="21"/>
          <w:highlight w:val="none"/>
          <w:lang w:val="zh-CN"/>
        </w:rPr>
        <w:t>注：（企业类型选填一项）</w:t>
      </w:r>
      <w:r>
        <w:rPr>
          <w:rFonts w:hint="eastAsia" w:ascii="宋体" w:hAnsi="宋体" w:eastAsia="宋体" w:cs="宋体"/>
          <w:color w:val="auto"/>
          <w:spacing w:val="0"/>
          <w:sz w:val="21"/>
          <w:szCs w:val="21"/>
          <w:highlight w:val="none"/>
        </w:rPr>
        <w:t>；</w:t>
      </w:r>
    </w:p>
    <w:p w14:paraId="12A35F79">
      <w:pPr>
        <w:kinsoku/>
        <w:wordWrap/>
        <w:overflowPunct/>
        <w:topLinePunct w:val="0"/>
        <w:autoSpaceDE/>
        <w:autoSpaceDN/>
        <w:bidi w:val="0"/>
        <w:spacing w:line="360" w:lineRule="auto"/>
        <w:ind w:firstLine="420"/>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 xml:space="preserve"> …… </w:t>
      </w:r>
    </w:p>
    <w:p w14:paraId="60424391">
      <w:pPr>
        <w:kinsoku/>
        <w:wordWrap/>
        <w:overflowPunct/>
        <w:topLinePunct w:val="0"/>
        <w:autoSpaceDE/>
        <w:autoSpaceDN/>
        <w:bidi w:val="0"/>
        <w:spacing w:line="360" w:lineRule="auto"/>
        <w:ind w:firstLine="420"/>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 xml:space="preserve">以上企业，不属于大企业的分支机构，不存在控股股东为大企业的情形，也不存在与大企业的负责人为同一人的情形。 本企业对上述声明内容的真实性负责。如有虚假，将依法承担相应责任。 </w:t>
      </w:r>
    </w:p>
    <w:p w14:paraId="1DC758CB">
      <w:pPr>
        <w:kinsoku/>
        <w:wordWrap/>
        <w:overflowPunct/>
        <w:topLinePunct w:val="0"/>
        <w:autoSpaceDE/>
        <w:autoSpaceDN/>
        <w:bidi w:val="0"/>
        <w:spacing w:line="360" w:lineRule="auto"/>
        <w:ind w:left="4200"/>
        <w:textAlignment w:val="auto"/>
        <w:rPr>
          <w:rFonts w:hint="eastAsia" w:ascii="宋体" w:hAnsi="宋体" w:eastAsia="宋体" w:cs="宋体"/>
          <w:color w:val="auto"/>
          <w:spacing w:val="0"/>
          <w:highlight w:val="none"/>
        </w:rPr>
      </w:pPr>
    </w:p>
    <w:p w14:paraId="25BC8CF8">
      <w:pPr>
        <w:kinsoku/>
        <w:wordWrap/>
        <w:overflowPunct/>
        <w:topLinePunct w:val="0"/>
        <w:autoSpaceDE/>
        <w:autoSpaceDN/>
        <w:bidi w:val="0"/>
        <w:spacing w:line="360" w:lineRule="auto"/>
        <w:ind w:left="4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企业名称（</w:t>
      </w:r>
      <w:r>
        <w:rPr>
          <w:rFonts w:hint="eastAsia" w:ascii="宋体" w:hAnsi="宋体" w:eastAsia="宋体" w:cs="宋体"/>
          <w:color w:val="auto"/>
          <w:spacing w:val="0"/>
          <w:highlight w:val="none"/>
          <w:lang w:val="en-US" w:eastAsia="zh-CN"/>
        </w:rPr>
        <w:t>签</w:t>
      </w:r>
      <w:r>
        <w:rPr>
          <w:rFonts w:hint="eastAsia" w:ascii="宋体" w:hAnsi="宋体" w:eastAsia="宋体" w:cs="宋体"/>
          <w:color w:val="auto"/>
          <w:spacing w:val="0"/>
          <w:highlight w:val="none"/>
        </w:rPr>
        <w:t>章）：</w:t>
      </w:r>
    </w:p>
    <w:p w14:paraId="16B6FEBA">
      <w:pPr>
        <w:kinsoku/>
        <w:wordWrap/>
        <w:overflowPunct/>
        <w:topLinePunct w:val="0"/>
        <w:autoSpaceDE/>
        <w:autoSpaceDN/>
        <w:bidi w:val="0"/>
        <w:spacing w:line="360" w:lineRule="auto"/>
        <w:ind w:left="4200"/>
        <w:textAlignment w:val="auto"/>
        <w:rPr>
          <w:rFonts w:hint="eastAsia" w:ascii="宋体" w:hAnsi="宋体" w:eastAsia="宋体" w:cs="宋体"/>
          <w:color w:val="auto"/>
          <w:spacing w:val="0"/>
          <w:sz w:val="32"/>
          <w:szCs w:val="32"/>
          <w:highlight w:val="none"/>
          <w:lang w:val="zh-CN"/>
        </w:rPr>
      </w:pPr>
      <w:r>
        <w:rPr>
          <w:rFonts w:hint="eastAsia" w:ascii="宋体" w:hAnsi="宋体" w:eastAsia="宋体" w:cs="宋体"/>
          <w:color w:val="auto"/>
          <w:spacing w:val="0"/>
          <w:highlight w:val="none"/>
        </w:rPr>
        <w:t>日 期：</w:t>
      </w:r>
    </w:p>
    <w:p w14:paraId="5E91595E">
      <w:pPr>
        <w:kinsoku/>
        <w:wordWrap/>
        <w:overflowPunct/>
        <w:topLinePunct w:val="0"/>
        <w:autoSpaceDE/>
        <w:autoSpaceDN/>
        <w:bidi w:val="0"/>
        <w:spacing w:line="360" w:lineRule="auto"/>
        <w:jc w:val="left"/>
        <w:textAlignment w:val="auto"/>
        <w:rPr>
          <w:rFonts w:hint="eastAsia" w:ascii="宋体" w:hAnsi="宋体" w:eastAsia="宋体" w:cs="宋体"/>
          <w:color w:val="auto"/>
          <w:spacing w:val="0"/>
          <w:highlight w:val="none"/>
        </w:rPr>
      </w:pPr>
    </w:p>
    <w:p w14:paraId="7B06CF4E">
      <w:pPr>
        <w:kinsoku/>
        <w:wordWrap/>
        <w:overflowPunct/>
        <w:topLinePunct w:val="0"/>
        <w:autoSpaceDE/>
        <w:autoSpaceDN/>
        <w:bidi w:val="0"/>
        <w:spacing w:line="360" w:lineRule="auto"/>
        <w:jc w:val="left"/>
        <w:textAlignment w:val="auto"/>
        <w:rPr>
          <w:rFonts w:hint="eastAsia" w:ascii="宋体" w:hAnsi="宋体" w:eastAsia="宋体" w:cs="宋体"/>
          <w:color w:val="auto"/>
          <w:spacing w:val="0"/>
          <w:highlight w:val="none"/>
        </w:rPr>
      </w:pPr>
    </w:p>
    <w:p w14:paraId="6B08CC75">
      <w:pPr>
        <w:pStyle w:val="33"/>
        <w:kinsoku/>
        <w:wordWrap/>
        <w:overflowPunct/>
        <w:topLinePunct w:val="0"/>
        <w:autoSpaceDE/>
        <w:autoSpaceDN/>
        <w:bidi w:val="0"/>
        <w:spacing w:line="360" w:lineRule="auto"/>
        <w:ind w:firstLine="0"/>
        <w:textAlignment w:val="auto"/>
        <w:rPr>
          <w:rFonts w:hint="eastAsia" w:ascii="宋体" w:hAnsi="宋体" w:eastAsia="宋体" w:cs="宋体"/>
          <w:b w:val="0"/>
          <w:bCs w:val="0"/>
          <w:color w:val="auto"/>
          <w:spacing w:val="0"/>
          <w:sz w:val="21"/>
          <w:szCs w:val="24"/>
          <w:highlight w:val="none"/>
        </w:rPr>
      </w:pPr>
      <w:r>
        <w:rPr>
          <w:rFonts w:hint="eastAsia" w:ascii="宋体" w:hAnsi="宋体" w:eastAsia="宋体" w:cs="宋体"/>
          <w:b w:val="0"/>
          <w:bCs w:val="0"/>
          <w:color w:val="auto"/>
          <w:spacing w:val="0"/>
          <w:sz w:val="21"/>
          <w:szCs w:val="24"/>
          <w:highlight w:val="none"/>
        </w:rPr>
        <w:t>备注：1.从业人员、营业收入、资产总额填报上一年度数据，无上一年度数据的新成立企业可不填报。</w:t>
      </w:r>
    </w:p>
    <w:p w14:paraId="68DB3C54">
      <w:pPr>
        <w:pStyle w:val="33"/>
        <w:kinsoku/>
        <w:wordWrap/>
        <w:overflowPunct/>
        <w:topLinePunct w:val="0"/>
        <w:autoSpaceDE/>
        <w:autoSpaceDN/>
        <w:bidi w:val="0"/>
        <w:spacing w:line="360" w:lineRule="auto"/>
        <w:ind w:firstLine="630"/>
        <w:textAlignment w:val="auto"/>
        <w:rPr>
          <w:rFonts w:hint="eastAsia" w:ascii="宋体" w:hAnsi="宋体" w:eastAsia="宋体" w:cs="宋体"/>
          <w:b w:val="0"/>
          <w:bCs w:val="0"/>
          <w:color w:val="auto"/>
          <w:spacing w:val="0"/>
          <w:sz w:val="21"/>
          <w:szCs w:val="24"/>
          <w:highlight w:val="none"/>
        </w:rPr>
      </w:pPr>
      <w:r>
        <w:rPr>
          <w:rFonts w:hint="eastAsia" w:ascii="宋体" w:hAnsi="宋体" w:eastAsia="宋体" w:cs="宋体"/>
          <w:b w:val="0"/>
          <w:bCs w:val="0"/>
          <w:color w:val="auto"/>
          <w:spacing w:val="0"/>
          <w:sz w:val="21"/>
          <w:szCs w:val="24"/>
          <w:highlight w:val="none"/>
        </w:rPr>
        <w:t>2.</w:t>
      </w:r>
      <w:r>
        <w:rPr>
          <w:rFonts w:hint="eastAsia" w:ascii="宋体" w:hAnsi="宋体" w:cs="宋体"/>
          <w:b w:val="0"/>
          <w:bCs w:val="0"/>
          <w:color w:val="auto"/>
          <w:kern w:val="2"/>
          <w:sz w:val="21"/>
          <w:szCs w:val="24"/>
          <w:highlight w:val="none"/>
        </w:rPr>
        <w:t>在货物采购项目中，货物全部由中小企业制造，即货物由中小企业生产且使用该中小企业商号或者注册商标。</w:t>
      </w:r>
      <w:r>
        <w:rPr>
          <w:rFonts w:hint="eastAsia" w:ascii="宋体" w:hAnsi="宋体" w:cs="宋体"/>
          <w:color w:val="auto"/>
          <w:kern w:val="2"/>
          <w:sz w:val="21"/>
          <w:szCs w:val="24"/>
          <w:highlight w:val="none"/>
        </w:rPr>
        <w:t>供应商提供的货物既有中小企业制造货物，也有大型企业制造货物的，不享受相应扶持政策</w:t>
      </w:r>
      <w:r>
        <w:rPr>
          <w:rFonts w:hint="eastAsia" w:ascii="宋体" w:hAnsi="宋体" w:eastAsia="宋体" w:cs="宋体"/>
          <w:color w:val="auto"/>
          <w:spacing w:val="0"/>
          <w:sz w:val="21"/>
          <w:szCs w:val="24"/>
          <w:highlight w:val="none"/>
        </w:rPr>
        <w:t>。</w:t>
      </w:r>
    </w:p>
    <w:p w14:paraId="66C13015">
      <w:pPr>
        <w:pStyle w:val="33"/>
        <w:kinsoku/>
        <w:wordWrap/>
        <w:overflowPunct/>
        <w:topLinePunct w:val="0"/>
        <w:autoSpaceDE/>
        <w:autoSpaceDN/>
        <w:bidi w:val="0"/>
        <w:spacing w:line="360" w:lineRule="auto"/>
        <w:ind w:firstLine="630"/>
        <w:textAlignment w:val="auto"/>
        <w:rPr>
          <w:rFonts w:hint="eastAsia" w:ascii="宋体" w:hAnsi="宋体" w:eastAsia="宋体" w:cs="宋体"/>
          <w:color w:val="auto"/>
          <w:spacing w:val="0"/>
          <w:sz w:val="21"/>
          <w:szCs w:val="24"/>
          <w:highlight w:val="none"/>
        </w:rPr>
      </w:pPr>
      <w:r>
        <w:rPr>
          <w:rFonts w:hint="eastAsia" w:ascii="宋体" w:hAnsi="宋体" w:eastAsia="宋体" w:cs="宋体"/>
          <w:b w:val="0"/>
          <w:bCs w:val="0"/>
          <w:color w:val="auto"/>
          <w:spacing w:val="0"/>
          <w:sz w:val="21"/>
          <w:szCs w:val="24"/>
          <w:highlight w:val="none"/>
        </w:rPr>
        <w:t>3.《中小企业声明函》中所填的行业应与本采购标的对应的中小企业划分标准所属行业一致，不一致的不可享受相应政策优惠。</w:t>
      </w:r>
      <w:r>
        <w:rPr>
          <w:rFonts w:hint="eastAsia" w:ascii="宋体" w:hAnsi="宋体" w:eastAsia="宋体" w:cs="宋体"/>
          <w:color w:val="auto"/>
          <w:spacing w:val="0"/>
          <w:sz w:val="21"/>
          <w:szCs w:val="24"/>
          <w:highlight w:val="none"/>
        </w:rPr>
        <w:t>本采购标的对应的中小企业划分标准所属行业，以采购文件中具体规定为准。</w:t>
      </w:r>
    </w:p>
    <w:p w14:paraId="6E8E9962">
      <w:pPr>
        <w:pStyle w:val="33"/>
        <w:kinsoku/>
        <w:wordWrap/>
        <w:overflowPunct/>
        <w:topLinePunct w:val="0"/>
        <w:autoSpaceDE/>
        <w:autoSpaceDN/>
        <w:bidi w:val="0"/>
        <w:spacing w:line="360" w:lineRule="auto"/>
        <w:ind w:firstLine="632"/>
        <w:textAlignment w:val="auto"/>
        <w:rPr>
          <w:rFonts w:hint="eastAsia" w:ascii="宋体" w:hAnsi="宋体" w:eastAsia="宋体" w:cs="宋体"/>
          <w:color w:val="auto"/>
          <w:spacing w:val="0"/>
          <w:sz w:val="21"/>
          <w:szCs w:val="24"/>
          <w:highlight w:val="none"/>
        </w:rPr>
      </w:pPr>
      <w:r>
        <w:rPr>
          <w:rFonts w:hint="eastAsia" w:ascii="宋体" w:hAnsi="宋体" w:eastAsia="宋体" w:cs="宋体"/>
          <w:color w:val="auto"/>
          <w:spacing w:val="0"/>
          <w:sz w:val="21"/>
          <w:szCs w:val="24"/>
          <w:highlight w:val="none"/>
        </w:rPr>
        <w:t>4.如未对（中型企业、小型企业、微型企业）进行勾选，视同非中小微企业，不可享受相应扶持政策。</w:t>
      </w:r>
    </w:p>
    <w:p w14:paraId="451ECD2E">
      <w:pPr>
        <w:pStyle w:val="225"/>
        <w:kinsoku/>
        <w:wordWrap/>
        <w:overflowPunct/>
        <w:topLinePunct w:val="0"/>
        <w:autoSpaceDE/>
        <w:autoSpaceDN/>
        <w:bidi w:val="0"/>
        <w:spacing w:line="360" w:lineRule="auto"/>
        <w:ind w:left="840" w:hanging="210"/>
        <w:textAlignment w:val="auto"/>
        <w:rPr>
          <w:rFonts w:hint="eastAsia" w:ascii="宋体" w:hAnsi="宋体" w:eastAsia="宋体" w:cs="宋体"/>
          <w:color w:val="auto"/>
          <w:spacing w:val="0"/>
          <w:sz w:val="21"/>
          <w:szCs w:val="24"/>
          <w:highlight w:val="none"/>
          <w:lang w:val="zh-CN"/>
        </w:rPr>
        <w:sectPr>
          <w:pgSz w:w="11906" w:h="16838"/>
          <w:pgMar w:top="1440" w:right="1417" w:bottom="1440" w:left="1417" w:header="964" w:footer="964" w:gutter="0"/>
          <w:cols w:space="720" w:num="1"/>
          <w:docGrid w:linePitch="360" w:charSpace="0"/>
        </w:sectPr>
      </w:pPr>
      <w:r>
        <w:rPr>
          <w:rFonts w:hint="eastAsia" w:ascii="宋体" w:hAnsi="宋体" w:eastAsia="宋体" w:cs="宋体"/>
          <w:color w:val="auto"/>
          <w:spacing w:val="0"/>
          <w:sz w:val="21"/>
          <w:szCs w:val="24"/>
          <w:highlight w:val="none"/>
        </w:rPr>
        <w:t>5.成交单位为中小企业的，《中小企业声明函》将随成交结果同时公告</w:t>
      </w:r>
      <w:r>
        <w:rPr>
          <w:rFonts w:hint="eastAsia" w:ascii="宋体" w:hAnsi="宋体" w:eastAsia="宋体" w:cs="宋体"/>
          <w:color w:val="auto"/>
          <w:spacing w:val="0"/>
          <w:sz w:val="21"/>
          <w:szCs w:val="24"/>
          <w:highlight w:val="none"/>
          <w:lang w:val="zh-CN"/>
        </w:rPr>
        <w:t>。</w:t>
      </w:r>
    </w:p>
    <w:p w14:paraId="5D9FA434">
      <w:pPr>
        <w:kinsoku/>
        <w:wordWrap/>
        <w:overflowPunct/>
        <w:topLinePunct w:val="0"/>
        <w:autoSpaceDE/>
        <w:autoSpaceDN/>
        <w:bidi w:val="0"/>
        <w:spacing w:line="360" w:lineRule="auto"/>
        <w:textAlignment w:val="auto"/>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附：中小企业划型标准规定</w:t>
      </w:r>
      <w:r>
        <w:rPr>
          <w:rFonts w:hint="eastAsia" w:ascii="宋体" w:hAnsi="宋体" w:eastAsia="宋体" w:cs="宋体"/>
          <w:b/>
          <w:color w:val="auto"/>
          <w:spacing w:val="0"/>
          <w:highlight w:val="none"/>
          <w:lang w:eastAsia="zh-CN"/>
        </w:rPr>
        <w:t>（</w:t>
      </w:r>
      <w:r>
        <w:rPr>
          <w:rFonts w:hint="eastAsia" w:ascii="宋体" w:hAnsi="宋体" w:eastAsia="宋体" w:cs="宋体"/>
          <w:b/>
          <w:color w:val="auto"/>
          <w:spacing w:val="0"/>
          <w:highlight w:val="none"/>
          <w:lang w:val="en-US" w:eastAsia="zh-CN"/>
        </w:rPr>
        <w:t>仅供参看，具体按照国家相关最新标准规定</w:t>
      </w:r>
      <w:r>
        <w:rPr>
          <w:rFonts w:hint="eastAsia" w:ascii="宋体" w:hAnsi="宋体" w:eastAsia="宋体" w:cs="宋体"/>
          <w:b/>
          <w:color w:val="auto"/>
          <w:spacing w:val="0"/>
          <w:highlight w:val="none"/>
          <w:lang w:eastAsia="zh-CN"/>
        </w:rPr>
        <w:t>）</w:t>
      </w:r>
    </w:p>
    <w:p w14:paraId="3F2F306B">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（一）农、林、牧、渔业。</w:t>
      </w:r>
      <w:r>
        <w:rPr>
          <w:rFonts w:hint="eastAsia" w:ascii="宋体" w:hAnsi="宋体" w:eastAsia="宋体" w:cs="宋体"/>
          <w:color w:val="auto"/>
          <w:spacing w:val="0"/>
          <w:highlight w:val="none"/>
        </w:rPr>
        <w:t>营业收入20000万元以下的为中小微型企业。其中，营业收入500万元及以上的为中型企业，营业收入50万元及以上的为小型企业，营业收入50万元以下的为微型企业。</w:t>
      </w:r>
    </w:p>
    <w:p w14:paraId="65D16816">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（二）工业。</w:t>
      </w:r>
      <w:r>
        <w:rPr>
          <w:rFonts w:hint="eastAsia" w:ascii="宋体" w:hAnsi="宋体" w:eastAsia="宋体" w:cs="宋体"/>
          <w:color w:val="auto"/>
          <w:spacing w:val="0"/>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007EA7">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（三）建筑业。</w:t>
      </w:r>
      <w:r>
        <w:rPr>
          <w:rFonts w:hint="eastAsia" w:ascii="宋体" w:hAnsi="宋体" w:eastAsia="宋体" w:cs="宋体"/>
          <w:color w:val="auto"/>
          <w:spacing w:val="0"/>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0E67900">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（四）批发业。</w:t>
      </w:r>
      <w:r>
        <w:rPr>
          <w:rFonts w:hint="eastAsia" w:ascii="宋体" w:hAnsi="宋体" w:eastAsia="宋体" w:cs="宋体"/>
          <w:color w:val="auto"/>
          <w:spacing w:val="0"/>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CF90323">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（五）零售业。</w:t>
      </w:r>
      <w:r>
        <w:rPr>
          <w:rFonts w:hint="eastAsia" w:ascii="宋体" w:hAnsi="宋体" w:eastAsia="宋体" w:cs="宋体"/>
          <w:color w:val="auto"/>
          <w:spacing w:val="0"/>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FAB343">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（六）交通运输业。</w:t>
      </w:r>
      <w:r>
        <w:rPr>
          <w:rFonts w:hint="eastAsia" w:ascii="宋体" w:hAnsi="宋体" w:eastAsia="宋体" w:cs="宋体"/>
          <w:color w:val="auto"/>
          <w:spacing w:val="0"/>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C4B7BBD">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（七）仓储业。</w:t>
      </w:r>
      <w:r>
        <w:rPr>
          <w:rFonts w:hint="eastAsia" w:ascii="宋体" w:hAnsi="宋体" w:eastAsia="宋体" w:cs="宋体"/>
          <w:color w:val="auto"/>
          <w:spacing w:val="0"/>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32E9AC0">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（八）邮政业。</w:t>
      </w:r>
      <w:r>
        <w:rPr>
          <w:rFonts w:hint="eastAsia" w:ascii="宋体" w:hAnsi="宋体" w:eastAsia="宋体" w:cs="宋体"/>
          <w:color w:val="auto"/>
          <w:spacing w:val="0"/>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A7DC490">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（九）住宿业。</w:t>
      </w:r>
      <w:r>
        <w:rPr>
          <w:rFonts w:hint="eastAsia" w:ascii="宋体" w:hAnsi="宋体" w:eastAsia="宋体" w:cs="宋体"/>
          <w:color w:val="auto"/>
          <w:spacing w:val="0"/>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1D9B27">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（十）餐饮业。</w:t>
      </w:r>
      <w:r>
        <w:rPr>
          <w:rFonts w:hint="eastAsia" w:ascii="宋体" w:hAnsi="宋体" w:eastAsia="宋体" w:cs="宋体"/>
          <w:color w:val="auto"/>
          <w:spacing w:val="0"/>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1AFFA0">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（十一）信息传输业。</w:t>
      </w:r>
      <w:r>
        <w:rPr>
          <w:rFonts w:hint="eastAsia" w:ascii="宋体" w:hAnsi="宋体" w:eastAsia="宋体" w:cs="宋体"/>
          <w:color w:val="auto"/>
          <w:spacing w:val="0"/>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9E9CA4F">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（十二）软件和信息技术服务业。</w:t>
      </w:r>
      <w:r>
        <w:rPr>
          <w:rFonts w:hint="eastAsia" w:ascii="宋体" w:hAnsi="宋体" w:eastAsia="宋体" w:cs="宋体"/>
          <w:color w:val="auto"/>
          <w:spacing w:val="0"/>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642754B">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（十三）房地产开发经营。</w:t>
      </w:r>
      <w:r>
        <w:rPr>
          <w:rFonts w:hint="eastAsia" w:ascii="宋体" w:hAnsi="宋体" w:eastAsia="宋体" w:cs="宋体"/>
          <w:color w:val="auto"/>
          <w:spacing w:val="0"/>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8CA3C">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（十四）物业管理。</w:t>
      </w:r>
      <w:r>
        <w:rPr>
          <w:rFonts w:hint="eastAsia" w:ascii="宋体" w:hAnsi="宋体" w:eastAsia="宋体" w:cs="宋体"/>
          <w:color w:val="auto"/>
          <w:spacing w:val="0"/>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1AD71C2">
      <w:pPr>
        <w:kinsoku/>
        <w:wordWrap/>
        <w:overflowPunct/>
        <w:topLinePunct w:val="0"/>
        <w:autoSpaceDE/>
        <w:autoSpaceDN/>
        <w:bidi w:val="0"/>
        <w:spacing w:line="360" w:lineRule="auto"/>
        <w:ind w:firstLine="422"/>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（十五）租赁和商务服务业。</w:t>
      </w:r>
      <w:r>
        <w:rPr>
          <w:rFonts w:hint="eastAsia" w:ascii="宋体" w:hAnsi="宋体" w:eastAsia="宋体" w:cs="宋体"/>
          <w:color w:val="auto"/>
          <w:spacing w:val="0"/>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CB7553">
      <w:pPr>
        <w:pStyle w:val="225"/>
        <w:kinsoku/>
        <w:wordWrap/>
        <w:overflowPunct/>
        <w:topLinePunct w:val="0"/>
        <w:autoSpaceDE/>
        <w:autoSpaceDN/>
        <w:bidi w:val="0"/>
        <w:spacing w:line="360" w:lineRule="auto"/>
        <w:ind w:firstLine="422"/>
        <w:textAlignment w:val="auto"/>
        <w:rPr>
          <w:rFonts w:hint="eastAsia" w:ascii="宋体" w:hAnsi="宋体" w:eastAsia="宋体" w:cs="宋体"/>
          <w:color w:val="auto"/>
          <w:spacing w:val="0"/>
          <w:sz w:val="21"/>
          <w:szCs w:val="21"/>
          <w:highlight w:val="none"/>
          <w:lang w:val="zh-CN"/>
        </w:rPr>
      </w:pPr>
      <w:r>
        <w:rPr>
          <w:rFonts w:hint="eastAsia" w:ascii="宋体" w:hAnsi="宋体" w:eastAsia="宋体" w:cs="宋体"/>
          <w:b/>
          <w:color w:val="auto"/>
          <w:spacing w:val="0"/>
          <w:sz w:val="21"/>
          <w:szCs w:val="24"/>
          <w:highlight w:val="none"/>
        </w:rPr>
        <w:t>（十六）其他未列明行业。</w:t>
      </w:r>
      <w:r>
        <w:rPr>
          <w:rFonts w:hint="eastAsia" w:ascii="宋体" w:hAnsi="宋体" w:eastAsia="宋体" w:cs="宋体"/>
          <w:color w:val="auto"/>
          <w:spacing w:val="0"/>
          <w:sz w:val="21"/>
          <w:szCs w:val="24"/>
          <w:highlight w:val="none"/>
        </w:rPr>
        <w:t>从业人员300人以下的为中小微型企业。其中，从业人员100人及以上的为中型企业；从业人员10人及以上的为小型企业；从业人员10人以下的为微型企业。</w:t>
      </w:r>
    </w:p>
    <w:p w14:paraId="592AFB0E">
      <w:pPr>
        <w:kinsoku/>
        <w:wordWrap/>
        <w:overflowPunct/>
        <w:topLinePunct w:val="0"/>
        <w:autoSpaceDE/>
        <w:autoSpaceDN/>
        <w:bidi w:val="0"/>
        <w:spacing w:line="400" w:lineRule="exact"/>
        <w:jc w:val="center"/>
        <w:textAlignment w:val="auto"/>
        <w:rPr>
          <w:rFonts w:hint="eastAsia" w:ascii="宋体" w:hAnsi="宋体" w:eastAsia="宋体" w:cs="宋体"/>
          <w:color w:val="auto"/>
          <w:spacing w:val="0"/>
          <w:sz w:val="32"/>
          <w:szCs w:val="32"/>
          <w:highlight w:val="none"/>
          <w:lang w:val="zh-CN"/>
        </w:rPr>
      </w:pPr>
    </w:p>
    <w:p w14:paraId="3A8E6D46">
      <w:pPr>
        <w:kinsoku/>
        <w:wordWrap/>
        <w:overflowPunct/>
        <w:topLinePunct w:val="0"/>
        <w:autoSpaceDE/>
        <w:autoSpaceDN/>
        <w:bidi w:val="0"/>
        <w:spacing w:line="360" w:lineRule="auto"/>
        <w:jc w:val="right"/>
        <w:textAlignment w:val="auto"/>
        <w:rPr>
          <w:rFonts w:hint="eastAsia" w:ascii="宋体" w:hAnsi="宋体" w:eastAsia="宋体" w:cs="宋体"/>
          <w:color w:val="auto"/>
          <w:spacing w:val="0"/>
          <w:szCs w:val="21"/>
          <w:highlight w:val="none"/>
        </w:rPr>
      </w:pPr>
    </w:p>
    <w:p w14:paraId="33187D48">
      <w:pPr>
        <w:pageBreakBefore/>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r>
        <w:rPr>
          <w:rFonts w:hint="eastAsia" w:ascii="宋体" w:hAnsi="宋体" w:eastAsia="宋体" w:cs="宋体"/>
          <w:b/>
          <w:color w:val="auto"/>
          <w:spacing w:val="0"/>
          <w:highlight w:val="none"/>
        </w:rPr>
        <w:t>附件1</w:t>
      </w:r>
      <w:r>
        <w:rPr>
          <w:rFonts w:hint="eastAsia" w:ascii="宋体" w:hAnsi="宋体" w:cs="宋体"/>
          <w:b/>
          <w:color w:val="auto"/>
          <w:spacing w:val="0"/>
          <w:highlight w:val="none"/>
          <w:lang w:val="en-US" w:eastAsia="zh-CN"/>
        </w:rPr>
        <w:t>5</w:t>
      </w:r>
      <w:r>
        <w:rPr>
          <w:rFonts w:hint="eastAsia" w:ascii="宋体" w:hAnsi="宋体" w:eastAsia="宋体" w:cs="宋体"/>
          <w:b/>
          <w:color w:val="auto"/>
          <w:spacing w:val="0"/>
          <w:highlight w:val="none"/>
        </w:rPr>
        <w:t>：</w:t>
      </w:r>
      <w:r>
        <w:rPr>
          <w:rFonts w:hint="eastAsia" w:ascii="宋体" w:hAnsi="宋体" w:eastAsia="宋体" w:cs="宋体"/>
          <w:b/>
          <w:color w:val="auto"/>
          <w:spacing w:val="0"/>
          <w:szCs w:val="21"/>
          <w:highlight w:val="none"/>
        </w:rPr>
        <w:t>残疾人福利性单位声明函</w:t>
      </w:r>
    </w:p>
    <w:p w14:paraId="19FB5C3A">
      <w:pPr>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Cs w:val="21"/>
          <w:highlight w:val="none"/>
        </w:rPr>
      </w:pPr>
    </w:p>
    <w:p w14:paraId="2A54CFD7">
      <w:pPr>
        <w:kinsoku/>
        <w:wordWrap/>
        <w:overflowPunct/>
        <w:topLinePunct w:val="0"/>
        <w:autoSpaceDE/>
        <w:autoSpaceDN/>
        <w:bidi w:val="0"/>
        <w:spacing w:line="360" w:lineRule="auto"/>
        <w:jc w:val="center"/>
        <w:textAlignment w:val="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残疾人福利性单位声明函</w:t>
      </w:r>
    </w:p>
    <w:p w14:paraId="62803953">
      <w:pPr>
        <w:kinsoku/>
        <w:wordWrap/>
        <w:overflowPunct/>
        <w:topLinePunct w:val="0"/>
        <w:autoSpaceDE/>
        <w:autoSpaceDN/>
        <w:bidi w:val="0"/>
        <w:spacing w:line="360" w:lineRule="auto"/>
        <w:textAlignment w:val="auto"/>
        <w:rPr>
          <w:rFonts w:hint="eastAsia" w:ascii="宋体" w:hAnsi="宋体" w:eastAsia="宋体" w:cs="宋体"/>
          <w:b/>
          <w:color w:val="auto"/>
          <w:spacing w:val="0"/>
          <w:szCs w:val="21"/>
          <w:highlight w:val="none"/>
        </w:rPr>
      </w:pPr>
    </w:p>
    <w:p w14:paraId="7DA86822">
      <w:pPr>
        <w:kinsoku/>
        <w:wordWrap/>
        <w:overflowPunct/>
        <w:topLinePunct w:val="0"/>
        <w:autoSpaceDE/>
        <w:autoSpaceDN/>
        <w:bidi w:val="0"/>
        <w:spacing w:line="360" w:lineRule="auto"/>
        <w:ind w:firstLine="444"/>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DE7F345">
      <w:pPr>
        <w:kinsoku/>
        <w:wordWrap/>
        <w:overflowPunct/>
        <w:topLinePunct w:val="0"/>
        <w:autoSpaceDE/>
        <w:autoSpaceDN/>
        <w:bidi w:val="0"/>
        <w:spacing w:line="360" w:lineRule="auto"/>
        <w:ind w:firstLine="444"/>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本单位对上述声明的真实性负责。如有虚假，将依法承担相应责任。</w:t>
      </w:r>
    </w:p>
    <w:p w14:paraId="5C35BBBF">
      <w:pPr>
        <w:kinsoku/>
        <w:wordWrap/>
        <w:overflowPunct/>
        <w:topLinePunct w:val="0"/>
        <w:autoSpaceDE/>
        <w:autoSpaceDN/>
        <w:bidi w:val="0"/>
        <w:spacing w:line="360" w:lineRule="auto"/>
        <w:ind w:firstLine="444"/>
        <w:textAlignment w:val="auto"/>
        <w:rPr>
          <w:rFonts w:hint="eastAsia" w:ascii="宋体" w:hAnsi="宋体" w:eastAsia="宋体" w:cs="宋体"/>
          <w:color w:val="auto"/>
          <w:spacing w:val="0"/>
          <w:szCs w:val="21"/>
          <w:highlight w:val="none"/>
        </w:rPr>
      </w:pPr>
    </w:p>
    <w:p w14:paraId="2C2C226B">
      <w:pPr>
        <w:kinsoku/>
        <w:wordWrap/>
        <w:overflowPunct/>
        <w:topLinePunct w:val="0"/>
        <w:autoSpaceDE/>
        <w:autoSpaceDN/>
        <w:bidi w:val="0"/>
        <w:spacing w:line="360" w:lineRule="auto"/>
        <w:ind w:left="4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单位名称（</w:t>
      </w:r>
      <w:r>
        <w:rPr>
          <w:rFonts w:hint="eastAsia" w:ascii="宋体" w:hAnsi="宋体" w:eastAsia="宋体" w:cs="宋体"/>
          <w:color w:val="auto"/>
          <w:spacing w:val="0"/>
          <w:highlight w:val="none"/>
          <w:lang w:val="en-US" w:eastAsia="zh-CN"/>
        </w:rPr>
        <w:t>签</w:t>
      </w:r>
      <w:r>
        <w:rPr>
          <w:rFonts w:hint="eastAsia" w:ascii="宋体" w:hAnsi="宋体" w:eastAsia="宋体" w:cs="宋体"/>
          <w:color w:val="auto"/>
          <w:spacing w:val="0"/>
          <w:highlight w:val="none"/>
        </w:rPr>
        <w:t>章）：</w:t>
      </w:r>
    </w:p>
    <w:p w14:paraId="745CD4AC">
      <w:pPr>
        <w:kinsoku/>
        <w:wordWrap/>
        <w:overflowPunct/>
        <w:topLinePunct w:val="0"/>
        <w:autoSpaceDE/>
        <w:autoSpaceDN/>
        <w:bidi w:val="0"/>
        <w:spacing w:line="360" w:lineRule="auto"/>
        <w:ind w:left="4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日  期：</w:t>
      </w:r>
    </w:p>
    <w:p w14:paraId="64BE1574">
      <w:pPr>
        <w:kinsoku/>
        <w:wordWrap/>
        <w:overflowPunct/>
        <w:topLinePunct w:val="0"/>
        <w:autoSpaceDE/>
        <w:autoSpaceDN/>
        <w:bidi w:val="0"/>
        <w:spacing w:line="360" w:lineRule="auto"/>
        <w:ind w:firstLine="333"/>
        <w:textAlignment w:val="auto"/>
        <w:rPr>
          <w:rFonts w:hint="eastAsia" w:ascii="宋体" w:hAnsi="宋体" w:eastAsia="宋体" w:cs="宋体"/>
          <w:color w:val="auto"/>
          <w:spacing w:val="0"/>
          <w:szCs w:val="21"/>
          <w:highlight w:val="none"/>
        </w:rPr>
      </w:pPr>
    </w:p>
    <w:p w14:paraId="2E4D9FC2">
      <w:pPr>
        <w:kinsoku/>
        <w:wordWrap/>
        <w:overflowPunct/>
        <w:topLinePunct w:val="0"/>
        <w:autoSpaceDE/>
        <w:autoSpaceDN/>
        <w:bidi w:val="0"/>
        <w:spacing w:line="360" w:lineRule="auto"/>
        <w:ind w:firstLine="333"/>
        <w:textAlignment w:val="auto"/>
        <w:rPr>
          <w:rFonts w:hint="eastAsia" w:ascii="宋体" w:hAnsi="宋体" w:eastAsia="宋体" w:cs="宋体"/>
          <w:color w:val="auto"/>
          <w:spacing w:val="0"/>
          <w:szCs w:val="21"/>
          <w:highlight w:val="none"/>
        </w:rPr>
      </w:pPr>
    </w:p>
    <w:p w14:paraId="7AD241F3">
      <w:pPr>
        <w:kinsoku/>
        <w:wordWrap/>
        <w:overflowPunct/>
        <w:topLinePunct w:val="0"/>
        <w:autoSpaceDE/>
        <w:autoSpaceDN/>
        <w:bidi w:val="0"/>
        <w:spacing w:line="360" w:lineRule="auto"/>
        <w:ind w:left="666" w:hanging="666"/>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备注：符合《关于促进残疾人就业政府采购政策的通知》（财库〔2017〕141号）规定条件的残疾人福利性单位在参加政府采购活动时，应当提供《残疾人福利性单位声明函》，并对声明的真实性负责。任何单位或者个人在政府采购活动中均不得要求残疾人福利性单位提供其他证明声明函内容的材料。供应商提供的《残疾人福利性单位声明函》与事实不符的，依照《政府采购法》第七十七条第一款的规定追究法律责任。中标、成交供应商为残疾人福利性单位的，采购人或者其委托的采购代理机构应当随中标、成交结果同时公告其《残疾人福利性单位声明函》，接受社会监督。</w:t>
      </w:r>
    </w:p>
    <w:p w14:paraId="13BCDBD5">
      <w:pPr>
        <w:pStyle w:val="21"/>
        <w:kinsoku/>
        <w:wordWrap/>
        <w:overflowPunct/>
        <w:topLinePunct w:val="0"/>
        <w:autoSpaceDE/>
        <w:autoSpaceDN/>
        <w:bidi w:val="0"/>
        <w:spacing w:line="360" w:lineRule="auto"/>
        <w:textAlignment w:val="auto"/>
        <w:rPr>
          <w:rFonts w:hint="eastAsia" w:ascii="宋体" w:hAnsi="宋体" w:eastAsia="宋体" w:cs="宋体"/>
          <w:b/>
          <w:color w:val="auto"/>
          <w:spacing w:val="0"/>
          <w:sz w:val="21"/>
          <w:szCs w:val="21"/>
          <w:highlight w:val="none"/>
        </w:rPr>
      </w:pPr>
    </w:p>
    <w:p w14:paraId="2F3EEC58">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val="0"/>
          <w:color w:val="auto"/>
          <w:sz w:val="52"/>
          <w:szCs w:val="20"/>
          <w:highlight w:val="none"/>
          <w:lang w:val="en-US" w:eastAsia="zh-CN" w:bidi="ar-SA"/>
        </w:rPr>
      </w:pPr>
    </w:p>
    <w:p w14:paraId="319303B0">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val="0"/>
          <w:color w:val="auto"/>
          <w:sz w:val="52"/>
          <w:szCs w:val="20"/>
          <w:highlight w:val="none"/>
          <w:lang w:val="en-US" w:eastAsia="zh-CN" w:bidi="ar-SA"/>
        </w:rPr>
      </w:pPr>
    </w:p>
    <w:p w14:paraId="3B26F08A">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val="0"/>
          <w:color w:val="auto"/>
          <w:sz w:val="52"/>
          <w:szCs w:val="20"/>
          <w:highlight w:val="none"/>
          <w:lang w:val="en-US" w:eastAsia="zh-CN" w:bidi="ar-SA"/>
        </w:rPr>
      </w:pPr>
    </w:p>
    <w:p w14:paraId="6C188C1A">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val="0"/>
          <w:color w:val="auto"/>
          <w:sz w:val="52"/>
          <w:szCs w:val="20"/>
          <w:highlight w:val="none"/>
          <w:lang w:val="en-US" w:eastAsia="zh-CN" w:bidi="ar-SA"/>
        </w:rPr>
      </w:pPr>
    </w:p>
    <w:p w14:paraId="38A3A955">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val="0"/>
          <w:color w:val="auto"/>
          <w:sz w:val="52"/>
          <w:szCs w:val="20"/>
          <w:highlight w:val="none"/>
          <w:lang w:val="en-US" w:eastAsia="zh-CN" w:bidi="ar-SA"/>
        </w:rPr>
      </w:pPr>
    </w:p>
    <w:p w14:paraId="1DD5692E">
      <w:pPr>
        <w:adjustRightInd w:val="0"/>
        <w:snapToGrid w:val="0"/>
        <w:spacing w:line="360" w:lineRule="auto"/>
        <w:rPr>
          <w:rFonts w:hint="eastAsia" w:ascii="宋体" w:hAnsi="宋体" w:cs="宋体"/>
          <w:b/>
          <w:bCs/>
          <w:color w:val="auto"/>
          <w:spacing w:val="6"/>
          <w:szCs w:val="21"/>
          <w:highlight w:val="none"/>
          <w:lang w:val="en-US" w:eastAsia="zh-CN"/>
        </w:rPr>
      </w:pPr>
      <w:r>
        <w:rPr>
          <w:rFonts w:hint="eastAsia" w:ascii="宋体" w:hAnsi="宋体" w:cs="宋体"/>
          <w:b/>
          <w:bCs/>
          <w:color w:val="auto"/>
          <w:spacing w:val="6"/>
          <w:szCs w:val="21"/>
          <w:highlight w:val="none"/>
          <w:lang w:val="en-US" w:eastAsia="zh-CN"/>
        </w:rPr>
        <w:t>附件16：政府采购合同信用融资政策告知函（本附件无需盖章放置响应文件中）</w:t>
      </w:r>
    </w:p>
    <w:p w14:paraId="24ED4842">
      <w:pPr>
        <w:adjustRightInd w:val="0"/>
        <w:snapToGrid w:val="0"/>
        <w:spacing w:line="360" w:lineRule="auto"/>
        <w:rPr>
          <w:rFonts w:hint="eastAsia" w:ascii="宋体" w:hAnsi="宋体" w:cs="宋体"/>
          <w:color w:val="auto"/>
          <w:spacing w:val="6"/>
          <w:szCs w:val="21"/>
          <w:highlight w:val="none"/>
          <w:lang w:val="en-US" w:eastAsia="zh-CN"/>
        </w:rPr>
      </w:pPr>
    </w:p>
    <w:p w14:paraId="28E5D16A">
      <w:pPr>
        <w:adjustRightInd w:val="0"/>
        <w:snapToGrid w:val="0"/>
        <w:spacing w:line="360" w:lineRule="auto"/>
        <w:jc w:val="center"/>
        <w:rPr>
          <w:rFonts w:hint="eastAsia" w:ascii="宋体" w:hAnsi="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政府采购合同信用融资政策告知函</w:t>
      </w:r>
    </w:p>
    <w:p w14:paraId="7A569440">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各政府采购供应商：</w:t>
      </w:r>
    </w:p>
    <w:p w14:paraId="3D4AACE8">
      <w:pPr>
        <w:widowControl/>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欢迎贵公司参加苏州市政府采购活动！</w:t>
      </w:r>
    </w:p>
    <w:p w14:paraId="2B122894">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val="0"/>
          <w:color w:val="auto"/>
          <w:sz w:val="52"/>
          <w:szCs w:val="20"/>
          <w:highlight w:val="none"/>
          <w:lang w:val="en-US" w:eastAsia="zh-CN" w:bidi="ar-SA"/>
        </w:rPr>
      </w:pPr>
      <w:r>
        <w:rPr>
          <w:rFonts w:hint="eastAsia" w:ascii="宋体" w:hAnsi="宋体" w:eastAsia="宋体" w:cs="宋体"/>
          <w:color w:val="auto"/>
          <w:sz w:val="21"/>
          <w:szCs w:val="21"/>
          <w:highlight w:val="none"/>
        </w:rPr>
        <w:t>政府采购合同信用融资是江苏省、苏州市为支持中小企业发展，缓解中小企业融资难题推出的一项融资服务举措。若贵公司经评审最终成为本次政府采购项目的合格中标（成交）供应商，可向金融机构申请贷款，无需抵押、担保，金融机构将根据江苏省财政厅 中国人民银行南京分行《关于深入推进政府采购线上合同信用融资工作的通知》（苏财购［2021］82号）及苏州市财政局、人民银行苏州市分行相关文件要求，按照双方自愿的原则提供便捷、优惠的贷款服务</w:t>
      </w:r>
      <w:r>
        <w:rPr>
          <w:rFonts w:hint="eastAsia" w:ascii="宋体" w:hAnsi="宋体" w:cs="宋体"/>
          <w:color w:val="auto"/>
          <w:sz w:val="21"/>
          <w:szCs w:val="21"/>
          <w:highlight w:val="none"/>
          <w:lang w:eastAsia="zh-CN"/>
        </w:rPr>
        <w:t>。</w:t>
      </w:r>
    </w:p>
    <w:p w14:paraId="1F7BDAD3">
      <w:pPr>
        <w:keepNext w:val="0"/>
        <w:keepLines w:val="0"/>
        <w:pageBreakBefore w:val="0"/>
        <w:widowControl w:val="0"/>
        <w:tabs>
          <w:tab w:val="left" w:pos="315"/>
          <w:tab w:val="center" w:pos="4153"/>
        </w:tabs>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val="0"/>
          <w:color w:val="auto"/>
          <w:sz w:val="52"/>
          <w:szCs w:val="20"/>
          <w:highlight w:val="none"/>
          <w:lang w:val="en-US" w:eastAsia="zh-CN" w:bidi="ar-SA"/>
        </w:rPr>
      </w:pPr>
    </w:p>
    <w:p w14:paraId="2BD35C5F">
      <w:pPr>
        <w:kinsoku/>
        <w:wordWrap/>
        <w:overflowPunct/>
        <w:topLinePunct w:val="0"/>
        <w:autoSpaceDE/>
        <w:autoSpaceDN/>
        <w:bidi w:val="0"/>
        <w:spacing w:line="360" w:lineRule="auto"/>
        <w:ind w:firstLine="420"/>
        <w:jc w:val="center"/>
        <w:textAlignment w:val="auto"/>
        <w:rPr>
          <w:rFonts w:hint="eastAsia" w:ascii="宋体" w:hAnsi="宋体" w:eastAsia="宋体" w:cs="宋体"/>
          <w:b/>
          <w:bCs w:val="0"/>
          <w:color w:val="auto"/>
          <w:sz w:val="44"/>
          <w:szCs w:val="44"/>
          <w:highlight w:val="none"/>
          <w:lang w:val="en-US" w:eastAsia="zh-CN" w:bidi="ar-SA"/>
        </w:rPr>
      </w:pPr>
    </w:p>
    <w:p w14:paraId="3FB17F79">
      <w:pPr>
        <w:kinsoku/>
        <w:wordWrap/>
        <w:overflowPunct/>
        <w:topLinePunct w:val="0"/>
        <w:autoSpaceDE/>
        <w:autoSpaceDN/>
        <w:bidi w:val="0"/>
        <w:spacing w:line="360" w:lineRule="auto"/>
        <w:ind w:firstLine="420"/>
        <w:jc w:val="center"/>
        <w:textAlignment w:val="auto"/>
        <w:rPr>
          <w:rFonts w:hint="eastAsia" w:ascii="宋体" w:hAnsi="宋体" w:eastAsia="宋体" w:cs="宋体"/>
          <w:b/>
          <w:bCs w:val="0"/>
          <w:color w:val="auto"/>
          <w:sz w:val="44"/>
          <w:szCs w:val="44"/>
          <w:highlight w:val="none"/>
          <w:lang w:val="en-US" w:eastAsia="zh-CN" w:bidi="ar-SA"/>
        </w:rPr>
      </w:pPr>
    </w:p>
    <w:p w14:paraId="5784AE43">
      <w:pPr>
        <w:kinsoku/>
        <w:wordWrap/>
        <w:overflowPunct/>
        <w:topLinePunct w:val="0"/>
        <w:autoSpaceDE/>
        <w:autoSpaceDN/>
        <w:bidi w:val="0"/>
        <w:spacing w:line="360" w:lineRule="auto"/>
        <w:ind w:firstLine="420"/>
        <w:jc w:val="center"/>
        <w:textAlignment w:val="auto"/>
        <w:rPr>
          <w:rFonts w:hint="eastAsia" w:ascii="宋体" w:hAnsi="宋体" w:eastAsia="宋体" w:cs="宋体"/>
          <w:b/>
          <w:bCs w:val="0"/>
          <w:color w:val="auto"/>
          <w:sz w:val="44"/>
          <w:szCs w:val="44"/>
          <w:highlight w:val="none"/>
          <w:lang w:val="en-US" w:eastAsia="zh-CN" w:bidi="ar-SA"/>
        </w:rPr>
      </w:pPr>
    </w:p>
    <w:p w14:paraId="23B8315E">
      <w:pPr>
        <w:kinsoku/>
        <w:wordWrap/>
        <w:overflowPunct/>
        <w:topLinePunct w:val="0"/>
        <w:autoSpaceDE/>
        <w:autoSpaceDN/>
        <w:bidi w:val="0"/>
        <w:spacing w:line="360" w:lineRule="auto"/>
        <w:ind w:firstLine="420"/>
        <w:jc w:val="center"/>
        <w:textAlignment w:val="auto"/>
        <w:rPr>
          <w:rFonts w:hint="eastAsia" w:ascii="宋体" w:hAnsi="宋体" w:eastAsia="宋体" w:cs="宋体"/>
          <w:b/>
          <w:bCs w:val="0"/>
          <w:color w:val="auto"/>
          <w:sz w:val="44"/>
          <w:szCs w:val="44"/>
          <w:highlight w:val="none"/>
          <w:lang w:val="en-US" w:eastAsia="zh-CN" w:bidi="ar-SA"/>
        </w:rPr>
      </w:pPr>
    </w:p>
    <w:p w14:paraId="09FCBCFD">
      <w:pPr>
        <w:kinsoku/>
        <w:wordWrap/>
        <w:overflowPunct/>
        <w:topLinePunct w:val="0"/>
        <w:autoSpaceDE/>
        <w:autoSpaceDN/>
        <w:bidi w:val="0"/>
        <w:spacing w:line="360" w:lineRule="auto"/>
        <w:ind w:firstLine="420"/>
        <w:jc w:val="center"/>
        <w:textAlignment w:val="auto"/>
        <w:rPr>
          <w:rFonts w:hint="eastAsia" w:ascii="宋体" w:hAnsi="宋体" w:eastAsia="宋体" w:cs="宋体"/>
          <w:b/>
          <w:bCs w:val="0"/>
          <w:color w:val="auto"/>
          <w:sz w:val="44"/>
          <w:szCs w:val="44"/>
          <w:highlight w:val="none"/>
          <w:lang w:val="en-US" w:eastAsia="zh-CN" w:bidi="ar-SA"/>
        </w:rPr>
      </w:pPr>
    </w:p>
    <w:p w14:paraId="2ABBF265">
      <w:pPr>
        <w:kinsoku/>
        <w:wordWrap/>
        <w:overflowPunct/>
        <w:topLinePunct w:val="0"/>
        <w:autoSpaceDE/>
        <w:autoSpaceDN/>
        <w:bidi w:val="0"/>
        <w:spacing w:line="360" w:lineRule="auto"/>
        <w:ind w:firstLine="420"/>
        <w:jc w:val="center"/>
        <w:textAlignment w:val="auto"/>
        <w:rPr>
          <w:rFonts w:hint="eastAsia" w:ascii="宋体" w:hAnsi="宋体" w:eastAsia="宋体" w:cs="宋体"/>
          <w:b/>
          <w:bCs w:val="0"/>
          <w:color w:val="auto"/>
          <w:sz w:val="44"/>
          <w:szCs w:val="44"/>
          <w:highlight w:val="none"/>
          <w:lang w:val="en-US" w:eastAsia="zh-CN" w:bidi="ar-SA"/>
        </w:rPr>
      </w:pPr>
    </w:p>
    <w:p w14:paraId="0AAD25E9">
      <w:pPr>
        <w:kinsoku/>
        <w:wordWrap/>
        <w:overflowPunct/>
        <w:topLinePunct w:val="0"/>
        <w:autoSpaceDE/>
        <w:autoSpaceDN/>
        <w:bidi w:val="0"/>
        <w:spacing w:line="360" w:lineRule="auto"/>
        <w:ind w:firstLine="420"/>
        <w:jc w:val="center"/>
        <w:textAlignment w:val="auto"/>
        <w:rPr>
          <w:rFonts w:hint="eastAsia" w:ascii="宋体" w:hAnsi="宋体" w:eastAsia="宋体" w:cs="宋体"/>
          <w:b/>
          <w:bCs w:val="0"/>
          <w:color w:val="auto"/>
          <w:sz w:val="44"/>
          <w:szCs w:val="44"/>
          <w:highlight w:val="none"/>
          <w:lang w:val="en-US" w:eastAsia="zh-CN" w:bidi="ar-SA"/>
        </w:rPr>
      </w:pPr>
    </w:p>
    <w:p w14:paraId="082F239E">
      <w:pPr>
        <w:kinsoku/>
        <w:wordWrap/>
        <w:overflowPunct/>
        <w:topLinePunct w:val="0"/>
        <w:autoSpaceDE/>
        <w:autoSpaceDN/>
        <w:bidi w:val="0"/>
        <w:spacing w:line="360" w:lineRule="auto"/>
        <w:ind w:firstLine="420"/>
        <w:jc w:val="center"/>
        <w:textAlignment w:val="auto"/>
        <w:rPr>
          <w:rFonts w:hint="eastAsia" w:ascii="宋体" w:hAnsi="宋体" w:eastAsia="宋体" w:cs="宋体"/>
          <w:b/>
          <w:bCs w:val="0"/>
          <w:color w:val="auto"/>
          <w:sz w:val="44"/>
          <w:szCs w:val="44"/>
          <w:highlight w:val="none"/>
          <w:lang w:val="en-US" w:eastAsia="zh-CN" w:bidi="ar-SA"/>
        </w:rPr>
      </w:pPr>
    </w:p>
    <w:p w14:paraId="43CDCA0E">
      <w:pPr>
        <w:kinsoku/>
        <w:wordWrap/>
        <w:overflowPunct/>
        <w:topLinePunct w:val="0"/>
        <w:autoSpaceDE/>
        <w:autoSpaceDN/>
        <w:bidi w:val="0"/>
        <w:spacing w:line="360" w:lineRule="auto"/>
        <w:ind w:firstLine="420"/>
        <w:jc w:val="center"/>
        <w:textAlignment w:val="auto"/>
        <w:rPr>
          <w:rFonts w:hint="eastAsia" w:ascii="宋体" w:hAnsi="宋体" w:eastAsia="宋体" w:cs="宋体"/>
          <w:b/>
          <w:bCs w:val="0"/>
          <w:color w:val="auto"/>
          <w:sz w:val="44"/>
          <w:szCs w:val="44"/>
          <w:highlight w:val="none"/>
          <w:lang w:val="en-US" w:eastAsia="zh-CN" w:bidi="ar-SA"/>
        </w:rPr>
      </w:pPr>
    </w:p>
    <w:p w14:paraId="476E032C">
      <w:pPr>
        <w:kinsoku/>
        <w:wordWrap/>
        <w:overflowPunct/>
        <w:topLinePunct w:val="0"/>
        <w:autoSpaceDE/>
        <w:autoSpaceDN/>
        <w:bidi w:val="0"/>
        <w:spacing w:line="360" w:lineRule="auto"/>
        <w:ind w:firstLine="420"/>
        <w:jc w:val="center"/>
        <w:textAlignment w:val="auto"/>
        <w:rPr>
          <w:rFonts w:hint="eastAsia" w:ascii="宋体" w:hAnsi="宋体" w:eastAsia="宋体" w:cs="宋体"/>
          <w:b/>
          <w:bCs w:val="0"/>
          <w:color w:val="auto"/>
          <w:sz w:val="44"/>
          <w:szCs w:val="44"/>
          <w:highlight w:val="none"/>
          <w:lang w:val="en-US" w:eastAsia="zh-CN" w:bidi="ar-SA"/>
        </w:rPr>
      </w:pPr>
    </w:p>
    <w:p w14:paraId="2F466E4A">
      <w:pPr>
        <w:kinsoku/>
        <w:wordWrap/>
        <w:overflowPunct/>
        <w:topLinePunct w:val="0"/>
        <w:autoSpaceDE/>
        <w:autoSpaceDN/>
        <w:bidi w:val="0"/>
        <w:spacing w:line="360" w:lineRule="auto"/>
        <w:ind w:firstLine="420"/>
        <w:jc w:val="center"/>
        <w:textAlignment w:val="auto"/>
        <w:rPr>
          <w:rFonts w:hint="eastAsia" w:ascii="宋体" w:hAnsi="宋体" w:eastAsia="宋体" w:cs="宋体"/>
          <w:b/>
          <w:bCs w:val="0"/>
          <w:color w:val="auto"/>
          <w:sz w:val="44"/>
          <w:szCs w:val="44"/>
          <w:highlight w:val="none"/>
          <w:lang w:val="en-US" w:eastAsia="zh-CN" w:bidi="ar-SA"/>
        </w:rPr>
      </w:pPr>
      <w:r>
        <w:rPr>
          <w:rFonts w:hint="eastAsia" w:ascii="宋体" w:hAnsi="宋体" w:eastAsia="宋体" w:cs="宋体"/>
          <w:b/>
          <w:bCs w:val="0"/>
          <w:color w:val="auto"/>
          <w:sz w:val="44"/>
          <w:szCs w:val="44"/>
          <w:highlight w:val="none"/>
          <w:lang w:val="en-US" w:eastAsia="zh-CN" w:bidi="ar-SA"/>
        </w:rPr>
        <w:t>第四章 谈判采购内容</w:t>
      </w:r>
    </w:p>
    <w:p w14:paraId="4E62CF43">
      <w:pPr>
        <w:kinsoku/>
        <w:wordWrap/>
        <w:overflowPunct/>
        <w:topLinePunct w:val="0"/>
        <w:autoSpaceDE/>
        <w:autoSpaceDN/>
        <w:bidi w:val="0"/>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rPr>
        <w:t>受</w:t>
      </w:r>
      <w:r>
        <w:rPr>
          <w:rFonts w:hint="eastAsia" w:ascii="宋体" w:hAnsi="宋体" w:cs="宋体"/>
          <w:color w:val="auto"/>
          <w:spacing w:val="0"/>
          <w:highlight w:val="none"/>
          <w:lang w:eastAsia="zh-CN"/>
        </w:rPr>
        <w:t>苏州市第九人民医院</w:t>
      </w:r>
      <w:r>
        <w:rPr>
          <w:rFonts w:hint="eastAsia" w:ascii="宋体" w:hAnsi="宋体" w:eastAsia="宋体" w:cs="宋体"/>
          <w:color w:val="auto"/>
          <w:spacing w:val="0"/>
          <w:highlight w:val="none"/>
        </w:rPr>
        <w:t>之委托，苏州市创杰招投标咨询服务有限公司对其需采购的</w:t>
      </w:r>
      <w:r>
        <w:rPr>
          <w:rFonts w:hint="eastAsia" w:ascii="宋体" w:hAnsi="宋体" w:cs="宋体"/>
          <w:color w:val="auto"/>
          <w:spacing w:val="0"/>
          <w:highlight w:val="none"/>
          <w:lang w:eastAsia="zh-CN"/>
        </w:rPr>
        <w:t>前列腺剜除镜</w:t>
      </w:r>
      <w:r>
        <w:rPr>
          <w:rFonts w:hint="eastAsia" w:ascii="宋体" w:hAnsi="宋体" w:eastAsia="宋体" w:cs="宋体"/>
          <w:color w:val="auto"/>
          <w:spacing w:val="0"/>
          <w:highlight w:val="none"/>
        </w:rPr>
        <w:t>在国内组织竞争性</w:t>
      </w:r>
      <w:r>
        <w:rPr>
          <w:rFonts w:hint="eastAsia" w:ascii="宋体" w:hAnsi="宋体" w:cs="宋体"/>
          <w:color w:val="auto"/>
          <w:spacing w:val="0"/>
          <w:highlight w:val="none"/>
          <w:lang w:val="en-US" w:eastAsia="zh-CN"/>
        </w:rPr>
        <w:t>谈判</w:t>
      </w:r>
      <w:r>
        <w:rPr>
          <w:rFonts w:hint="eastAsia" w:ascii="宋体" w:hAnsi="宋体" w:eastAsia="宋体" w:cs="宋体"/>
          <w:color w:val="auto"/>
          <w:spacing w:val="0"/>
          <w:highlight w:val="none"/>
        </w:rPr>
        <w:t>采购。欢迎符合资格条件的供应商前来报名参加</w:t>
      </w:r>
      <w:r>
        <w:rPr>
          <w:rFonts w:hint="eastAsia" w:ascii="宋体" w:hAnsi="宋体" w:eastAsia="宋体" w:cs="宋体"/>
          <w:color w:val="auto"/>
          <w:spacing w:val="0"/>
          <w:highlight w:val="none"/>
          <w:lang w:eastAsia="zh-CN"/>
        </w:rPr>
        <w:t>谈判</w:t>
      </w:r>
      <w:r>
        <w:rPr>
          <w:rFonts w:hint="eastAsia" w:ascii="宋体" w:hAnsi="宋体" w:eastAsia="宋体" w:cs="宋体"/>
          <w:color w:val="auto"/>
          <w:spacing w:val="0"/>
          <w:szCs w:val="21"/>
          <w:highlight w:val="none"/>
        </w:rPr>
        <w:t>。</w:t>
      </w:r>
    </w:p>
    <w:p w14:paraId="0D52D3C6">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lang w:eastAsia="zh-CN"/>
        </w:rPr>
      </w:pPr>
      <w:r>
        <w:rPr>
          <w:rFonts w:hint="eastAsia" w:ascii="宋体" w:hAnsi="宋体" w:eastAsia="宋体" w:cs="宋体"/>
          <w:b/>
          <w:color w:val="auto"/>
          <w:spacing w:val="0"/>
          <w:szCs w:val="21"/>
          <w:highlight w:val="none"/>
        </w:rPr>
        <w:t>一、采购编号：</w:t>
      </w:r>
      <w:r>
        <w:rPr>
          <w:rFonts w:hint="eastAsia" w:ascii="宋体" w:hAnsi="宋体" w:cs="宋体"/>
          <w:bCs/>
          <w:color w:val="auto"/>
          <w:spacing w:val="0"/>
          <w:szCs w:val="21"/>
          <w:highlight w:val="none"/>
          <w:lang w:eastAsia="zh-CN"/>
        </w:rPr>
        <w:t>JSZC-320509-CJZB-T2025-0085</w:t>
      </w:r>
    </w:p>
    <w:p w14:paraId="4ACE034F">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lang w:eastAsia="zh-CN"/>
        </w:rPr>
      </w:pPr>
      <w:r>
        <w:rPr>
          <w:rFonts w:hint="eastAsia" w:ascii="宋体" w:hAnsi="宋体" w:eastAsia="宋体" w:cs="宋体"/>
          <w:b/>
          <w:color w:val="auto"/>
          <w:spacing w:val="0"/>
          <w:szCs w:val="21"/>
          <w:highlight w:val="none"/>
        </w:rPr>
        <w:t>二、项目名称：</w:t>
      </w:r>
      <w:r>
        <w:rPr>
          <w:rFonts w:hint="eastAsia" w:ascii="宋体" w:hAnsi="宋体" w:cs="宋体"/>
          <w:bCs/>
          <w:color w:val="auto"/>
          <w:spacing w:val="0"/>
          <w:szCs w:val="21"/>
          <w:highlight w:val="none"/>
          <w:lang w:eastAsia="zh-CN"/>
        </w:rPr>
        <w:t>前列腺剜除镜</w:t>
      </w:r>
    </w:p>
    <w:p w14:paraId="0F1BD35A">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pacing w:val="0"/>
          <w:szCs w:val="21"/>
          <w:highlight w:val="none"/>
        </w:rPr>
      </w:pPr>
      <w:r>
        <w:rPr>
          <w:rFonts w:hint="eastAsia" w:ascii="宋体" w:hAnsi="宋体" w:eastAsia="宋体" w:cs="宋体"/>
          <w:b/>
          <w:color w:val="auto"/>
          <w:spacing w:val="0"/>
          <w:szCs w:val="21"/>
          <w:highlight w:val="none"/>
        </w:rPr>
        <w:t>★</w:t>
      </w:r>
      <w:r>
        <w:rPr>
          <w:rFonts w:hint="eastAsia" w:ascii="宋体" w:hAnsi="宋体" w:eastAsia="宋体" w:cs="宋体"/>
          <w:b/>
          <w:bCs/>
          <w:color w:val="auto"/>
          <w:spacing w:val="0"/>
          <w:szCs w:val="21"/>
          <w:highlight w:val="none"/>
          <w:lang w:val="en-US" w:eastAsia="zh-CN"/>
        </w:rPr>
        <w:t>三、</w:t>
      </w:r>
      <w:r>
        <w:rPr>
          <w:rFonts w:hint="eastAsia" w:ascii="宋体" w:hAnsi="宋体" w:cs="宋体"/>
          <w:b/>
          <w:bCs/>
          <w:color w:val="auto"/>
          <w:spacing w:val="0"/>
          <w:szCs w:val="21"/>
          <w:highlight w:val="none"/>
          <w:lang w:val="en-US" w:eastAsia="zh-CN"/>
        </w:rPr>
        <w:t>采购清单及</w:t>
      </w:r>
      <w:r>
        <w:rPr>
          <w:rFonts w:hint="eastAsia" w:ascii="宋体" w:hAnsi="宋体" w:eastAsia="宋体" w:cs="宋体"/>
          <w:b/>
          <w:bCs/>
          <w:color w:val="auto"/>
          <w:spacing w:val="0"/>
          <w:szCs w:val="21"/>
          <w:highlight w:val="none"/>
        </w:rPr>
        <w:t>预算金额</w:t>
      </w:r>
      <w:r>
        <w:rPr>
          <w:rFonts w:hint="eastAsia" w:ascii="宋体" w:hAnsi="宋体" w:cs="宋体"/>
          <w:b/>
          <w:bCs/>
          <w:color w:val="auto"/>
          <w:spacing w:val="0"/>
          <w:szCs w:val="21"/>
          <w:highlight w:val="none"/>
          <w:lang w:eastAsia="zh-CN"/>
        </w:rPr>
        <w:t>（</w:t>
      </w:r>
      <w:r>
        <w:rPr>
          <w:rFonts w:hint="eastAsia" w:ascii="宋体" w:hAnsi="宋体" w:cs="宋体"/>
          <w:b/>
          <w:bCs/>
          <w:color w:val="auto"/>
          <w:spacing w:val="0"/>
          <w:szCs w:val="21"/>
          <w:highlight w:val="none"/>
          <w:lang w:val="en-US" w:eastAsia="zh-CN"/>
        </w:rPr>
        <w:t>最高限价）</w:t>
      </w:r>
      <w:r>
        <w:rPr>
          <w:rFonts w:hint="eastAsia" w:ascii="宋体" w:hAnsi="宋体" w:eastAsia="宋体" w:cs="宋体"/>
          <w:color w:val="auto"/>
          <w:spacing w:val="0"/>
          <w:szCs w:val="21"/>
          <w:highlight w:val="none"/>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611"/>
        <w:gridCol w:w="1247"/>
        <w:gridCol w:w="1500"/>
        <w:gridCol w:w="1705"/>
        <w:gridCol w:w="1969"/>
      </w:tblGrid>
      <w:tr w14:paraId="17B0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9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BE8EF1">
            <w:pPr>
              <w:overflowPunct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序号</w:t>
            </w:r>
          </w:p>
        </w:tc>
        <w:tc>
          <w:tcPr>
            <w:tcW w:w="1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64B34E">
            <w:pPr>
              <w:overflowPunct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项目名称</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31DF04">
            <w:pPr>
              <w:overflowPunct w:val="0"/>
              <w:adjustRightInd w:val="0"/>
              <w:snapToGrid w:val="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数量</w:t>
            </w:r>
            <w:r>
              <w:rPr>
                <w:rFonts w:hint="eastAsia" w:ascii="宋体" w:hAnsi="宋体" w:cs="宋体"/>
                <w:color w:val="auto"/>
                <w:szCs w:val="21"/>
                <w:highlight w:val="none"/>
                <w:lang w:val="en-US" w:eastAsia="zh-CN"/>
              </w:rPr>
              <w:t>(台）</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ED59839">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cs="宋体"/>
                <w:color w:val="auto"/>
                <w:spacing w:val="0"/>
                <w:szCs w:val="21"/>
                <w:highlight w:val="none"/>
                <w:lang w:val="en-US" w:eastAsia="zh-CN"/>
              </w:rPr>
            </w:pPr>
            <w:r>
              <w:rPr>
                <w:rFonts w:hint="eastAsia" w:ascii="宋体" w:hAnsi="宋体" w:cs="宋体"/>
                <w:color w:val="auto"/>
                <w:spacing w:val="0"/>
                <w:szCs w:val="21"/>
                <w:highlight w:val="none"/>
                <w:lang w:val="en-US" w:eastAsia="zh-CN"/>
              </w:rPr>
              <w:t>预算总金额</w:t>
            </w:r>
          </w:p>
          <w:p w14:paraId="5098AD5B">
            <w:pPr>
              <w:keepNext w:val="0"/>
              <w:keepLines w:val="0"/>
              <w:pageBreakBefore w:val="0"/>
              <w:kinsoku/>
              <w:wordWrap/>
              <w:overflowPunct/>
              <w:topLinePunct w:val="0"/>
              <w:autoSpaceDE/>
              <w:autoSpaceDN/>
              <w:bidi w:val="0"/>
              <w:adjustRightInd/>
              <w:snapToGrid/>
              <w:spacing w:line="360" w:lineRule="auto"/>
              <w:ind w:right="0"/>
              <w:textAlignment w:val="auto"/>
              <w:rPr>
                <w:rFonts w:hint="default" w:ascii="宋体" w:hAnsi="宋体" w:eastAsia="宋体" w:cs="宋体"/>
                <w:color w:val="auto"/>
                <w:spacing w:val="0"/>
                <w:sz w:val="21"/>
                <w:szCs w:val="21"/>
                <w:highlight w:val="none"/>
                <w:lang w:val="en-US" w:eastAsia="zh-CN"/>
              </w:rPr>
            </w:pPr>
            <w:r>
              <w:rPr>
                <w:rFonts w:hint="eastAsia" w:ascii="宋体" w:hAnsi="宋体" w:cs="宋体"/>
                <w:color w:val="auto"/>
                <w:spacing w:val="0"/>
                <w:szCs w:val="21"/>
                <w:highlight w:val="none"/>
                <w:lang w:val="en-US" w:eastAsia="zh-CN"/>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3EDA6A2">
            <w:pPr>
              <w:overflowPunct w:val="0"/>
              <w:adjustRightInd w:val="0"/>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最高限价金额</w:t>
            </w:r>
          </w:p>
          <w:p w14:paraId="5C9DD46E">
            <w:pPr>
              <w:overflowPunct w:val="0"/>
              <w:adjustRightInd w:val="0"/>
              <w:snapToGrid w:val="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（万元）</w:t>
            </w:r>
          </w:p>
        </w:tc>
        <w:tc>
          <w:tcPr>
            <w:tcW w:w="196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202C711">
            <w:pPr>
              <w:overflowPunct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Cs w:val="21"/>
                <w:highlight w:val="none"/>
              </w:rPr>
              <w:t>备注</w:t>
            </w:r>
          </w:p>
        </w:tc>
      </w:tr>
      <w:tr w14:paraId="7718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9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A8FE19">
            <w:pPr>
              <w:overflowPunct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1</w:t>
            </w:r>
          </w:p>
        </w:tc>
        <w:tc>
          <w:tcPr>
            <w:tcW w:w="1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C0380F">
            <w:pPr>
              <w:overflowPunct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前列腺剜除镜</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963117">
            <w:pPr>
              <w:overflowPunct w:val="0"/>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2</w:t>
            </w:r>
          </w:p>
        </w:tc>
        <w:tc>
          <w:tcPr>
            <w:tcW w:w="1500" w:type="dxa"/>
            <w:tcBorders>
              <w:top w:val="single" w:color="auto" w:sz="4" w:space="0"/>
              <w:left w:val="single" w:color="auto" w:sz="4" w:space="0"/>
              <w:right w:val="single" w:color="auto" w:sz="4" w:space="0"/>
            </w:tcBorders>
            <w:shd w:val="clear" w:color="auto" w:fill="auto"/>
            <w:noWrap w:val="0"/>
            <w:vAlign w:val="center"/>
          </w:tcPr>
          <w:p w14:paraId="15088A8C">
            <w:pPr>
              <w:overflowPunct w:val="0"/>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60</w:t>
            </w:r>
          </w:p>
        </w:tc>
        <w:tc>
          <w:tcPr>
            <w:tcW w:w="1705" w:type="dxa"/>
            <w:tcBorders>
              <w:top w:val="single" w:color="auto" w:sz="4" w:space="0"/>
              <w:left w:val="single" w:color="auto" w:sz="4" w:space="0"/>
              <w:right w:val="single" w:color="auto" w:sz="4" w:space="0"/>
            </w:tcBorders>
            <w:shd w:val="clear" w:color="auto" w:fill="auto"/>
            <w:noWrap w:val="0"/>
            <w:vAlign w:val="center"/>
          </w:tcPr>
          <w:p w14:paraId="6F006C97">
            <w:pPr>
              <w:overflowPunct w:val="0"/>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60</w:t>
            </w:r>
          </w:p>
        </w:tc>
        <w:tc>
          <w:tcPr>
            <w:tcW w:w="1969" w:type="dxa"/>
            <w:tcBorders>
              <w:top w:val="single" w:color="auto" w:sz="4" w:space="0"/>
              <w:left w:val="single" w:color="auto" w:sz="4" w:space="0"/>
              <w:right w:val="single" w:color="auto" w:sz="4" w:space="0"/>
            </w:tcBorders>
            <w:shd w:val="clear" w:color="auto" w:fill="auto"/>
            <w:noWrap w:val="0"/>
            <w:vAlign w:val="center"/>
          </w:tcPr>
          <w:p w14:paraId="0A4463BB">
            <w:pPr>
              <w:overflowPunct w:val="0"/>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w:t>
            </w:r>
            <w:r>
              <w:rPr>
                <w:rFonts w:hint="eastAsia" w:ascii="宋体" w:hAnsi="宋体" w:cs="宋体"/>
                <w:color w:val="auto"/>
                <w:szCs w:val="21"/>
                <w:highlight w:val="none"/>
                <w:lang w:val="en-US" w:eastAsia="zh-CN"/>
              </w:rPr>
              <w:t>受</w:t>
            </w:r>
            <w:r>
              <w:rPr>
                <w:rFonts w:hint="eastAsia" w:ascii="宋体" w:hAnsi="宋体" w:cs="宋体"/>
                <w:color w:val="auto"/>
                <w:szCs w:val="21"/>
                <w:highlight w:val="none"/>
              </w:rPr>
              <w:t>进口产品投标</w:t>
            </w:r>
          </w:p>
        </w:tc>
      </w:tr>
    </w:tbl>
    <w:p w14:paraId="08503C42">
      <w:pPr>
        <w:keepNext w:val="0"/>
        <w:keepLines w:val="0"/>
        <w:pageBreakBefore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color w:val="auto"/>
          <w:spacing w:val="0"/>
          <w:szCs w:val="21"/>
          <w:highlight w:val="none"/>
        </w:rPr>
      </w:pPr>
    </w:p>
    <w:p w14:paraId="21655B5A">
      <w:pPr>
        <w:kinsoku/>
        <w:wordWrap/>
        <w:overflowPunct/>
        <w:topLinePunct w:val="0"/>
        <w:autoSpaceDE/>
        <w:autoSpaceDN/>
        <w:bidi w:val="0"/>
        <w:spacing w:line="360" w:lineRule="auto"/>
        <w:textAlignment w:val="auto"/>
        <w:outlineLvl w:val="1"/>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★四、采购需求：（本文件中★标示内容为实质性要求）</w:t>
      </w:r>
    </w:p>
    <w:p w14:paraId="51B8926C">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1、内窥镜手术刨削器</w:t>
      </w:r>
    </w:p>
    <w:p w14:paraId="39A83A34">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1.1用途：适用于泌尿外科内窥镜手术下，对软组织进行绞碎或切除操作；</w:t>
      </w:r>
    </w:p>
    <w:p w14:paraId="455330D9">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 xml:space="preserve">1.2最大输出转矩：≥80 mN·m； </w:t>
      </w:r>
    </w:p>
    <w:p w14:paraId="482E710C">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 xml:space="preserve">1.3最高输出转速：≥1200 r / min； </w:t>
      </w:r>
    </w:p>
    <w:p w14:paraId="7BD2A128">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1.4调速范围：≧3档可调；</w:t>
      </w:r>
    </w:p>
    <w:p w14:paraId="7F1D1ADF">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1.5极限负压：≥80kPa；</w:t>
      </w:r>
    </w:p>
    <w:p w14:paraId="052D0ACF">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 xml:space="preserve">1.6吸引通道液体流量：≥400 mL / min； </w:t>
      </w:r>
    </w:p>
    <w:p w14:paraId="2B2750F6">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1.7刀具外径≥φ 4.5 mm、φ 4.2 mm 、φ 4.0 mm；</w:t>
      </w:r>
    </w:p>
    <w:p w14:paraId="16D317BD">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 xml:space="preserve">1.8刀具工作长度≤400 mm； </w:t>
      </w:r>
    </w:p>
    <w:p w14:paraId="736ED73E">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 xml:space="preserve">1.9噪声：≤65 db； </w:t>
      </w:r>
    </w:p>
    <w:p w14:paraId="11A227AB">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1.10手柄可高温高压消毒，手柄可消毒次数：≥200次；</w:t>
      </w:r>
    </w:p>
    <w:p w14:paraId="23B30719">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2、手术内窥镜</w:t>
      </w:r>
    </w:p>
    <w:p w14:paraId="389DD604">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2.1适用范围：适用范围：与激光手术设备配套使用， 用于良性前列腺增生症的激光汽化手术治疗；</w:t>
      </w:r>
    </w:p>
    <w:p w14:paraId="708865EC">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2.2直径：Φ4.0mm；</w:t>
      </w:r>
    </w:p>
    <w:p w14:paraId="2A83C274">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2.3工作长度：≥300mm；</w:t>
      </w:r>
    </w:p>
    <w:p w14:paraId="056C8F6D">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2.4视角：30°；</w:t>
      </w:r>
    </w:p>
    <w:p w14:paraId="01556E79">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2.5光学镜的有效景深范围：3 mm～50 mm ；</w:t>
      </w:r>
    </w:p>
    <w:p w14:paraId="52C717A8">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2.6外鞘：26 Fr；</w:t>
      </w:r>
    </w:p>
    <w:p w14:paraId="30B5BC93">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2.7连续冲洗工作长度≥190m；</w:t>
      </w:r>
    </w:p>
    <w:p w14:paraId="7EF71569">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2.8内鞘：金属头，24Fr，可360°旋转；</w:t>
      </w:r>
    </w:p>
    <w:p w14:paraId="54743ADC">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3、膀胱镜</w:t>
      </w:r>
    </w:p>
    <w:p w14:paraId="76FCB66E">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3.1适用范围：供检查尿道或膀胱内疾病和手术时观察用；</w:t>
      </w:r>
    </w:p>
    <w:p w14:paraId="345FA660">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3.2插入部最大外径（内窥镜）：外鞘≤ 26Fr，带进出水通道及控制开关；</w:t>
      </w:r>
    </w:p>
    <w:p w14:paraId="1DCAA33D">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3.3内窥镜工作长度≤280mm；</w:t>
      </w:r>
    </w:p>
    <w:p w14:paraId="27E6C6B0">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视场角：65°</w:t>
      </w:r>
    </w:p>
    <w:p w14:paraId="12B97D89">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视向角：0°</w:t>
      </w:r>
    </w:p>
    <w:p w14:paraId="3299A4FF">
      <w:pPr>
        <w:pStyle w:val="54"/>
        <w:keepNext w:val="0"/>
        <w:keepLines w:val="0"/>
        <w:pageBreakBefore w:val="0"/>
        <w:widowControl w:val="0"/>
        <w:kinsoku w:val="0"/>
        <w:wordWrap/>
        <w:overflowPunct w:val="0"/>
        <w:topLinePunct w:val="0"/>
        <w:autoSpaceDE/>
        <w:autoSpaceDN/>
        <w:bidi w:val="0"/>
        <w:adjustRightInd/>
        <w:snapToGrid/>
        <w:spacing w:line="360" w:lineRule="auto"/>
        <w:ind w:firstLine="198"/>
        <w:textAlignment w:val="auto"/>
        <w:rPr>
          <w:rFonts w:hint="eastAsia"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中心角分辨力：ra(d)≥3.267 C/°</w:t>
      </w:r>
    </w:p>
    <w:p w14:paraId="759641AD">
      <w:pPr>
        <w:pStyle w:val="54"/>
        <w:keepNext w:val="0"/>
        <w:keepLines w:val="0"/>
        <w:pageBreakBefore w:val="0"/>
        <w:widowControl w:val="0"/>
        <w:kinsoku w:val="0"/>
        <w:wordWrap/>
        <w:overflowPunct w:val="0"/>
        <w:topLinePunct w:val="0"/>
        <w:bidi w:val="0"/>
        <w:spacing w:line="360" w:lineRule="auto"/>
        <w:textAlignment w:val="auto"/>
        <w:rPr>
          <w:rFonts w:hint="eastAsia" w:ascii="宋体" w:hAnsi="宋体" w:cs="宋体"/>
          <w:b/>
          <w:bCs/>
          <w:color w:val="auto"/>
          <w:kern w:val="0"/>
          <w:szCs w:val="21"/>
          <w:highlight w:val="none"/>
          <w:lang w:val="en-US" w:eastAsia="zh-CN"/>
        </w:rPr>
      </w:pPr>
      <w:r>
        <w:rPr>
          <w:rFonts w:hint="eastAsia" w:hAnsi="宋体" w:cs="宋体"/>
          <w:b/>
          <w:bCs/>
          <w:color w:val="auto"/>
          <w:kern w:val="0"/>
          <w:szCs w:val="21"/>
          <w:highlight w:val="none"/>
          <w:lang w:val="en-US" w:eastAsia="zh-CN"/>
        </w:rPr>
        <w:t>五、</w:t>
      </w:r>
      <w:r>
        <w:rPr>
          <w:rFonts w:hint="eastAsia" w:ascii="宋体" w:hAnsi="宋体" w:cs="宋体"/>
          <w:b/>
          <w:bCs/>
          <w:color w:val="auto"/>
          <w:kern w:val="0"/>
          <w:szCs w:val="21"/>
          <w:highlight w:val="none"/>
          <w:lang w:val="en-US" w:eastAsia="zh-CN"/>
        </w:rPr>
        <w:t>设备质量要求：</w:t>
      </w:r>
    </w:p>
    <w:p w14:paraId="726CD728">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w:t>
      </w:r>
      <w:r>
        <w:rPr>
          <w:rFonts w:hint="eastAsia" w:hAnsi="宋体" w:cs="宋体"/>
          <w:b w:val="0"/>
          <w:bCs w:val="0"/>
          <w:color w:val="auto"/>
          <w:kern w:val="0"/>
          <w:szCs w:val="21"/>
          <w:highlight w:val="none"/>
          <w:lang w:val="en-US" w:eastAsia="zh-CN"/>
        </w:rPr>
        <w:t>设备</w:t>
      </w:r>
      <w:r>
        <w:rPr>
          <w:rFonts w:hint="eastAsia" w:ascii="宋体" w:hAnsi="宋体" w:cs="宋体"/>
          <w:b w:val="0"/>
          <w:bCs w:val="0"/>
          <w:color w:val="auto"/>
          <w:kern w:val="0"/>
          <w:szCs w:val="21"/>
          <w:highlight w:val="none"/>
          <w:lang w:val="en-US" w:eastAsia="zh-CN"/>
        </w:rPr>
        <w:t>质量及安装符合国家质量标准和验收规范，供应商应保证所供标的物是全新的，未使用过的，并且是非长期积压的库存商品（距离生产日期在1年内）。</w:t>
      </w:r>
    </w:p>
    <w:p w14:paraId="336026F8">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2.</w:t>
      </w:r>
      <w:r>
        <w:rPr>
          <w:rFonts w:hint="eastAsia" w:ascii="宋体" w:hAnsi="宋体"/>
          <w:color w:val="auto"/>
          <w:szCs w:val="21"/>
          <w:highlight w:val="none"/>
          <w:lang w:val="en-US" w:eastAsia="zh-CN"/>
        </w:rPr>
        <w:t>所有</w:t>
      </w:r>
      <w:r>
        <w:rPr>
          <w:rFonts w:hint="eastAsia" w:hAnsi="宋体"/>
          <w:color w:val="auto"/>
          <w:szCs w:val="21"/>
          <w:highlight w:val="none"/>
          <w:lang w:val="en-US" w:eastAsia="zh-CN"/>
        </w:rPr>
        <w:t>设备</w:t>
      </w:r>
      <w:r>
        <w:rPr>
          <w:rFonts w:hint="eastAsia" w:ascii="宋体" w:hAnsi="宋体"/>
          <w:color w:val="auto"/>
          <w:szCs w:val="21"/>
          <w:highlight w:val="none"/>
          <w:lang w:val="en-US" w:eastAsia="zh-CN"/>
        </w:rPr>
        <w:t>各项技术应当符合国家（强制性）标准及各项规范要求；国家没有相应标准、规范的，可使用行业标准、规定；非标准设备按招标约定的技术要求和规范</w:t>
      </w:r>
      <w:r>
        <w:rPr>
          <w:rFonts w:hint="eastAsia" w:ascii="宋体" w:hAnsi="宋体" w:cs="宋体"/>
          <w:b w:val="0"/>
          <w:bCs w:val="0"/>
          <w:color w:val="auto"/>
          <w:kern w:val="0"/>
          <w:szCs w:val="21"/>
          <w:highlight w:val="none"/>
          <w:lang w:val="en-US" w:eastAsia="zh-CN"/>
        </w:rPr>
        <w:t xml:space="preserve">。 </w:t>
      </w:r>
    </w:p>
    <w:p w14:paraId="78D7A2DB">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3.所有设备在到达安装现场时须经采购单位技术人员记录验收后才可进行设备安装，验货时须提交该产品的原厂质量合格证明及服务质保证明文件。</w:t>
      </w:r>
    </w:p>
    <w:p w14:paraId="34E0B6F2">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 xml:space="preserve">4.所有设备、附（配）件应具备该类产品的功能要求，无瑕疵和缺陷，质量为合格产品，同时有明确的生产厂商或制造厂商。 </w:t>
      </w:r>
    </w:p>
    <w:p w14:paraId="06B0CF01">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5.缺陷保修：如果设备交付使用后，缺陷多次反复出现，</w:t>
      </w:r>
      <w:r>
        <w:rPr>
          <w:rFonts w:hint="eastAsia" w:hAnsi="宋体" w:cs="宋体"/>
          <w:b w:val="0"/>
          <w:bCs w:val="0"/>
          <w:color w:val="auto"/>
          <w:kern w:val="0"/>
          <w:szCs w:val="21"/>
          <w:highlight w:val="none"/>
          <w:lang w:val="en-US" w:eastAsia="zh-CN"/>
        </w:rPr>
        <w:t>成交</w:t>
      </w:r>
      <w:r>
        <w:rPr>
          <w:rFonts w:hint="eastAsia" w:ascii="宋体" w:hAnsi="宋体" w:cs="宋体"/>
          <w:b w:val="0"/>
          <w:bCs w:val="0"/>
          <w:color w:val="auto"/>
          <w:kern w:val="0"/>
          <w:szCs w:val="21"/>
          <w:highlight w:val="none"/>
          <w:lang w:val="en-US" w:eastAsia="zh-CN"/>
        </w:rPr>
        <w:t>方必须提出分析报告和解决方案，更换该产品，直到最后纠正缺陷、</w:t>
      </w:r>
      <w:r>
        <w:rPr>
          <w:rFonts w:hint="eastAsia" w:hAnsi="宋体" w:cs="宋体"/>
          <w:b w:val="0"/>
          <w:bCs w:val="0"/>
          <w:color w:val="auto"/>
          <w:kern w:val="0"/>
          <w:szCs w:val="21"/>
          <w:highlight w:val="none"/>
          <w:lang w:val="en-US" w:eastAsia="zh-CN"/>
        </w:rPr>
        <w:t>成交</w:t>
      </w:r>
      <w:r>
        <w:rPr>
          <w:rFonts w:hint="eastAsia" w:ascii="宋体" w:hAnsi="宋体" w:cs="宋体"/>
          <w:b w:val="0"/>
          <w:bCs w:val="0"/>
          <w:color w:val="auto"/>
          <w:kern w:val="0"/>
          <w:szCs w:val="21"/>
          <w:highlight w:val="none"/>
          <w:lang w:val="en-US" w:eastAsia="zh-CN"/>
        </w:rPr>
        <w:t>方提供质保从纠正之日起重新计算质保期。</w:t>
      </w:r>
    </w:p>
    <w:p w14:paraId="3D0162F2">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6.如果是超出</w:t>
      </w:r>
      <w:r>
        <w:rPr>
          <w:rFonts w:hint="eastAsia" w:hAnsi="宋体" w:cs="宋体"/>
          <w:b w:val="0"/>
          <w:bCs w:val="0"/>
          <w:color w:val="auto"/>
          <w:kern w:val="0"/>
          <w:szCs w:val="21"/>
          <w:highlight w:val="none"/>
          <w:lang w:val="en-US" w:eastAsia="zh-CN"/>
        </w:rPr>
        <w:t>成交</w:t>
      </w:r>
      <w:r>
        <w:rPr>
          <w:rFonts w:hint="eastAsia" w:ascii="宋体" w:hAnsi="宋体" w:cs="宋体"/>
          <w:b w:val="0"/>
          <w:bCs w:val="0"/>
          <w:color w:val="auto"/>
          <w:kern w:val="0"/>
          <w:szCs w:val="21"/>
          <w:highlight w:val="none"/>
          <w:lang w:val="en-US" w:eastAsia="zh-CN"/>
        </w:rPr>
        <w:t>方的责任范围的疏忽、误操作等情况而导致的更换修正，应由</w:t>
      </w:r>
      <w:r>
        <w:rPr>
          <w:rFonts w:hint="eastAsia" w:hAnsi="宋体" w:cs="宋体"/>
          <w:b w:val="0"/>
          <w:bCs w:val="0"/>
          <w:color w:val="auto"/>
          <w:kern w:val="0"/>
          <w:szCs w:val="21"/>
          <w:highlight w:val="none"/>
          <w:lang w:val="en-US" w:eastAsia="zh-CN"/>
        </w:rPr>
        <w:t>成交</w:t>
      </w:r>
      <w:r>
        <w:rPr>
          <w:rFonts w:hint="eastAsia" w:ascii="宋体" w:hAnsi="宋体" w:cs="宋体"/>
          <w:b w:val="0"/>
          <w:bCs w:val="0"/>
          <w:color w:val="auto"/>
          <w:kern w:val="0"/>
          <w:szCs w:val="21"/>
          <w:highlight w:val="none"/>
          <w:lang w:val="en-US" w:eastAsia="zh-CN"/>
        </w:rPr>
        <w:t>方进行修理，其额外费用由双方协商承担。</w:t>
      </w:r>
    </w:p>
    <w:p w14:paraId="1BCB3BD2">
      <w:pPr>
        <w:pStyle w:val="54"/>
        <w:keepNext w:val="0"/>
        <w:keepLines w:val="0"/>
        <w:pageBreakBefore w:val="0"/>
        <w:widowControl w:val="0"/>
        <w:kinsoku w:val="0"/>
        <w:wordWrap/>
        <w:overflowPunct w:val="0"/>
        <w:topLinePunct w:val="0"/>
        <w:bidi w:val="0"/>
        <w:spacing w:line="360" w:lineRule="auto"/>
        <w:ind w:firstLine="422" w:firstLineChars="200"/>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六、</w:t>
      </w:r>
      <w:r>
        <w:rPr>
          <w:rFonts w:hint="eastAsia" w:ascii="宋体" w:hAnsi="宋体" w:cs="宋体"/>
          <w:b/>
          <w:bCs/>
          <w:color w:val="auto"/>
          <w:kern w:val="0"/>
          <w:szCs w:val="21"/>
          <w:highlight w:val="none"/>
          <w:lang w:val="en-US" w:eastAsia="zh-CN"/>
        </w:rPr>
        <w:t>售后服务要求：</w:t>
      </w:r>
    </w:p>
    <w:p w14:paraId="1007FBD6">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w:t>
      </w:r>
      <w:r>
        <w:rPr>
          <w:rFonts w:hint="eastAsia" w:hAnsi="宋体" w:cs="宋体"/>
          <w:b w:val="0"/>
          <w:bCs w:val="0"/>
          <w:color w:val="auto"/>
          <w:kern w:val="0"/>
          <w:szCs w:val="21"/>
          <w:highlight w:val="none"/>
          <w:lang w:val="en-US" w:eastAsia="zh-CN"/>
        </w:rPr>
        <w:t>成交</w:t>
      </w:r>
      <w:r>
        <w:rPr>
          <w:rFonts w:hint="eastAsia" w:ascii="宋体" w:hAnsi="宋体" w:cs="宋体"/>
          <w:b w:val="0"/>
          <w:bCs w:val="0"/>
          <w:color w:val="auto"/>
          <w:kern w:val="0"/>
          <w:szCs w:val="21"/>
          <w:highlight w:val="none"/>
          <w:lang w:val="en-US" w:eastAsia="zh-CN"/>
        </w:rPr>
        <w:t>方应配备专门的项目团队人员，保证货物的运输、交付、安装、调试等定时定期进行。</w:t>
      </w:r>
    </w:p>
    <w:p w14:paraId="117E9837">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2.</w:t>
      </w:r>
      <w:r>
        <w:rPr>
          <w:rFonts w:hint="eastAsia" w:hAnsi="宋体" w:cs="宋体"/>
          <w:b w:val="0"/>
          <w:bCs w:val="0"/>
          <w:color w:val="auto"/>
          <w:kern w:val="0"/>
          <w:szCs w:val="21"/>
          <w:highlight w:val="none"/>
          <w:lang w:val="en-US" w:eastAsia="zh-CN"/>
        </w:rPr>
        <w:t>所有设备</w:t>
      </w:r>
      <w:r>
        <w:rPr>
          <w:rFonts w:hint="eastAsia" w:ascii="宋体" w:hAnsi="宋体" w:cs="宋体"/>
          <w:b w:val="0"/>
          <w:bCs w:val="0"/>
          <w:color w:val="auto"/>
          <w:kern w:val="0"/>
          <w:szCs w:val="21"/>
          <w:highlight w:val="none"/>
          <w:lang w:val="en-US" w:eastAsia="zh-CN"/>
        </w:rPr>
        <w:t xml:space="preserve">免费质保≥3年，质保期自甲方验收合格日起计算；合同期间如发生退回、维修或设备替换等情形，质保期予以相应延长。   </w:t>
      </w:r>
    </w:p>
    <w:p w14:paraId="49107EF5">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3.在免费维护期内，供应商应成立专门的技术支持和售后服务小组，提供完善周到的本地化服务，具有7*24小时的维护支持能力以及优先服务级别。在采购单位提出服务要求后，供应商需在2小时内响应并提出解决方案，6小时内到达现场，24小时内排除故障。48小时未能修复、产品不能正常使用，须允诺做不到的赔偿条件或提供备用产品。</w:t>
      </w:r>
    </w:p>
    <w:p w14:paraId="37A2D1AD">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4.在质保期内，供应商承诺无偿并迅速更换由于元器件缺陷及工艺等问题而发生故障的产品，并对因维修、保养，更换零部件等所发生的一切费用，均由供应商承担。</w:t>
      </w:r>
    </w:p>
    <w:p w14:paraId="60132D58">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5.如有其他项目需供应商配合完成，供应商须无条件派相关工程师现场配合，直至该项目完成，对此采购单位无须承担任何费用。</w:t>
      </w:r>
    </w:p>
    <w:p w14:paraId="18A4BEDA">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6.质保期后维保价格不超过合同金额的6%；免费质保期后，采购单位可以在任意年度或时间段购买、投保，没有连续续签的要求，供应商对此予以认可及接受、并承担设备更新迭代的相关费用。</w:t>
      </w:r>
    </w:p>
    <w:p w14:paraId="7EA09307">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7.</w:t>
      </w:r>
      <w:r>
        <w:rPr>
          <w:rFonts w:hint="eastAsia" w:hAnsi="宋体" w:cs="宋体"/>
          <w:b w:val="0"/>
          <w:bCs w:val="0"/>
          <w:color w:val="auto"/>
          <w:kern w:val="0"/>
          <w:szCs w:val="21"/>
          <w:highlight w:val="none"/>
          <w:lang w:val="en-US" w:eastAsia="zh-CN"/>
        </w:rPr>
        <w:t>响应</w:t>
      </w:r>
      <w:r>
        <w:rPr>
          <w:rFonts w:hint="eastAsia" w:ascii="宋体" w:hAnsi="宋体" w:cs="宋体"/>
          <w:b w:val="0"/>
          <w:bCs w:val="0"/>
          <w:color w:val="auto"/>
          <w:kern w:val="0"/>
          <w:szCs w:val="21"/>
          <w:highlight w:val="none"/>
          <w:lang w:val="en-US" w:eastAsia="zh-CN"/>
        </w:rPr>
        <w:t>单位所投产品产品</w:t>
      </w:r>
      <w:r>
        <w:rPr>
          <w:rFonts w:hint="eastAsia" w:hAnsi="宋体" w:cs="宋体"/>
          <w:b w:val="0"/>
          <w:bCs w:val="0"/>
          <w:color w:val="auto"/>
          <w:kern w:val="0"/>
          <w:szCs w:val="21"/>
          <w:highlight w:val="none"/>
          <w:lang w:val="en-US" w:eastAsia="zh-CN"/>
        </w:rPr>
        <w:t>如</w:t>
      </w:r>
      <w:r>
        <w:rPr>
          <w:rFonts w:hint="eastAsia" w:ascii="宋体" w:hAnsi="宋体" w:cs="宋体"/>
          <w:b w:val="0"/>
          <w:bCs w:val="0"/>
          <w:color w:val="auto"/>
          <w:kern w:val="0"/>
          <w:szCs w:val="21"/>
          <w:highlight w:val="none"/>
          <w:lang w:val="en-US" w:eastAsia="zh-CN"/>
        </w:rPr>
        <w:t>涉及耗材、试剂等必须在江苏省招采平台上挂网中标，且有国家医保耗材代码、国家产品流水号，合同签订前须向甲方提供苏州医保收费目录库收费编码，否则甲方有权拒绝签订合同并由乙方承担因此造成的一切损失。</w:t>
      </w:r>
    </w:p>
    <w:p w14:paraId="06C28DC1">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8.响应产品如涉及配件、易损件等，供应商须在投标时详细提供产品涉及的所有配件、易损件名称、价格。成交后如出现未在列的配件、易损件等，均视为免费使用或更换等，此报价5年内不得提高；配件的供给，供应商承诺给予保障8年以上。</w:t>
      </w:r>
    </w:p>
    <w:p w14:paraId="3A008AB9">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9.供应商应提供软件版本免费升级服务（在不涉及硬件情况下）。</w:t>
      </w:r>
    </w:p>
    <w:p w14:paraId="72F80E20">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供应商不得以“密码”制约用户。如用户工作和维修需要，应无条件免费开放密码。</w:t>
      </w:r>
    </w:p>
    <w:p w14:paraId="485718DC">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供应商产品对甲方以后设备、系统永久无偿开放。</w:t>
      </w:r>
    </w:p>
    <w:p w14:paraId="014443AB">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如发生供应商怠于提供上述义务而导致采购单位损失等,采购单位有权要求供应商予以赔偿。</w:t>
      </w:r>
    </w:p>
    <w:p w14:paraId="32F2350A">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特别约定：鉴于各类技术的快速发展以及采购单位自身各类发展需求，供应商应无条件向采购单位及采购单位合作方开放或提供各类端口或信息采集口，对此供应商予以再次确认且无权收取任何费用</w:t>
      </w:r>
    </w:p>
    <w:p w14:paraId="7E9EB8E3">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10.提供专业的技术培训（操作、维修），保证需方操作人员正常使用产品的各项功能。</w:t>
      </w:r>
    </w:p>
    <w:p w14:paraId="315391C6">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w:t>
      </w:r>
      <w:r>
        <w:rPr>
          <w:rFonts w:hint="eastAsia" w:hAnsi="宋体" w:cs="宋体"/>
          <w:b w:val="0"/>
          <w:bCs w:val="0"/>
          <w:color w:val="auto"/>
          <w:kern w:val="0"/>
          <w:szCs w:val="21"/>
          <w:highlight w:val="none"/>
          <w:lang w:val="en-US" w:eastAsia="zh-CN"/>
        </w:rPr>
        <w:t>1</w:t>
      </w:r>
      <w:r>
        <w:rPr>
          <w:rFonts w:hint="eastAsia" w:ascii="宋体" w:hAnsi="宋体" w:cs="宋体"/>
          <w:b w:val="0"/>
          <w:bCs w:val="0"/>
          <w:color w:val="auto"/>
          <w:kern w:val="0"/>
          <w:szCs w:val="21"/>
          <w:highlight w:val="none"/>
          <w:lang w:val="en-US" w:eastAsia="zh-CN"/>
        </w:rPr>
        <w:t>.</w:t>
      </w:r>
      <w:r>
        <w:rPr>
          <w:rFonts w:hint="eastAsia" w:ascii="宋体" w:hAnsi="宋体" w:cs="宋体"/>
          <w:color w:val="auto"/>
          <w:highlight w:val="none"/>
          <w:lang w:bidi="ar"/>
        </w:rPr>
        <w:t>保修期内乙方提供至少每年2次的上门维护保养服务，并提供维护保养报告</w:t>
      </w:r>
      <w:r>
        <w:rPr>
          <w:rFonts w:hint="eastAsia" w:ascii="宋体" w:hAnsi="宋体" w:cs="宋体"/>
          <w:color w:val="auto"/>
          <w:highlight w:val="none"/>
          <w:lang w:eastAsia="zh-CN" w:bidi="ar"/>
        </w:rPr>
        <w:t>。</w:t>
      </w:r>
    </w:p>
    <w:p w14:paraId="763D28EA">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hAnsi="宋体" w:cs="宋体"/>
          <w:b w:val="0"/>
          <w:bCs w:val="0"/>
          <w:color w:val="auto"/>
          <w:kern w:val="0"/>
          <w:szCs w:val="21"/>
          <w:highlight w:val="none"/>
          <w:lang w:val="en-US" w:eastAsia="zh-CN"/>
        </w:rPr>
        <w:t>12.</w:t>
      </w:r>
      <w:r>
        <w:rPr>
          <w:rFonts w:hint="eastAsia" w:ascii="宋体" w:hAnsi="宋体" w:cs="宋体"/>
          <w:b w:val="0"/>
          <w:bCs w:val="0"/>
          <w:color w:val="auto"/>
          <w:kern w:val="0"/>
          <w:szCs w:val="21"/>
          <w:highlight w:val="none"/>
          <w:lang w:val="en-US" w:eastAsia="zh-CN"/>
        </w:rPr>
        <w:t>若设备需要接入医院信息系统，所需接口费用一律由中标方承担。</w:t>
      </w:r>
    </w:p>
    <w:p w14:paraId="0F227391">
      <w:pPr>
        <w:pStyle w:val="54"/>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w:t>
      </w:r>
      <w:r>
        <w:rPr>
          <w:rFonts w:hint="eastAsia" w:hAnsi="宋体" w:cs="宋体"/>
          <w:b w:val="0"/>
          <w:bCs w:val="0"/>
          <w:color w:val="auto"/>
          <w:kern w:val="0"/>
          <w:szCs w:val="21"/>
          <w:highlight w:val="none"/>
          <w:lang w:val="en-US" w:eastAsia="zh-CN"/>
        </w:rPr>
        <w:t>3</w:t>
      </w:r>
      <w:r>
        <w:rPr>
          <w:rFonts w:hint="eastAsia" w:ascii="宋体" w:hAnsi="宋体" w:cs="宋体"/>
          <w:b w:val="0"/>
          <w:bCs w:val="0"/>
          <w:color w:val="auto"/>
          <w:kern w:val="0"/>
          <w:szCs w:val="21"/>
          <w:highlight w:val="none"/>
          <w:lang w:val="en-US" w:eastAsia="zh-CN"/>
        </w:rPr>
        <w:t>.所投设备如属于法定或强检设备的，中标方需承担首次计量检测费用。</w:t>
      </w:r>
    </w:p>
    <w:p w14:paraId="33E13D47">
      <w:pPr>
        <w:spacing w:line="360" w:lineRule="auto"/>
        <w:outlineLvl w:val="1"/>
        <w:rPr>
          <w:rFonts w:hint="eastAsia" w:ascii="宋体" w:hAnsi="宋体" w:eastAsia="宋体" w:cs="宋体"/>
          <w:b/>
          <w:bCs/>
          <w:color w:val="auto"/>
          <w:sz w:val="24"/>
          <w:szCs w:val="24"/>
          <w:highlight w:val="none"/>
        </w:rPr>
      </w:pPr>
      <w:r>
        <w:rPr>
          <w:rFonts w:hint="eastAsia" w:ascii="宋体" w:hAnsi="宋体"/>
          <w:b/>
          <w:bCs/>
          <w:color w:val="auto"/>
          <w:sz w:val="21"/>
          <w:szCs w:val="21"/>
          <w:highlight w:val="none"/>
          <w:lang w:val="en-US" w:eastAsia="zh-CN"/>
        </w:rPr>
        <w:t>七、</w:t>
      </w:r>
      <w:r>
        <w:rPr>
          <w:rFonts w:hint="eastAsia" w:ascii="宋体" w:hAnsi="宋体" w:eastAsia="宋体" w:cs="宋体"/>
          <w:b/>
          <w:bCs/>
          <w:color w:val="auto"/>
          <w:sz w:val="21"/>
          <w:szCs w:val="21"/>
          <w:highlight w:val="none"/>
        </w:rPr>
        <w:t>综合说明</w:t>
      </w:r>
    </w:p>
    <w:p w14:paraId="224BF8C5">
      <w:pPr>
        <w:spacing w:line="360" w:lineRule="auto"/>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1、所有报价设备的生产、制造、安装等，各项技术参数标准应当符合国家相应标准或相关规范要求；国家没有相应标准、规范的，可使用行业标准、规定；非标设备按谈判文件约定的技术要求和规范。</w:t>
      </w:r>
      <w:r>
        <w:rPr>
          <w:rFonts w:hint="eastAsia" w:ascii="宋体" w:hAnsi="宋体" w:eastAsia="宋体" w:cs="宋体"/>
          <w:b/>
          <w:color w:val="auto"/>
          <w:sz w:val="21"/>
          <w:szCs w:val="21"/>
          <w:highlight w:val="none"/>
        </w:rPr>
        <w:t>供应商响应文件中必须列明响应产品的品牌、型号、相关参数，否则视为无效响应。</w:t>
      </w:r>
    </w:p>
    <w:p w14:paraId="07845178">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2、谈判供应商必须承诺谈判文件中提出的全部技术规格与要求，如果其中某些条款不响应时，应在文件中逐条列出，未列出的视同响应。</w:t>
      </w:r>
    </w:p>
    <w:p w14:paraId="09948CEC">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3、谈判总报价包括但不限于本合同所涉全部</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、辅助材料、安装、调试、培训、验收、人工、机械、运输、仓储、保险、运费、</w:t>
      </w:r>
      <w:r>
        <w:rPr>
          <w:rFonts w:hint="eastAsia" w:ascii="宋体" w:hAnsi="宋体" w:eastAsia="宋体" w:cs="宋体"/>
          <w:color w:val="auto"/>
          <w:sz w:val="21"/>
          <w:szCs w:val="21"/>
          <w:highlight w:val="none"/>
          <w:lang w:val="en-US" w:eastAsia="zh-CN"/>
        </w:rPr>
        <w:t>采购代理服务费、</w:t>
      </w:r>
      <w:r>
        <w:rPr>
          <w:rFonts w:hint="eastAsia" w:ascii="宋体" w:hAnsi="宋体" w:eastAsia="宋体" w:cs="宋体"/>
          <w:color w:val="auto"/>
          <w:sz w:val="21"/>
          <w:szCs w:val="21"/>
          <w:highlight w:val="none"/>
        </w:rPr>
        <w:t>各种税费、劳保、专利技术及质保期间等一切费用；</w:t>
      </w:r>
      <w:r>
        <w:rPr>
          <w:rFonts w:hint="eastAsia"/>
          <w:color w:val="auto"/>
          <w:highlight w:val="none"/>
        </w:rPr>
        <w:t>与医院现有</w:t>
      </w:r>
      <w:r>
        <w:rPr>
          <w:rFonts w:hint="eastAsia" w:ascii="Calibri" w:hAnsi="Calibri"/>
          <w:color w:val="auto"/>
          <w:highlight w:val="none"/>
          <w:lang w:bidi="ar"/>
        </w:rPr>
        <w:t>护理系统对接费；</w:t>
      </w:r>
      <w:r>
        <w:rPr>
          <w:rFonts w:hint="eastAsia" w:ascii="宋体" w:hAnsi="宋体" w:cs="宋体"/>
          <w:color w:val="auto"/>
          <w:kern w:val="0"/>
          <w:szCs w:val="21"/>
          <w:highlight w:val="none"/>
        </w:rPr>
        <w:t>医院平台各系统（如HIS系统、LIS系统、PACS系统等）的接口费用（如有）；与现有/后期设备对接等（如有）；甲方无须支付其他任何费用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同时，除非合同条款中另有规定，否则</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zh-CN"/>
        </w:rPr>
        <w:t>所报价格在合同实施期间不因市场变化因素而变动</w:t>
      </w:r>
      <w:r>
        <w:rPr>
          <w:rFonts w:hint="eastAsia" w:ascii="宋体" w:hAnsi="宋体" w:eastAsia="宋体" w:cs="宋体"/>
          <w:color w:val="auto"/>
          <w:sz w:val="21"/>
          <w:szCs w:val="21"/>
          <w:highlight w:val="none"/>
        </w:rPr>
        <w:t>。</w:t>
      </w:r>
    </w:p>
    <w:p w14:paraId="34405BE9">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olor w:val="auto"/>
          <w:szCs w:val="21"/>
          <w:highlight w:val="none"/>
          <w:lang w:val="en-US" w:eastAsia="zh-CN"/>
        </w:rPr>
        <w:t>交货要求：</w:t>
      </w:r>
    </w:p>
    <w:p w14:paraId="2B87C0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4.1</w:t>
      </w:r>
      <w:r>
        <w:rPr>
          <w:rFonts w:hint="eastAsia" w:ascii="宋体" w:hAnsi="宋体"/>
          <w:color w:val="auto"/>
          <w:szCs w:val="21"/>
          <w:highlight w:val="none"/>
        </w:rPr>
        <w:t>交货期限：合同签订生效之后30天内交货并安装调试结束。</w:t>
      </w:r>
    </w:p>
    <w:p w14:paraId="39D01A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交货地点：</w:t>
      </w:r>
      <w:r>
        <w:rPr>
          <w:rFonts w:hint="eastAsia" w:ascii="宋体" w:hAnsi="宋体"/>
          <w:color w:val="auto"/>
          <w:szCs w:val="21"/>
          <w:highlight w:val="none"/>
          <w:lang w:eastAsia="zh-CN"/>
        </w:rPr>
        <w:t>苏州市第九人民医院</w:t>
      </w:r>
      <w:r>
        <w:rPr>
          <w:rFonts w:hint="eastAsia" w:ascii="宋体" w:hAnsi="宋体"/>
          <w:color w:val="auto"/>
          <w:szCs w:val="21"/>
          <w:highlight w:val="none"/>
        </w:rPr>
        <w:t>（具体按照采购单位要求）。</w:t>
      </w:r>
    </w:p>
    <w:p w14:paraId="15323F01">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4.3货物交货时，包装须完整无破损，乙方还必须提供以下材料：</w:t>
      </w:r>
    </w:p>
    <w:p w14:paraId="351D5054">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A、货物装箱清单 </w:t>
      </w:r>
    </w:p>
    <w:p w14:paraId="50D9ACA8">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B、合格证（国产设备必须提供）    </w:t>
      </w:r>
    </w:p>
    <w:p w14:paraId="0EB78583">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C、报关单&amp;商检单（进口设备）等证明标的物合法、合规来源的证明文件</w:t>
      </w:r>
    </w:p>
    <w:p w14:paraId="15A36AA2">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D、医疗器械注册证</w:t>
      </w:r>
    </w:p>
    <w:p w14:paraId="1179E0DB">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E、培训单          </w:t>
      </w:r>
    </w:p>
    <w:p w14:paraId="55F4BDF0">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F、质量检验合格文件（计量合格证）</w:t>
      </w:r>
    </w:p>
    <w:p w14:paraId="2F900BDD">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G、中英文技术资料                 </w:t>
      </w:r>
    </w:p>
    <w:p w14:paraId="75621A50">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H、使用维修保养中文说明书</w:t>
      </w:r>
    </w:p>
    <w:p w14:paraId="004879B4">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I、其它必备材料和必备工具等       </w:t>
      </w:r>
    </w:p>
    <w:p w14:paraId="6E7CFBE6">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J、保修单等其它必须材料</w:t>
      </w:r>
    </w:p>
    <w:p w14:paraId="2BC4859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、验收</w:t>
      </w:r>
      <w:r>
        <w:rPr>
          <w:rFonts w:hint="eastAsia" w:ascii="宋体" w:hAnsi="宋体"/>
          <w:color w:val="auto"/>
          <w:szCs w:val="21"/>
          <w:highlight w:val="none"/>
          <w:lang w:val="en-US" w:eastAsia="zh-CN"/>
        </w:rPr>
        <w:t>要求</w:t>
      </w:r>
      <w:r>
        <w:rPr>
          <w:rFonts w:hint="eastAsia" w:ascii="宋体" w:hAnsi="宋体"/>
          <w:color w:val="auto"/>
          <w:szCs w:val="21"/>
          <w:highlight w:val="none"/>
        </w:rPr>
        <w:t>：</w:t>
      </w:r>
    </w:p>
    <w:p w14:paraId="766C304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5.1</w:t>
      </w:r>
      <w:r>
        <w:rPr>
          <w:rFonts w:hint="eastAsia" w:ascii="宋体" w:hAnsi="宋体"/>
          <w:color w:val="auto"/>
          <w:szCs w:val="21"/>
          <w:highlight w:val="none"/>
        </w:rPr>
        <w:t>验收标准：根据政府采购合同要求、</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w:t>
      </w:r>
      <w:r>
        <w:rPr>
          <w:rFonts w:hint="eastAsia" w:ascii="宋体" w:hAnsi="宋体"/>
          <w:color w:val="auto"/>
          <w:szCs w:val="21"/>
          <w:highlight w:val="none"/>
          <w:lang w:val="en-US" w:eastAsia="zh-CN"/>
        </w:rPr>
        <w:t>响应</w:t>
      </w:r>
      <w:r>
        <w:rPr>
          <w:rFonts w:hint="eastAsia" w:ascii="宋体" w:hAnsi="宋体"/>
          <w:color w:val="auto"/>
          <w:szCs w:val="21"/>
          <w:highlight w:val="none"/>
        </w:rPr>
        <w:t>文件、承诺及有关</w:t>
      </w:r>
      <w:r>
        <w:rPr>
          <w:rFonts w:hint="eastAsia" w:ascii="宋体" w:hAnsi="宋体"/>
          <w:color w:val="auto"/>
          <w:szCs w:val="21"/>
          <w:highlight w:val="none"/>
          <w:lang w:val="en-US" w:eastAsia="zh-CN"/>
        </w:rPr>
        <w:t>国家或</w:t>
      </w:r>
      <w:r>
        <w:rPr>
          <w:rFonts w:hint="eastAsia" w:ascii="宋体" w:hAnsi="宋体"/>
          <w:color w:val="auto"/>
          <w:szCs w:val="21"/>
          <w:highlight w:val="none"/>
        </w:rPr>
        <w:t>行业规定。</w:t>
      </w:r>
    </w:p>
    <w:p w14:paraId="109AB19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.2项目的验收包括</w:t>
      </w:r>
      <w:r>
        <w:rPr>
          <w:rFonts w:hint="eastAsia" w:ascii="宋体" w:hAnsi="宋体"/>
          <w:color w:val="auto"/>
          <w:szCs w:val="21"/>
          <w:highlight w:val="none"/>
          <w:lang w:eastAsia="zh-CN"/>
        </w:rPr>
        <w:t>：</w:t>
      </w:r>
      <w:r>
        <w:rPr>
          <w:rFonts w:hint="eastAsia" w:ascii="宋体" w:hAnsi="宋体"/>
          <w:color w:val="auto"/>
          <w:szCs w:val="21"/>
          <w:highlight w:val="none"/>
        </w:rPr>
        <w:t>数量、外观、质量、性能；符合规定的性能，无瑕疵和缺陷，质量为合格产品，可以正常使用。</w:t>
      </w:r>
      <w:r>
        <w:rPr>
          <w:rFonts w:hint="eastAsia" w:ascii="宋体" w:hAnsi="宋体"/>
          <w:color w:val="auto"/>
          <w:szCs w:val="21"/>
          <w:highlight w:val="none"/>
          <w:lang w:val="en-US" w:eastAsia="zh-CN"/>
        </w:rPr>
        <w:t>成交</w:t>
      </w:r>
      <w:r>
        <w:rPr>
          <w:rFonts w:hint="eastAsia" w:ascii="宋体" w:hAnsi="宋体"/>
          <w:color w:val="auto"/>
          <w:szCs w:val="21"/>
          <w:highlight w:val="none"/>
        </w:rPr>
        <w:t>供应商对质量问题负责包退、包换和包修，因此发生的费用由</w:t>
      </w:r>
      <w:r>
        <w:rPr>
          <w:rFonts w:hint="eastAsia" w:ascii="宋体" w:hAnsi="宋体"/>
          <w:color w:val="auto"/>
          <w:szCs w:val="21"/>
          <w:highlight w:val="none"/>
          <w:lang w:val="en-US" w:eastAsia="zh-CN"/>
        </w:rPr>
        <w:t>成交</w:t>
      </w:r>
      <w:r>
        <w:rPr>
          <w:rFonts w:hint="eastAsia" w:ascii="宋体" w:hAnsi="宋体"/>
          <w:color w:val="auto"/>
          <w:szCs w:val="21"/>
          <w:highlight w:val="none"/>
        </w:rPr>
        <w:t>供应商自行负责。采购单位将组织专业人员对供方提供的产品进行检验或抽检，对由此造成采购单位的工期耽误等损失，均由供方承担。</w:t>
      </w:r>
    </w:p>
    <w:p w14:paraId="6D2804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3根据甲方按检验标准自己检验的结果或当地计监部门的检验结果，或者在质量保证期内，如果标的物的数量、质量或规格与合同不符或证实标的物是有缺陷的，包括潜在缺陷或使用不符合要求的材料等，甲方应尽快以书面形式通知乙方并提出索赔。</w:t>
      </w:r>
    </w:p>
    <w:p w14:paraId="3CA1E317">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5.4</w:t>
      </w:r>
      <w:r>
        <w:rPr>
          <w:rFonts w:hint="eastAsia" w:ascii="宋体" w:hAnsi="宋体" w:cs="宋体"/>
          <w:color w:val="auto"/>
          <w:szCs w:val="21"/>
          <w:highlight w:val="none"/>
        </w:rPr>
        <w:t>验收期限自标的物安装调试正常使用一个月后，</w:t>
      </w:r>
      <w:r>
        <w:rPr>
          <w:rFonts w:hint="eastAsia" w:ascii="宋体" w:hAnsi="宋体"/>
          <w:color w:val="auto"/>
          <w:szCs w:val="21"/>
          <w:highlight w:val="none"/>
        </w:rPr>
        <w:t>特殊情况需延长的，双方应特别约定</w:t>
      </w:r>
      <w:r>
        <w:rPr>
          <w:rFonts w:hint="eastAsia" w:ascii="宋体" w:hAnsi="宋体"/>
          <w:color w:val="auto"/>
          <w:szCs w:val="21"/>
          <w:highlight w:val="none"/>
          <w:lang w:eastAsia="zh-CN"/>
        </w:rPr>
        <w:t>。</w:t>
      </w:r>
    </w:p>
    <w:p w14:paraId="4C3292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、凡涉及</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文件的补充说明和修改，均以苏州市政府采购网通知为准。</w:t>
      </w:r>
    </w:p>
    <w:p w14:paraId="4132FD0A">
      <w:pPr>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olor w:val="auto"/>
          <w:szCs w:val="21"/>
          <w:highlight w:val="none"/>
          <w:lang w:val="en-US" w:eastAsia="zh-CN"/>
        </w:rPr>
        <w:t>7</w:t>
      </w:r>
      <w:r>
        <w:rPr>
          <w:rFonts w:hint="eastAsia" w:ascii="宋体" w:hAnsi="宋体"/>
          <w:color w:val="auto"/>
          <w:szCs w:val="21"/>
          <w:highlight w:val="none"/>
        </w:rPr>
        <w:t>、知识产权：供方应保证采购人免除且供方承担由于采购人在其本国使用该设备或设备任何一部分时而引起第三方提出的侵犯专利权、商标权或工业设计权的起诉、行动、行政程序索赔、请求等以及采购人为此而产生的损失和损害、费用和支出（包括律师费）</w:t>
      </w:r>
      <w:r>
        <w:rPr>
          <w:rFonts w:hint="eastAsia" w:ascii="宋体" w:hAnsi="宋体" w:eastAsia="宋体" w:cs="宋体"/>
          <w:color w:val="auto"/>
          <w:sz w:val="21"/>
          <w:szCs w:val="21"/>
          <w:highlight w:val="none"/>
          <w:lang w:eastAsia="zh-CN"/>
        </w:rPr>
        <w:t>。</w:t>
      </w:r>
    </w:p>
    <w:p w14:paraId="0F96C583">
      <w:pPr>
        <w:autoSpaceDE w:val="0"/>
        <w:autoSpaceDN w:val="0"/>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val="en-US" w:eastAsia="zh-CN"/>
        </w:rPr>
        <w:t>、信用查询</w:t>
      </w:r>
    </w:p>
    <w:p w14:paraId="76F9BB60">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根据政府采购法及相关法规的规定，将对供应商进行信用查询，凡经确认不符合政府采购相关法律法规规定的，将拒绝其参与政府采购活动。</w:t>
      </w:r>
    </w:p>
    <w:p w14:paraId="793E2A30">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查询时间：投标文件递交截止时间后。</w:t>
      </w:r>
    </w:p>
    <w:p w14:paraId="64ACC394">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查询渠道：</w:t>
      </w:r>
      <w:r>
        <w:rPr>
          <w:rFonts w:hint="eastAsia" w:ascii="宋体" w:hAnsi="宋体" w:cs="宋体"/>
          <w:color w:val="auto"/>
          <w:szCs w:val="21"/>
          <w:highlight w:val="none"/>
        </w:rPr>
        <w:t>采购代理机构会在接收投标文件截止时间后，登录</w:t>
      </w:r>
      <w:r>
        <w:rPr>
          <w:rFonts w:ascii="宋体" w:hAnsi="宋体" w:cs="宋体"/>
          <w:color w:val="auto"/>
          <w:szCs w:val="21"/>
          <w:highlight w:val="none"/>
        </w:rPr>
        <w:t>信用中国</w:t>
      </w:r>
      <w:r>
        <w:rPr>
          <w:rFonts w:hint="eastAsia" w:ascii="宋体" w:hAnsi="宋体" w:cs="宋体"/>
          <w:color w:val="auto"/>
          <w:szCs w:val="21"/>
          <w:highlight w:val="none"/>
        </w:rPr>
        <w:t>网站</w:t>
      </w:r>
      <w:r>
        <w:rPr>
          <w:rFonts w:ascii="宋体" w:hAnsi="宋体" w:cs="宋体"/>
          <w:color w:val="auto"/>
          <w:szCs w:val="21"/>
          <w:highlight w:val="none"/>
        </w:rPr>
        <w:t>（www.creditchina.gov.cn）查询供应商的信用记录，并将查询结果递交</w:t>
      </w:r>
      <w:r>
        <w:rPr>
          <w:rFonts w:hint="eastAsia" w:ascii="宋体" w:hAnsi="宋体" w:cs="宋体"/>
          <w:color w:val="auto"/>
          <w:szCs w:val="21"/>
          <w:highlight w:val="none"/>
        </w:rPr>
        <w:t>评标委员会。</w:t>
      </w:r>
    </w:p>
    <w:p w14:paraId="56FF66AE">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查询证据留存方式：</w:t>
      </w:r>
      <w:r>
        <w:rPr>
          <w:rFonts w:hint="eastAsia" w:ascii="宋体" w:hAnsi="宋体" w:cs="宋体"/>
          <w:color w:val="auto"/>
          <w:szCs w:val="21"/>
          <w:highlight w:val="none"/>
        </w:rPr>
        <w:t>采购人、采购代理机构工作人员等应按照相关管理办法查询相关主体的信用记录，并保存好相关证据材料，信用查询记录及相关证据应当归入采购档案妥善保管。采购代理机构工作人员应登</w:t>
      </w:r>
      <w:r>
        <w:rPr>
          <w:rFonts w:hint="eastAsia" w:ascii="宋体" w:hAnsi="宋体"/>
          <w:color w:val="auto"/>
          <w:szCs w:val="21"/>
          <w:highlight w:val="none"/>
        </w:rPr>
        <w:t>录</w:t>
      </w:r>
      <w:r>
        <w:rPr>
          <w:rFonts w:hint="eastAsia" w:ascii="宋体" w:hAnsi="宋体" w:cs="宋体"/>
          <w:color w:val="auto"/>
          <w:szCs w:val="21"/>
          <w:highlight w:val="none"/>
        </w:rPr>
        <w:t>到来源网站页面进行复核并打印，作为证据留存。</w:t>
      </w:r>
    </w:p>
    <w:p w14:paraId="4278BC0F">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olor w:val="auto"/>
          <w:highlight w:val="none"/>
          <w:lang w:val="en-US" w:eastAsia="zh-CN"/>
        </w:rPr>
        <w:t>4、</w:t>
      </w:r>
      <w:r>
        <w:rPr>
          <w:rFonts w:hint="eastAsia" w:ascii="宋体" w:hAnsi="宋体"/>
          <w:color w:val="auto"/>
          <w:highlight w:val="none"/>
        </w:rPr>
        <w:t>采购过程中将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4C1E4838">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信用记录使用规则：对供应商进行资格性审查时，应根据查询结果对供应商的不良信用记录逐项甄别确认。按照《中华人民共和国政府采购法》第二十二条规定，下列信用记录属于应依法拒绝供应商参加政府采购的失信信息：</w:t>
      </w:r>
    </w:p>
    <w:p w14:paraId="4BC65774">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（一）政府采购严重违法记录，即供应商被全国各级财政部门列入“政府采购严重违法失信行为记录名单”，且在处罚有效期内的。</w:t>
      </w:r>
    </w:p>
    <w:p w14:paraId="057B792F">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（二）财政部门与法院、工商、税务等部门联合惩戒的失信信息，包括：</w:t>
      </w:r>
    </w:p>
    <w:p w14:paraId="1623F961">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（1）被列入失信被执行人名单；</w:t>
      </w:r>
    </w:p>
    <w:p w14:paraId="331F0218">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（2）被列入重大税收违法案件当事人名单；</w:t>
      </w:r>
    </w:p>
    <w:p w14:paraId="10B7EA73">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color w:val="auto"/>
          <w:szCs w:val="21"/>
          <w:highlight w:val="none"/>
          <w:lang w:val="zh-CN"/>
        </w:rPr>
        <w:t>（3）企业经营异常名录中被责令停产停业、暂扣或者吊销许可证或者执照，或者对经营活动中的</w:t>
      </w:r>
      <w:r>
        <w:rPr>
          <w:rFonts w:hint="eastAsia" w:ascii="宋体" w:hAnsi="宋体" w:cs="宋体"/>
          <w:color w:val="auto"/>
          <w:szCs w:val="21"/>
          <w:highlight w:val="none"/>
        </w:rPr>
        <w:t>违法行为处以</w:t>
      </w:r>
      <w:r>
        <w:rPr>
          <w:rFonts w:hint="eastAsia" w:ascii="宋体" w:hAnsi="宋体" w:cs="宋体"/>
          <w:color w:val="auto"/>
          <w:szCs w:val="21"/>
          <w:highlight w:val="none"/>
          <w:lang w:val="zh-CN"/>
        </w:rPr>
        <w:t>较大数额罚款（“较大数额罚款”认定为200万元以上的罚款，法律、行政法规以及国务院有关部门明确规定相关领域“较大数额罚款”标准高于200万元的，从其规定）的信用记录。处罚生效日至递交（响应）文件日未满三年的</w:t>
      </w:r>
    </w:p>
    <w:p w14:paraId="37DC150B">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szCs w:val="21"/>
          <w:highlight w:val="none"/>
        </w:rPr>
      </w:pPr>
      <w:r>
        <w:rPr>
          <w:rFonts w:hint="eastAsia" w:ascii="宋体" w:hAnsi="宋体" w:cs="宋体"/>
          <w:b/>
          <w:bCs/>
          <w:color w:val="auto"/>
          <w:spacing w:val="0"/>
          <w:szCs w:val="21"/>
          <w:highlight w:val="none"/>
          <w:lang w:val="en-US" w:eastAsia="zh-CN"/>
        </w:rPr>
        <w:t>九</w:t>
      </w:r>
      <w:r>
        <w:rPr>
          <w:rFonts w:hint="eastAsia" w:ascii="宋体" w:hAnsi="宋体" w:eastAsia="宋体" w:cs="宋体"/>
          <w:b/>
          <w:bCs/>
          <w:color w:val="auto"/>
          <w:spacing w:val="0"/>
          <w:szCs w:val="21"/>
          <w:highlight w:val="none"/>
          <w:lang w:val="en-US" w:eastAsia="zh-CN"/>
        </w:rPr>
        <w:t>、</w:t>
      </w:r>
      <w:r>
        <w:rPr>
          <w:rFonts w:hint="eastAsia" w:ascii="宋体" w:hAnsi="宋体" w:eastAsia="宋体" w:cs="宋体"/>
          <w:b/>
          <w:bCs/>
          <w:color w:val="auto"/>
          <w:spacing w:val="0"/>
          <w:szCs w:val="21"/>
          <w:highlight w:val="none"/>
        </w:rPr>
        <w:t>相关政策（如涉及）</w:t>
      </w:r>
    </w:p>
    <w:p w14:paraId="17E23DF6">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b/>
          <w:bCs/>
          <w:color w:val="auto"/>
          <w:spacing w:val="0"/>
          <w:szCs w:val="21"/>
          <w:highlight w:val="none"/>
        </w:rPr>
        <w:t>本次招标</w:t>
      </w:r>
      <w:r>
        <w:rPr>
          <w:rFonts w:hint="eastAsia" w:ascii="宋体" w:hAnsi="宋体" w:cs="宋体"/>
          <w:b/>
          <w:bCs/>
          <w:color w:val="auto"/>
          <w:spacing w:val="0"/>
          <w:szCs w:val="21"/>
          <w:highlight w:val="none"/>
          <w:lang w:val="en-US" w:eastAsia="zh-CN"/>
        </w:rPr>
        <w:t>不</w:t>
      </w:r>
      <w:r>
        <w:rPr>
          <w:rFonts w:hint="eastAsia" w:ascii="宋体" w:hAnsi="宋体" w:eastAsia="宋体" w:cs="宋体"/>
          <w:b/>
          <w:bCs/>
          <w:color w:val="auto"/>
          <w:spacing w:val="0"/>
          <w:szCs w:val="21"/>
          <w:highlight w:val="none"/>
        </w:rPr>
        <w:t>接受进口设备的投标</w:t>
      </w:r>
      <w:r>
        <w:rPr>
          <w:rFonts w:hint="eastAsia" w:ascii="宋体" w:hAnsi="宋体" w:eastAsia="宋体" w:cs="宋体"/>
          <w:color w:val="auto"/>
          <w:spacing w:val="0"/>
          <w:szCs w:val="21"/>
          <w:highlight w:val="none"/>
        </w:rPr>
        <w:t>，进口产品的定义为：指通过中国海关报关验收进入中国境内且产自境外的产品，具体按照苏财购〔2008〕14号江苏省财政厅转发财政部办公厅关于政府采购进口产品管理有关问题的通知的规定。</w:t>
      </w:r>
    </w:p>
    <w:p w14:paraId="7C298C0C">
      <w:pPr>
        <w:tabs>
          <w:tab w:val="left" w:pos="567"/>
        </w:tabs>
        <w:spacing w:line="360" w:lineRule="auto"/>
        <w:ind w:firstLine="420"/>
        <w:rPr>
          <w:rFonts w:ascii="宋体" w:hAnsi="宋体" w:cs="宋体"/>
          <w:color w:val="auto"/>
          <w:szCs w:val="21"/>
          <w:highlight w:val="none"/>
        </w:rPr>
      </w:pPr>
      <w:r>
        <w:rPr>
          <w:rFonts w:hint="eastAsia" w:ascii="宋体" w:hAnsi="宋体" w:eastAsia="宋体" w:cs="宋体"/>
          <w:color w:val="auto"/>
          <w:spacing w:val="0"/>
          <w:szCs w:val="21"/>
          <w:highlight w:val="none"/>
        </w:rPr>
        <w:t>（2）</w:t>
      </w:r>
      <w:r>
        <w:rPr>
          <w:rFonts w:hint="eastAsia" w:ascii="宋体" w:hAnsi="宋体" w:cs="宋体"/>
          <w:color w:val="auto"/>
          <w:szCs w:val="21"/>
          <w:highlight w:val="none"/>
        </w:rPr>
        <w:t>中、小、微企业</w:t>
      </w:r>
      <w:r>
        <w:rPr>
          <w:rFonts w:hint="eastAsia" w:ascii="宋体" w:hAnsi="宋体" w:cs="宋体"/>
          <w:b/>
          <w:bCs/>
          <w:color w:val="auto"/>
          <w:szCs w:val="21"/>
          <w:highlight w:val="none"/>
        </w:rPr>
        <w:t>（若为专门面向中小企业采购的项目或者采购包，不再执行价格评审优惠的扶持政策；中小企业依据预留项目和价格扣除等优惠政策获取政府采购合同后，小型、微型企业不得分包或转包给大型、中型企业，中型企业不得分包或转包给大型企业）</w:t>
      </w:r>
    </w:p>
    <w:p w14:paraId="4F00B5B9">
      <w:pPr>
        <w:tabs>
          <w:tab w:val="left" w:pos="567"/>
        </w:tabs>
        <w:spacing w:line="360" w:lineRule="auto"/>
        <w:ind w:firstLine="420"/>
        <w:rPr>
          <w:rFonts w:ascii="宋体" w:hAnsi="宋体" w:cs="宋体"/>
          <w:color w:val="auto"/>
          <w:highlight w:val="none"/>
        </w:rPr>
      </w:pPr>
      <w:r>
        <w:rPr>
          <w:rFonts w:hint="eastAsia" w:ascii="宋体" w:hAnsi="宋体" w:cs="宋体"/>
          <w:color w:val="auto"/>
          <w:highlight w:val="none"/>
        </w:rPr>
        <w:t>根据《政府采购促进中小企业发展管理办法》（财库〔2020〕46号）、《关于做好政府采购支持企业发展有关事项的通知》（苏财购〔2020〕52号）及《关于印发&lt;苏州市政府采购促进中小企业发展实施意见&gt;的通知》（苏财购〔2022〕16号）的相关规定，如供应商认定本企业提供的货物、工程或服务符合上述文件规定情形，可以享受中小企业扶持政策的，则需根据《中小企业划型标准规定》（工信部联企业〔2011〕300号）提交《中小企业声明函》并加盖公章，</w:t>
      </w:r>
      <w:r>
        <w:rPr>
          <w:rFonts w:hint="eastAsia" w:ascii="宋体" w:hAnsi="宋体" w:cs="宋体"/>
          <w:color w:val="auto"/>
          <w:szCs w:val="21"/>
          <w:highlight w:val="none"/>
        </w:rPr>
        <w:t>小型企业和微型企业的投标报价扣除20%后参与评审。</w:t>
      </w:r>
      <w:r>
        <w:rPr>
          <w:rFonts w:hint="eastAsia" w:ascii="宋体" w:hAnsi="宋体" w:cs="宋体"/>
          <w:b/>
          <w:color w:val="auto"/>
          <w:highlight w:val="none"/>
        </w:rPr>
        <w:t>《中小企业声明函》中所填的行业应与本采购标的对应的中小企业划分标准所属行业一致，未提交声明函或所提交的声明函中行业与本采购标的对应的中小企业划分标准所属行业不一致不享受相关政策。</w:t>
      </w:r>
    </w:p>
    <w:p w14:paraId="01E80F76">
      <w:pPr>
        <w:tabs>
          <w:tab w:val="left" w:pos="567"/>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在政府采购活动中，供应商提供的服务符合下列情形的，享受《政府采购促进中小企业发展管理办法》规定的中小企业扶持政策：在服务采购项目中，服务由中小企业承接，即提供服务的人员为中小企业依照《中华人民共和国劳动合同法》订立劳动合同的从业人员。</w:t>
      </w:r>
      <w:r>
        <w:rPr>
          <w:rFonts w:hint="eastAsia" w:ascii="宋体" w:hAnsi="宋体" w:cs="宋体"/>
          <w:b/>
          <w:color w:val="auto"/>
          <w:szCs w:val="21"/>
          <w:highlight w:val="none"/>
        </w:rPr>
        <w:t>服务类项目中供应商若使用退休人员，将不享受相关扶持政策。</w:t>
      </w:r>
    </w:p>
    <w:p w14:paraId="4D97FE10">
      <w:pPr>
        <w:tabs>
          <w:tab w:val="left" w:pos="567"/>
        </w:tabs>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根据《政府采购促进中小企业发展管理办法》（财库〔2020〕46号）及《中小企业划型标准规定》（工信部联企业〔2011〕300号），本采购项目对应的中小企业划分标准所属行业为：</w:t>
      </w:r>
      <w:r>
        <w:rPr>
          <w:rFonts w:hint="eastAsia" w:ascii="宋体" w:hAnsi="宋体" w:cs="宋体"/>
          <w:b/>
          <w:bCs/>
          <w:color w:val="auto"/>
          <w:szCs w:val="21"/>
          <w:highlight w:val="none"/>
          <w:lang w:val="en-US" w:eastAsia="zh-CN"/>
        </w:rPr>
        <w:t>工业</w:t>
      </w:r>
      <w:r>
        <w:rPr>
          <w:rFonts w:hint="eastAsia" w:ascii="宋体" w:hAnsi="宋体" w:cs="宋体"/>
          <w:b/>
          <w:bCs/>
          <w:color w:val="auto"/>
          <w:szCs w:val="21"/>
          <w:highlight w:val="none"/>
        </w:rPr>
        <w:t>。</w:t>
      </w:r>
    </w:p>
    <w:p w14:paraId="3698993F">
      <w:pPr>
        <w:tabs>
          <w:tab w:val="left" w:pos="567"/>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（3）残疾人福利性单位</w:t>
      </w:r>
      <w:r>
        <w:rPr>
          <w:rFonts w:hint="eastAsia" w:ascii="宋体" w:hAnsi="宋体" w:cs="宋体"/>
          <w:b/>
          <w:bCs/>
          <w:color w:val="auto"/>
          <w:szCs w:val="21"/>
          <w:highlight w:val="none"/>
        </w:rPr>
        <w:t>（若为专门面向中小企业采购的项目或者采购包，不再执行价格评审优惠的扶持政策）</w:t>
      </w:r>
    </w:p>
    <w:p w14:paraId="79E2795C">
      <w:pPr>
        <w:tabs>
          <w:tab w:val="left" w:pos="567"/>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根据《关于促进残疾人就业政府采购政策的通知》（财库〔2017〕141号）的相关规定，在政府采购活动中残疾人福利性单位视同小型、微型企业，享受预留份额、评审中价格扣除（其投标报价扣除20%后参与评审）等促进中小企业发展的政府采购政策，残疾人福利性单位属于小型、微型企业的，不重复享受政策。符合条件的残疾人福利性单位，应提交《残疾人福利性单位声明函》，并对声明的真实性负责，未提交则不享受相关政策。</w:t>
      </w:r>
    </w:p>
    <w:p w14:paraId="684C728A">
      <w:pPr>
        <w:tabs>
          <w:tab w:val="left" w:pos="567"/>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（4）监狱企业</w:t>
      </w:r>
      <w:r>
        <w:rPr>
          <w:rFonts w:hint="eastAsia" w:ascii="宋体" w:hAnsi="宋体" w:cs="宋体"/>
          <w:b/>
          <w:bCs/>
          <w:color w:val="auto"/>
          <w:szCs w:val="21"/>
          <w:highlight w:val="none"/>
        </w:rPr>
        <w:t>（若为专门面向中小企业采购的项目或者采购包，不再执行价格评审优惠的扶持政策）</w:t>
      </w:r>
    </w:p>
    <w:p w14:paraId="2C40181B">
      <w:pPr>
        <w:tabs>
          <w:tab w:val="left" w:pos="567"/>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根据《关于政府采购支持监狱企业发展有关问题的通知》（财库〔2014〕68号）的相关规定，在政府采购活动中，监狱企业视同小型、微型企业，享受预留份额、评审中价格扣除（其投标报价扣除20%后参与评审）等促进中小企业发展的政府采购政策，监狱企业属于小型、微型企业的，不重复享受政策。监狱企业应当提供由省级以上监狱管理局、戒毒管理局（含新疆生产建设兵团）出具的属于监狱企业的证明文件，未提交则不享受相关政策。</w:t>
      </w:r>
    </w:p>
    <w:p w14:paraId="4C42F05F">
      <w:pPr>
        <w:tabs>
          <w:tab w:val="left" w:pos="567"/>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（5）绿色采购</w:t>
      </w:r>
    </w:p>
    <w:p w14:paraId="5DD3B314">
      <w:pPr>
        <w:tabs>
          <w:tab w:val="left" w:pos="567"/>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1）根据《关于调整优化节能产品、环境标志产品政府采购执行机制的通知》（财库〔2019〕9号）等相关文件的规定，</w:t>
      </w:r>
      <w:r>
        <w:rPr>
          <w:rFonts w:hint="eastAsia" w:ascii="宋体" w:hAnsi="宋体" w:cs="宋体"/>
          <w:b/>
          <w:color w:val="auto"/>
          <w:szCs w:val="21"/>
          <w:highlight w:val="none"/>
        </w:rPr>
        <w:t>对属于《节能产品政府采购品目清单》中强制采购范围内产品的，供应商须提供由国家确定的认证机构出具的、处于有效期之内的节能产品认证证书，上述品目清单可通过“中国政府采购网”（http://www.ccgp.gov.cn）查询,并在响应文件中提供由国家确定的认证机构出具的、处于有效期之内的节能产品认证证书复印件，否则视为未实质性响应。</w:t>
      </w:r>
    </w:p>
    <w:p w14:paraId="17A401B8">
      <w:pPr>
        <w:tabs>
          <w:tab w:val="left" w:pos="567"/>
        </w:tabs>
        <w:spacing w:line="360" w:lineRule="auto"/>
        <w:ind w:firstLine="420"/>
        <w:rPr>
          <w:rFonts w:ascii="宋体" w:hAnsi="宋体" w:cs="宋体"/>
          <w:color w:val="auto"/>
          <w:highlight w:val="none"/>
        </w:rPr>
      </w:pPr>
      <w:r>
        <w:rPr>
          <w:rFonts w:hint="eastAsia" w:ascii="宋体" w:hAnsi="宋体" w:cs="宋体"/>
          <w:color w:val="auto"/>
          <w:highlight w:val="none"/>
        </w:rPr>
        <w:t>2）为加快数据中心绿色转型，根据财政部、生态环境部、工业和信息化部关于印发《绿色数据中心政府采购需求标准（试行）》的通知（财库〔2023〕7号）文件规定，采购数据中心相关设备、运维服务，应当有利于节约能源、环境保护和资源循环利用，按照标准要求实施相关采购活动，供应商应提供符合标准要求的设备或服务。</w:t>
      </w:r>
    </w:p>
    <w:p w14:paraId="0FA24336">
      <w:pPr>
        <w:keepNext w:val="0"/>
        <w:keepLines w:val="0"/>
        <w:pageBreakBefore w:val="0"/>
        <w:widowControl w:val="0"/>
        <w:kinsoku w:val="0"/>
        <w:wordWrap/>
        <w:overflowPunct w:val="0"/>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rPr>
        <w:t>3）为助力打好污染防治攻坚战，推广使用绿色包装，根据财政部办公厅、生态环境部办公厅、国家邮政局办公室关于印发《商品包装政府采购需求标准（试行）》、《快递包装政府采购需求标准（试行）》的通知（财办库〔2020〕123 号文）文件规定，供应商提供产品及相关快递服务的包装应符合标准要求</w:t>
      </w:r>
      <w:r>
        <w:rPr>
          <w:rFonts w:hint="eastAsia" w:ascii="宋体" w:hAnsi="宋体" w:cs="宋体"/>
          <w:color w:val="auto"/>
          <w:highlight w:val="none"/>
          <w:lang w:eastAsia="zh-CN"/>
        </w:rPr>
        <w:t>。</w:t>
      </w:r>
    </w:p>
    <w:p w14:paraId="42CCC607">
      <w:pPr>
        <w:spacing w:line="360" w:lineRule="auto"/>
        <w:ind w:firstLine="482"/>
        <w:jc w:val="center"/>
        <w:rPr>
          <w:rFonts w:hint="eastAsia" w:ascii="宋体" w:hAnsi="宋体" w:cs="宋体"/>
          <w:b/>
          <w:color w:val="auto"/>
          <w:spacing w:val="0"/>
          <w:sz w:val="32"/>
          <w:szCs w:val="32"/>
          <w:highlight w:val="none"/>
          <w:lang w:val="en-US" w:eastAsia="zh-CN"/>
        </w:rPr>
      </w:pPr>
    </w:p>
    <w:p w14:paraId="3B0105E4">
      <w:pPr>
        <w:spacing w:line="360" w:lineRule="auto"/>
        <w:ind w:firstLine="482"/>
        <w:jc w:val="center"/>
        <w:rPr>
          <w:rFonts w:hint="eastAsia" w:ascii="宋体" w:hAnsi="宋体" w:cs="宋体"/>
          <w:b/>
          <w:color w:val="auto"/>
          <w:spacing w:val="0"/>
          <w:sz w:val="44"/>
          <w:szCs w:val="44"/>
          <w:highlight w:val="none"/>
          <w:lang w:val="en-US" w:eastAsia="zh-CN"/>
        </w:rPr>
      </w:pPr>
    </w:p>
    <w:p w14:paraId="37D08509">
      <w:pPr>
        <w:spacing w:line="360" w:lineRule="auto"/>
        <w:ind w:firstLine="482"/>
        <w:jc w:val="center"/>
        <w:rPr>
          <w:rFonts w:hint="eastAsia" w:ascii="宋体" w:hAnsi="宋体" w:cs="宋体"/>
          <w:b/>
          <w:color w:val="auto"/>
          <w:spacing w:val="0"/>
          <w:sz w:val="44"/>
          <w:szCs w:val="44"/>
          <w:highlight w:val="none"/>
          <w:lang w:val="en-US" w:eastAsia="zh-CN"/>
        </w:rPr>
      </w:pPr>
    </w:p>
    <w:p w14:paraId="6573BB72">
      <w:pPr>
        <w:spacing w:line="360" w:lineRule="auto"/>
        <w:ind w:firstLine="482"/>
        <w:jc w:val="center"/>
        <w:rPr>
          <w:rFonts w:hint="eastAsia" w:ascii="宋体" w:hAnsi="宋体" w:cs="宋体"/>
          <w:b/>
          <w:color w:val="auto"/>
          <w:spacing w:val="0"/>
          <w:sz w:val="44"/>
          <w:szCs w:val="44"/>
          <w:highlight w:val="none"/>
          <w:lang w:val="en-US" w:eastAsia="zh-CN"/>
        </w:rPr>
      </w:pPr>
      <w:r>
        <w:rPr>
          <w:rFonts w:hint="eastAsia" w:ascii="宋体" w:hAnsi="宋体" w:cs="宋体"/>
          <w:b/>
          <w:color w:val="auto"/>
          <w:spacing w:val="0"/>
          <w:sz w:val="44"/>
          <w:szCs w:val="44"/>
          <w:highlight w:val="none"/>
          <w:lang w:val="en-US" w:eastAsia="zh-CN"/>
        </w:rPr>
        <w:t>第五章 合同主要条款</w:t>
      </w:r>
    </w:p>
    <w:p w14:paraId="1899B01B">
      <w:pPr>
        <w:spacing w:line="360" w:lineRule="auto"/>
        <w:ind w:firstLine="482"/>
        <w:rPr>
          <w:rFonts w:hint="eastAsia" w:ascii="宋体" w:hAnsi="宋体" w:eastAsia="宋体" w:cs="宋体"/>
          <w:b w:val="0"/>
          <w:bCs w:val="0"/>
          <w:color w:val="auto"/>
          <w:sz w:val="21"/>
          <w:szCs w:val="21"/>
          <w:highlight w:val="none"/>
        </w:rPr>
      </w:pPr>
      <w:r>
        <w:rPr>
          <w:rFonts w:hint="eastAsia" w:ascii="宋体" w:hAnsi="宋体" w:cs="宋体"/>
          <w:bCs/>
          <w:color w:val="auto"/>
          <w:szCs w:val="21"/>
          <w:highlight w:val="none"/>
        </w:rPr>
        <w:t>根据</w:t>
      </w:r>
      <w:r>
        <w:rPr>
          <w:rFonts w:hint="eastAsia" w:ascii="宋体" w:hAnsi="宋体" w:cs="宋体"/>
          <w:color w:val="auto"/>
          <w:szCs w:val="21"/>
          <w:highlight w:val="none"/>
        </w:rPr>
        <w:t>苏州市创杰招投标咨询服务有限公司采购编号</w:t>
      </w:r>
      <w:r>
        <w:rPr>
          <w:rFonts w:hint="eastAsia" w:ascii="宋体" w:hAnsi="宋体" w:cs="宋体"/>
          <w:color w:val="auto"/>
          <w:szCs w:val="21"/>
          <w:highlight w:val="none"/>
          <w:lang w:eastAsia="zh-CN"/>
        </w:rPr>
        <w:t>JSZC-320509-CJZB-T2025-0085</w:t>
      </w:r>
      <w:r>
        <w:rPr>
          <w:rFonts w:hint="eastAsia" w:ascii="宋体" w:hAnsi="宋体" w:cs="宋体"/>
          <w:bCs/>
          <w:color w:val="auto"/>
          <w:szCs w:val="21"/>
          <w:highlight w:val="none"/>
        </w:rPr>
        <w:t>谈判采购文件及成交通知书，甲乙双方就此次成交的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事宜，签订本合同书</w:t>
      </w:r>
      <w:r>
        <w:rPr>
          <w:rFonts w:hint="eastAsia" w:ascii="宋体" w:hAnsi="宋体" w:eastAsia="宋体" w:cs="宋体"/>
          <w:b w:val="0"/>
          <w:bCs w:val="0"/>
          <w:color w:val="auto"/>
          <w:sz w:val="21"/>
          <w:szCs w:val="21"/>
          <w:highlight w:val="none"/>
        </w:rPr>
        <w:t>。</w:t>
      </w:r>
    </w:p>
    <w:p w14:paraId="5EEF0A14">
      <w:pPr>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一、合同标的物</w:t>
      </w:r>
    </w:p>
    <w:p w14:paraId="5DA2530C">
      <w:pPr>
        <w:numPr>
          <w:ilvl w:val="0"/>
          <w:numId w:val="0"/>
        </w:numPr>
        <w:adjustRightInd w:val="0"/>
        <w:snapToGrid w:val="0"/>
        <w:spacing w:line="360" w:lineRule="auto"/>
        <w:ind w:firstLine="210" w:firstLineChars="100"/>
        <w:rPr>
          <w:rFonts w:hint="eastAsia" w:ascii="宋体" w:hAnsi="宋体" w:cs="宋体"/>
          <w:color w:val="auto"/>
          <w:sz w:val="21"/>
          <w:szCs w:val="21"/>
          <w:highlight w:val="none"/>
          <w:u w:val="single"/>
          <w:lang w:eastAsia="zh-CN"/>
        </w:rPr>
      </w:pP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 w:val="21"/>
          <w:szCs w:val="21"/>
          <w:highlight w:val="none"/>
        </w:rPr>
        <w:t>乙方负责</w:t>
      </w:r>
      <w:r>
        <w:rPr>
          <w:rFonts w:hint="eastAsia" w:ascii="宋体" w:hAnsi="宋体" w:eastAsia="宋体" w:cs="宋体"/>
          <w:color w:val="auto"/>
          <w:sz w:val="21"/>
          <w:szCs w:val="21"/>
          <w:highlight w:val="none"/>
        </w:rPr>
        <w:t>提供甲方所需的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w:t>
      </w:r>
    </w:p>
    <w:p w14:paraId="2A4FF583">
      <w:pPr>
        <w:numPr>
          <w:ilvl w:val="0"/>
          <w:numId w:val="0"/>
        </w:numPr>
        <w:adjustRightInd w:val="0"/>
        <w:snapToGrid w:val="0"/>
        <w:spacing w:line="360" w:lineRule="auto"/>
        <w:ind w:firstLine="210" w:firstLineChars="100"/>
        <w:rPr>
          <w:rFonts w:hint="eastAsia" w:ascii="宋体" w:hAnsi="宋体" w:eastAsia="宋体" w:cs="宋体"/>
          <w:b/>
          <w:color w:val="auto"/>
          <w:szCs w:val="21"/>
          <w:highlight w:val="none"/>
          <w:u w:val="none"/>
          <w:lang w:val="en-US" w:eastAsia="zh-CN"/>
        </w:rPr>
      </w:pP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rPr>
        <w:t>合同价及明细见下表</w:t>
      </w:r>
      <w:r>
        <w:rPr>
          <w:rFonts w:hint="eastAsia" w:ascii="宋体" w:hAnsi="宋体" w:cs="宋体"/>
          <w:color w:val="auto"/>
          <w:sz w:val="21"/>
          <w:szCs w:val="21"/>
          <w:highlight w:val="none"/>
          <w:lang w:eastAsia="zh-CN"/>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46"/>
        <w:gridCol w:w="1574"/>
        <w:gridCol w:w="921"/>
        <w:gridCol w:w="792"/>
        <w:gridCol w:w="1111"/>
        <w:gridCol w:w="898"/>
        <w:gridCol w:w="896"/>
      </w:tblGrid>
      <w:tr w14:paraId="2985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62" w:type="dxa"/>
            <w:noWrap w:val="0"/>
            <w:vAlign w:val="center"/>
          </w:tcPr>
          <w:p w14:paraId="30D19BF5">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646" w:type="dxa"/>
            <w:noWrap w:val="0"/>
            <w:vAlign w:val="center"/>
          </w:tcPr>
          <w:p w14:paraId="7A280F6C">
            <w:pPr>
              <w:widowControl/>
              <w:adjustRightInd w:val="0"/>
              <w:snapToGrid w:val="0"/>
              <w:jc w:val="center"/>
              <w:rPr>
                <w:rFonts w:hint="eastAsia" w:ascii="宋体" w:hAnsi="宋体" w:cs="宋体"/>
                <w:color w:val="auto"/>
                <w:kern w:val="0"/>
                <w:szCs w:val="21"/>
                <w:highlight w:val="none"/>
              </w:rPr>
            </w:pPr>
            <w:r>
              <w:rPr>
                <w:rFonts w:hint="eastAsia" w:ascii="宋体" w:hAnsi="宋体" w:eastAsia="宋体" w:cs="宋体"/>
                <w:color w:val="auto"/>
                <w:sz w:val="21"/>
                <w:szCs w:val="21"/>
                <w:highlight w:val="none"/>
                <w:lang w:val="en-US" w:eastAsia="zh-CN" w:bidi="ar"/>
              </w:rPr>
              <w:t>货物</w:t>
            </w:r>
            <w:r>
              <w:rPr>
                <w:rFonts w:hint="eastAsia" w:ascii="宋体" w:hAnsi="宋体" w:cs="宋体"/>
                <w:color w:val="auto"/>
                <w:kern w:val="0"/>
                <w:szCs w:val="21"/>
                <w:highlight w:val="none"/>
              </w:rPr>
              <w:t>名称（原厂全新）</w:t>
            </w:r>
          </w:p>
        </w:tc>
        <w:tc>
          <w:tcPr>
            <w:tcW w:w="1574" w:type="dxa"/>
            <w:noWrap w:val="0"/>
            <w:vAlign w:val="center"/>
          </w:tcPr>
          <w:p w14:paraId="425611C9">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品牌、</w:t>
            </w:r>
            <w:r>
              <w:rPr>
                <w:rFonts w:hint="eastAsia" w:ascii="宋体" w:hAnsi="宋体" w:cs="宋体"/>
                <w:color w:val="auto"/>
                <w:kern w:val="0"/>
                <w:szCs w:val="21"/>
                <w:highlight w:val="none"/>
              </w:rPr>
              <w:t>规格、型号</w:t>
            </w:r>
          </w:p>
        </w:tc>
        <w:tc>
          <w:tcPr>
            <w:tcW w:w="921" w:type="dxa"/>
            <w:noWrap w:val="0"/>
            <w:vAlign w:val="center"/>
          </w:tcPr>
          <w:p w14:paraId="12515DD7">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w:t>
            </w:r>
          </w:p>
        </w:tc>
        <w:tc>
          <w:tcPr>
            <w:tcW w:w="792" w:type="dxa"/>
            <w:noWrap w:val="0"/>
            <w:vAlign w:val="center"/>
          </w:tcPr>
          <w:p w14:paraId="0AF971C4">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111" w:type="dxa"/>
            <w:noWrap w:val="0"/>
            <w:vAlign w:val="center"/>
          </w:tcPr>
          <w:p w14:paraId="3003095E">
            <w:pPr>
              <w:widowControl/>
              <w:adjustRightInd w:val="0"/>
              <w:snapToGrid w:val="0"/>
              <w:rPr>
                <w:rFonts w:hint="eastAsia" w:ascii="宋体" w:hAnsi="宋体" w:cs="宋体"/>
                <w:color w:val="auto"/>
                <w:kern w:val="0"/>
                <w:szCs w:val="21"/>
                <w:highlight w:val="none"/>
              </w:rPr>
            </w:pPr>
            <w:r>
              <w:rPr>
                <w:rFonts w:hint="eastAsia" w:ascii="宋体" w:hAnsi="宋体" w:cs="宋体"/>
                <w:color w:val="auto"/>
                <w:kern w:val="0"/>
                <w:szCs w:val="21"/>
                <w:highlight w:val="none"/>
              </w:rPr>
              <w:t>生产厂家</w:t>
            </w:r>
          </w:p>
        </w:tc>
        <w:tc>
          <w:tcPr>
            <w:tcW w:w="898" w:type="dxa"/>
            <w:noWrap w:val="0"/>
            <w:vAlign w:val="center"/>
          </w:tcPr>
          <w:p w14:paraId="1060B643">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单价</w:t>
            </w:r>
          </w:p>
          <w:p w14:paraId="31E07EA0">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（元）</w:t>
            </w:r>
          </w:p>
        </w:tc>
        <w:tc>
          <w:tcPr>
            <w:tcW w:w="896" w:type="dxa"/>
            <w:noWrap w:val="0"/>
            <w:vAlign w:val="center"/>
          </w:tcPr>
          <w:p w14:paraId="38FDFD67">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总价</w:t>
            </w:r>
          </w:p>
          <w:p w14:paraId="750EC73C">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（元）</w:t>
            </w:r>
          </w:p>
        </w:tc>
      </w:tr>
      <w:tr w14:paraId="6041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62" w:type="dxa"/>
            <w:noWrap w:val="0"/>
            <w:vAlign w:val="center"/>
          </w:tcPr>
          <w:p w14:paraId="268AF56C">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646" w:type="dxa"/>
            <w:noWrap w:val="0"/>
            <w:vAlign w:val="center"/>
          </w:tcPr>
          <w:p w14:paraId="715E7F98">
            <w:pPr>
              <w:widowControl/>
              <w:adjustRightInd w:val="0"/>
              <w:snapToGrid w:val="0"/>
              <w:jc w:val="center"/>
              <w:rPr>
                <w:rFonts w:hint="eastAsia" w:ascii="宋体" w:hAnsi="宋体" w:cs="宋体"/>
                <w:color w:val="auto"/>
                <w:kern w:val="0"/>
                <w:szCs w:val="21"/>
                <w:highlight w:val="none"/>
              </w:rPr>
            </w:pPr>
          </w:p>
        </w:tc>
        <w:tc>
          <w:tcPr>
            <w:tcW w:w="1574" w:type="dxa"/>
            <w:noWrap w:val="0"/>
            <w:vAlign w:val="center"/>
          </w:tcPr>
          <w:p w14:paraId="1DF41A03">
            <w:pPr>
              <w:widowControl/>
              <w:adjustRightInd w:val="0"/>
              <w:snapToGrid w:val="0"/>
              <w:jc w:val="center"/>
              <w:rPr>
                <w:rFonts w:hint="eastAsia" w:ascii="宋体" w:hAnsi="宋体" w:cs="宋体"/>
                <w:color w:val="auto"/>
                <w:kern w:val="0"/>
                <w:szCs w:val="21"/>
                <w:highlight w:val="none"/>
              </w:rPr>
            </w:pPr>
          </w:p>
        </w:tc>
        <w:tc>
          <w:tcPr>
            <w:tcW w:w="921" w:type="dxa"/>
            <w:noWrap w:val="0"/>
            <w:vAlign w:val="center"/>
          </w:tcPr>
          <w:p w14:paraId="4C379FC0">
            <w:pPr>
              <w:widowControl/>
              <w:adjustRightInd w:val="0"/>
              <w:snapToGrid w:val="0"/>
              <w:jc w:val="center"/>
              <w:rPr>
                <w:rFonts w:hint="eastAsia" w:ascii="宋体" w:hAnsi="宋体" w:cs="宋体"/>
                <w:color w:val="auto"/>
                <w:kern w:val="0"/>
                <w:szCs w:val="21"/>
                <w:highlight w:val="none"/>
              </w:rPr>
            </w:pPr>
          </w:p>
        </w:tc>
        <w:tc>
          <w:tcPr>
            <w:tcW w:w="792" w:type="dxa"/>
            <w:noWrap w:val="0"/>
            <w:vAlign w:val="center"/>
          </w:tcPr>
          <w:p w14:paraId="61790F39">
            <w:pPr>
              <w:widowControl/>
              <w:adjustRightInd w:val="0"/>
              <w:snapToGrid w:val="0"/>
              <w:jc w:val="center"/>
              <w:rPr>
                <w:rFonts w:hint="eastAsia" w:ascii="宋体" w:hAnsi="宋体" w:cs="宋体"/>
                <w:color w:val="auto"/>
                <w:kern w:val="0"/>
                <w:szCs w:val="21"/>
                <w:highlight w:val="none"/>
              </w:rPr>
            </w:pPr>
          </w:p>
        </w:tc>
        <w:tc>
          <w:tcPr>
            <w:tcW w:w="1111" w:type="dxa"/>
            <w:noWrap w:val="0"/>
            <w:vAlign w:val="center"/>
          </w:tcPr>
          <w:p w14:paraId="2AA6F099">
            <w:pPr>
              <w:widowControl/>
              <w:jc w:val="center"/>
              <w:rPr>
                <w:rFonts w:hint="eastAsia" w:ascii="宋体" w:hAnsi="宋体" w:cs="宋体"/>
                <w:color w:val="auto"/>
                <w:kern w:val="0"/>
                <w:szCs w:val="21"/>
                <w:highlight w:val="none"/>
              </w:rPr>
            </w:pPr>
          </w:p>
        </w:tc>
        <w:tc>
          <w:tcPr>
            <w:tcW w:w="898" w:type="dxa"/>
            <w:noWrap w:val="0"/>
            <w:vAlign w:val="center"/>
          </w:tcPr>
          <w:p w14:paraId="3274B2DA">
            <w:pPr>
              <w:widowControl/>
              <w:jc w:val="center"/>
              <w:rPr>
                <w:rFonts w:hint="eastAsia" w:ascii="宋体" w:hAnsi="宋体" w:cs="宋体"/>
                <w:color w:val="auto"/>
                <w:kern w:val="0"/>
                <w:szCs w:val="21"/>
                <w:highlight w:val="none"/>
              </w:rPr>
            </w:pPr>
          </w:p>
        </w:tc>
        <w:tc>
          <w:tcPr>
            <w:tcW w:w="896" w:type="dxa"/>
            <w:noWrap w:val="0"/>
            <w:vAlign w:val="center"/>
          </w:tcPr>
          <w:p w14:paraId="10E94D94">
            <w:pPr>
              <w:widowControl/>
              <w:jc w:val="center"/>
              <w:rPr>
                <w:rFonts w:hint="eastAsia" w:ascii="宋体" w:hAnsi="宋体" w:cs="宋体"/>
                <w:color w:val="auto"/>
                <w:kern w:val="0"/>
                <w:szCs w:val="21"/>
                <w:highlight w:val="none"/>
              </w:rPr>
            </w:pPr>
          </w:p>
        </w:tc>
      </w:tr>
      <w:tr w14:paraId="0FD9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62" w:type="dxa"/>
            <w:noWrap w:val="0"/>
            <w:vAlign w:val="center"/>
          </w:tcPr>
          <w:p w14:paraId="55CD7CC8">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646" w:type="dxa"/>
            <w:noWrap w:val="0"/>
            <w:vAlign w:val="center"/>
          </w:tcPr>
          <w:p w14:paraId="176F6BC3">
            <w:pPr>
              <w:widowControl/>
              <w:adjustRightInd w:val="0"/>
              <w:snapToGrid w:val="0"/>
              <w:jc w:val="center"/>
              <w:rPr>
                <w:rFonts w:hint="eastAsia" w:ascii="宋体" w:hAnsi="宋体" w:cs="宋体"/>
                <w:color w:val="auto"/>
                <w:kern w:val="0"/>
                <w:szCs w:val="21"/>
                <w:highlight w:val="none"/>
              </w:rPr>
            </w:pPr>
          </w:p>
        </w:tc>
        <w:tc>
          <w:tcPr>
            <w:tcW w:w="1574" w:type="dxa"/>
            <w:noWrap w:val="0"/>
            <w:vAlign w:val="center"/>
          </w:tcPr>
          <w:p w14:paraId="7B7C2DAC">
            <w:pPr>
              <w:widowControl/>
              <w:adjustRightInd w:val="0"/>
              <w:snapToGrid w:val="0"/>
              <w:jc w:val="center"/>
              <w:rPr>
                <w:rFonts w:hint="eastAsia" w:ascii="宋体" w:hAnsi="宋体" w:cs="宋体"/>
                <w:color w:val="auto"/>
                <w:kern w:val="0"/>
                <w:szCs w:val="21"/>
                <w:highlight w:val="none"/>
              </w:rPr>
            </w:pPr>
          </w:p>
        </w:tc>
        <w:tc>
          <w:tcPr>
            <w:tcW w:w="921" w:type="dxa"/>
            <w:noWrap w:val="0"/>
            <w:vAlign w:val="center"/>
          </w:tcPr>
          <w:p w14:paraId="54A421CB">
            <w:pPr>
              <w:widowControl/>
              <w:adjustRightInd w:val="0"/>
              <w:snapToGrid w:val="0"/>
              <w:jc w:val="center"/>
              <w:rPr>
                <w:rFonts w:hint="eastAsia" w:ascii="宋体" w:hAnsi="宋体" w:cs="宋体"/>
                <w:color w:val="auto"/>
                <w:kern w:val="0"/>
                <w:szCs w:val="21"/>
                <w:highlight w:val="none"/>
              </w:rPr>
            </w:pPr>
          </w:p>
        </w:tc>
        <w:tc>
          <w:tcPr>
            <w:tcW w:w="792" w:type="dxa"/>
            <w:noWrap w:val="0"/>
            <w:vAlign w:val="center"/>
          </w:tcPr>
          <w:p w14:paraId="796A8D28">
            <w:pPr>
              <w:widowControl/>
              <w:adjustRightInd w:val="0"/>
              <w:snapToGrid w:val="0"/>
              <w:jc w:val="center"/>
              <w:rPr>
                <w:rFonts w:hint="eastAsia" w:ascii="宋体" w:hAnsi="宋体" w:cs="宋体"/>
                <w:color w:val="auto"/>
                <w:kern w:val="0"/>
                <w:szCs w:val="21"/>
                <w:highlight w:val="none"/>
              </w:rPr>
            </w:pPr>
          </w:p>
        </w:tc>
        <w:tc>
          <w:tcPr>
            <w:tcW w:w="1111" w:type="dxa"/>
            <w:noWrap w:val="0"/>
            <w:vAlign w:val="center"/>
          </w:tcPr>
          <w:p w14:paraId="0B1E1C74">
            <w:pPr>
              <w:widowControl/>
              <w:jc w:val="center"/>
              <w:rPr>
                <w:rFonts w:hint="eastAsia" w:ascii="宋体" w:hAnsi="宋体" w:cs="宋体"/>
                <w:color w:val="auto"/>
                <w:kern w:val="0"/>
                <w:szCs w:val="21"/>
                <w:highlight w:val="none"/>
              </w:rPr>
            </w:pPr>
          </w:p>
        </w:tc>
        <w:tc>
          <w:tcPr>
            <w:tcW w:w="898" w:type="dxa"/>
            <w:noWrap w:val="0"/>
            <w:vAlign w:val="center"/>
          </w:tcPr>
          <w:p w14:paraId="2BDD0EF7">
            <w:pPr>
              <w:widowControl/>
              <w:jc w:val="center"/>
              <w:rPr>
                <w:rFonts w:hint="eastAsia" w:ascii="宋体" w:hAnsi="宋体" w:cs="宋体"/>
                <w:color w:val="auto"/>
                <w:kern w:val="0"/>
                <w:szCs w:val="21"/>
                <w:highlight w:val="none"/>
              </w:rPr>
            </w:pPr>
          </w:p>
        </w:tc>
        <w:tc>
          <w:tcPr>
            <w:tcW w:w="896" w:type="dxa"/>
            <w:noWrap w:val="0"/>
            <w:vAlign w:val="center"/>
          </w:tcPr>
          <w:p w14:paraId="30EC15F2">
            <w:pPr>
              <w:widowControl/>
              <w:jc w:val="center"/>
              <w:rPr>
                <w:rFonts w:hint="eastAsia" w:ascii="宋体" w:hAnsi="宋体" w:cs="宋体"/>
                <w:color w:val="auto"/>
                <w:kern w:val="0"/>
                <w:szCs w:val="21"/>
                <w:highlight w:val="none"/>
              </w:rPr>
            </w:pPr>
          </w:p>
        </w:tc>
      </w:tr>
      <w:tr w14:paraId="41E9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62" w:type="dxa"/>
            <w:noWrap w:val="0"/>
            <w:vAlign w:val="center"/>
          </w:tcPr>
          <w:p w14:paraId="1C7CE54E">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646" w:type="dxa"/>
            <w:noWrap w:val="0"/>
            <w:vAlign w:val="center"/>
          </w:tcPr>
          <w:p w14:paraId="075BCA8D">
            <w:pPr>
              <w:widowControl/>
              <w:adjustRightInd w:val="0"/>
              <w:snapToGrid w:val="0"/>
              <w:jc w:val="center"/>
              <w:rPr>
                <w:rFonts w:hint="eastAsia" w:ascii="宋体" w:hAnsi="宋体" w:cs="宋体"/>
                <w:color w:val="auto"/>
                <w:kern w:val="0"/>
                <w:szCs w:val="21"/>
                <w:highlight w:val="none"/>
              </w:rPr>
            </w:pPr>
          </w:p>
        </w:tc>
        <w:tc>
          <w:tcPr>
            <w:tcW w:w="1574" w:type="dxa"/>
            <w:noWrap w:val="0"/>
            <w:vAlign w:val="center"/>
          </w:tcPr>
          <w:p w14:paraId="38F6E9AC">
            <w:pPr>
              <w:widowControl/>
              <w:adjustRightInd w:val="0"/>
              <w:snapToGrid w:val="0"/>
              <w:jc w:val="center"/>
              <w:rPr>
                <w:rFonts w:hint="eastAsia" w:ascii="宋体" w:hAnsi="宋体" w:cs="宋体"/>
                <w:color w:val="auto"/>
                <w:kern w:val="0"/>
                <w:szCs w:val="21"/>
                <w:highlight w:val="none"/>
              </w:rPr>
            </w:pPr>
          </w:p>
        </w:tc>
        <w:tc>
          <w:tcPr>
            <w:tcW w:w="921" w:type="dxa"/>
            <w:noWrap w:val="0"/>
            <w:vAlign w:val="center"/>
          </w:tcPr>
          <w:p w14:paraId="38EA3F0D">
            <w:pPr>
              <w:widowControl/>
              <w:adjustRightInd w:val="0"/>
              <w:snapToGrid w:val="0"/>
              <w:jc w:val="center"/>
              <w:rPr>
                <w:rFonts w:hint="eastAsia" w:ascii="宋体" w:hAnsi="宋体" w:cs="宋体"/>
                <w:color w:val="auto"/>
                <w:kern w:val="0"/>
                <w:szCs w:val="21"/>
                <w:highlight w:val="none"/>
              </w:rPr>
            </w:pPr>
          </w:p>
        </w:tc>
        <w:tc>
          <w:tcPr>
            <w:tcW w:w="792" w:type="dxa"/>
            <w:noWrap w:val="0"/>
            <w:vAlign w:val="center"/>
          </w:tcPr>
          <w:p w14:paraId="1BD87A92">
            <w:pPr>
              <w:widowControl/>
              <w:adjustRightInd w:val="0"/>
              <w:snapToGrid w:val="0"/>
              <w:jc w:val="center"/>
              <w:rPr>
                <w:rFonts w:hint="eastAsia" w:ascii="宋体" w:hAnsi="宋体" w:cs="宋体"/>
                <w:color w:val="auto"/>
                <w:kern w:val="0"/>
                <w:szCs w:val="21"/>
                <w:highlight w:val="none"/>
              </w:rPr>
            </w:pPr>
          </w:p>
        </w:tc>
        <w:tc>
          <w:tcPr>
            <w:tcW w:w="1111" w:type="dxa"/>
            <w:noWrap w:val="0"/>
            <w:vAlign w:val="center"/>
          </w:tcPr>
          <w:p w14:paraId="36C70709">
            <w:pPr>
              <w:widowControl/>
              <w:jc w:val="center"/>
              <w:rPr>
                <w:rFonts w:hint="eastAsia" w:ascii="宋体" w:hAnsi="宋体" w:cs="宋体"/>
                <w:color w:val="auto"/>
                <w:kern w:val="0"/>
                <w:szCs w:val="21"/>
                <w:highlight w:val="none"/>
              </w:rPr>
            </w:pPr>
          </w:p>
        </w:tc>
        <w:tc>
          <w:tcPr>
            <w:tcW w:w="898" w:type="dxa"/>
            <w:noWrap w:val="0"/>
            <w:vAlign w:val="center"/>
          </w:tcPr>
          <w:p w14:paraId="19102A78">
            <w:pPr>
              <w:widowControl/>
              <w:jc w:val="center"/>
              <w:rPr>
                <w:rFonts w:hint="eastAsia" w:ascii="宋体" w:hAnsi="宋体" w:cs="宋体"/>
                <w:color w:val="auto"/>
                <w:kern w:val="0"/>
                <w:szCs w:val="21"/>
                <w:highlight w:val="none"/>
              </w:rPr>
            </w:pPr>
          </w:p>
        </w:tc>
        <w:tc>
          <w:tcPr>
            <w:tcW w:w="896" w:type="dxa"/>
            <w:noWrap w:val="0"/>
            <w:vAlign w:val="center"/>
          </w:tcPr>
          <w:p w14:paraId="50FB9A05">
            <w:pPr>
              <w:widowControl/>
              <w:jc w:val="center"/>
              <w:rPr>
                <w:rFonts w:hint="eastAsia" w:ascii="宋体" w:hAnsi="宋体" w:cs="宋体"/>
                <w:color w:val="auto"/>
                <w:kern w:val="0"/>
                <w:szCs w:val="21"/>
                <w:highlight w:val="none"/>
              </w:rPr>
            </w:pPr>
          </w:p>
        </w:tc>
      </w:tr>
      <w:tr w14:paraId="21A4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62" w:type="dxa"/>
            <w:noWrap w:val="0"/>
            <w:vAlign w:val="center"/>
          </w:tcPr>
          <w:p w14:paraId="66458DE3">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646" w:type="dxa"/>
            <w:noWrap w:val="0"/>
            <w:vAlign w:val="center"/>
          </w:tcPr>
          <w:p w14:paraId="4D4C53BD">
            <w:pPr>
              <w:widowControl/>
              <w:adjustRightInd w:val="0"/>
              <w:snapToGrid w:val="0"/>
              <w:jc w:val="center"/>
              <w:rPr>
                <w:rFonts w:hint="eastAsia" w:ascii="宋体" w:hAnsi="宋体" w:cs="宋体"/>
                <w:color w:val="auto"/>
                <w:kern w:val="0"/>
                <w:szCs w:val="21"/>
                <w:highlight w:val="none"/>
              </w:rPr>
            </w:pPr>
          </w:p>
        </w:tc>
        <w:tc>
          <w:tcPr>
            <w:tcW w:w="1574" w:type="dxa"/>
            <w:noWrap w:val="0"/>
            <w:vAlign w:val="center"/>
          </w:tcPr>
          <w:p w14:paraId="6DB55473">
            <w:pPr>
              <w:widowControl/>
              <w:adjustRightInd w:val="0"/>
              <w:snapToGrid w:val="0"/>
              <w:jc w:val="center"/>
              <w:rPr>
                <w:rFonts w:hint="eastAsia" w:ascii="宋体" w:hAnsi="宋体" w:cs="宋体"/>
                <w:color w:val="auto"/>
                <w:kern w:val="0"/>
                <w:szCs w:val="21"/>
                <w:highlight w:val="none"/>
              </w:rPr>
            </w:pPr>
          </w:p>
        </w:tc>
        <w:tc>
          <w:tcPr>
            <w:tcW w:w="921" w:type="dxa"/>
            <w:noWrap w:val="0"/>
            <w:vAlign w:val="center"/>
          </w:tcPr>
          <w:p w14:paraId="69A146B9">
            <w:pPr>
              <w:widowControl/>
              <w:adjustRightInd w:val="0"/>
              <w:snapToGrid w:val="0"/>
              <w:jc w:val="center"/>
              <w:rPr>
                <w:rFonts w:hint="eastAsia" w:ascii="宋体" w:hAnsi="宋体" w:cs="宋体"/>
                <w:color w:val="auto"/>
                <w:kern w:val="0"/>
                <w:szCs w:val="21"/>
                <w:highlight w:val="none"/>
              </w:rPr>
            </w:pPr>
          </w:p>
        </w:tc>
        <w:tc>
          <w:tcPr>
            <w:tcW w:w="792" w:type="dxa"/>
            <w:noWrap w:val="0"/>
            <w:vAlign w:val="center"/>
          </w:tcPr>
          <w:p w14:paraId="7F27C56B">
            <w:pPr>
              <w:widowControl/>
              <w:adjustRightInd w:val="0"/>
              <w:snapToGrid w:val="0"/>
              <w:jc w:val="center"/>
              <w:rPr>
                <w:rFonts w:hint="eastAsia" w:ascii="宋体" w:hAnsi="宋体" w:cs="宋体"/>
                <w:color w:val="auto"/>
                <w:kern w:val="0"/>
                <w:szCs w:val="21"/>
                <w:highlight w:val="none"/>
              </w:rPr>
            </w:pPr>
          </w:p>
        </w:tc>
        <w:tc>
          <w:tcPr>
            <w:tcW w:w="1111" w:type="dxa"/>
            <w:noWrap w:val="0"/>
            <w:vAlign w:val="center"/>
          </w:tcPr>
          <w:p w14:paraId="3EA3387A">
            <w:pPr>
              <w:widowControl/>
              <w:jc w:val="center"/>
              <w:rPr>
                <w:rFonts w:hint="eastAsia" w:ascii="宋体" w:hAnsi="宋体" w:cs="宋体"/>
                <w:color w:val="auto"/>
                <w:kern w:val="0"/>
                <w:szCs w:val="21"/>
                <w:highlight w:val="none"/>
              </w:rPr>
            </w:pPr>
          </w:p>
        </w:tc>
        <w:tc>
          <w:tcPr>
            <w:tcW w:w="898" w:type="dxa"/>
            <w:noWrap w:val="0"/>
            <w:vAlign w:val="center"/>
          </w:tcPr>
          <w:p w14:paraId="0418F95B">
            <w:pPr>
              <w:widowControl/>
              <w:jc w:val="center"/>
              <w:rPr>
                <w:rFonts w:hint="eastAsia" w:ascii="宋体" w:hAnsi="宋体" w:cs="宋体"/>
                <w:color w:val="auto"/>
                <w:kern w:val="0"/>
                <w:szCs w:val="21"/>
                <w:highlight w:val="none"/>
              </w:rPr>
            </w:pPr>
          </w:p>
        </w:tc>
        <w:tc>
          <w:tcPr>
            <w:tcW w:w="896" w:type="dxa"/>
            <w:noWrap w:val="0"/>
            <w:vAlign w:val="center"/>
          </w:tcPr>
          <w:p w14:paraId="69CE9069">
            <w:pPr>
              <w:widowControl/>
              <w:jc w:val="center"/>
              <w:rPr>
                <w:rFonts w:hint="eastAsia" w:ascii="宋体" w:hAnsi="宋体" w:cs="宋体"/>
                <w:color w:val="auto"/>
                <w:kern w:val="0"/>
                <w:szCs w:val="21"/>
                <w:highlight w:val="none"/>
              </w:rPr>
            </w:pPr>
          </w:p>
        </w:tc>
      </w:tr>
      <w:tr w14:paraId="1A8A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600" w:type="dxa"/>
            <w:gridSpan w:val="8"/>
            <w:noWrap w:val="0"/>
            <w:vAlign w:val="center"/>
          </w:tcPr>
          <w:p w14:paraId="797B3422">
            <w:pPr>
              <w:widowControl/>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合计金额</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含税）</w:t>
            </w:r>
            <w:r>
              <w:rPr>
                <w:rFonts w:hint="eastAsia" w:ascii="宋体" w:hAnsi="宋体" w:cs="宋体"/>
                <w:b/>
                <w:color w:val="auto"/>
                <w:kern w:val="0"/>
                <w:szCs w:val="21"/>
                <w:highlight w:val="none"/>
              </w:rPr>
              <w:t>：</w:t>
            </w:r>
          </w:p>
        </w:tc>
      </w:tr>
    </w:tbl>
    <w:p w14:paraId="4036A9D1">
      <w:pPr>
        <w:pStyle w:val="54"/>
        <w:tabs>
          <w:tab w:val="center" w:pos="4201"/>
          <w:tab w:val="right" w:leader="dot" w:pos="9298"/>
        </w:tabs>
        <w:ind w:firstLine="420"/>
        <w:rPr>
          <w:rFonts w:hint="default" w:hAnsi="宋体" w:eastAsia="宋体" w:cs="宋体"/>
          <w:color w:val="auto"/>
          <w:highlight w:val="none"/>
          <w:lang w:val="en-US" w:eastAsia="zh-CN"/>
        </w:rPr>
      </w:pPr>
      <w:r>
        <w:rPr>
          <w:rFonts w:hint="eastAsia" w:hAnsi="宋体" w:eastAsia="宋体" w:cs="宋体"/>
          <w:color w:val="auto"/>
          <w:highlight w:val="none"/>
          <w:lang w:val="en-US" w:eastAsia="zh-CN"/>
        </w:rPr>
        <w:t>配置清单</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0"/>
        <w:gridCol w:w="4143"/>
        <w:gridCol w:w="1785"/>
        <w:gridCol w:w="1761"/>
      </w:tblGrid>
      <w:tr w14:paraId="47A37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055BA4FF">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序号</w:t>
            </w:r>
          </w:p>
        </w:tc>
        <w:tc>
          <w:tcPr>
            <w:tcW w:w="4143" w:type="dxa"/>
            <w:tcBorders>
              <w:top w:val="single" w:color="000000" w:sz="4" w:space="0"/>
              <w:left w:val="single" w:color="000000" w:sz="4" w:space="0"/>
              <w:bottom w:val="single" w:color="000000" w:sz="4" w:space="0"/>
              <w:right w:val="single" w:color="000000" w:sz="4" w:space="0"/>
            </w:tcBorders>
            <w:noWrap w:val="0"/>
            <w:vAlign w:val="top"/>
          </w:tcPr>
          <w:p w14:paraId="1745C42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货物名称（原厂全新）</w:t>
            </w: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286E15FE">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单位</w:t>
            </w:r>
          </w:p>
        </w:tc>
        <w:tc>
          <w:tcPr>
            <w:tcW w:w="1761" w:type="dxa"/>
            <w:tcBorders>
              <w:top w:val="single" w:color="000000" w:sz="4" w:space="0"/>
              <w:left w:val="single" w:color="000000" w:sz="4" w:space="0"/>
              <w:bottom w:val="single" w:color="000000" w:sz="4" w:space="0"/>
              <w:right w:val="single" w:color="000000" w:sz="4" w:space="0"/>
            </w:tcBorders>
            <w:noWrap w:val="0"/>
            <w:vAlign w:val="top"/>
          </w:tcPr>
          <w:p w14:paraId="28E6EE54">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数量（每套）</w:t>
            </w:r>
          </w:p>
        </w:tc>
      </w:tr>
      <w:tr w14:paraId="3AB2F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6CDB91D6">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1</w:t>
            </w:r>
          </w:p>
        </w:tc>
        <w:tc>
          <w:tcPr>
            <w:tcW w:w="4143" w:type="dxa"/>
            <w:tcBorders>
              <w:top w:val="single" w:color="000000" w:sz="4" w:space="0"/>
              <w:left w:val="single" w:color="000000" w:sz="4" w:space="0"/>
              <w:bottom w:val="single" w:color="000000" w:sz="4" w:space="0"/>
              <w:right w:val="single" w:color="000000" w:sz="4" w:space="0"/>
            </w:tcBorders>
            <w:noWrap w:val="0"/>
            <w:vAlign w:val="top"/>
          </w:tcPr>
          <w:p w14:paraId="3239A9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0367BAE8">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p>
        </w:tc>
        <w:tc>
          <w:tcPr>
            <w:tcW w:w="1761" w:type="dxa"/>
            <w:tcBorders>
              <w:top w:val="single" w:color="000000" w:sz="4" w:space="0"/>
              <w:left w:val="single" w:color="000000" w:sz="4" w:space="0"/>
              <w:bottom w:val="single" w:color="000000" w:sz="4" w:space="0"/>
              <w:right w:val="single" w:color="000000" w:sz="4" w:space="0"/>
            </w:tcBorders>
            <w:noWrap w:val="0"/>
            <w:vAlign w:val="top"/>
          </w:tcPr>
          <w:p w14:paraId="011A7F04">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p>
        </w:tc>
      </w:tr>
      <w:tr w14:paraId="131FD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0AABCD95">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2</w:t>
            </w:r>
          </w:p>
        </w:tc>
        <w:tc>
          <w:tcPr>
            <w:tcW w:w="4143" w:type="dxa"/>
            <w:tcBorders>
              <w:top w:val="single" w:color="000000" w:sz="4" w:space="0"/>
              <w:left w:val="single" w:color="000000" w:sz="4" w:space="0"/>
              <w:bottom w:val="single" w:color="000000" w:sz="4" w:space="0"/>
              <w:right w:val="single" w:color="000000" w:sz="4" w:space="0"/>
            </w:tcBorders>
            <w:noWrap w:val="0"/>
            <w:vAlign w:val="top"/>
          </w:tcPr>
          <w:p w14:paraId="428224F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08A09A01">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p>
        </w:tc>
        <w:tc>
          <w:tcPr>
            <w:tcW w:w="1761" w:type="dxa"/>
            <w:tcBorders>
              <w:top w:val="single" w:color="000000" w:sz="4" w:space="0"/>
              <w:left w:val="single" w:color="000000" w:sz="4" w:space="0"/>
              <w:bottom w:val="single" w:color="000000" w:sz="4" w:space="0"/>
              <w:right w:val="single" w:color="000000" w:sz="4" w:space="0"/>
            </w:tcBorders>
            <w:noWrap w:val="0"/>
            <w:vAlign w:val="top"/>
          </w:tcPr>
          <w:p w14:paraId="4DA494BE">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p>
        </w:tc>
      </w:tr>
      <w:tr w14:paraId="4E14D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004409CB">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3</w:t>
            </w:r>
          </w:p>
        </w:tc>
        <w:tc>
          <w:tcPr>
            <w:tcW w:w="4143" w:type="dxa"/>
            <w:tcBorders>
              <w:top w:val="single" w:color="000000" w:sz="4" w:space="0"/>
              <w:left w:val="single" w:color="000000" w:sz="4" w:space="0"/>
              <w:bottom w:val="single" w:color="000000" w:sz="4" w:space="0"/>
              <w:right w:val="single" w:color="000000" w:sz="4" w:space="0"/>
            </w:tcBorders>
            <w:noWrap w:val="0"/>
            <w:vAlign w:val="top"/>
          </w:tcPr>
          <w:p w14:paraId="0355A0F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40C1A7C1">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p>
        </w:tc>
        <w:tc>
          <w:tcPr>
            <w:tcW w:w="1761" w:type="dxa"/>
            <w:tcBorders>
              <w:top w:val="single" w:color="000000" w:sz="4" w:space="0"/>
              <w:left w:val="single" w:color="000000" w:sz="4" w:space="0"/>
              <w:bottom w:val="single" w:color="000000" w:sz="4" w:space="0"/>
              <w:right w:val="single" w:color="000000" w:sz="4" w:space="0"/>
            </w:tcBorders>
            <w:noWrap w:val="0"/>
            <w:vAlign w:val="top"/>
          </w:tcPr>
          <w:p w14:paraId="4F6FA48B">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p>
        </w:tc>
      </w:tr>
      <w:tr w14:paraId="2F5AA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7ECEA6EB">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4</w:t>
            </w:r>
          </w:p>
        </w:tc>
        <w:tc>
          <w:tcPr>
            <w:tcW w:w="4143" w:type="dxa"/>
            <w:tcBorders>
              <w:top w:val="single" w:color="000000" w:sz="4" w:space="0"/>
              <w:left w:val="single" w:color="000000" w:sz="4" w:space="0"/>
              <w:bottom w:val="single" w:color="000000" w:sz="4" w:space="0"/>
              <w:right w:val="single" w:color="000000" w:sz="4" w:space="0"/>
            </w:tcBorders>
            <w:noWrap w:val="0"/>
            <w:vAlign w:val="top"/>
          </w:tcPr>
          <w:p w14:paraId="66CDCA2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4327DEAA">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p>
        </w:tc>
        <w:tc>
          <w:tcPr>
            <w:tcW w:w="1761" w:type="dxa"/>
            <w:tcBorders>
              <w:top w:val="single" w:color="000000" w:sz="4" w:space="0"/>
              <w:left w:val="single" w:color="000000" w:sz="4" w:space="0"/>
              <w:bottom w:val="single" w:color="000000" w:sz="4" w:space="0"/>
              <w:right w:val="single" w:color="000000" w:sz="4" w:space="0"/>
            </w:tcBorders>
            <w:noWrap w:val="0"/>
            <w:vAlign w:val="top"/>
          </w:tcPr>
          <w:p w14:paraId="19F562BA">
            <w:pPr>
              <w:pStyle w:val="39"/>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p>
        </w:tc>
      </w:tr>
    </w:tbl>
    <w:p w14:paraId="5403B7B1">
      <w:pPr>
        <w:adjustRightInd w:val="0"/>
        <w:snapToGrid w:val="0"/>
        <w:spacing w:line="360" w:lineRule="auto"/>
        <w:rPr>
          <w:rFonts w:hint="eastAsia" w:ascii="宋体" w:hAnsi="宋体" w:cs="宋体"/>
          <w:b/>
          <w:color w:val="auto"/>
          <w:highlight w:val="none"/>
        </w:rPr>
      </w:pPr>
    </w:p>
    <w:p w14:paraId="2A22D583">
      <w:pPr>
        <w:adjustRightInd w:val="0"/>
        <w:snapToGrid w:val="0"/>
        <w:spacing w:line="360" w:lineRule="auto"/>
        <w:rPr>
          <w:rFonts w:hint="eastAsia" w:ascii="宋体" w:hAnsi="宋体" w:cs="宋体"/>
          <w:b/>
          <w:color w:val="auto"/>
          <w:highlight w:val="none"/>
        </w:rPr>
      </w:pPr>
      <w:r>
        <w:rPr>
          <w:rFonts w:hint="eastAsia" w:ascii="宋体" w:hAnsi="宋体" w:cs="宋体"/>
          <w:b/>
          <w:color w:val="auto"/>
          <w:highlight w:val="none"/>
        </w:rPr>
        <w:t>二、下列文件为本合同不可分割部分：</w:t>
      </w:r>
    </w:p>
    <w:p w14:paraId="4E64FD1F">
      <w:pPr>
        <w:pStyle w:val="23"/>
        <w:adjustRightInd w:val="0"/>
        <w:snapToGrid w:val="0"/>
        <w:spacing w:line="360" w:lineRule="auto"/>
        <w:ind w:firstLine="420" w:firstLineChars="200"/>
        <w:rPr>
          <w:rFonts w:hint="eastAsia" w:eastAsia="宋体" w:cs="宋体"/>
          <w:b w:val="0"/>
          <w:bCs w:val="0"/>
          <w:color w:val="auto"/>
          <w:sz w:val="21"/>
          <w:szCs w:val="24"/>
          <w:highlight w:val="none"/>
        </w:rPr>
      </w:pPr>
      <w:r>
        <w:rPr>
          <w:rFonts w:hint="eastAsia" w:eastAsia="宋体" w:cs="宋体"/>
          <w:b w:val="0"/>
          <w:bCs w:val="0"/>
          <w:color w:val="auto"/>
          <w:sz w:val="21"/>
          <w:szCs w:val="24"/>
          <w:highlight w:val="none"/>
        </w:rPr>
        <w:t>（一）</w:t>
      </w:r>
      <w:r>
        <w:rPr>
          <w:rFonts w:hint="eastAsia" w:eastAsia="宋体" w:cs="宋体"/>
          <w:b w:val="0"/>
          <w:bCs w:val="0"/>
          <w:color w:val="auto"/>
          <w:sz w:val="21"/>
          <w:szCs w:val="24"/>
          <w:highlight w:val="none"/>
          <w:lang w:val="en-US" w:eastAsia="zh-CN"/>
        </w:rPr>
        <w:t>成交</w:t>
      </w:r>
      <w:r>
        <w:rPr>
          <w:rFonts w:hint="eastAsia" w:eastAsia="宋体" w:cs="宋体"/>
          <w:b w:val="0"/>
          <w:bCs w:val="0"/>
          <w:color w:val="auto"/>
          <w:sz w:val="21"/>
          <w:szCs w:val="24"/>
          <w:highlight w:val="none"/>
        </w:rPr>
        <w:t>通知书；</w:t>
      </w:r>
    </w:p>
    <w:p w14:paraId="33C45655">
      <w:pPr>
        <w:pStyle w:val="23"/>
        <w:adjustRightInd w:val="0"/>
        <w:snapToGrid w:val="0"/>
        <w:spacing w:line="360" w:lineRule="auto"/>
        <w:ind w:firstLine="420" w:firstLineChars="200"/>
        <w:rPr>
          <w:rFonts w:hint="eastAsia" w:eastAsia="宋体" w:cs="宋体"/>
          <w:b w:val="0"/>
          <w:bCs w:val="0"/>
          <w:color w:val="auto"/>
          <w:sz w:val="21"/>
          <w:szCs w:val="24"/>
          <w:highlight w:val="none"/>
        </w:rPr>
      </w:pPr>
      <w:r>
        <w:rPr>
          <w:rFonts w:hint="eastAsia" w:eastAsia="宋体" w:cs="宋体"/>
          <w:b w:val="0"/>
          <w:bCs w:val="0"/>
          <w:color w:val="auto"/>
          <w:sz w:val="21"/>
          <w:szCs w:val="24"/>
          <w:highlight w:val="none"/>
        </w:rPr>
        <w:t>（二）</w:t>
      </w:r>
      <w:r>
        <w:rPr>
          <w:rFonts w:hint="eastAsia" w:eastAsia="宋体" w:cs="宋体"/>
          <w:b w:val="0"/>
          <w:bCs w:val="0"/>
          <w:color w:val="auto"/>
          <w:sz w:val="21"/>
          <w:szCs w:val="24"/>
          <w:highlight w:val="none"/>
          <w:lang w:val="en-US" w:eastAsia="zh-CN"/>
        </w:rPr>
        <w:t>谈判采购</w:t>
      </w:r>
      <w:r>
        <w:rPr>
          <w:rFonts w:hint="eastAsia" w:eastAsia="宋体" w:cs="宋体"/>
          <w:b w:val="0"/>
          <w:bCs w:val="0"/>
          <w:color w:val="auto"/>
          <w:sz w:val="21"/>
          <w:szCs w:val="24"/>
          <w:highlight w:val="none"/>
        </w:rPr>
        <w:t>文件、技术要求及补充通知（如有）；</w:t>
      </w:r>
    </w:p>
    <w:p w14:paraId="38F6FB6F">
      <w:pPr>
        <w:pStyle w:val="23"/>
        <w:adjustRightInd w:val="0"/>
        <w:snapToGrid w:val="0"/>
        <w:spacing w:line="360" w:lineRule="auto"/>
        <w:ind w:firstLine="420" w:firstLineChars="200"/>
        <w:rPr>
          <w:rFonts w:hint="eastAsia" w:eastAsia="宋体" w:cs="宋体"/>
          <w:b w:val="0"/>
          <w:bCs w:val="0"/>
          <w:color w:val="auto"/>
          <w:sz w:val="21"/>
          <w:szCs w:val="24"/>
          <w:highlight w:val="none"/>
        </w:rPr>
      </w:pPr>
      <w:r>
        <w:rPr>
          <w:rFonts w:hint="eastAsia" w:eastAsia="宋体" w:cs="宋体"/>
          <w:b w:val="0"/>
          <w:bCs w:val="0"/>
          <w:color w:val="auto"/>
          <w:sz w:val="21"/>
          <w:szCs w:val="24"/>
          <w:highlight w:val="none"/>
        </w:rPr>
        <w:t>（三）</w:t>
      </w:r>
      <w:r>
        <w:rPr>
          <w:rFonts w:hint="eastAsia" w:eastAsia="宋体" w:cs="宋体"/>
          <w:b w:val="0"/>
          <w:bCs w:val="0"/>
          <w:color w:val="auto"/>
          <w:sz w:val="21"/>
          <w:szCs w:val="24"/>
          <w:highlight w:val="none"/>
          <w:lang w:val="en-US" w:eastAsia="zh-CN"/>
        </w:rPr>
        <w:t>成交</w:t>
      </w:r>
      <w:r>
        <w:rPr>
          <w:rFonts w:hint="eastAsia" w:eastAsia="宋体" w:cs="宋体"/>
          <w:b w:val="0"/>
          <w:bCs w:val="0"/>
          <w:color w:val="auto"/>
          <w:sz w:val="21"/>
          <w:szCs w:val="24"/>
          <w:highlight w:val="none"/>
        </w:rPr>
        <w:t>文件和其它承诺、书面澄清等；</w:t>
      </w:r>
    </w:p>
    <w:p w14:paraId="0C52B7D4">
      <w:pPr>
        <w:pStyle w:val="23"/>
        <w:adjustRightInd w:val="0"/>
        <w:snapToGrid w:val="0"/>
        <w:spacing w:line="360" w:lineRule="auto"/>
        <w:ind w:firstLine="420" w:firstLineChars="200"/>
        <w:rPr>
          <w:rFonts w:hint="eastAsia" w:eastAsia="宋体" w:cs="宋体"/>
          <w:b w:val="0"/>
          <w:bCs w:val="0"/>
          <w:color w:val="auto"/>
          <w:sz w:val="21"/>
          <w:szCs w:val="24"/>
          <w:highlight w:val="none"/>
        </w:rPr>
      </w:pPr>
      <w:r>
        <w:rPr>
          <w:rFonts w:hint="eastAsia" w:eastAsia="宋体" w:cs="宋体"/>
          <w:b w:val="0"/>
          <w:bCs w:val="0"/>
          <w:color w:val="auto"/>
          <w:sz w:val="21"/>
          <w:szCs w:val="24"/>
          <w:highlight w:val="none"/>
        </w:rPr>
        <w:t>（四）技术文件；</w:t>
      </w:r>
    </w:p>
    <w:p w14:paraId="5464A2F8">
      <w:pPr>
        <w:pStyle w:val="23"/>
        <w:adjustRightInd w:val="0"/>
        <w:snapToGrid w:val="0"/>
        <w:spacing w:line="360" w:lineRule="auto"/>
        <w:ind w:firstLine="420" w:firstLineChars="200"/>
        <w:rPr>
          <w:rFonts w:hint="eastAsia" w:eastAsia="宋体" w:cs="宋体"/>
          <w:bCs/>
          <w:color w:val="auto"/>
          <w:sz w:val="21"/>
          <w:szCs w:val="24"/>
          <w:highlight w:val="none"/>
        </w:rPr>
      </w:pPr>
      <w:r>
        <w:rPr>
          <w:rFonts w:hint="eastAsia" w:eastAsia="宋体" w:cs="宋体"/>
          <w:b w:val="0"/>
          <w:bCs w:val="0"/>
          <w:color w:val="auto"/>
          <w:sz w:val="21"/>
          <w:szCs w:val="24"/>
          <w:highlight w:val="none"/>
        </w:rPr>
        <w:t>（五）其他约定文件等。</w:t>
      </w:r>
    </w:p>
    <w:p w14:paraId="384D0AD6">
      <w:pPr>
        <w:pStyle w:val="23"/>
        <w:adjustRightInd w:val="0"/>
        <w:snapToGrid w:val="0"/>
        <w:spacing w:line="360" w:lineRule="auto"/>
        <w:rPr>
          <w:rFonts w:hint="eastAsia" w:eastAsia="宋体" w:cs="宋体"/>
          <w:b/>
          <w:color w:val="auto"/>
          <w:sz w:val="21"/>
          <w:szCs w:val="24"/>
          <w:highlight w:val="none"/>
        </w:rPr>
      </w:pPr>
      <w:r>
        <w:rPr>
          <w:rFonts w:hint="eastAsia" w:eastAsia="宋体" w:cs="宋体"/>
          <w:bCs/>
          <w:color w:val="auto"/>
          <w:sz w:val="21"/>
          <w:szCs w:val="24"/>
          <w:highlight w:val="none"/>
        </w:rPr>
        <w:t>三、</w:t>
      </w:r>
      <w:r>
        <w:rPr>
          <w:rFonts w:hint="eastAsia" w:eastAsia="宋体" w:cs="宋体"/>
          <w:b/>
          <w:color w:val="auto"/>
          <w:sz w:val="21"/>
          <w:szCs w:val="24"/>
          <w:highlight w:val="none"/>
        </w:rPr>
        <w:t xml:space="preserve">合同价格与支付：  </w:t>
      </w:r>
    </w:p>
    <w:p w14:paraId="7E6B8F55">
      <w:pPr>
        <w:tabs>
          <w:tab w:val="left" w:pos="630"/>
        </w:tabs>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本合同价格为</w:t>
      </w:r>
      <w:r>
        <w:rPr>
          <w:rFonts w:hint="eastAsia" w:ascii="宋体" w:hAnsi="宋体" w:cs="宋体"/>
          <w:color w:val="auto"/>
          <w:szCs w:val="28"/>
          <w:highlight w:val="none"/>
        </w:rPr>
        <w:t>项目所在地</w:t>
      </w:r>
      <w:r>
        <w:rPr>
          <w:rFonts w:hint="eastAsia" w:ascii="宋体" w:hAnsi="宋体" w:cs="宋体"/>
          <w:color w:val="auto"/>
          <w:highlight w:val="none"/>
        </w:rPr>
        <w:t>含税价，本合同价格按人民币结算。</w:t>
      </w:r>
    </w:p>
    <w:p w14:paraId="209618B7">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本合同总价为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含税）</w:t>
      </w:r>
      <w:r>
        <w:rPr>
          <w:rFonts w:hint="eastAsia" w:ascii="宋体" w:hAnsi="宋体" w:cs="宋体"/>
          <w:color w:val="auto"/>
          <w:highlight w:val="none"/>
        </w:rPr>
        <w:t>：</w:t>
      </w:r>
      <w:r>
        <w:rPr>
          <w:rFonts w:hint="eastAsia" w:ascii="宋体" w:hAnsi="宋体" w:cs="宋体"/>
          <w:b/>
          <w:color w:val="auto"/>
          <w:szCs w:val="21"/>
          <w:highlight w:val="none"/>
          <w:u w:val="single"/>
        </w:rPr>
        <w:t xml:space="preserve">         （￥    ）</w:t>
      </w:r>
      <w:r>
        <w:rPr>
          <w:rFonts w:hint="eastAsia" w:ascii="宋体" w:hAnsi="宋体" w:cs="宋体"/>
          <w:color w:val="auto"/>
          <w:highlight w:val="none"/>
        </w:rPr>
        <w:t>，合同总价包括但不限于本合同所涉全部货物、辅助材料、安装、调试、培训、验收、人工、机械、运输、仓储、保险、运费、采购代理服务费、各种税费、劳保、专利技术及质保期间等一切费用；</w:t>
      </w:r>
      <w:r>
        <w:rPr>
          <w:rFonts w:hint="eastAsia"/>
          <w:color w:val="auto"/>
          <w:highlight w:val="none"/>
        </w:rPr>
        <w:t>与医院现有</w:t>
      </w:r>
      <w:r>
        <w:rPr>
          <w:rFonts w:hint="eastAsia" w:ascii="Calibri" w:hAnsi="Calibri"/>
          <w:color w:val="auto"/>
          <w:highlight w:val="none"/>
          <w:lang w:bidi="ar"/>
        </w:rPr>
        <w:t>护理系统对接费；</w:t>
      </w:r>
      <w:r>
        <w:rPr>
          <w:rFonts w:hint="eastAsia" w:ascii="宋体" w:hAnsi="宋体" w:cs="宋体"/>
          <w:color w:val="auto"/>
          <w:kern w:val="0"/>
          <w:szCs w:val="21"/>
          <w:highlight w:val="none"/>
        </w:rPr>
        <w:t>医院平台各系统（如HIS系统、LIS系统、PACS系统等）的接口费用（如有）；与现有/后期设备对接等（如有）；甲方无须支付其他任何费用</w:t>
      </w:r>
      <w:r>
        <w:rPr>
          <w:rFonts w:hint="eastAsia" w:ascii="宋体" w:hAnsi="宋体" w:cs="宋体"/>
          <w:color w:val="auto"/>
          <w:highlight w:val="none"/>
        </w:rPr>
        <w:t xml:space="preserve">。同时，除非合同条款中另有规定，否则乙方所报价格在合同实施期间不因市场变化因素而变动。 </w:t>
      </w:r>
    </w:p>
    <w:p w14:paraId="4D9BE830">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3.根据现行税法对乙方征收的与本合同有关的一切税费均由乙方承担。</w:t>
      </w:r>
    </w:p>
    <w:p w14:paraId="2C896822">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4、付款步骤：（由乙方进行勾选）</w:t>
      </w:r>
    </w:p>
    <w:p w14:paraId="7A1BD35E">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A、□在签订合同时，乙方明确表示需要甲方支付预付款的</w:t>
      </w:r>
    </w:p>
    <w:p w14:paraId="78734FBF">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采购合同签订生效后，甲方在10个工作日内向乙方支付合同金额30%的预付款。待全部货物到达甲方指定地点，经验收合格，并向甲方提供下列单据（A、B）后30日内，由甲方向</w:t>
      </w:r>
      <w:r>
        <w:rPr>
          <w:rFonts w:hint="eastAsia" w:ascii="宋体" w:hAnsi="宋体" w:eastAsia="宋体" w:cs="宋体"/>
          <w:color w:val="auto"/>
          <w:sz w:val="21"/>
          <w:szCs w:val="21"/>
          <w:highlight w:val="none"/>
        </w:rPr>
        <w:t>乙方一次性付至合同总价90%，设备</w:t>
      </w:r>
      <w:r>
        <w:rPr>
          <w:rFonts w:hint="eastAsia" w:ascii="宋体" w:hAnsi="宋体" w:eastAsia="宋体" w:cs="宋体"/>
          <w:color w:val="auto"/>
          <w:sz w:val="21"/>
          <w:szCs w:val="21"/>
          <w:highlight w:val="none"/>
          <w:lang w:val="zh-CN"/>
        </w:rPr>
        <w:t>验收合格满一年，无质量问题，</w:t>
      </w:r>
      <w:r>
        <w:rPr>
          <w:rFonts w:hint="eastAsia" w:ascii="宋体" w:hAnsi="宋体" w:eastAsia="宋体" w:cs="宋体"/>
          <w:color w:val="auto"/>
          <w:sz w:val="21"/>
          <w:szCs w:val="21"/>
          <w:highlight w:val="none"/>
        </w:rPr>
        <w:t>甲方在</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日内向乙方一</w:t>
      </w:r>
      <w:r>
        <w:rPr>
          <w:rFonts w:hint="eastAsia" w:ascii="宋体" w:hAnsi="宋体" w:eastAsia="宋体" w:cs="宋体"/>
          <w:color w:val="auto"/>
          <w:highlight w:val="none"/>
          <w:lang w:val="en-US" w:eastAsia="zh-CN"/>
        </w:rPr>
        <w:t>次性付至合同总价95%，余5%在质保期满后无质量问题由甲方在30日内向乙方一次性付清。</w:t>
      </w:r>
    </w:p>
    <w:p w14:paraId="651514E8">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B、□在签订合同时，乙方明确表示无需甲方支付预付款的</w:t>
      </w:r>
    </w:p>
    <w:p w14:paraId="022627CD">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采购合同签订生效后，待全部货物到达甲方指定地点，经验收合格，并向甲方提供下列单据（A、B）后30日内，由甲方向乙方一次性付至合同总价90%，设备</w:t>
      </w:r>
      <w:r>
        <w:rPr>
          <w:rFonts w:hint="eastAsia" w:ascii="宋体" w:hAnsi="宋体" w:eastAsia="宋体" w:cs="宋体"/>
          <w:color w:val="auto"/>
          <w:highlight w:val="none"/>
          <w:lang w:val="zh-CN" w:eastAsia="zh-CN"/>
        </w:rPr>
        <w:t>验收合格满一年，无质量问题，</w:t>
      </w:r>
      <w:r>
        <w:rPr>
          <w:rFonts w:hint="eastAsia" w:ascii="宋体" w:hAnsi="宋体" w:eastAsia="宋体" w:cs="宋体"/>
          <w:color w:val="auto"/>
          <w:highlight w:val="none"/>
          <w:lang w:val="en-US" w:eastAsia="zh-CN"/>
        </w:rPr>
        <w:t>甲方在30日内向乙方一次性付至合同总价95%，余5%在质保期满后无质量问题由甲方在30日内向乙方一次性付清。</w:t>
      </w:r>
    </w:p>
    <w:p w14:paraId="549020A3">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（A）采购人、成交供应商和招标代理机构签章认可的《政府采购履约验收书》。</w:t>
      </w:r>
    </w:p>
    <w:p w14:paraId="0BE23B4E">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（B）合格销售发票。</w:t>
      </w:r>
    </w:p>
    <w:p w14:paraId="1B76A333">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付款方式：银行汇票或转帐支票。</w:t>
      </w:r>
    </w:p>
    <w:p w14:paraId="2A6A7222">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5、履约保证金：</w:t>
      </w:r>
    </w:p>
    <w:p w14:paraId="0B9BECBD">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A、乙方应在本合同签订前，向甲方缴纳合同金额的10%作为履约保证金（在签订合同时乙方明确表示无需甲方支付预付款的，则无需缴纳履约保证金）。</w:t>
      </w:r>
    </w:p>
    <w:p w14:paraId="5C28F7A6">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B、如果乙方未能履行合同规定的一项或多项义务，甲方有权从履约保证金中取得补偿，履约保证金不足的，乙方需补足。</w:t>
      </w:r>
    </w:p>
    <w:p w14:paraId="4F5DFEC4">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C、履约保证金（无息）将在验收合格满一年后后由保证收取单位（甲方）全额退回。</w:t>
      </w:r>
    </w:p>
    <w:p w14:paraId="267EA562">
      <w:pPr>
        <w:pStyle w:val="16"/>
        <w:rPr>
          <w:rFonts w:hint="eastAsia"/>
          <w:color w:val="auto"/>
          <w:highlight w:val="none"/>
        </w:rPr>
      </w:pPr>
    </w:p>
    <w:p w14:paraId="7B33109A">
      <w:pPr>
        <w:kinsoku w:val="0"/>
        <w:overflowPunct w:val="0"/>
        <w:autoSpaceDE w:val="0"/>
        <w:autoSpaceDN w:val="0"/>
        <w:adjustRightInd w:val="0"/>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四、交付时间、地点： </w:t>
      </w:r>
    </w:p>
    <w:p w14:paraId="4C5D9176">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1、交货时间：合同签订生效之后30天内交货并安装调试结束。</w:t>
      </w:r>
    </w:p>
    <w:p w14:paraId="658752F8">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2、交货地点：苏州市第九人民医院，具体按照甲方指定地点。</w:t>
      </w:r>
    </w:p>
    <w:p w14:paraId="51F2A4A4">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3、货物交货时，包装须完整无破损，乙方还必须提供以下材料：</w:t>
      </w:r>
    </w:p>
    <w:p w14:paraId="5077C663">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A、货物装箱清单 </w:t>
      </w:r>
    </w:p>
    <w:p w14:paraId="7612EACD">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B、合格证（国产设备必须提供）    </w:t>
      </w:r>
    </w:p>
    <w:p w14:paraId="648B6135">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C、报关单&amp;商检单（进口设备）等证明标的物合法、合规来源的证明文件</w:t>
      </w:r>
    </w:p>
    <w:p w14:paraId="18151019">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D、医疗器械注册证</w:t>
      </w:r>
    </w:p>
    <w:p w14:paraId="34D94AA7">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E、培训单          </w:t>
      </w:r>
    </w:p>
    <w:p w14:paraId="55F07C99">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F、质量检验合格文件（计量合格证）</w:t>
      </w:r>
    </w:p>
    <w:p w14:paraId="6468A747">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G、中英文技术资料                 </w:t>
      </w:r>
    </w:p>
    <w:p w14:paraId="602104A5">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H、使用维修保养中文说明书</w:t>
      </w:r>
    </w:p>
    <w:p w14:paraId="593D3981">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I、其它必备材料和必备工具等       </w:t>
      </w:r>
    </w:p>
    <w:p w14:paraId="5F55A330">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J、保修单等其它必须材料</w:t>
      </w:r>
    </w:p>
    <w:p w14:paraId="6403965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乙方须在交货时向甲方出具满足质保期要求的原厂质保证明文件，否则甲方有权终止合同并由乙方承担因此带来的一切损失。</w:t>
      </w:r>
    </w:p>
    <w:p w14:paraId="295F3DB3">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五、质量</w:t>
      </w:r>
      <w:r>
        <w:rPr>
          <w:rFonts w:hint="eastAsia" w:ascii="宋体" w:hAnsi="宋体" w:cs="宋体"/>
          <w:b/>
          <w:color w:val="auto"/>
          <w:szCs w:val="21"/>
          <w:highlight w:val="none"/>
          <w:lang w:val="en-US" w:eastAsia="zh-CN"/>
        </w:rPr>
        <w:t>及</w:t>
      </w:r>
      <w:r>
        <w:rPr>
          <w:rFonts w:hint="eastAsia" w:ascii="宋体" w:hAnsi="宋体" w:cs="宋体"/>
          <w:b/>
          <w:color w:val="auto"/>
          <w:szCs w:val="21"/>
          <w:highlight w:val="none"/>
        </w:rPr>
        <w:t>验收：</w:t>
      </w:r>
    </w:p>
    <w:p w14:paraId="4F87B1FC">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olor w:val="auto"/>
          <w:szCs w:val="21"/>
          <w:highlight w:val="none"/>
          <w:lang w:val="en-US" w:eastAsia="zh-CN"/>
        </w:rPr>
        <w:t>设备</w:t>
      </w:r>
      <w:r>
        <w:rPr>
          <w:rFonts w:hint="eastAsia" w:ascii="宋体" w:hAnsi="宋体" w:cs="宋体"/>
          <w:b w:val="0"/>
          <w:bCs/>
          <w:color w:val="auto"/>
          <w:szCs w:val="21"/>
          <w:highlight w:val="none"/>
        </w:rPr>
        <w:t>质量及安装符合国家质量标准和验收规范，</w:t>
      </w:r>
      <w:r>
        <w:rPr>
          <w:rFonts w:hint="eastAsia" w:ascii="宋体" w:hAnsi="宋体" w:cs="宋体"/>
          <w:b w:val="0"/>
          <w:bCs/>
          <w:color w:val="auto"/>
          <w:szCs w:val="21"/>
          <w:highlight w:val="none"/>
          <w:lang w:val="en-US" w:eastAsia="zh-CN"/>
        </w:rPr>
        <w:t>乙方</w:t>
      </w:r>
      <w:r>
        <w:rPr>
          <w:rFonts w:hint="eastAsia" w:ascii="宋体" w:hAnsi="宋体" w:cs="宋体"/>
          <w:b w:val="0"/>
          <w:bCs/>
          <w:color w:val="auto"/>
          <w:szCs w:val="21"/>
          <w:highlight w:val="none"/>
        </w:rPr>
        <w:t>应保证所供标的物是全新的，未使用过的，并且是非长期积压的库存商品（距离生产日期在1年内）。</w:t>
      </w:r>
    </w:p>
    <w:p w14:paraId="76818C6F">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olor w:val="auto"/>
          <w:szCs w:val="21"/>
          <w:highlight w:val="none"/>
          <w:lang w:val="en-US" w:eastAsia="zh-CN"/>
        </w:rPr>
        <w:t>所有设备各项技术应当符合国家（强制性）标准及各项规范要求；国家没有相应标准、规范的，可使用行业标准、规定；非标准设备按招标约定的技术要求和规范</w:t>
      </w:r>
      <w:r>
        <w:rPr>
          <w:rFonts w:hint="eastAsia" w:ascii="宋体" w:hAnsi="宋体" w:cs="宋体"/>
          <w:b w:val="0"/>
          <w:bCs/>
          <w:color w:val="auto"/>
          <w:szCs w:val="21"/>
          <w:highlight w:val="none"/>
        </w:rPr>
        <w:t xml:space="preserve">。 </w:t>
      </w:r>
    </w:p>
    <w:p w14:paraId="43B5BA9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3.所有设备在到达安装现场时须经</w:t>
      </w:r>
      <w:r>
        <w:rPr>
          <w:rFonts w:hint="eastAsia" w:ascii="宋体" w:hAnsi="宋体" w:cs="宋体"/>
          <w:b w:val="0"/>
          <w:bCs/>
          <w:color w:val="auto"/>
          <w:szCs w:val="21"/>
          <w:highlight w:val="none"/>
          <w:lang w:val="en-US" w:eastAsia="zh-CN"/>
        </w:rPr>
        <w:t>甲方</w:t>
      </w:r>
      <w:r>
        <w:rPr>
          <w:rFonts w:hint="eastAsia" w:ascii="宋体" w:hAnsi="宋体" w:cs="宋体"/>
          <w:b w:val="0"/>
          <w:bCs/>
          <w:color w:val="auto"/>
          <w:szCs w:val="21"/>
          <w:highlight w:val="none"/>
        </w:rPr>
        <w:t>技术人员记录验收后才可进行设备安装，验货时须提交该产品的原厂质量合格证明及服务质保证明文件。</w:t>
      </w:r>
    </w:p>
    <w:p w14:paraId="1E96442B">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4.所有设备、附（配）件应具备该类产品的功能要求，无瑕疵和缺陷，质量为合格产品，同时有明确的生产厂商或制造厂商。 </w:t>
      </w:r>
    </w:p>
    <w:p w14:paraId="1F829C10">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5.缺陷保修：如果设备交付使用后，缺陷多次反复出现，</w:t>
      </w:r>
      <w:r>
        <w:rPr>
          <w:rFonts w:hint="eastAsia" w:ascii="宋体" w:hAnsi="宋体" w:cs="宋体"/>
          <w:b w:val="0"/>
          <w:bCs/>
          <w:color w:val="auto"/>
          <w:szCs w:val="21"/>
          <w:highlight w:val="none"/>
          <w:lang w:val="en-US" w:eastAsia="zh-CN"/>
        </w:rPr>
        <w:t>乙方</w:t>
      </w:r>
      <w:r>
        <w:rPr>
          <w:rFonts w:hint="eastAsia" w:ascii="宋体" w:hAnsi="宋体" w:cs="宋体"/>
          <w:b w:val="0"/>
          <w:bCs/>
          <w:color w:val="auto"/>
          <w:szCs w:val="21"/>
          <w:highlight w:val="none"/>
        </w:rPr>
        <w:t>必须提出分析报告和解决方案，更换该产品，直到最后纠正缺陷、</w:t>
      </w:r>
      <w:r>
        <w:rPr>
          <w:rFonts w:hint="eastAsia" w:ascii="宋体" w:hAnsi="宋体" w:cs="宋体"/>
          <w:b w:val="0"/>
          <w:bCs/>
          <w:color w:val="auto"/>
          <w:szCs w:val="21"/>
          <w:highlight w:val="none"/>
          <w:lang w:val="en-US" w:eastAsia="zh-CN"/>
        </w:rPr>
        <w:t>乙方</w:t>
      </w:r>
      <w:r>
        <w:rPr>
          <w:rFonts w:hint="eastAsia" w:ascii="宋体" w:hAnsi="宋体" w:cs="宋体"/>
          <w:b w:val="0"/>
          <w:bCs/>
          <w:color w:val="auto"/>
          <w:szCs w:val="21"/>
          <w:highlight w:val="none"/>
        </w:rPr>
        <w:t>提供质保从纠正之日起重新计算质保期。</w:t>
      </w:r>
    </w:p>
    <w:p w14:paraId="5F5CA0FE">
      <w:pPr>
        <w:spacing w:line="360" w:lineRule="auto"/>
        <w:ind w:firstLine="420" w:firstLineChars="200"/>
        <w:rPr>
          <w:rFonts w:hint="eastAsia" w:ascii="宋体" w:hAnsi="宋体" w:eastAsia="宋体" w:cs="宋体"/>
          <w:bCs/>
          <w:color w:val="auto"/>
          <w:highlight w:val="none"/>
          <w:lang w:val="en-US" w:eastAsia="zh-CN"/>
        </w:rPr>
      </w:pPr>
      <w:r>
        <w:rPr>
          <w:rFonts w:hint="eastAsia" w:ascii="宋体" w:hAnsi="宋体" w:cs="宋体"/>
          <w:b w:val="0"/>
          <w:bCs/>
          <w:color w:val="auto"/>
          <w:szCs w:val="21"/>
          <w:highlight w:val="none"/>
        </w:rPr>
        <w:t>6.如果是超出</w:t>
      </w:r>
      <w:r>
        <w:rPr>
          <w:rFonts w:hint="eastAsia" w:ascii="宋体" w:hAnsi="宋体" w:cs="宋体"/>
          <w:b w:val="0"/>
          <w:bCs/>
          <w:color w:val="auto"/>
          <w:szCs w:val="21"/>
          <w:highlight w:val="none"/>
          <w:lang w:val="en-US" w:eastAsia="zh-CN"/>
        </w:rPr>
        <w:t>乙方</w:t>
      </w:r>
      <w:r>
        <w:rPr>
          <w:rFonts w:hint="eastAsia" w:ascii="宋体" w:hAnsi="宋体" w:cs="宋体"/>
          <w:b w:val="0"/>
          <w:bCs/>
          <w:color w:val="auto"/>
          <w:szCs w:val="21"/>
          <w:highlight w:val="none"/>
        </w:rPr>
        <w:t>的责任范围的疏忽、误操作等情况而导致的更换修正，应由</w:t>
      </w:r>
      <w:r>
        <w:rPr>
          <w:rFonts w:hint="eastAsia" w:ascii="宋体" w:hAnsi="宋体" w:cs="宋体"/>
          <w:b w:val="0"/>
          <w:bCs/>
          <w:color w:val="auto"/>
          <w:szCs w:val="21"/>
          <w:highlight w:val="none"/>
          <w:lang w:val="en-US" w:eastAsia="zh-CN"/>
        </w:rPr>
        <w:t>乙方</w:t>
      </w:r>
      <w:r>
        <w:rPr>
          <w:rFonts w:hint="eastAsia" w:ascii="宋体" w:hAnsi="宋体" w:cs="宋体"/>
          <w:b w:val="0"/>
          <w:bCs/>
          <w:color w:val="auto"/>
          <w:szCs w:val="21"/>
          <w:highlight w:val="none"/>
        </w:rPr>
        <w:t>进行修理，其额外费用由双方协商承担</w:t>
      </w:r>
      <w:r>
        <w:rPr>
          <w:rFonts w:hint="eastAsia" w:ascii="宋体" w:hAnsi="宋体" w:eastAsia="宋体" w:cs="宋体"/>
          <w:bCs/>
          <w:color w:val="auto"/>
          <w:highlight w:val="none"/>
          <w:lang w:val="en-US" w:eastAsia="zh-CN"/>
        </w:rPr>
        <w:t>。</w:t>
      </w:r>
    </w:p>
    <w:p w14:paraId="3CE57619">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7.验收要求：</w:t>
      </w:r>
    </w:p>
    <w:p w14:paraId="3D473D34">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7.1履约验收标准：根据国家相关法律法规、行业相关标准、政府采购合同要求、采购文件要求、响应文件的承诺。</w:t>
      </w:r>
    </w:p>
    <w:p w14:paraId="2A2F8B65">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7.2履约验收主体：由甲方进行验收。</w:t>
      </w:r>
    </w:p>
    <w:p w14:paraId="26FA8D23">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7.3履约验收方式：乙方应当按照政府采购合同的约定，配合甲方做好项目验收，提供与验收相关的生产、技术、服务、数量、质量、安全等资料，根据实际需要做好技术说明等工作，并对所提供资料和材料的真实性负责。验收结束后,出具验收书，列明各分项标准的验收情况及项目总体评价，由验收双方共同签署。相关检测（检验）费用或验收小组成员中的专业技术人员费用由乙方承担。</w:t>
      </w:r>
    </w:p>
    <w:p w14:paraId="2C1FFA3E">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7.4验收程序：</w:t>
      </w:r>
    </w:p>
    <w:p w14:paraId="6CC2830A">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7.4.1履约验收时间：本项目采用一次性验收。</w:t>
      </w:r>
    </w:p>
    <w:p w14:paraId="13A6045F">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7.4.2政府采购合同约定的履约验收条件达到时，甲方应当在5个工作日内启动履约验收工作，并向乙方发出《政府采购履约验收通知单》。 在政府采购合同约定的履行验收条件达到时，乙方可以主动联系甲方启动履约验收工作。</w:t>
      </w:r>
    </w:p>
    <w:p w14:paraId="18B6B1CD">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7.4.3甲方成立验收小组，负责采购项目履约验收具体工作。</w:t>
      </w:r>
    </w:p>
    <w:p w14:paraId="2990F7FF">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7.4.4验收小组应当按照验收工作实施方案开展验收，对乙方提供的服务按照采购文件、响应文件、政府采购合同等进行逐一核对、验收，并做好验收记录。 </w:t>
      </w:r>
    </w:p>
    <w:p w14:paraId="22B88ADD">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7.4.5履约验收工作结束后，验收小组应形成书面验收意见，列明各项标准的验收情况及项目总体评价。验收小组所有成员应当在书面验收意见上签字并报送甲方。验收小组成员意见不一致时，按照少数服从多数的原则作出验收意见，并将不一致意见如实记录。</w:t>
      </w:r>
    </w:p>
    <w:p w14:paraId="191CE15C">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7.5经双方共同验收，项目履约验收合格的，甲方根据政府采购合同约定及时向乙方支付采购资金、退还履约保证金（如有），不得拖延、拖欠或非法扣留；项目验收不合格的，甲方应当停止支付采购资金，并按照政府采购合同约定追究乙方违约责任。</w:t>
      </w:r>
    </w:p>
    <w:p w14:paraId="36A0BB08">
      <w:pPr>
        <w:spacing w:line="360" w:lineRule="auto"/>
        <w:ind w:firstLine="420" w:firstLineChars="200"/>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7.6其他验收要求按照《江苏省政府采购履约验收管理办法》规定执行。</w:t>
      </w:r>
    </w:p>
    <w:p w14:paraId="637A631A">
      <w:pPr>
        <w:spacing w:line="360" w:lineRule="auto"/>
        <w:rPr>
          <w:rFonts w:hint="eastAsia" w:ascii="宋体" w:hAnsi="宋体" w:cs="宋体"/>
          <w:b/>
          <w:color w:val="auto"/>
          <w:highlight w:val="none"/>
        </w:rPr>
      </w:pPr>
      <w:r>
        <w:rPr>
          <w:rFonts w:hint="eastAsia" w:ascii="宋体" w:hAnsi="宋体" w:cs="宋体"/>
          <w:b/>
          <w:color w:val="auto"/>
          <w:highlight w:val="none"/>
        </w:rPr>
        <w:t>六、售后服务及其他要求：</w:t>
      </w:r>
    </w:p>
    <w:p w14:paraId="17E30879">
      <w:pPr>
        <w:tabs>
          <w:tab w:val="left" w:pos="630"/>
        </w:tabs>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（一）具体按</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文件售后服务条款。</w:t>
      </w:r>
    </w:p>
    <w:p w14:paraId="7B4C46B0">
      <w:pPr>
        <w:tabs>
          <w:tab w:val="left" w:pos="90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（二）其他要求按乙方</w:t>
      </w:r>
      <w:r>
        <w:rPr>
          <w:rFonts w:hint="eastAsia" w:ascii="宋体" w:hAnsi="宋体" w:cs="宋体"/>
          <w:color w:val="auto"/>
          <w:highlight w:val="none"/>
          <w:lang w:val="en-US" w:eastAsia="zh-CN"/>
        </w:rPr>
        <w:t>响应</w:t>
      </w:r>
      <w:r>
        <w:rPr>
          <w:rFonts w:hint="eastAsia" w:ascii="宋体" w:hAnsi="宋体" w:cs="宋体"/>
          <w:color w:val="auto"/>
          <w:highlight w:val="none"/>
        </w:rPr>
        <w:t>文件承诺的条款执行。</w:t>
      </w:r>
    </w:p>
    <w:p w14:paraId="2A8023F6">
      <w:pPr>
        <w:spacing w:line="360" w:lineRule="auto"/>
        <w:rPr>
          <w:rFonts w:hint="eastAsia" w:ascii="宋体" w:hAnsi="宋体" w:cs="宋体"/>
          <w:b/>
          <w:color w:val="auto"/>
          <w:highlight w:val="none"/>
        </w:rPr>
      </w:pPr>
      <w:r>
        <w:rPr>
          <w:rFonts w:hint="eastAsia" w:ascii="宋体" w:hAnsi="宋体" w:cs="宋体"/>
          <w:b/>
          <w:color w:val="auto"/>
          <w:highlight w:val="none"/>
          <w:lang w:val="en-US" w:eastAsia="zh-CN"/>
        </w:rPr>
        <w:t>七</w:t>
      </w:r>
      <w:r>
        <w:rPr>
          <w:rFonts w:hint="eastAsia" w:ascii="宋体" w:hAnsi="宋体" w:cs="宋体"/>
          <w:b/>
          <w:color w:val="auto"/>
          <w:highlight w:val="none"/>
        </w:rPr>
        <w:t>、违约责任：</w:t>
      </w:r>
    </w:p>
    <w:p w14:paraId="5FF8149D">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合同一方不履行合同任一义务或者履行合同义务不完全符合任一约定的，应当主动承担继续履行、采取补救措施及赔偿损失等违约责任，但守约方有权要求违约方承担违约金。</w:t>
      </w:r>
    </w:p>
    <w:p w14:paraId="2E34B802">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若实际损失超过违约金的应按照实际损失承担赔偿责任，损失赔偿范围包括但不限于守约方的直接损失、间接损失及维权支出的各项费用(诉讼费、律师费、鉴定费、保全费等)。</w:t>
      </w:r>
    </w:p>
    <w:p w14:paraId="29DD7F37">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（一）</w:t>
      </w:r>
      <w:r>
        <w:rPr>
          <w:rFonts w:hint="eastAsia" w:ascii="宋体" w:hAnsi="宋体" w:eastAsia="宋体" w:cs="宋体"/>
          <w:b w:val="0"/>
          <w:bCs/>
          <w:color w:val="auto"/>
          <w:szCs w:val="21"/>
          <w:highlight w:val="none"/>
        </w:rPr>
        <w:t>甲方违约责任</w:t>
      </w:r>
    </w:p>
    <w:p w14:paraId="2E62DB68">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rPr>
        <w:t>在合同生效后，甲方无正当理由要求退货的，应向乙方偿付合同总价款5%的违约金，违约金不足以补偿损失的，乙方有权要求甲方补足。</w:t>
      </w:r>
    </w:p>
    <w:p w14:paraId="441E7094">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2、</w:t>
      </w:r>
      <w:r>
        <w:rPr>
          <w:rFonts w:hint="eastAsia" w:ascii="宋体" w:hAnsi="宋体" w:eastAsia="宋体" w:cs="宋体"/>
          <w:b w:val="0"/>
          <w:bCs/>
          <w:color w:val="auto"/>
          <w:szCs w:val="21"/>
          <w:highlight w:val="none"/>
        </w:rPr>
        <w:t>甲方无故逾期付款的应按照逾期付款金额的每天万分之</w:t>
      </w:r>
      <w:r>
        <w:rPr>
          <w:rFonts w:hint="eastAsia" w:ascii="宋体" w:hAnsi="宋体" w:cs="宋体"/>
          <w:b w:val="0"/>
          <w:bCs/>
          <w:color w:val="auto"/>
          <w:szCs w:val="21"/>
          <w:highlight w:val="none"/>
          <w:lang w:val="en-US" w:eastAsia="zh-CN"/>
        </w:rPr>
        <w:t>一</w:t>
      </w:r>
      <w:r>
        <w:rPr>
          <w:rFonts w:hint="eastAsia" w:ascii="宋体" w:hAnsi="宋体" w:eastAsia="宋体" w:cs="宋体"/>
          <w:b w:val="0"/>
          <w:bCs/>
          <w:color w:val="auto"/>
          <w:szCs w:val="21"/>
          <w:highlight w:val="none"/>
        </w:rPr>
        <w:t>支付逾期付款违约金。</w:t>
      </w:r>
    </w:p>
    <w:p w14:paraId="321801FB">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rPr>
        <w:t>甲方违反合同规定，拒绝接收乙方交付的合格标的物，应当承担乙方由此造成的损失。</w:t>
      </w:r>
    </w:p>
    <w:p w14:paraId="0AF74E3D">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（二）乙方违约责任</w:t>
      </w:r>
    </w:p>
    <w:p w14:paraId="4C2BC7A5">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乙方有下列行为之一的，甲方有权解除合同，要求乙方返还甲方所支付的任何款项并支付合同总价款20%的违约金，违约金不足以补偿实际损失的，甲方有权要求乙方补足：</w:t>
      </w:r>
    </w:p>
    <w:p w14:paraId="28589EC8">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1)不能交货。乙方交货、安装、检验逾期超过15日(自然日)的，视为不能交货；</w:t>
      </w:r>
    </w:p>
    <w:p w14:paraId="1D34DFE1">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2)交付的标的物不符合投标文件及合同约定；</w:t>
      </w:r>
    </w:p>
    <w:p w14:paraId="374D0A68">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3)因可归责于乙方的情形导致标的物不能正常使用，致使甲方合同目的无法实现；</w:t>
      </w:r>
    </w:p>
    <w:p w14:paraId="796E8536">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4)其他合同约定的违约行为，致使甲方合同目的无法实现。</w:t>
      </w:r>
    </w:p>
    <w:p w14:paraId="2C5EE17C">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注：乙方提供的货物中有不符合</w:t>
      </w:r>
      <w:r>
        <w:rPr>
          <w:rFonts w:hint="eastAsia" w:ascii="宋体" w:hAnsi="宋体" w:cs="宋体"/>
          <w:b w:val="0"/>
          <w:bCs/>
          <w:color w:val="auto"/>
          <w:szCs w:val="21"/>
          <w:highlight w:val="none"/>
          <w:lang w:val="en-US" w:eastAsia="zh-CN"/>
        </w:rPr>
        <w:t>采购</w:t>
      </w:r>
      <w:r>
        <w:rPr>
          <w:rFonts w:hint="eastAsia" w:ascii="宋体" w:hAnsi="宋体" w:eastAsia="宋体" w:cs="宋体"/>
          <w:b w:val="0"/>
          <w:bCs/>
          <w:color w:val="auto"/>
          <w:szCs w:val="21"/>
          <w:highlight w:val="none"/>
        </w:rPr>
        <w:t>文件中的技术要求的，视为该种货物交付不合格。乙方提供的各种规格的货物中有任一种交付不合格的，视同为整个标的物的交付不合格。</w:t>
      </w:r>
    </w:p>
    <w:p w14:paraId="7CD3A1CD">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乙方逾期交货的，应在发货前与甲方协商，但如甲方仍需求的，乙方应立即发货并应按照逾期交货部分货款的每天百分之一支付逾期交货违约金，同时承担甲方因此遭致的损失费用；如甲方不再需求，则甲方有权解除合同，乙方向甲方支付合同总价款20%的违约金，违约金不足以补偿损失的甲方仍有权要求乙方补足，因本条款产生纠纷而发生的诉讼，乙方须向甲方承担一切损失、费用、成本，包括但不限于诉讼费、律师费、鉴定费、保全费、 差旅费等。</w:t>
      </w:r>
    </w:p>
    <w:p w14:paraId="4ABDA87B">
      <w:pPr>
        <w:adjustRightInd w:val="0"/>
        <w:snapToGrid w:val="0"/>
        <w:spacing w:line="360" w:lineRule="auto"/>
        <w:ind w:firstLine="211" w:firstLineChars="100"/>
        <w:jc w:val="left"/>
        <w:rPr>
          <w:rFonts w:hint="eastAsia" w:ascii="宋体" w:hAnsi="宋体" w:cs="宋体"/>
          <w:b/>
          <w:bCs/>
          <w:color w:val="auto"/>
          <w:highlight w:val="none"/>
        </w:rPr>
      </w:pPr>
      <w:r>
        <w:rPr>
          <w:rFonts w:hint="eastAsia" w:ascii="宋体" w:hAnsi="宋体" w:cs="宋体"/>
          <w:b/>
          <w:bCs/>
          <w:color w:val="auto"/>
          <w:highlight w:val="none"/>
          <w:lang w:val="en-US" w:eastAsia="zh-CN"/>
        </w:rPr>
        <w:t>八、</w:t>
      </w:r>
      <w:r>
        <w:rPr>
          <w:rFonts w:hint="eastAsia" w:ascii="宋体" w:hAnsi="宋体" w:cs="宋体"/>
          <w:b/>
          <w:bCs/>
          <w:color w:val="auto"/>
          <w:highlight w:val="none"/>
        </w:rPr>
        <w:t>不可抗力</w:t>
      </w:r>
    </w:p>
    <w:p w14:paraId="6FF445D6">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1.因不可抗力不能履行合同的，根据不可抗力的影响，部分或者全部免除责任。但合同一方迟延履行后发生不可抗力的，不能免除责任。</w:t>
      </w:r>
    </w:p>
    <w:p w14:paraId="49B779C1">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2.合同一方因不可抗力不能履行合同的，应当及时通知对方，以减轻可能给对方造成的损失，并应当在合理期限内提供证明。</w:t>
      </w:r>
    </w:p>
    <w:p w14:paraId="453EFFA6">
      <w:pPr>
        <w:adjustRightInd w:val="0"/>
        <w:snapToGrid w:val="0"/>
        <w:spacing w:line="360" w:lineRule="auto"/>
        <w:ind w:firstLine="211" w:firstLineChars="100"/>
        <w:jc w:val="left"/>
        <w:textAlignment w:val="baseline"/>
        <w:rPr>
          <w:rFonts w:hint="eastAsia" w:ascii="宋体" w:hAnsi="宋体" w:cs="宋体"/>
          <w:b/>
          <w:bCs/>
          <w:color w:val="auto"/>
          <w:highlight w:val="none"/>
        </w:rPr>
      </w:pPr>
      <w:r>
        <w:rPr>
          <w:rFonts w:hint="eastAsia" w:ascii="宋体" w:hAnsi="宋体" w:cs="宋体"/>
          <w:b/>
          <w:bCs/>
          <w:color w:val="auto"/>
          <w:highlight w:val="none"/>
          <w:lang w:val="en-US" w:eastAsia="zh-CN"/>
        </w:rPr>
        <w:t>九、</w:t>
      </w:r>
      <w:r>
        <w:rPr>
          <w:rFonts w:hint="eastAsia" w:ascii="宋体" w:hAnsi="宋体" w:cs="宋体"/>
          <w:b/>
          <w:bCs/>
          <w:color w:val="auto"/>
          <w:highlight w:val="none"/>
        </w:rPr>
        <w:t>合同的解除和转让</w:t>
      </w:r>
    </w:p>
    <w:p w14:paraId="6E61DA7E">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1、合同的解除</w:t>
      </w:r>
    </w:p>
    <w:p w14:paraId="3F7E81A3">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1.1有下列情形之一，合同一方可以解除合同：</w:t>
      </w:r>
    </w:p>
    <w:p w14:paraId="4494F758">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1.1.1因不可抗力致使不能实现合同目的，未受不可抗力影响的一方有权解除合同；</w:t>
      </w:r>
    </w:p>
    <w:p w14:paraId="79E48952">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1.1.2合同期间，因合同一方违约并无法获得守约方认可，守约方有权解除合同、违约方则退回已收款项并需承担本合同总价款30%作为违约金，并按本合同第</w:t>
      </w:r>
      <w:r>
        <w:rPr>
          <w:rFonts w:hint="eastAsia" w:ascii="宋体" w:hAnsi="宋体" w:cs="宋体"/>
          <w:b w:val="0"/>
          <w:bCs/>
          <w:color w:val="auto"/>
          <w:szCs w:val="21"/>
          <w:highlight w:val="none"/>
          <w:lang w:val="en-US" w:eastAsia="zh-CN"/>
        </w:rPr>
        <w:t>七</w:t>
      </w:r>
      <w:r>
        <w:rPr>
          <w:rFonts w:hint="eastAsia" w:ascii="宋体" w:hAnsi="宋体" w:eastAsia="宋体" w:cs="宋体"/>
          <w:b w:val="0"/>
          <w:bCs/>
          <w:color w:val="auto"/>
          <w:szCs w:val="21"/>
          <w:highlight w:val="none"/>
          <w:lang w:val="en-US" w:eastAsia="zh-CN"/>
        </w:rPr>
        <w:t>条承担各项违约责任；</w:t>
      </w:r>
    </w:p>
    <w:p w14:paraId="067EE614">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1.2有权解除合同的一方，可在违约事实或不可抗力发生之后三天内书面通知对方以主张解除合同，合同在书面通知寄往对方时即告解除。</w:t>
      </w:r>
    </w:p>
    <w:p w14:paraId="6EFFFDAD">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1.3本合同当事人联系信息以国家企业信用信息公示系统等查询备注地址为准，适用于双方往来联系、书面文件送达及争议解决时法律文书(含裁判文书)送达。</w:t>
      </w:r>
    </w:p>
    <w:p w14:paraId="3D3A95F4">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2、合同的转让</w:t>
      </w:r>
    </w:p>
    <w:p w14:paraId="6C7E4178">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2.1合同的部分和全部都不得转让。</w:t>
      </w:r>
    </w:p>
    <w:p w14:paraId="00E84C4E">
      <w:pPr>
        <w:spacing w:line="360" w:lineRule="auto"/>
        <w:ind w:firstLine="211" w:firstLineChars="100"/>
        <w:rPr>
          <w:rFonts w:hint="eastAsia" w:ascii="宋体" w:hAnsi="宋体" w:cs="宋体"/>
          <w:b/>
          <w:color w:val="auto"/>
          <w:highlight w:val="none"/>
        </w:rPr>
      </w:pPr>
      <w:r>
        <w:rPr>
          <w:rFonts w:hint="eastAsia" w:ascii="宋体" w:hAnsi="宋体" w:cs="宋体"/>
          <w:b/>
          <w:color w:val="auto"/>
          <w:highlight w:val="none"/>
          <w:lang w:val="en-US" w:eastAsia="zh-CN"/>
        </w:rPr>
        <w:t>十</w:t>
      </w:r>
      <w:r>
        <w:rPr>
          <w:rFonts w:hint="eastAsia" w:ascii="宋体" w:hAnsi="宋体" w:cs="宋体"/>
          <w:b/>
          <w:color w:val="auto"/>
          <w:highlight w:val="none"/>
        </w:rPr>
        <w:t>、索赔：</w:t>
      </w:r>
    </w:p>
    <w:p w14:paraId="22CF8C0F">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1、甲方有权根据甲方所出具的验收证明、第三方质量检验机构或其他专业机构、组织、 部门出具的检验证书向乙方提出索赔。</w:t>
      </w:r>
    </w:p>
    <w:p w14:paraId="5D65EC00">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2、在本合同规定的检验期和质量保证期内，乙方同意甲方有权按下列一种或多种方式 合并解决索赔事宜：</w:t>
      </w:r>
    </w:p>
    <w:p w14:paraId="309677B8">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2.1 乙方负责及时退货，并按合同规定的价款将货款退还给甲方，并承担由此发生的 一切损失和费用，包括但不限于20%违约金、利息、银行手续费、运费、保险费、检验费、 仓储费、装卸费以及为保护退回标的物所需的其它必要费用。</w:t>
      </w:r>
    </w:p>
    <w:p w14:paraId="52138962">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2.2根据标的物的低劣程度、损坏程度以及甲方遭受损失的数额，经双方协商确定降 低标的物的价格。</w:t>
      </w:r>
    </w:p>
    <w:p w14:paraId="14082884">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2.3用符合规格、质量和性能要求的原厂全新零件、部件或标的物来更换有缺陷的部 分或修补缺陷部分，乙方应承担一切费用和风险并负担甲方所发生的一切直接费用。质保期 自发生上述情形之日起，至标的物恢复正常使用之日止，停止计算。</w:t>
      </w:r>
    </w:p>
    <w:p w14:paraId="407A27FD">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3、如果在甲方发出索赔通知后七天内，乙方未能答复，上述索赔应视为已被乙方接受。 若乙方未在甲方提出索赔通知后七天内或甲方同意的更长时间内，按照合同规定的任何一种 方法解决索赔事宜，甲方将从未付款或乙方支付的履约保证金直接扣除索赔金额，如果这些 金额不足以补偿索赔金额，甲方有权向乙方提出对不足部分的补偿。</w:t>
      </w:r>
    </w:p>
    <w:p w14:paraId="18FA4F66">
      <w:pPr>
        <w:spacing w:line="360" w:lineRule="auto"/>
        <w:rPr>
          <w:rFonts w:hint="eastAsia" w:ascii="宋体" w:hAnsi="宋体" w:cs="宋体"/>
          <w:b/>
          <w:bCs/>
          <w:color w:val="auto"/>
          <w:szCs w:val="28"/>
          <w:highlight w:val="none"/>
          <w:lang w:val="zh-CN"/>
        </w:rPr>
      </w:pPr>
      <w:r>
        <w:rPr>
          <w:rFonts w:hint="eastAsia" w:ascii="宋体" w:hAnsi="宋体" w:cs="宋体"/>
          <w:b/>
          <w:bCs/>
          <w:color w:val="auto"/>
          <w:szCs w:val="28"/>
          <w:highlight w:val="none"/>
          <w:lang w:val="zh-CN"/>
        </w:rPr>
        <w:t>十</w:t>
      </w:r>
      <w:r>
        <w:rPr>
          <w:rFonts w:hint="eastAsia" w:ascii="宋体" w:hAnsi="宋体" w:cs="宋体"/>
          <w:b/>
          <w:bCs/>
          <w:color w:val="auto"/>
          <w:szCs w:val="28"/>
          <w:highlight w:val="none"/>
          <w:lang w:val="en-US" w:eastAsia="zh-CN"/>
        </w:rPr>
        <w:t>一</w:t>
      </w:r>
      <w:r>
        <w:rPr>
          <w:rFonts w:hint="eastAsia" w:ascii="宋体" w:hAnsi="宋体" w:cs="宋体"/>
          <w:b/>
          <w:bCs/>
          <w:color w:val="auto"/>
          <w:szCs w:val="28"/>
          <w:highlight w:val="none"/>
          <w:lang w:val="zh-CN"/>
        </w:rPr>
        <w:t>、廉洁条款</w:t>
      </w:r>
    </w:p>
    <w:p w14:paraId="754A4C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为进一步加强医疗卫生行风建设，规范医疗卫生机构购销行为，有效防范商业贿赂行为，营造公平交易、诚实守信的购销环境，特约定以下廉洁条款，以资合同各方共同遵守：</w:t>
      </w:r>
    </w:p>
    <w:p w14:paraId="7A1BB0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1.合同各方按照《民法典》及廉洁条例约定购销药品、医用设备、医用耗材/试剂及行政办公物资等。</w:t>
      </w:r>
    </w:p>
    <w:p w14:paraId="475405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2.甲方应当严格执行产品购销合同验收、入库制度，对采购产品及发票进行查验，不得违反有关规定进行合同外采购、违价采购或从非规定渠道采购。</w:t>
      </w:r>
    </w:p>
    <w:p w14:paraId="189642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4D7FE6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4.甲方严禁利用任何途径和方式，为乙方统计医师个人及临床科室有关产品用量信息，或为乙方统计提供便利。</w:t>
      </w:r>
    </w:p>
    <w:p w14:paraId="765779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5.乙方不得以回扣、宴请等方式影响甲方工作人员采购或使用产品的选择权，不得在学术活动中提供旅游、超标准支付食宿费用。</w:t>
      </w:r>
    </w:p>
    <w:p w14:paraId="247259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6.乙方指定销售代表必须在工作时间到甲方指定地点联系商谈，不得到住院部、门诊部、医技科室等推销产品，不得借故到甲方相关领导、部门负责人及相关工作人员非办公场所访谈并提供任何好处费等。</w:t>
      </w:r>
    </w:p>
    <w:p w14:paraId="3237BF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7.乙方如违反本廉洁条例，一经发现，甲方有权终止购销合同，并向上级主管部门报告。如乙方被列入商业贿赂不良记录，则严格按照国家相关规定处理。</w:t>
      </w:r>
    </w:p>
    <w:p w14:paraId="1C59D1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8.本廉洁条款在产品购销过程中，合同各方均需严格遵守。</w:t>
      </w:r>
    </w:p>
    <w:p w14:paraId="629E0222">
      <w:pPr>
        <w:spacing w:line="360" w:lineRule="auto"/>
        <w:rPr>
          <w:rFonts w:hint="eastAsia" w:ascii="宋体" w:hAnsi="宋体" w:cs="宋体"/>
          <w:bCs/>
          <w:color w:val="auto"/>
          <w:highlight w:val="none"/>
        </w:rPr>
      </w:pPr>
      <w:r>
        <w:rPr>
          <w:rFonts w:hint="eastAsia" w:ascii="宋体" w:hAnsi="宋体" w:cs="宋体"/>
          <w:b/>
          <w:color w:val="auto"/>
          <w:highlight w:val="none"/>
          <w:lang w:val="en-US" w:eastAsia="zh-CN"/>
        </w:rPr>
        <w:t>十二、</w:t>
      </w:r>
      <w:r>
        <w:rPr>
          <w:rFonts w:hint="eastAsia" w:ascii="宋体" w:hAnsi="宋体" w:cs="宋体"/>
          <w:b/>
          <w:color w:val="auto"/>
          <w:highlight w:val="none"/>
        </w:rPr>
        <w:t>合同生效及其它</w:t>
      </w:r>
    </w:p>
    <w:p w14:paraId="66885EC5">
      <w:pPr>
        <w:spacing w:line="360" w:lineRule="auto"/>
        <w:ind w:firstLine="420" w:firstLineChars="200"/>
        <w:jc w:val="left"/>
        <w:rPr>
          <w:rFonts w:hint="eastAsia" w:ascii="宋体" w:hAnsi="宋体" w:eastAsia="宋体" w:cs="宋体"/>
          <w:b w:val="0"/>
          <w:bCs/>
          <w:color w:val="auto"/>
          <w:szCs w:val="21"/>
          <w:highlight w:val="none"/>
          <w:lang w:val="zh-CN" w:eastAsia="zh-CN"/>
        </w:rPr>
      </w:pPr>
      <w:r>
        <w:rPr>
          <w:rFonts w:hint="eastAsia" w:ascii="宋体" w:hAnsi="宋体" w:cs="宋体"/>
          <w:color w:val="auto"/>
          <w:highlight w:val="none"/>
        </w:rPr>
        <w:t xml:space="preserve"> </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val="zh-CN" w:eastAsia="zh-CN"/>
        </w:rPr>
        <w:t>本合同经甲乙双方法定代表人或其委托代理人签字并加盖公章（或合同章）后生效。</w:t>
      </w:r>
    </w:p>
    <w:p w14:paraId="77A1DDF1">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2、合同在执行过程中出现的未尽事宜，双方在不违背本合同和招标文件的原则下协商解决，协商结果以书面形式盖章记录在案，作为本合同的附件，与本合同具有同等效力，但需向招标代理机构和政府采购管理部门提交一份备存。</w:t>
      </w:r>
    </w:p>
    <w:p w14:paraId="21CCAA02">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w:t>
      </w:r>
      <w:r>
        <w:rPr>
          <w:rFonts w:hint="eastAsia" w:ascii="宋体" w:hAnsi="宋体" w:cs="宋体"/>
          <w:bCs/>
          <w:color w:val="auto"/>
          <w:highlight w:val="none"/>
        </w:rPr>
        <w:t>因本合同或与本合同有关的一切事项发生争议，双方在不违背本合同和采购文件的原则下协商解决；如协商不成，双方同意由一方向甲方所在地人民法院提起诉讼</w:t>
      </w:r>
      <w:r>
        <w:rPr>
          <w:rFonts w:hint="eastAsia" w:ascii="宋体" w:hAnsi="宋体" w:cs="宋体"/>
          <w:bCs/>
          <w:color w:val="auto"/>
          <w:highlight w:val="none"/>
          <w:lang w:eastAsia="zh-CN"/>
        </w:rPr>
        <w:t>。</w:t>
      </w:r>
    </w:p>
    <w:p w14:paraId="7B90D127">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4、</w:t>
      </w:r>
      <w:r>
        <w:rPr>
          <w:rFonts w:hint="eastAsia" w:ascii="宋体" w:hAnsi="宋体" w:eastAsia="宋体" w:cs="宋体"/>
          <w:b w:val="0"/>
          <w:bCs/>
          <w:color w:val="auto"/>
          <w:szCs w:val="21"/>
          <w:highlight w:val="none"/>
          <w:lang w:val="en-US" w:eastAsia="zh-CN"/>
        </w:rPr>
        <w:t>未尽事宜：本合同未尽事宜应按《中华人民共和国民法典》、《中华人民共和国政府采购法》以及其同相关法律、法规之规定解释。</w:t>
      </w:r>
    </w:p>
    <w:p w14:paraId="14D96EC5">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lang w:val="en-US" w:eastAsia="zh-CN"/>
        </w:rPr>
        <w:t>、本合同一式肆份，甲方贰份、乙方及招标代理机构各执壹份，具备同等法律效力。</w:t>
      </w:r>
    </w:p>
    <w:p w14:paraId="2552F856">
      <w:pPr>
        <w:spacing w:line="520" w:lineRule="exact"/>
        <w:rPr>
          <w:rFonts w:hint="eastAsia" w:ascii="宋体" w:hAnsi="宋体" w:cs="宋体"/>
          <w:color w:val="auto"/>
          <w:szCs w:val="21"/>
          <w:highlight w:val="none"/>
        </w:rPr>
      </w:pPr>
    </w:p>
    <w:p w14:paraId="463783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签章）</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乙方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签章）</w:t>
      </w:r>
      <w:r>
        <w:rPr>
          <w:rFonts w:hint="eastAsia" w:ascii="宋体" w:hAnsi="宋体" w:cs="宋体"/>
          <w:color w:val="auto"/>
          <w:szCs w:val="21"/>
          <w:highlight w:val="none"/>
        </w:rPr>
        <w:t xml:space="preserve">：                    </w:t>
      </w:r>
    </w:p>
    <w:p w14:paraId="3439C9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甲方法定(授权)代表人签字：            </w:t>
      </w:r>
      <w:r>
        <w:rPr>
          <w:rFonts w:hint="eastAsia" w:ascii="宋体" w:hAnsi="宋体" w:cs="宋体"/>
          <w:color w:val="auto"/>
          <w:szCs w:val="21"/>
          <w:highlight w:val="none"/>
          <w:lang w:val="en-US" w:eastAsia="zh-CN"/>
        </w:rPr>
        <w:t xml:space="preserve">              乙</w:t>
      </w:r>
      <w:r>
        <w:rPr>
          <w:rFonts w:hint="eastAsia" w:ascii="宋体" w:hAnsi="宋体" w:cs="宋体"/>
          <w:color w:val="auto"/>
          <w:szCs w:val="21"/>
          <w:highlight w:val="none"/>
        </w:rPr>
        <w:t xml:space="preserve">方法定(授权)代表人签字：   </w:t>
      </w:r>
    </w:p>
    <w:p w14:paraId="30C1F3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签约日期：</w:t>
      </w:r>
      <w:r>
        <w:rPr>
          <w:rFonts w:hint="eastAsia" w:ascii="宋体" w:hAnsi="宋体" w:cs="宋体"/>
          <w:color w:val="auto"/>
          <w:szCs w:val="21"/>
          <w:highlight w:val="none"/>
          <w:lang w:val="en-US" w:eastAsia="zh-CN"/>
        </w:rPr>
        <w:t xml:space="preserve">   年   月    日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签约日期：</w:t>
      </w:r>
      <w:r>
        <w:rPr>
          <w:rFonts w:hint="eastAsia" w:ascii="宋体" w:hAnsi="宋体" w:cs="宋体"/>
          <w:color w:val="auto"/>
          <w:szCs w:val="21"/>
          <w:highlight w:val="none"/>
          <w:lang w:val="en-US" w:eastAsia="zh-CN"/>
        </w:rPr>
        <w:t xml:space="preserve">   年   月    日</w:t>
      </w:r>
    </w:p>
    <w:p w14:paraId="4F8AB792">
      <w:pPr>
        <w:numPr>
          <w:ilvl w:val="0"/>
          <w:numId w:val="0"/>
        </w:numPr>
        <w:spacing w:line="360" w:lineRule="auto"/>
        <w:ind w:firstLine="3534" w:firstLineChars="800"/>
        <w:jc w:val="both"/>
        <w:rPr>
          <w:rFonts w:hint="eastAsia" w:ascii="宋体" w:hAnsi="宋体" w:cs="宋体"/>
          <w:b/>
          <w:color w:val="auto"/>
          <w:spacing w:val="0"/>
          <w:sz w:val="44"/>
          <w:szCs w:val="44"/>
          <w:highlight w:val="none"/>
          <w:lang w:val="en-US" w:eastAsia="zh-CN"/>
        </w:rPr>
      </w:pPr>
    </w:p>
    <w:p w14:paraId="2D42E22D">
      <w:pPr>
        <w:numPr>
          <w:ilvl w:val="0"/>
          <w:numId w:val="0"/>
        </w:numPr>
        <w:spacing w:line="360" w:lineRule="auto"/>
        <w:ind w:firstLine="3534" w:firstLineChars="800"/>
        <w:jc w:val="both"/>
        <w:rPr>
          <w:rFonts w:hint="eastAsia" w:ascii="宋体" w:hAnsi="宋体" w:cs="宋体"/>
          <w:b/>
          <w:color w:val="auto"/>
          <w:spacing w:val="0"/>
          <w:sz w:val="44"/>
          <w:szCs w:val="44"/>
          <w:highlight w:val="none"/>
          <w:lang w:val="en-US" w:eastAsia="zh-CN"/>
        </w:rPr>
      </w:pPr>
      <w:r>
        <w:rPr>
          <w:rFonts w:hint="eastAsia" w:ascii="宋体" w:hAnsi="宋体" w:cs="宋体"/>
          <w:b/>
          <w:color w:val="auto"/>
          <w:spacing w:val="0"/>
          <w:sz w:val="44"/>
          <w:szCs w:val="44"/>
          <w:highlight w:val="none"/>
          <w:lang w:val="en-US" w:eastAsia="zh-CN"/>
        </w:rPr>
        <w:t>第六章 评审办法</w:t>
      </w:r>
    </w:p>
    <w:p w14:paraId="214613B6">
      <w:pPr>
        <w:numPr>
          <w:ilvl w:val="0"/>
          <w:numId w:val="0"/>
        </w:num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一、评审办法</w:t>
      </w:r>
    </w:p>
    <w:p w14:paraId="19BEB4A2">
      <w:pPr>
        <w:tabs>
          <w:tab w:val="left" w:pos="2870"/>
        </w:tabs>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评审委员会（即谈判小组）各成员独立对供应商提交的响应文件进行评审和评价，在评审内容表中作相应记录，以判定响应文件的质量和服务均能满足采购文件实质性响应要求，并确定最终成交供应商。</w:t>
      </w:r>
    </w:p>
    <w:p w14:paraId="485845B1">
      <w:pPr>
        <w:tabs>
          <w:tab w:val="left" w:pos="2870"/>
        </w:tabs>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1、评审方法如下：</w:t>
      </w:r>
    </w:p>
    <w:p w14:paraId="1E7DFBA8">
      <w:pPr>
        <w:tabs>
          <w:tab w:val="left" w:pos="2870"/>
        </w:tabs>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委对响应供应商的响应文件按照谈判文件的规定和要求进行包括资格性和符合性审查在内的实质性响应评价。如某响应文件的某一项评审内容出现各评委认定其是否实质性响应的评审意见不一致的，则认为其未实质性响应的评委需要在评审表的相应备注栏中注明未实质性响应原因。汇总该项评审内容所有评委的评审意见，按少数服从多数的原则确定该响应文件的该项评审内容是否实质性响应谈判文件。</w:t>
      </w:r>
    </w:p>
    <w:p w14:paraId="3753C70B">
      <w:pPr>
        <w:tabs>
          <w:tab w:val="left" w:pos="2870"/>
        </w:tabs>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汇总所有评委的独立评审意见，如某响应文件的各项评审内容条款均满足谈判文件要求的，则认为该供应商的响应文件属于实质性响应文件；如有任意一项评审内容被评审认为未实质性响应的，则该响应文件属于未实质性响应，该供应商不得参加谈判小组与其进行的单一的谈判活动，或不具备成交资格。</w:t>
      </w:r>
    </w:p>
    <w:p w14:paraId="0DC41F07">
      <w:pPr>
        <w:tabs>
          <w:tab w:val="left" w:pos="2870"/>
        </w:tabs>
        <w:spacing w:line="360" w:lineRule="auto"/>
        <w:ind w:firstLine="48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Cs w:val="21"/>
          <w:highlight w:val="none"/>
        </w:rPr>
        <w:t>谈判小组认为供应商的报价明显低于其他通过符合性审查的供应商的报价，有可能影响产品质量或者不能诚信履约的，应当要求其在苏采云系统中作出相关说明，供应商不能证明其报价合理性的，谈判小组应当认定其响应无效</w:t>
      </w:r>
      <w:r>
        <w:rPr>
          <w:rFonts w:hint="eastAsia" w:ascii="宋体" w:hAnsi="宋体" w:cs="宋体"/>
          <w:color w:val="auto"/>
          <w:szCs w:val="21"/>
          <w:highlight w:val="none"/>
          <w:lang w:eastAsia="zh-CN"/>
        </w:rPr>
        <w:t>。</w:t>
      </w:r>
    </w:p>
    <w:p w14:paraId="4058DB30">
      <w:pPr>
        <w:tabs>
          <w:tab w:val="left" w:pos="2870"/>
        </w:tabs>
        <w:spacing w:line="360" w:lineRule="auto"/>
        <w:ind w:firstLine="48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成交人的确定</w:t>
      </w:r>
    </w:p>
    <w:p w14:paraId="38FD4321">
      <w:pPr>
        <w:tabs>
          <w:tab w:val="left" w:pos="2870"/>
        </w:tabs>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委员会在最后报价不超过采购预算，且响应内容的质量和服务均能满足采购文件实质性响应要求的供应商（不少于三家）中，按照最后报价由低到高的顺序排列，其中最后报价最低的供应商为第一成交候选供应商。如选取成交候选人时出现最后报价相同的，则由采购单位以抽签方式确定优先选取顺序。</w:t>
      </w:r>
    </w:p>
    <w:p w14:paraId="6E89FB67">
      <w:pPr>
        <w:tabs>
          <w:tab w:val="left" w:pos="2870"/>
        </w:tabs>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（2）评审委员会根据采购人的授权，按照成交候选人的顺序在成交候选人中直接确定成交人。</w:t>
      </w:r>
    </w:p>
    <w:p w14:paraId="302038F0">
      <w:pPr>
        <w:spacing w:line="360" w:lineRule="auto"/>
        <w:ind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二、评审内容表</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4"/>
        <w:gridCol w:w="2252"/>
        <w:gridCol w:w="1013"/>
      </w:tblGrid>
      <w:tr w14:paraId="4DBC3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5324" w:type="dxa"/>
            <w:noWrap w:val="0"/>
            <w:vAlign w:val="center"/>
          </w:tcPr>
          <w:p w14:paraId="1ABDFCD7">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评审内容</w:t>
            </w:r>
          </w:p>
        </w:tc>
        <w:tc>
          <w:tcPr>
            <w:tcW w:w="2252" w:type="dxa"/>
            <w:noWrap w:val="0"/>
            <w:vAlign w:val="center"/>
          </w:tcPr>
          <w:p w14:paraId="3D4C49F9">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是否符合（是/否）</w:t>
            </w:r>
          </w:p>
        </w:tc>
        <w:tc>
          <w:tcPr>
            <w:tcW w:w="1013" w:type="dxa"/>
            <w:noWrap w:val="0"/>
            <w:vAlign w:val="center"/>
          </w:tcPr>
          <w:p w14:paraId="72ADD133">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14:paraId="2EFB9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5324" w:type="dxa"/>
            <w:noWrap w:val="0"/>
            <w:vAlign w:val="center"/>
          </w:tcPr>
          <w:p w14:paraId="6D494A29">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1、合格谈判供应商的资格条件。</w:t>
            </w:r>
          </w:p>
        </w:tc>
        <w:tc>
          <w:tcPr>
            <w:tcW w:w="2252" w:type="dxa"/>
            <w:noWrap w:val="0"/>
            <w:vAlign w:val="center"/>
          </w:tcPr>
          <w:p w14:paraId="25AE81E7">
            <w:pPr>
              <w:jc w:val="left"/>
              <w:rPr>
                <w:rFonts w:hint="eastAsia" w:ascii="宋体" w:hAnsi="宋体" w:eastAsia="宋体" w:cs="宋体"/>
                <w:bCs/>
                <w:color w:val="auto"/>
                <w:sz w:val="21"/>
                <w:szCs w:val="21"/>
                <w:highlight w:val="none"/>
              </w:rPr>
            </w:pPr>
          </w:p>
        </w:tc>
        <w:tc>
          <w:tcPr>
            <w:tcW w:w="1013" w:type="dxa"/>
            <w:noWrap w:val="0"/>
            <w:vAlign w:val="center"/>
          </w:tcPr>
          <w:p w14:paraId="7B01F97C">
            <w:pPr>
              <w:jc w:val="left"/>
              <w:rPr>
                <w:rFonts w:hint="eastAsia" w:ascii="宋体" w:hAnsi="宋体" w:eastAsia="宋体" w:cs="宋体"/>
                <w:bCs/>
                <w:color w:val="auto"/>
                <w:sz w:val="21"/>
                <w:szCs w:val="21"/>
                <w:highlight w:val="none"/>
              </w:rPr>
            </w:pPr>
          </w:p>
        </w:tc>
      </w:tr>
      <w:tr w14:paraId="17EFA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24" w:type="dxa"/>
            <w:noWrap w:val="0"/>
            <w:vAlign w:val="center"/>
          </w:tcPr>
          <w:p w14:paraId="228AA728">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2、谈判响应产品的数量、配置等是否符合谈判文件要求。</w:t>
            </w:r>
          </w:p>
        </w:tc>
        <w:tc>
          <w:tcPr>
            <w:tcW w:w="2252" w:type="dxa"/>
            <w:noWrap w:val="0"/>
            <w:vAlign w:val="center"/>
          </w:tcPr>
          <w:p w14:paraId="3AC76F93">
            <w:pPr>
              <w:jc w:val="left"/>
              <w:rPr>
                <w:rFonts w:hint="eastAsia" w:ascii="宋体" w:hAnsi="宋体" w:eastAsia="宋体" w:cs="宋体"/>
                <w:bCs/>
                <w:color w:val="auto"/>
                <w:sz w:val="21"/>
                <w:szCs w:val="21"/>
                <w:highlight w:val="none"/>
              </w:rPr>
            </w:pPr>
          </w:p>
        </w:tc>
        <w:tc>
          <w:tcPr>
            <w:tcW w:w="1013" w:type="dxa"/>
            <w:noWrap w:val="0"/>
            <w:vAlign w:val="center"/>
          </w:tcPr>
          <w:p w14:paraId="3EB79B8F">
            <w:pPr>
              <w:jc w:val="left"/>
              <w:rPr>
                <w:rFonts w:hint="eastAsia" w:ascii="宋体" w:hAnsi="宋体" w:eastAsia="宋体" w:cs="宋体"/>
                <w:bCs/>
                <w:color w:val="auto"/>
                <w:sz w:val="21"/>
                <w:szCs w:val="21"/>
                <w:highlight w:val="none"/>
              </w:rPr>
            </w:pPr>
          </w:p>
        </w:tc>
      </w:tr>
      <w:tr w14:paraId="599B3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5324" w:type="dxa"/>
            <w:noWrap w:val="0"/>
            <w:vAlign w:val="center"/>
          </w:tcPr>
          <w:p w14:paraId="55BB2E9D">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3、产品</w:t>
            </w:r>
            <w:r>
              <w:rPr>
                <w:rFonts w:ascii="宋体" w:hAnsi="宋体"/>
                <w:color w:val="auto"/>
                <w:kern w:val="0"/>
                <w:szCs w:val="21"/>
                <w:highlight w:val="none"/>
              </w:rPr>
              <w:t>交货时间、付款方式、质保期、</w:t>
            </w:r>
            <w:r>
              <w:rPr>
                <w:rFonts w:hint="eastAsia" w:ascii="宋体" w:hAnsi="宋体" w:eastAsia="宋体" w:cs="宋体"/>
                <w:bCs/>
                <w:color w:val="auto"/>
                <w:sz w:val="21"/>
                <w:szCs w:val="21"/>
                <w:highlight w:val="none"/>
              </w:rPr>
              <w:t>质量承诺及售后服务承诺。</w:t>
            </w:r>
          </w:p>
        </w:tc>
        <w:tc>
          <w:tcPr>
            <w:tcW w:w="2252" w:type="dxa"/>
            <w:noWrap w:val="0"/>
            <w:vAlign w:val="center"/>
          </w:tcPr>
          <w:p w14:paraId="2725A1CF">
            <w:pPr>
              <w:jc w:val="left"/>
              <w:rPr>
                <w:rFonts w:hint="eastAsia" w:ascii="宋体" w:hAnsi="宋体" w:eastAsia="宋体" w:cs="宋体"/>
                <w:bCs/>
                <w:color w:val="auto"/>
                <w:sz w:val="21"/>
                <w:szCs w:val="21"/>
                <w:highlight w:val="none"/>
              </w:rPr>
            </w:pPr>
          </w:p>
        </w:tc>
        <w:tc>
          <w:tcPr>
            <w:tcW w:w="1013" w:type="dxa"/>
            <w:noWrap w:val="0"/>
            <w:vAlign w:val="center"/>
          </w:tcPr>
          <w:p w14:paraId="42ECC421">
            <w:pPr>
              <w:jc w:val="left"/>
              <w:rPr>
                <w:rFonts w:hint="eastAsia" w:ascii="宋体" w:hAnsi="宋体" w:eastAsia="宋体" w:cs="宋体"/>
                <w:bCs/>
                <w:color w:val="auto"/>
                <w:sz w:val="21"/>
                <w:szCs w:val="21"/>
                <w:highlight w:val="none"/>
              </w:rPr>
            </w:pPr>
          </w:p>
        </w:tc>
      </w:tr>
      <w:tr w14:paraId="15722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5324" w:type="dxa"/>
            <w:noWrap w:val="0"/>
            <w:vAlign w:val="center"/>
          </w:tcPr>
          <w:p w14:paraId="5F184D4D">
            <w:pPr>
              <w:jc w:val="left"/>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、其他（除供应商资格条件及采购内容以外的其他涉及实质性响应谈判文件的条款内容）。</w:t>
            </w:r>
          </w:p>
        </w:tc>
        <w:tc>
          <w:tcPr>
            <w:tcW w:w="2252" w:type="dxa"/>
            <w:noWrap w:val="0"/>
            <w:vAlign w:val="center"/>
          </w:tcPr>
          <w:p w14:paraId="231DD09B">
            <w:pPr>
              <w:jc w:val="left"/>
              <w:rPr>
                <w:rFonts w:hint="eastAsia" w:ascii="宋体" w:hAnsi="宋体" w:eastAsia="宋体" w:cs="宋体"/>
                <w:bCs/>
                <w:color w:val="auto"/>
                <w:sz w:val="21"/>
                <w:szCs w:val="21"/>
                <w:highlight w:val="none"/>
              </w:rPr>
            </w:pPr>
            <w:bookmarkStart w:id="4" w:name="_GoBack"/>
            <w:bookmarkEnd w:id="4"/>
          </w:p>
        </w:tc>
        <w:tc>
          <w:tcPr>
            <w:tcW w:w="1013" w:type="dxa"/>
            <w:noWrap w:val="0"/>
            <w:vAlign w:val="center"/>
          </w:tcPr>
          <w:p w14:paraId="30FEA6D5">
            <w:pPr>
              <w:jc w:val="left"/>
              <w:rPr>
                <w:rFonts w:hint="eastAsia" w:ascii="宋体" w:hAnsi="宋体" w:eastAsia="宋体" w:cs="宋体"/>
                <w:bCs/>
                <w:color w:val="auto"/>
                <w:sz w:val="21"/>
                <w:szCs w:val="21"/>
                <w:highlight w:val="none"/>
              </w:rPr>
            </w:pPr>
          </w:p>
        </w:tc>
      </w:tr>
    </w:tbl>
    <w:p w14:paraId="7FF54CAB">
      <w:pPr>
        <w:pStyle w:val="21"/>
        <w:kinsoku/>
        <w:wordWrap/>
        <w:overflowPunct/>
        <w:topLinePunct w:val="0"/>
        <w:autoSpaceDE/>
        <w:autoSpaceDN/>
        <w:bidi w:val="0"/>
        <w:spacing w:line="360" w:lineRule="auto"/>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（全文完）</w:t>
      </w:r>
    </w:p>
    <w:sectPr>
      <w:pgSz w:w="11906" w:h="16838"/>
      <w:pgMar w:top="1440" w:right="1417" w:bottom="1440" w:left="1361" w:header="964" w:footer="96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BA10F">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txbx>
                      <w:txbxContent>
                        <w:p w14:paraId="0BA90FC5">
                          <w:pPr>
                            <w:pStyle w:val="27"/>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40</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SVju0AAAAAUBAAAPAAAAAAAAAAEAIAAA&#10;ACIAAABkcnMvZG93bnJldi54bWxQSwECFAAUAAAACACHTuJArUadddsBAACwAwAADgAAAAAAAAAB&#10;ACAAAAAfAQAAZHJzL2Uyb0RvYy54bWxQSwUGAAAAAAYABgBZAQAAbAUAAAAA&#10;">
              <v:fill on="f" focussize="0,0"/>
              <v:stroke on="f" weight="0.5pt"/>
              <v:imagedata o:title=""/>
              <o:lock v:ext="edit" aspectratio="f"/>
              <v:textbox inset="0mm,0mm,0mm,0mm" style="mso-fit-shape-to-text:t;">
                <w:txbxContent>
                  <w:p w14:paraId="0BA90FC5">
                    <w:pPr>
                      <w:pStyle w:val="27"/>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40</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E6A08">
    <w:pPr>
      <w:pStyle w:val="27"/>
      <w:framePr w:wrap="around" w:vAnchor="text" w:hAnchor="margin" w:xAlign="center" w:y="1"/>
      <w:rPr>
        <w:rStyle w:val="48"/>
      </w:rPr>
    </w:pPr>
    <w:r>
      <w:fldChar w:fldCharType="begin"/>
    </w:r>
    <w:r>
      <w:rPr>
        <w:rStyle w:val="48"/>
      </w:rPr>
      <w:instrText xml:space="preserve">PAGE  </w:instrText>
    </w:r>
    <w:r>
      <w:fldChar w:fldCharType="end"/>
    </w:r>
  </w:p>
  <w:p w14:paraId="33A95BE5">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3E172">
    <w:pPr>
      <w:pStyle w:val="29"/>
      <w:tabs>
        <w:tab w:val="right" w:pos="8820"/>
      </w:tabs>
      <w:jc w:val="left"/>
      <w:rPr>
        <w:rFonts w:hint="eastAsia" w:ascii="宋体" w:hAnsi="宋体" w:eastAsia="宋体"/>
        <w:lang w:eastAsia="zh-CN"/>
      </w:rPr>
    </w:pPr>
    <w:r>
      <w:drawing>
        <wp:inline distT="0" distB="0" distL="0" distR="0">
          <wp:extent cx="321945" cy="241300"/>
          <wp:effectExtent l="19050" t="0" r="1905" b="0"/>
          <wp:docPr id="1"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
                  <pic:cNvPicPr>
                    <a:picLocks noChangeAspect="1"/>
                  </pic:cNvPicPr>
                </pic:nvPicPr>
                <pic:blipFill>
                  <a:blip r:embed="rId1"/>
                  <a:stretch>
                    <a:fillRect/>
                  </a:stretch>
                </pic:blipFill>
                <pic:spPr>
                  <a:xfrm>
                    <a:off x="0" y="0"/>
                    <a:ext cx="321945" cy="241300"/>
                  </a:xfrm>
                  <a:prstGeom prst="rect">
                    <a:avLst/>
                  </a:prstGeom>
                  <a:noFill/>
                  <a:ln w="9525">
                    <a:noFill/>
                    <a:miter lim="800000"/>
                    <a:headEnd/>
                    <a:tailEnd/>
                  </a:ln>
                </pic:spPr>
              </pic:pic>
            </a:graphicData>
          </a:graphic>
        </wp:inline>
      </w:drawing>
    </w:r>
    <w:r>
      <w:rPr>
        <w:rFonts w:hint="eastAsia" w:ascii="宋体" w:hAnsi="宋体"/>
      </w:rPr>
      <w:t>苏州市创杰招投标咨询服务有限公司</w:t>
    </w:r>
    <w:r>
      <w:tab/>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采购编号：</w:t>
    </w:r>
    <w:r>
      <w:rPr>
        <w:rFonts w:hint="eastAsia" w:ascii="宋体" w:hAnsi="宋体"/>
        <w:lang w:eastAsia="zh-CN"/>
      </w:rPr>
      <w:t>JSZC-320509-CJZB-T2025-0085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DBBBC">
    <w:pPr>
      <w:pStyle w:val="29"/>
      <w:tabs>
        <w:tab w:val="right" w:pos="8820"/>
      </w:tabs>
      <w:jc w:val="left"/>
      <w:rPr>
        <w:rFonts w:ascii="宋体" w:hAnsi="宋体"/>
      </w:rPr>
    </w:pPr>
    <w:r>
      <w:drawing>
        <wp:inline distT="0" distB="0" distL="0" distR="0">
          <wp:extent cx="321945" cy="241300"/>
          <wp:effectExtent l="19050" t="0" r="1905" b="0"/>
          <wp:docPr id="2" name="图片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2"/>
                  <pic:cNvPicPr>
                    <a:picLocks noChangeAspect="1"/>
                  </pic:cNvPicPr>
                </pic:nvPicPr>
                <pic:blipFill>
                  <a:blip r:embed="rId1"/>
                  <a:stretch>
                    <a:fillRect/>
                  </a:stretch>
                </pic:blipFill>
                <pic:spPr>
                  <a:xfrm>
                    <a:off x="0" y="0"/>
                    <a:ext cx="321945" cy="241300"/>
                  </a:xfrm>
                  <a:prstGeom prst="rect">
                    <a:avLst/>
                  </a:prstGeom>
                  <a:noFill/>
                  <a:ln w="9525">
                    <a:noFill/>
                    <a:miter lim="800000"/>
                    <a:headEnd/>
                    <a:tailEnd/>
                  </a:ln>
                </pic:spPr>
              </pic:pic>
            </a:graphicData>
          </a:graphic>
        </wp:inline>
      </w:drawing>
    </w:r>
    <w:r>
      <w:rPr>
        <w:rFonts w:hint="eastAsia" w:ascii="宋体" w:hAnsi="宋体"/>
      </w:rPr>
      <w:t>苏州市创杰招投标咨询服务有限公司</w:t>
    </w:r>
    <w:r>
      <w:tab/>
    </w:r>
    <w:r>
      <w:rPr>
        <w:rFonts w:hint="eastAsia" w:ascii="宋体" w:hAnsi="宋体"/>
      </w:rPr>
      <w:t>标号：</w:t>
    </w:r>
    <w:r>
      <w:rPr>
        <w:rFonts w:ascii="宋体" w:hAnsi="宋体"/>
      </w:rPr>
      <w:t>SZCJ20</w:t>
    </w:r>
    <w:r>
      <w:rPr>
        <w:rFonts w:hint="eastAsia" w:ascii="宋体" w:hAnsi="宋体"/>
      </w:rPr>
      <w:t>16</w:t>
    </w:r>
    <w:r>
      <w:rPr>
        <w:rFonts w:ascii="宋体" w:hAnsi="宋体"/>
      </w:rPr>
      <w:t>-</w:t>
    </w:r>
    <w:r>
      <w:rPr>
        <w:rFonts w:hint="eastAsia" w:ascii="宋体" w:hAnsi="宋体"/>
      </w:rPr>
      <w:t>C</w:t>
    </w:r>
    <w:r>
      <w:rPr>
        <w:rFonts w:ascii="宋体" w:hAnsi="宋体"/>
      </w:rPr>
      <w:t>-</w:t>
    </w:r>
    <w:r>
      <w:rPr>
        <w:rFonts w:hint="eastAsia" w:ascii="宋体" w:hAnsi="宋体"/>
      </w:rPr>
      <w:t>001号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japaneseCounting"/>
      <w:pStyle w:val="227"/>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53208E"/>
    <w:multiLevelType w:val="multilevel"/>
    <w:tmpl w:val="0053208E"/>
    <w:lvl w:ilvl="0" w:tentative="0">
      <w:start w:val="2"/>
      <w:numFmt w:val="japaneseCounting"/>
      <w:pStyle w:val="40"/>
      <w:lvlText w:val="（%1）"/>
      <w:lvlJc w:val="left"/>
      <w:pPr>
        <w:tabs>
          <w:tab w:val="left" w:pos="1140"/>
        </w:tabs>
        <w:ind w:left="1140" w:hanging="720"/>
      </w:pPr>
      <w:rPr>
        <w:rFonts w:hint="eastAsia"/>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5B654F3"/>
    <w:multiLevelType w:val="multilevel"/>
    <w:tmpl w:val="25B654F3"/>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ZGIyZWRmZTk5MGEyN2Y5Y2Y2MjllNTgyNjIzMzUifQ=="/>
  </w:docVars>
  <w:rsids>
    <w:rsidRoot w:val="00000000"/>
    <w:rsid w:val="00641E35"/>
    <w:rsid w:val="02054EED"/>
    <w:rsid w:val="02B61B44"/>
    <w:rsid w:val="02EC5A54"/>
    <w:rsid w:val="035B12CD"/>
    <w:rsid w:val="04477AA3"/>
    <w:rsid w:val="055803A8"/>
    <w:rsid w:val="059D4469"/>
    <w:rsid w:val="05D21D37"/>
    <w:rsid w:val="075C3866"/>
    <w:rsid w:val="081439C0"/>
    <w:rsid w:val="081B5093"/>
    <w:rsid w:val="0827320A"/>
    <w:rsid w:val="09A52BFC"/>
    <w:rsid w:val="09AB7597"/>
    <w:rsid w:val="0A3C34DB"/>
    <w:rsid w:val="0A4D56E8"/>
    <w:rsid w:val="0AD953B0"/>
    <w:rsid w:val="0B310DB7"/>
    <w:rsid w:val="0BC60628"/>
    <w:rsid w:val="0BD16684"/>
    <w:rsid w:val="0C1C2ED4"/>
    <w:rsid w:val="0C22507E"/>
    <w:rsid w:val="0C3E10AC"/>
    <w:rsid w:val="0E4869D7"/>
    <w:rsid w:val="0E87566C"/>
    <w:rsid w:val="0F057F3E"/>
    <w:rsid w:val="0F1669F0"/>
    <w:rsid w:val="0F967CB3"/>
    <w:rsid w:val="0FC7596C"/>
    <w:rsid w:val="104718C8"/>
    <w:rsid w:val="113D2012"/>
    <w:rsid w:val="11FE4A4F"/>
    <w:rsid w:val="12E446C0"/>
    <w:rsid w:val="13AD48CA"/>
    <w:rsid w:val="13E640AA"/>
    <w:rsid w:val="14487AD4"/>
    <w:rsid w:val="14CD507F"/>
    <w:rsid w:val="14EC3425"/>
    <w:rsid w:val="158305A9"/>
    <w:rsid w:val="159677A4"/>
    <w:rsid w:val="16454C78"/>
    <w:rsid w:val="165776E4"/>
    <w:rsid w:val="17576AD0"/>
    <w:rsid w:val="197A1AB1"/>
    <w:rsid w:val="1A5B6057"/>
    <w:rsid w:val="1AC94DE8"/>
    <w:rsid w:val="1ACB308B"/>
    <w:rsid w:val="1CA347AF"/>
    <w:rsid w:val="1CB97098"/>
    <w:rsid w:val="1D8E5635"/>
    <w:rsid w:val="1E4A2212"/>
    <w:rsid w:val="1EE43FC5"/>
    <w:rsid w:val="1FB45B95"/>
    <w:rsid w:val="1FC942B4"/>
    <w:rsid w:val="20171C5D"/>
    <w:rsid w:val="206B16F0"/>
    <w:rsid w:val="20AA343C"/>
    <w:rsid w:val="20EA1F62"/>
    <w:rsid w:val="213201C5"/>
    <w:rsid w:val="22916662"/>
    <w:rsid w:val="23A6613D"/>
    <w:rsid w:val="23A81FC4"/>
    <w:rsid w:val="23B84BE6"/>
    <w:rsid w:val="24030E16"/>
    <w:rsid w:val="25170171"/>
    <w:rsid w:val="25202EC3"/>
    <w:rsid w:val="25E2757B"/>
    <w:rsid w:val="2677762E"/>
    <w:rsid w:val="267E090E"/>
    <w:rsid w:val="26EF6293"/>
    <w:rsid w:val="273A72C8"/>
    <w:rsid w:val="278B57CE"/>
    <w:rsid w:val="279664C8"/>
    <w:rsid w:val="28235FAE"/>
    <w:rsid w:val="28795BCE"/>
    <w:rsid w:val="292645B9"/>
    <w:rsid w:val="29EA2491"/>
    <w:rsid w:val="2D904AFD"/>
    <w:rsid w:val="2DCB0E63"/>
    <w:rsid w:val="2E026666"/>
    <w:rsid w:val="2E1C35F8"/>
    <w:rsid w:val="2F5B10A0"/>
    <w:rsid w:val="30855EF1"/>
    <w:rsid w:val="317C68F3"/>
    <w:rsid w:val="31C14142"/>
    <w:rsid w:val="32004C6A"/>
    <w:rsid w:val="329014D0"/>
    <w:rsid w:val="32DC359F"/>
    <w:rsid w:val="335B15E7"/>
    <w:rsid w:val="339B7340"/>
    <w:rsid w:val="35071D38"/>
    <w:rsid w:val="35C85B24"/>
    <w:rsid w:val="35CE0412"/>
    <w:rsid w:val="366B28CE"/>
    <w:rsid w:val="366F4CB5"/>
    <w:rsid w:val="36E7289C"/>
    <w:rsid w:val="37644B91"/>
    <w:rsid w:val="37B85359"/>
    <w:rsid w:val="380951E1"/>
    <w:rsid w:val="38820427"/>
    <w:rsid w:val="38CE223C"/>
    <w:rsid w:val="38EE1809"/>
    <w:rsid w:val="3AAD5BAB"/>
    <w:rsid w:val="3ABC6E32"/>
    <w:rsid w:val="3AE3659B"/>
    <w:rsid w:val="3AEC0329"/>
    <w:rsid w:val="3C125CC6"/>
    <w:rsid w:val="3C255B6A"/>
    <w:rsid w:val="3EA82911"/>
    <w:rsid w:val="3F6D6940"/>
    <w:rsid w:val="3FA23805"/>
    <w:rsid w:val="3FF93E47"/>
    <w:rsid w:val="401C07FB"/>
    <w:rsid w:val="406E36E7"/>
    <w:rsid w:val="412C23C6"/>
    <w:rsid w:val="41314E40"/>
    <w:rsid w:val="41FF4F3E"/>
    <w:rsid w:val="429A2760"/>
    <w:rsid w:val="42CE30A8"/>
    <w:rsid w:val="43CE4216"/>
    <w:rsid w:val="44FF34A7"/>
    <w:rsid w:val="459F4295"/>
    <w:rsid w:val="45CC3389"/>
    <w:rsid w:val="46D10C0E"/>
    <w:rsid w:val="471A4521"/>
    <w:rsid w:val="472054C0"/>
    <w:rsid w:val="47601971"/>
    <w:rsid w:val="48D2515B"/>
    <w:rsid w:val="490232CF"/>
    <w:rsid w:val="494E2F75"/>
    <w:rsid w:val="49AA1C33"/>
    <w:rsid w:val="4B2C0426"/>
    <w:rsid w:val="4B771FE9"/>
    <w:rsid w:val="4BCF3BD3"/>
    <w:rsid w:val="4C022AC2"/>
    <w:rsid w:val="4C966E5B"/>
    <w:rsid w:val="4CF92740"/>
    <w:rsid w:val="4D741370"/>
    <w:rsid w:val="4DCD01D6"/>
    <w:rsid w:val="4E533488"/>
    <w:rsid w:val="4EFF657E"/>
    <w:rsid w:val="4F073684"/>
    <w:rsid w:val="4F565BAF"/>
    <w:rsid w:val="4FC14EFE"/>
    <w:rsid w:val="4FF66CE2"/>
    <w:rsid w:val="509C604E"/>
    <w:rsid w:val="51864E23"/>
    <w:rsid w:val="520B4FFC"/>
    <w:rsid w:val="52371F34"/>
    <w:rsid w:val="525E35BB"/>
    <w:rsid w:val="528B1ED6"/>
    <w:rsid w:val="545B76B8"/>
    <w:rsid w:val="54BE13A5"/>
    <w:rsid w:val="54BE262D"/>
    <w:rsid w:val="55261D66"/>
    <w:rsid w:val="566E223B"/>
    <w:rsid w:val="571076B7"/>
    <w:rsid w:val="57284198"/>
    <w:rsid w:val="5939268C"/>
    <w:rsid w:val="59965D30"/>
    <w:rsid w:val="59C27165"/>
    <w:rsid w:val="5A1B4488"/>
    <w:rsid w:val="5A451531"/>
    <w:rsid w:val="5B8C73EB"/>
    <w:rsid w:val="5BDF2F43"/>
    <w:rsid w:val="5C3E6516"/>
    <w:rsid w:val="5C504119"/>
    <w:rsid w:val="5C602626"/>
    <w:rsid w:val="5CF55D01"/>
    <w:rsid w:val="5DB723C2"/>
    <w:rsid w:val="5DD42981"/>
    <w:rsid w:val="5E6967DF"/>
    <w:rsid w:val="5F0C25F1"/>
    <w:rsid w:val="5F117C07"/>
    <w:rsid w:val="5F435C84"/>
    <w:rsid w:val="60B8658C"/>
    <w:rsid w:val="60EC73A0"/>
    <w:rsid w:val="61302084"/>
    <w:rsid w:val="61926657"/>
    <w:rsid w:val="624078A4"/>
    <w:rsid w:val="628F77C1"/>
    <w:rsid w:val="6291178B"/>
    <w:rsid w:val="629E64EA"/>
    <w:rsid w:val="62B822C4"/>
    <w:rsid w:val="62BB7C17"/>
    <w:rsid w:val="62CD1C76"/>
    <w:rsid w:val="638F5110"/>
    <w:rsid w:val="65953340"/>
    <w:rsid w:val="665153A8"/>
    <w:rsid w:val="66971310"/>
    <w:rsid w:val="677961F6"/>
    <w:rsid w:val="68700D09"/>
    <w:rsid w:val="689275C2"/>
    <w:rsid w:val="69223A77"/>
    <w:rsid w:val="69341482"/>
    <w:rsid w:val="6BE217A9"/>
    <w:rsid w:val="6BFB16DF"/>
    <w:rsid w:val="6E056B89"/>
    <w:rsid w:val="70DC1E23"/>
    <w:rsid w:val="70E02E56"/>
    <w:rsid w:val="715E76DD"/>
    <w:rsid w:val="71CA4040"/>
    <w:rsid w:val="737451AF"/>
    <w:rsid w:val="739345A3"/>
    <w:rsid w:val="744A7EB9"/>
    <w:rsid w:val="74CE23CA"/>
    <w:rsid w:val="7602080D"/>
    <w:rsid w:val="76D915A4"/>
    <w:rsid w:val="77490AF4"/>
    <w:rsid w:val="77EB3293"/>
    <w:rsid w:val="7AAC7C9E"/>
    <w:rsid w:val="7AE641FA"/>
    <w:rsid w:val="7CB4579F"/>
    <w:rsid w:val="7CD92BCE"/>
    <w:rsid w:val="7E292420"/>
    <w:rsid w:val="7E797790"/>
    <w:rsid w:val="7F0F7867"/>
    <w:rsid w:val="7F7B02CE"/>
    <w:rsid w:val="7F8E03F1"/>
    <w:rsid w:val="7FDB6FCA"/>
    <w:rsid w:val="7FDE1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rPr>
  </w:style>
  <w:style w:type="paragraph" w:styleId="2">
    <w:name w:val="heading 1"/>
    <w:basedOn w:val="1"/>
    <w:next w:val="1"/>
    <w:link w:val="203"/>
    <w:qFormat/>
    <w:uiPriority w:val="0"/>
    <w:pPr>
      <w:keepNext/>
      <w:keepLines/>
      <w:spacing w:before="340" w:after="330" w:line="578" w:lineRule="auto"/>
      <w:outlineLvl w:val="0"/>
    </w:pPr>
    <w:rPr>
      <w:b/>
      <w:bCs/>
      <w:sz w:val="44"/>
      <w:szCs w:val="44"/>
    </w:rPr>
  </w:style>
  <w:style w:type="paragraph" w:styleId="3">
    <w:name w:val="heading 2"/>
    <w:basedOn w:val="1"/>
    <w:next w:val="1"/>
    <w:link w:val="20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5"/>
    <w:link w:val="205"/>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214"/>
    <w:qFormat/>
    <w:uiPriority w:val="0"/>
    <w:pPr>
      <w:keepNext/>
      <w:spacing w:before="240" w:after="60"/>
      <w:outlineLvl w:val="3"/>
    </w:pPr>
    <w:rPr>
      <w:b/>
      <w:bCs/>
      <w:sz w:val="28"/>
      <w:szCs w:val="28"/>
    </w:rPr>
  </w:style>
  <w:style w:type="paragraph" w:styleId="7">
    <w:name w:val="heading 5"/>
    <w:basedOn w:val="1"/>
    <w:next w:val="1"/>
    <w:link w:val="209"/>
    <w:qFormat/>
    <w:uiPriority w:val="0"/>
    <w:pPr>
      <w:spacing w:before="240" w:after="60"/>
      <w:outlineLvl w:val="4"/>
    </w:pPr>
    <w:rPr>
      <w:b/>
      <w:bCs/>
      <w:i/>
      <w:iCs/>
      <w:sz w:val="26"/>
      <w:szCs w:val="26"/>
    </w:rPr>
  </w:style>
  <w:style w:type="paragraph" w:styleId="8">
    <w:name w:val="heading 6"/>
    <w:basedOn w:val="1"/>
    <w:next w:val="1"/>
    <w:link w:val="61"/>
    <w:autoRedefine/>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62"/>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63"/>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64"/>
    <w:autoRedefine/>
    <w:unhideWhenUsed/>
    <w:qFormat/>
    <w:uiPriority w:val="9"/>
    <w:pPr>
      <w:keepNext/>
      <w:keepLines/>
      <w:spacing w:before="320" w:after="200"/>
      <w:outlineLvl w:val="8"/>
    </w:pPr>
    <w:rPr>
      <w:rFonts w:ascii="Arial" w:hAnsi="Arial" w:eastAsia="Arial" w:cs="Arial"/>
      <w:i/>
      <w:iCs/>
      <w:sz w:val="21"/>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8"/>
    <w:qFormat/>
    <w:uiPriority w:val="0"/>
    <w:pPr>
      <w:widowControl/>
      <w:ind w:firstLine="420"/>
      <w:jc w:val="left"/>
    </w:pPr>
    <w:rPr>
      <w:rFonts w:eastAsia="楷体_GB2312"/>
      <w:sz w:val="24"/>
      <w:szCs w:val="20"/>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Document Map"/>
    <w:basedOn w:val="1"/>
    <w:semiHidden/>
    <w:qFormat/>
    <w:uiPriority w:val="0"/>
    <w:pPr>
      <w:shd w:val="clear" w:color="auto" w:fill="000080"/>
    </w:pPr>
  </w:style>
  <w:style w:type="paragraph" w:styleId="15">
    <w:name w:val="annotation text"/>
    <w:basedOn w:val="1"/>
    <w:link w:val="222"/>
    <w:qFormat/>
    <w:uiPriority w:val="99"/>
    <w:pPr>
      <w:jc w:val="left"/>
    </w:pPr>
  </w:style>
  <w:style w:type="paragraph" w:styleId="16">
    <w:name w:val="Body Text"/>
    <w:basedOn w:val="1"/>
    <w:next w:val="1"/>
    <w:qFormat/>
    <w:uiPriority w:val="0"/>
    <w:pPr>
      <w:spacing w:after="120"/>
    </w:pPr>
  </w:style>
  <w:style w:type="paragraph" w:styleId="17">
    <w:name w:val="Body Text Indent"/>
    <w:basedOn w:val="1"/>
    <w:link w:val="251"/>
    <w:autoRedefine/>
    <w:qFormat/>
    <w:uiPriority w:val="0"/>
    <w:pPr>
      <w:spacing w:after="120"/>
      <w:ind w:left="420"/>
    </w:pPr>
  </w:style>
  <w:style w:type="paragraph" w:styleId="18">
    <w:name w:val="Block Text"/>
    <w:basedOn w:val="2"/>
    <w:next w:val="1"/>
    <w:qFormat/>
    <w:uiPriority w:val="0"/>
    <w:pPr>
      <w:spacing w:line="360" w:lineRule="auto"/>
      <w:ind w:left="630" w:right="-609" w:firstLine="420"/>
    </w:pPr>
    <w:rPr>
      <w:rFonts w:hint="eastAsia" w:ascii="仿宋_GB2312" w:eastAsia="仿宋_GB2312"/>
      <w:szCs w:val="20"/>
    </w:rPr>
  </w:style>
  <w:style w:type="paragraph" w:styleId="19">
    <w:name w:val="toc 5"/>
    <w:basedOn w:val="1"/>
    <w:next w:val="1"/>
    <w:unhideWhenUsed/>
    <w:qFormat/>
    <w:uiPriority w:val="39"/>
    <w:pPr>
      <w:spacing w:after="57"/>
      <w:ind w:left="1134" w:right="0" w:firstLine="0"/>
    </w:pPr>
  </w:style>
  <w:style w:type="paragraph" w:styleId="20">
    <w:name w:val="toc 3"/>
    <w:basedOn w:val="1"/>
    <w:next w:val="1"/>
    <w:unhideWhenUsed/>
    <w:qFormat/>
    <w:uiPriority w:val="39"/>
    <w:pPr>
      <w:spacing w:after="57"/>
      <w:ind w:left="567" w:right="0" w:firstLine="0"/>
    </w:pPr>
  </w:style>
  <w:style w:type="paragraph" w:styleId="21">
    <w:name w:val="Plain Text"/>
    <w:basedOn w:val="1"/>
    <w:link w:val="207"/>
    <w:qFormat/>
    <w:uiPriority w:val="0"/>
    <w:pPr>
      <w:widowControl/>
      <w:jc w:val="left"/>
    </w:pPr>
    <w:rPr>
      <w:rFonts w:ascii="宋体" w:hAnsi="Courier New" w:eastAsia="楷体_GB2312"/>
      <w:sz w:val="26"/>
    </w:rPr>
  </w:style>
  <w:style w:type="paragraph" w:styleId="22">
    <w:name w:val="toc 8"/>
    <w:basedOn w:val="1"/>
    <w:next w:val="1"/>
    <w:autoRedefine/>
    <w:unhideWhenUsed/>
    <w:qFormat/>
    <w:uiPriority w:val="39"/>
    <w:pPr>
      <w:spacing w:after="57"/>
      <w:ind w:left="1984" w:right="0" w:firstLine="0"/>
    </w:pPr>
  </w:style>
  <w:style w:type="paragraph" w:styleId="23">
    <w:name w:val="Date"/>
    <w:basedOn w:val="1"/>
    <w:next w:val="1"/>
    <w:link w:val="223"/>
    <w:autoRedefine/>
    <w:qFormat/>
    <w:uiPriority w:val="0"/>
    <w:pPr>
      <w:ind w:left="100"/>
    </w:pPr>
    <w:rPr>
      <w:sz w:val="36"/>
      <w:szCs w:val="20"/>
    </w:rPr>
  </w:style>
  <w:style w:type="paragraph" w:styleId="24">
    <w:name w:val="Body Text Indent 2"/>
    <w:basedOn w:val="1"/>
    <w:autoRedefine/>
    <w:qFormat/>
    <w:uiPriority w:val="0"/>
    <w:pPr>
      <w:spacing w:after="120" w:line="480" w:lineRule="auto"/>
      <w:ind w:left="420"/>
    </w:pPr>
  </w:style>
  <w:style w:type="paragraph" w:styleId="25">
    <w:name w:val="endnote text"/>
    <w:basedOn w:val="1"/>
    <w:link w:val="200"/>
    <w:autoRedefine/>
    <w:semiHidden/>
    <w:unhideWhenUsed/>
    <w:qFormat/>
    <w:uiPriority w:val="99"/>
    <w:pPr>
      <w:spacing w:after="0" w:line="240" w:lineRule="auto"/>
    </w:pPr>
    <w:rPr>
      <w:sz w:val="20"/>
    </w:rPr>
  </w:style>
  <w:style w:type="paragraph" w:styleId="26">
    <w:name w:val="Balloon Text"/>
    <w:basedOn w:val="1"/>
    <w:autoRedefine/>
    <w:semiHidden/>
    <w:qFormat/>
    <w:uiPriority w:val="0"/>
    <w:rPr>
      <w:sz w:val="18"/>
      <w:szCs w:val="18"/>
    </w:rPr>
  </w:style>
  <w:style w:type="paragraph" w:styleId="27">
    <w:name w:val="footer"/>
    <w:basedOn w:val="1"/>
    <w:link w:val="212"/>
    <w:qFormat/>
    <w:uiPriority w:val="0"/>
    <w:pPr>
      <w:tabs>
        <w:tab w:val="center" w:pos="4153"/>
        <w:tab w:val="right" w:pos="8306"/>
      </w:tabs>
      <w:jc w:val="left"/>
    </w:pPr>
    <w:rPr>
      <w:sz w:val="18"/>
      <w:szCs w:val="18"/>
    </w:rPr>
  </w:style>
  <w:style w:type="paragraph" w:styleId="28">
    <w:name w:val="envelope return"/>
    <w:basedOn w:val="1"/>
    <w:qFormat/>
    <w:uiPriority w:val="0"/>
    <w:rPr>
      <w:rFonts w:ascii="Arial" w:hAnsi="Arial" w:eastAsia="楷体_GB2312"/>
      <w:sz w:val="26"/>
      <w:szCs w:val="20"/>
    </w:rPr>
  </w:style>
  <w:style w:type="paragraph" w:styleId="29">
    <w:name w:val="header"/>
    <w:basedOn w:val="1"/>
    <w:link w:val="218"/>
    <w:qFormat/>
    <w:uiPriority w:val="99"/>
    <w:pPr>
      <w:pBdr>
        <w:bottom w:val="single" w:color="auto" w:sz="6" w:space="1"/>
      </w:pBdr>
      <w:tabs>
        <w:tab w:val="center" w:pos="4153"/>
        <w:tab w:val="right" w:pos="8306"/>
      </w:tabs>
      <w:jc w:val="center"/>
    </w:pPr>
    <w:rPr>
      <w:sz w:val="18"/>
      <w:szCs w:val="18"/>
    </w:rPr>
  </w:style>
  <w:style w:type="paragraph" w:styleId="30">
    <w:name w:val="toc 1"/>
    <w:basedOn w:val="1"/>
    <w:next w:val="1"/>
    <w:semiHidden/>
    <w:qFormat/>
    <w:uiPriority w:val="0"/>
    <w:pPr>
      <w:jc w:val="left"/>
    </w:pPr>
    <w:rPr>
      <w:rFonts w:eastAsia="楷体_GB2312"/>
      <w:sz w:val="24"/>
      <w:szCs w:val="20"/>
    </w:rPr>
  </w:style>
  <w:style w:type="paragraph" w:styleId="31">
    <w:name w:val="toc 4"/>
    <w:basedOn w:val="1"/>
    <w:next w:val="1"/>
    <w:unhideWhenUsed/>
    <w:qFormat/>
    <w:uiPriority w:val="39"/>
    <w:pPr>
      <w:spacing w:after="57"/>
      <w:ind w:left="850" w:right="0" w:firstLine="0"/>
    </w:pPr>
  </w:style>
  <w:style w:type="paragraph" w:styleId="32">
    <w:name w:val="Subtitle"/>
    <w:basedOn w:val="1"/>
    <w:next w:val="1"/>
    <w:qFormat/>
    <w:uiPriority w:val="0"/>
    <w:pPr>
      <w:spacing w:before="240" w:after="60" w:line="312" w:lineRule="auto"/>
      <w:jc w:val="center"/>
      <w:outlineLvl w:val="1"/>
    </w:pPr>
    <w:rPr>
      <w:rFonts w:ascii="宋体" w:hAnsi="Courier New" w:eastAsia="楷体_GB2312"/>
      <w:sz w:val="26"/>
      <w:szCs w:val="20"/>
    </w:rPr>
  </w:style>
  <w:style w:type="paragraph" w:styleId="33">
    <w:name w:val="footnote text"/>
    <w:basedOn w:val="2"/>
    <w:next w:val="18"/>
    <w:qFormat/>
    <w:uiPriority w:val="0"/>
    <w:pPr>
      <w:spacing w:before="0" w:after="0" w:line="360" w:lineRule="auto"/>
      <w:ind w:firstLine="3584"/>
    </w:pPr>
  </w:style>
  <w:style w:type="paragraph" w:styleId="34">
    <w:name w:val="toc 6"/>
    <w:basedOn w:val="1"/>
    <w:next w:val="1"/>
    <w:unhideWhenUsed/>
    <w:qFormat/>
    <w:uiPriority w:val="39"/>
    <w:pPr>
      <w:spacing w:after="57"/>
      <w:ind w:left="1417" w:right="0" w:firstLine="0"/>
    </w:pPr>
  </w:style>
  <w:style w:type="paragraph" w:styleId="35">
    <w:name w:val="Body Text Indent 3"/>
    <w:basedOn w:val="1"/>
    <w:qFormat/>
    <w:uiPriority w:val="0"/>
    <w:pPr>
      <w:spacing w:line="440" w:lineRule="atLeast"/>
      <w:ind w:firstLine="480"/>
      <w:jc w:val="left"/>
    </w:pPr>
    <w:rPr>
      <w:sz w:val="24"/>
    </w:rPr>
  </w:style>
  <w:style w:type="paragraph" w:styleId="36">
    <w:name w:val="table of figures"/>
    <w:basedOn w:val="1"/>
    <w:next w:val="1"/>
    <w:unhideWhenUsed/>
    <w:qFormat/>
    <w:uiPriority w:val="99"/>
    <w:pPr>
      <w:spacing w:after="0" w:afterAutospacing="0"/>
    </w:pPr>
  </w:style>
  <w:style w:type="paragraph" w:styleId="37">
    <w:name w:val="toc 2"/>
    <w:basedOn w:val="1"/>
    <w:next w:val="1"/>
    <w:unhideWhenUsed/>
    <w:qFormat/>
    <w:uiPriority w:val="39"/>
    <w:pPr>
      <w:spacing w:after="57"/>
      <w:ind w:left="283" w:right="0" w:firstLine="0"/>
    </w:pPr>
  </w:style>
  <w:style w:type="paragraph" w:styleId="38">
    <w:name w:val="toc 9"/>
    <w:basedOn w:val="1"/>
    <w:next w:val="1"/>
    <w:unhideWhenUsed/>
    <w:qFormat/>
    <w:uiPriority w:val="39"/>
    <w:pPr>
      <w:spacing w:after="57"/>
      <w:ind w:left="2268" w:right="0" w:firstLine="0"/>
    </w:pPr>
  </w:style>
  <w:style w:type="paragraph" w:styleId="39">
    <w:name w:val="Normal (Web)"/>
    <w:basedOn w:val="1"/>
    <w:qFormat/>
    <w:uiPriority w:val="0"/>
    <w:pPr>
      <w:widowControl/>
      <w:spacing w:before="100" w:beforeAutospacing="1" w:after="100" w:afterAutospacing="1"/>
      <w:jc w:val="left"/>
    </w:pPr>
    <w:rPr>
      <w:rFonts w:ascii="宋体" w:hAnsi="宋体" w:cs="宋体"/>
      <w:sz w:val="24"/>
    </w:rPr>
  </w:style>
  <w:style w:type="paragraph" w:styleId="40">
    <w:name w:val="Title"/>
    <w:basedOn w:val="1"/>
    <w:link w:val="215"/>
    <w:qFormat/>
    <w:uiPriority w:val="0"/>
    <w:pPr>
      <w:numPr>
        <w:ilvl w:val="0"/>
        <w:numId w:val="1"/>
      </w:numPr>
      <w:tabs>
        <w:tab w:val="left" w:pos="432"/>
      </w:tabs>
      <w:spacing w:before="240" w:after="60"/>
      <w:jc w:val="center"/>
      <w:outlineLvl w:val="0"/>
    </w:pPr>
    <w:rPr>
      <w:rFonts w:ascii="Arial" w:hAnsi="Arial"/>
      <w:b/>
      <w:bCs/>
      <w:sz w:val="32"/>
      <w:szCs w:val="32"/>
    </w:rPr>
  </w:style>
  <w:style w:type="paragraph" w:styleId="41">
    <w:name w:val="annotation subject"/>
    <w:basedOn w:val="15"/>
    <w:next w:val="15"/>
    <w:semiHidden/>
    <w:qFormat/>
    <w:uiPriority w:val="0"/>
    <w:rPr>
      <w:b/>
      <w:bCs/>
    </w:rPr>
  </w:style>
  <w:style w:type="paragraph" w:styleId="42">
    <w:name w:val="Body Text First Indent 2"/>
    <w:basedOn w:val="17"/>
    <w:qFormat/>
    <w:uiPriority w:val="0"/>
    <w:pPr>
      <w:ind w:firstLine="420"/>
    </w:pPr>
  </w:style>
  <w:style w:type="table" w:styleId="44">
    <w:name w:val="Table Grid"/>
    <w:basedOn w:val="4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basedOn w:val="45"/>
    <w:qFormat/>
    <w:uiPriority w:val="0"/>
    <w:rPr>
      <w:b/>
      <w:bCs/>
    </w:rPr>
  </w:style>
  <w:style w:type="character" w:styleId="47">
    <w:name w:val="endnote reference"/>
    <w:basedOn w:val="45"/>
    <w:semiHidden/>
    <w:unhideWhenUsed/>
    <w:qFormat/>
    <w:uiPriority w:val="99"/>
    <w:rPr>
      <w:vertAlign w:val="superscript"/>
    </w:rPr>
  </w:style>
  <w:style w:type="character" w:styleId="48">
    <w:name w:val="page number"/>
    <w:basedOn w:val="45"/>
    <w:qFormat/>
    <w:uiPriority w:val="0"/>
  </w:style>
  <w:style w:type="character" w:styleId="49">
    <w:name w:val="FollowedHyperlink"/>
    <w:basedOn w:val="45"/>
    <w:semiHidden/>
    <w:unhideWhenUsed/>
    <w:qFormat/>
    <w:uiPriority w:val="0"/>
    <w:rPr>
      <w:color w:val="333333"/>
      <w:u w:val="none"/>
    </w:rPr>
  </w:style>
  <w:style w:type="character" w:styleId="50">
    <w:name w:val="Emphasis"/>
    <w:qFormat/>
    <w:uiPriority w:val="0"/>
    <w:rPr>
      <w:i/>
      <w:iCs/>
    </w:rPr>
  </w:style>
  <w:style w:type="character" w:styleId="51">
    <w:name w:val="Hyperlink"/>
    <w:qFormat/>
    <w:uiPriority w:val="0"/>
    <w:rPr>
      <w:color w:val="000000"/>
      <w:u w:val="none"/>
    </w:rPr>
  </w:style>
  <w:style w:type="character" w:styleId="52">
    <w:name w:val="annotation reference"/>
    <w:qFormat/>
    <w:uiPriority w:val="99"/>
    <w:rPr>
      <w:sz w:val="21"/>
      <w:szCs w:val="21"/>
    </w:rPr>
  </w:style>
  <w:style w:type="character" w:styleId="53">
    <w:name w:val="footnote reference"/>
    <w:basedOn w:val="45"/>
    <w:unhideWhenUsed/>
    <w:qFormat/>
    <w:uiPriority w:val="99"/>
    <w:rPr>
      <w:vertAlign w:val="superscript"/>
    </w:rPr>
  </w:style>
  <w:style w:type="paragraph" w:customStyle="1" w:styleId="54">
    <w:name w:val="段"/>
    <w:next w:val="1"/>
    <w:autoRedefine/>
    <w:qFormat/>
    <w:uiPriority w:val="0"/>
    <w:pPr>
      <w:ind w:firstLine="200"/>
      <w:jc w:val="both"/>
    </w:pPr>
    <w:rPr>
      <w:rFonts w:hint="default" w:ascii="宋体" w:hAnsi="Times New Roman" w:eastAsia="宋体" w:cs="Times New Roman"/>
      <w:sz w:val="21"/>
    </w:rPr>
  </w:style>
  <w:style w:type="paragraph" w:customStyle="1" w:styleId="55">
    <w:name w:val="首行缩进"/>
    <w:basedOn w:val="1"/>
    <w:qFormat/>
    <w:uiPriority w:val="0"/>
    <w:pPr>
      <w:spacing w:line="360" w:lineRule="auto"/>
      <w:ind w:firstLine="480"/>
      <w:jc w:val="left"/>
    </w:pPr>
    <w:rPr>
      <w:rFonts w:ascii="宋体" w:hAnsi="宋体"/>
      <w:sz w:val="24"/>
    </w:rPr>
  </w:style>
  <w:style w:type="character" w:customStyle="1" w:styleId="56">
    <w:name w:val="Heading 1 Char"/>
    <w:basedOn w:val="45"/>
    <w:qFormat/>
    <w:uiPriority w:val="9"/>
    <w:rPr>
      <w:rFonts w:ascii="Arial" w:hAnsi="Arial" w:eastAsia="Arial" w:cs="Arial"/>
      <w:sz w:val="40"/>
      <w:szCs w:val="40"/>
    </w:rPr>
  </w:style>
  <w:style w:type="character" w:customStyle="1" w:styleId="57">
    <w:name w:val="Heading 2 Char"/>
    <w:basedOn w:val="45"/>
    <w:qFormat/>
    <w:uiPriority w:val="9"/>
    <w:rPr>
      <w:rFonts w:ascii="Arial" w:hAnsi="Arial" w:eastAsia="Arial" w:cs="Arial"/>
      <w:sz w:val="34"/>
    </w:rPr>
  </w:style>
  <w:style w:type="character" w:customStyle="1" w:styleId="58">
    <w:name w:val="Heading 3 Char"/>
    <w:basedOn w:val="45"/>
    <w:qFormat/>
    <w:uiPriority w:val="9"/>
    <w:rPr>
      <w:rFonts w:ascii="Arial" w:hAnsi="Arial" w:eastAsia="Arial" w:cs="Arial"/>
      <w:sz w:val="30"/>
      <w:szCs w:val="30"/>
    </w:rPr>
  </w:style>
  <w:style w:type="character" w:customStyle="1" w:styleId="59">
    <w:name w:val="Heading 4 Char"/>
    <w:basedOn w:val="45"/>
    <w:qFormat/>
    <w:uiPriority w:val="9"/>
    <w:rPr>
      <w:rFonts w:ascii="Arial" w:hAnsi="Arial" w:eastAsia="Arial" w:cs="Arial"/>
      <w:b/>
      <w:bCs/>
      <w:sz w:val="26"/>
      <w:szCs w:val="26"/>
    </w:rPr>
  </w:style>
  <w:style w:type="character" w:customStyle="1" w:styleId="60">
    <w:name w:val="Heading 5 Char"/>
    <w:basedOn w:val="45"/>
    <w:qFormat/>
    <w:uiPriority w:val="9"/>
    <w:rPr>
      <w:rFonts w:ascii="Arial" w:hAnsi="Arial" w:eastAsia="Arial" w:cs="Arial"/>
      <w:b/>
      <w:bCs/>
      <w:sz w:val="24"/>
      <w:szCs w:val="24"/>
    </w:rPr>
  </w:style>
  <w:style w:type="character" w:customStyle="1" w:styleId="61">
    <w:name w:val="Heading 6 Char"/>
    <w:basedOn w:val="45"/>
    <w:link w:val="8"/>
    <w:qFormat/>
    <w:uiPriority w:val="9"/>
    <w:rPr>
      <w:rFonts w:ascii="Arial" w:hAnsi="Arial" w:eastAsia="Arial" w:cs="Arial"/>
      <w:b/>
      <w:bCs/>
      <w:sz w:val="22"/>
      <w:szCs w:val="22"/>
    </w:rPr>
  </w:style>
  <w:style w:type="character" w:customStyle="1" w:styleId="62">
    <w:name w:val="Heading 7 Char"/>
    <w:basedOn w:val="45"/>
    <w:link w:val="9"/>
    <w:qFormat/>
    <w:uiPriority w:val="9"/>
    <w:rPr>
      <w:rFonts w:ascii="Arial" w:hAnsi="Arial" w:eastAsia="Arial" w:cs="Arial"/>
      <w:b/>
      <w:bCs/>
      <w:i/>
      <w:iCs/>
      <w:sz w:val="22"/>
      <w:szCs w:val="22"/>
    </w:rPr>
  </w:style>
  <w:style w:type="character" w:customStyle="1" w:styleId="63">
    <w:name w:val="Heading 8 Char"/>
    <w:basedOn w:val="45"/>
    <w:link w:val="10"/>
    <w:qFormat/>
    <w:uiPriority w:val="9"/>
    <w:rPr>
      <w:rFonts w:ascii="Arial" w:hAnsi="Arial" w:eastAsia="Arial" w:cs="Arial"/>
      <w:i/>
      <w:iCs/>
      <w:sz w:val="22"/>
      <w:szCs w:val="22"/>
    </w:rPr>
  </w:style>
  <w:style w:type="character" w:customStyle="1" w:styleId="64">
    <w:name w:val="Heading 9 Char"/>
    <w:basedOn w:val="45"/>
    <w:link w:val="11"/>
    <w:qFormat/>
    <w:uiPriority w:val="9"/>
    <w:rPr>
      <w:rFonts w:ascii="Arial" w:hAnsi="Arial" w:eastAsia="Arial" w:cs="Arial"/>
      <w:i/>
      <w:iCs/>
      <w:sz w:val="21"/>
      <w:szCs w:val="21"/>
    </w:rPr>
  </w:style>
  <w:style w:type="character" w:customStyle="1" w:styleId="65">
    <w:name w:val="Title Char"/>
    <w:basedOn w:val="45"/>
    <w:qFormat/>
    <w:uiPriority w:val="10"/>
    <w:rPr>
      <w:sz w:val="48"/>
      <w:szCs w:val="48"/>
    </w:rPr>
  </w:style>
  <w:style w:type="character" w:customStyle="1" w:styleId="66">
    <w:name w:val="Subtitle Char"/>
    <w:basedOn w:val="45"/>
    <w:qFormat/>
    <w:uiPriority w:val="11"/>
    <w:rPr>
      <w:sz w:val="24"/>
      <w:szCs w:val="24"/>
    </w:rPr>
  </w:style>
  <w:style w:type="paragraph" w:styleId="67">
    <w:name w:val="Quote"/>
    <w:basedOn w:val="1"/>
    <w:next w:val="1"/>
    <w:link w:val="68"/>
    <w:qFormat/>
    <w:uiPriority w:val="29"/>
    <w:pPr>
      <w:ind w:left="720" w:right="720"/>
    </w:pPr>
    <w:rPr>
      <w:i/>
    </w:rPr>
  </w:style>
  <w:style w:type="character" w:customStyle="1" w:styleId="68">
    <w:name w:val="Quote Char"/>
    <w:link w:val="67"/>
    <w:qFormat/>
    <w:uiPriority w:val="29"/>
    <w:rPr>
      <w:i/>
    </w:rPr>
  </w:style>
  <w:style w:type="paragraph" w:styleId="69">
    <w:name w:val="Intense Quote"/>
    <w:basedOn w:val="1"/>
    <w:next w:val="1"/>
    <w:link w:val="7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0">
    <w:name w:val="Intense Quote Char"/>
    <w:link w:val="69"/>
    <w:qFormat/>
    <w:uiPriority w:val="30"/>
    <w:rPr>
      <w:i/>
    </w:rPr>
  </w:style>
  <w:style w:type="character" w:customStyle="1" w:styleId="71">
    <w:name w:val="Header Char"/>
    <w:basedOn w:val="45"/>
    <w:qFormat/>
    <w:uiPriority w:val="99"/>
  </w:style>
  <w:style w:type="character" w:customStyle="1" w:styleId="72">
    <w:name w:val="Footer Char"/>
    <w:basedOn w:val="45"/>
    <w:qFormat/>
    <w:uiPriority w:val="99"/>
  </w:style>
  <w:style w:type="character" w:customStyle="1" w:styleId="73">
    <w:name w:val="Caption Char"/>
    <w:qFormat/>
    <w:uiPriority w:val="99"/>
  </w:style>
  <w:style w:type="table" w:customStyle="1" w:styleId="74">
    <w:name w:val="Table Grid Light"/>
    <w:basedOn w:val="4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5">
    <w:name w:val="Plain Table 1"/>
    <w:basedOn w:val="4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6">
    <w:name w:val="Plain Table 2"/>
    <w:basedOn w:val="4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7">
    <w:name w:val="Plain Table 3"/>
    <w:basedOn w:val="4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Plain Table 4"/>
    <w:basedOn w:val="43"/>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Plain Table 5"/>
    <w:basedOn w:val="43"/>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0">
    <w:name w:val="Grid Table 1 Light"/>
    <w:basedOn w:val="4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1">
    <w:name w:val="Grid Table 1 Light - Accent 1"/>
    <w:basedOn w:val="43"/>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2">
    <w:name w:val="Grid Table 1 Light - Accent 2"/>
    <w:basedOn w:val="43"/>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3">
    <w:name w:val="Grid Table 1 Light - Accent 3"/>
    <w:basedOn w:val="4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4">
    <w:name w:val="Grid Table 1 Light - Accent 4"/>
    <w:basedOn w:val="43"/>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5">
    <w:name w:val="Grid Table 1 Light - Accent 5"/>
    <w:basedOn w:val="43"/>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6">
    <w:name w:val="Grid Table 1 Light - Accent 6"/>
    <w:basedOn w:val="43"/>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7">
    <w:name w:val="Grid Table 2"/>
    <w:basedOn w:val="4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2 - Accent 1"/>
    <w:basedOn w:val="43"/>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9">
    <w:name w:val="Grid Table 2 - Accent 2"/>
    <w:basedOn w:val="43"/>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0">
    <w:name w:val="Grid Table 2 - Accent 3"/>
    <w:basedOn w:val="4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1">
    <w:name w:val="Grid Table 2 - Accent 4"/>
    <w:basedOn w:val="43"/>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2">
    <w:name w:val="Grid Table 2 - Accent 5"/>
    <w:basedOn w:val="43"/>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3">
    <w:name w:val="Grid Table 2 - Accent 6"/>
    <w:basedOn w:val="43"/>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4">
    <w:name w:val="Grid Table 3"/>
    <w:basedOn w:val="4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3 - Accent 1"/>
    <w:basedOn w:val="43"/>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6">
    <w:name w:val="Grid Table 3 - Accent 2"/>
    <w:basedOn w:val="43"/>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7">
    <w:name w:val="Grid Table 3 - Accent 3"/>
    <w:basedOn w:val="4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8">
    <w:name w:val="Grid Table 3 - Accent 4"/>
    <w:basedOn w:val="43"/>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9">
    <w:name w:val="Grid Table 3 - Accent 5"/>
    <w:basedOn w:val="43"/>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0">
    <w:name w:val="Grid Table 3 - Accent 6"/>
    <w:basedOn w:val="43"/>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1">
    <w:name w:val="Grid Table 4"/>
    <w:basedOn w:val="4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2">
    <w:name w:val="Grid Table 4 - Accent 1"/>
    <w:basedOn w:val="43"/>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3">
    <w:name w:val="Grid Table 4 - Accent 2"/>
    <w:basedOn w:val="43"/>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4">
    <w:name w:val="Grid Table 4 - Accent 3"/>
    <w:basedOn w:val="4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5">
    <w:name w:val="Grid Table 4 - Accent 4"/>
    <w:basedOn w:val="43"/>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6">
    <w:name w:val="Grid Table 4 - Accent 5"/>
    <w:basedOn w:val="43"/>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7">
    <w:name w:val="Grid Table 4 - Accent 6"/>
    <w:basedOn w:val="43"/>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8">
    <w:name w:val="Grid Table 5 Dark"/>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9">
    <w:name w:val="Grid Table 5 Dark- Accent 1"/>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0">
    <w:name w:val="Grid Table 5 Dark - Accent 2"/>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1">
    <w:name w:val="Grid Table 5 Dark - Accent 3"/>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2">
    <w:name w:val="Grid Table 5 Dark- Accent 4"/>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3">
    <w:name w:val="Grid Table 5 Dark - Accent 5"/>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4">
    <w:name w:val="Grid Table 5 Dark - Accent 6"/>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5">
    <w:name w:val="Grid Table 6 Colorful"/>
    <w:basedOn w:val="4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6">
    <w:name w:val="Grid Table 6 Colorful - Accent 1"/>
    <w:basedOn w:val="43"/>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7">
    <w:name w:val="Grid Table 6 Colorful - Accent 2"/>
    <w:basedOn w:val="43"/>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8">
    <w:name w:val="Grid Table 6 Colorful - Accent 3"/>
    <w:basedOn w:val="4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9">
    <w:name w:val="Grid Table 6 Colorful - Accent 4"/>
    <w:basedOn w:val="43"/>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0">
    <w:name w:val="Grid Table 6 Colorful - Accent 5"/>
    <w:basedOn w:val="43"/>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1">
    <w:name w:val="Grid Table 6 Colorful - Accent 6"/>
    <w:basedOn w:val="43"/>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2">
    <w:name w:val="Grid Table 7 Colorful"/>
    <w:basedOn w:val="4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3">
    <w:name w:val="Grid Table 7 Colorful - Accent 1"/>
    <w:basedOn w:val="43"/>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4">
    <w:name w:val="Grid Table 7 Colorful - Accent 2"/>
    <w:basedOn w:val="43"/>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5">
    <w:name w:val="Grid Table 7 Colorful - Accent 3"/>
    <w:basedOn w:val="4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6">
    <w:name w:val="Grid Table 7 Colorful - Accent 4"/>
    <w:basedOn w:val="43"/>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7">
    <w:name w:val="Grid Table 7 Colorful - Accent 5"/>
    <w:basedOn w:val="43"/>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8">
    <w:name w:val="Grid Table 7 Colorful - Accent 6"/>
    <w:basedOn w:val="43"/>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9">
    <w:name w:val="List Table 1 Light"/>
    <w:basedOn w:val="43"/>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0">
    <w:name w:val="List Table 1 Light - Accent 1"/>
    <w:basedOn w:val="43"/>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1">
    <w:name w:val="List Table 1 Light - Accent 2"/>
    <w:basedOn w:val="43"/>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2">
    <w:name w:val="List Table 1 Light - Accent 3"/>
    <w:basedOn w:val="4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3">
    <w:name w:val="List Table 1 Light - Accent 4"/>
    <w:basedOn w:val="43"/>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4">
    <w:name w:val="List Table 1 Light - Accent 5"/>
    <w:basedOn w:val="43"/>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5">
    <w:name w:val="List Table 1 Light - Accent 6"/>
    <w:basedOn w:val="43"/>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6">
    <w:name w:val="List Table 2"/>
    <w:basedOn w:val="4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2 - Accent 1"/>
    <w:basedOn w:val="43"/>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8">
    <w:name w:val="List Table 2 - Accent 2"/>
    <w:basedOn w:val="43"/>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9">
    <w:name w:val="List Table 2 - Accent 3"/>
    <w:basedOn w:val="4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0">
    <w:name w:val="List Table 2 - Accent 4"/>
    <w:basedOn w:val="43"/>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1">
    <w:name w:val="List Table 2 - Accent 5"/>
    <w:basedOn w:val="43"/>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2">
    <w:name w:val="List Table 2 - Accent 6"/>
    <w:basedOn w:val="43"/>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3">
    <w:name w:val="List Table 3"/>
    <w:basedOn w:val="4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4">
    <w:name w:val="List Table 3 - Accent 1"/>
    <w:basedOn w:val="43"/>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5">
    <w:name w:val="List Table 3 - Accent 2"/>
    <w:basedOn w:val="43"/>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6">
    <w:name w:val="List Table 3 - Accent 3"/>
    <w:basedOn w:val="4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7">
    <w:name w:val="List Table 3 - Accent 4"/>
    <w:basedOn w:val="43"/>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8">
    <w:name w:val="List Table 3 - Accent 5"/>
    <w:basedOn w:val="43"/>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9">
    <w:name w:val="List Table 3 - Accent 6"/>
    <w:basedOn w:val="43"/>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0">
    <w:name w:val="List Table 4"/>
    <w:basedOn w:val="4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1">
    <w:name w:val="List Table 4 - Accent 1"/>
    <w:basedOn w:val="43"/>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2">
    <w:name w:val="List Table 4 - Accent 2"/>
    <w:basedOn w:val="43"/>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3">
    <w:name w:val="List Table 4 - Accent 3"/>
    <w:basedOn w:val="4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4">
    <w:name w:val="List Table 4 - Accent 4"/>
    <w:basedOn w:val="43"/>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5">
    <w:name w:val="List Table 4 - Accent 5"/>
    <w:basedOn w:val="43"/>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6">
    <w:name w:val="List Table 4 - Accent 6"/>
    <w:basedOn w:val="43"/>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7">
    <w:name w:val="List Table 5 Dark"/>
    <w:basedOn w:val="4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8">
    <w:name w:val="List Table 5 Dark - Accent 1"/>
    <w:basedOn w:val="43"/>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9">
    <w:name w:val="List Table 5 Dark - Accent 2"/>
    <w:basedOn w:val="43"/>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0">
    <w:name w:val="List Table 5 Dark - Accent 3"/>
    <w:basedOn w:val="4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1">
    <w:name w:val="List Table 5 Dark - Accent 4"/>
    <w:basedOn w:val="43"/>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2">
    <w:name w:val="List Table 5 Dark - Accent 5"/>
    <w:basedOn w:val="43"/>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3">
    <w:name w:val="List Table 5 Dark - Accent 6"/>
    <w:basedOn w:val="43"/>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4">
    <w:name w:val="List Table 6 Colorful"/>
    <w:basedOn w:val="43"/>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5">
    <w:name w:val="List Table 6 Colorful - Accent 1"/>
    <w:basedOn w:val="43"/>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6">
    <w:name w:val="List Table 6 Colorful - Accent 2"/>
    <w:basedOn w:val="43"/>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7">
    <w:name w:val="List Table 6 Colorful - Accent 3"/>
    <w:basedOn w:val="4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8">
    <w:name w:val="List Table 6 Colorful - Accent 4"/>
    <w:basedOn w:val="43"/>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9">
    <w:name w:val="List Table 6 Colorful - Accent 5"/>
    <w:basedOn w:val="43"/>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0">
    <w:name w:val="List Table 6 Colorful - Accent 6"/>
    <w:basedOn w:val="43"/>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1">
    <w:name w:val="List Table 7 Colorful"/>
    <w:basedOn w:val="43"/>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2">
    <w:name w:val="List Table 7 Colorful - Accent 1"/>
    <w:basedOn w:val="43"/>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3">
    <w:name w:val="List Table 7 Colorful - Accent 2"/>
    <w:basedOn w:val="43"/>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4">
    <w:name w:val="List Table 7 Colorful - Accent 3"/>
    <w:basedOn w:val="4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5">
    <w:name w:val="List Table 7 Colorful - Accent 4"/>
    <w:basedOn w:val="43"/>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6">
    <w:name w:val="List Table 7 Colorful - Accent 5"/>
    <w:basedOn w:val="43"/>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7">
    <w:name w:val="List Table 7 Colorful - Accent 6"/>
    <w:basedOn w:val="43"/>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8">
    <w:name w:val="Lined - Accent"/>
    <w:basedOn w:val="43"/>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9">
    <w:name w:val="Lined - Accent 1"/>
    <w:basedOn w:val="43"/>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0">
    <w:name w:val="Lined - Accent 2"/>
    <w:basedOn w:val="43"/>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1">
    <w:name w:val="Lined - Accent 3"/>
    <w:basedOn w:val="4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2">
    <w:name w:val="Lined - Accent 4"/>
    <w:basedOn w:val="43"/>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3">
    <w:name w:val="Lined - Accent 5"/>
    <w:basedOn w:val="43"/>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4">
    <w:name w:val="Lined - Accent 6"/>
    <w:basedOn w:val="43"/>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5">
    <w:name w:val="Bordered &amp; Lined - Accent"/>
    <w:basedOn w:val="43"/>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6">
    <w:name w:val="Bordered &amp; Lined - Accent 1"/>
    <w:basedOn w:val="43"/>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7">
    <w:name w:val="Bordered &amp; Lined - Accent 2"/>
    <w:basedOn w:val="43"/>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8">
    <w:name w:val="Bordered &amp; Lined - Accent 3"/>
    <w:basedOn w:val="4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9">
    <w:name w:val="Bordered &amp; Lined - Accent 4"/>
    <w:basedOn w:val="43"/>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0">
    <w:name w:val="Bordered &amp; Lined - Accent 5"/>
    <w:basedOn w:val="43"/>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1">
    <w:name w:val="Bordered &amp; Lined - Accent 6"/>
    <w:basedOn w:val="43"/>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2">
    <w:name w:val="Bordered"/>
    <w:basedOn w:val="43"/>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3">
    <w:name w:val="Bordered - Accent 1"/>
    <w:basedOn w:val="43"/>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4">
    <w:name w:val="Bordered - Accent 2"/>
    <w:basedOn w:val="43"/>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5">
    <w:name w:val="Bordered - Accent 3"/>
    <w:basedOn w:val="4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6">
    <w:name w:val="Bordered - Accent 4"/>
    <w:basedOn w:val="43"/>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7">
    <w:name w:val="Bordered - Accent 5"/>
    <w:basedOn w:val="43"/>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8">
    <w:name w:val="Bordered - Accent 6"/>
    <w:basedOn w:val="43"/>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9">
    <w:name w:val="Footnote Text Char"/>
    <w:qFormat/>
    <w:uiPriority w:val="99"/>
    <w:rPr>
      <w:sz w:val="18"/>
    </w:rPr>
  </w:style>
  <w:style w:type="character" w:customStyle="1" w:styleId="200">
    <w:name w:val="Endnote Text Char"/>
    <w:link w:val="25"/>
    <w:qFormat/>
    <w:uiPriority w:val="99"/>
    <w:rPr>
      <w:sz w:val="20"/>
    </w:rPr>
  </w:style>
  <w:style w:type="paragraph" w:customStyle="1" w:styleId="201">
    <w:name w:val="TOC Heading"/>
    <w:unhideWhenUsed/>
    <w:qFormat/>
    <w:uiPriority w:val="39"/>
    <w:rPr>
      <w:rFonts w:hint="default" w:ascii="Times New Roman" w:hAnsi="Times New Roman" w:eastAsia="宋体" w:cs="Times New Roman"/>
    </w:rPr>
  </w:style>
  <w:style w:type="paragraph" w:customStyle="1" w:styleId="202">
    <w:name w:val="文档结构图1"/>
    <w:basedOn w:val="1"/>
    <w:qFormat/>
    <w:uiPriority w:val="99"/>
    <w:pPr>
      <w:shd w:val="clear" w:color="auto" w:fill="000080"/>
    </w:pPr>
  </w:style>
  <w:style w:type="character" w:customStyle="1" w:styleId="203">
    <w:name w:val="标题 1 Char"/>
    <w:link w:val="2"/>
    <w:qFormat/>
    <w:uiPriority w:val="0"/>
    <w:rPr>
      <w:b/>
      <w:bCs/>
      <w:sz w:val="44"/>
      <w:szCs w:val="44"/>
    </w:rPr>
  </w:style>
  <w:style w:type="character" w:customStyle="1" w:styleId="204">
    <w:name w:val="标题 2 Char"/>
    <w:link w:val="3"/>
    <w:qFormat/>
    <w:uiPriority w:val="0"/>
    <w:rPr>
      <w:rFonts w:ascii="Cambria" w:hAnsi="Cambria"/>
      <w:b/>
      <w:bCs/>
      <w:sz w:val="32"/>
      <w:szCs w:val="32"/>
    </w:rPr>
  </w:style>
  <w:style w:type="character" w:customStyle="1" w:styleId="205">
    <w:name w:val="标题 3 Char"/>
    <w:link w:val="4"/>
    <w:qFormat/>
    <w:uiPriority w:val="0"/>
    <w:rPr>
      <w:b/>
      <w:bCs/>
      <w:sz w:val="32"/>
      <w:szCs w:val="32"/>
    </w:rPr>
  </w:style>
  <w:style w:type="paragraph" w:customStyle="1" w:styleId="206">
    <w:name w:val="正文 A"/>
    <w:next w:val="54"/>
    <w:qFormat/>
    <w:uiPriority w:val="0"/>
    <w:pPr>
      <w:framePr w:wrap="around" w:vAnchor="margin" w:hAnchor="text" w:yAlign="top"/>
      <w:widowControl w:val="0"/>
      <w:jc w:val="both"/>
    </w:pPr>
    <w:rPr>
      <w:rFonts w:hint="default" w:ascii="Calibri" w:hAnsi="Calibri" w:eastAsia="Times New Roman" w:cs="Times New Roman"/>
      <w:color w:val="000000"/>
      <w:sz w:val="21"/>
      <w:szCs w:val="21"/>
    </w:rPr>
  </w:style>
  <w:style w:type="character" w:customStyle="1" w:styleId="207">
    <w:name w:val="纯文本 Char"/>
    <w:link w:val="21"/>
    <w:qFormat/>
    <w:uiPriority w:val="0"/>
    <w:rPr>
      <w:rFonts w:ascii="宋体" w:hAnsi="Courier New" w:eastAsia="楷体_GB2312"/>
      <w:sz w:val="26"/>
      <w:szCs w:val="24"/>
      <w:lang w:val="en-US" w:eastAsia="zh-CN" w:bidi="ar-SA"/>
    </w:rPr>
  </w:style>
  <w:style w:type="character" w:customStyle="1" w:styleId="208">
    <w:name w:val="正文缩进 Char"/>
    <w:link w:val="5"/>
    <w:qFormat/>
    <w:uiPriority w:val="0"/>
    <w:rPr>
      <w:rFonts w:eastAsia="楷体_GB2312"/>
      <w:sz w:val="24"/>
      <w:lang w:val="en-US" w:eastAsia="zh-CN" w:bidi="ar-SA"/>
    </w:rPr>
  </w:style>
  <w:style w:type="character" w:customStyle="1" w:styleId="209">
    <w:name w:val="标题 5 Char"/>
    <w:link w:val="7"/>
    <w:qFormat/>
    <w:uiPriority w:val="0"/>
    <w:rPr>
      <w:rFonts w:eastAsia="宋体"/>
      <w:b/>
      <w:bCs/>
      <w:i/>
      <w:iCs/>
      <w:sz w:val="26"/>
      <w:szCs w:val="26"/>
      <w:lang w:val="en-US" w:eastAsia="zh-CN" w:bidi="ar-SA"/>
    </w:rPr>
  </w:style>
  <w:style w:type="character" w:customStyle="1" w:styleId="210">
    <w:name w:val="+正文 Char3"/>
    <w:link w:val="211"/>
    <w:qFormat/>
    <w:uiPriority w:val="0"/>
    <w:rPr>
      <w:rFonts w:eastAsia="宋体"/>
      <w:sz w:val="24"/>
      <w:lang w:val="en-US" w:eastAsia="zh-CN" w:bidi="ar-SA"/>
    </w:rPr>
  </w:style>
  <w:style w:type="paragraph" w:customStyle="1" w:styleId="211">
    <w:name w:val="+正文"/>
    <w:basedOn w:val="1"/>
    <w:link w:val="210"/>
    <w:qFormat/>
    <w:uiPriority w:val="0"/>
    <w:pPr>
      <w:spacing w:line="360" w:lineRule="auto"/>
      <w:ind w:firstLine="200"/>
    </w:pPr>
    <w:rPr>
      <w:sz w:val="24"/>
      <w:szCs w:val="20"/>
    </w:rPr>
  </w:style>
  <w:style w:type="character" w:customStyle="1" w:styleId="212">
    <w:name w:val="页脚 Char"/>
    <w:link w:val="27"/>
    <w:semiHidden/>
    <w:qFormat/>
    <w:uiPriority w:val="0"/>
    <w:rPr>
      <w:rFonts w:eastAsia="宋体"/>
      <w:sz w:val="18"/>
      <w:szCs w:val="18"/>
      <w:lang w:val="en-US" w:eastAsia="zh-CN" w:bidi="ar-SA"/>
    </w:rPr>
  </w:style>
  <w:style w:type="character" w:customStyle="1" w:styleId="213">
    <w:name w:val="Char Char8"/>
    <w:qFormat/>
    <w:uiPriority w:val="0"/>
    <w:rPr>
      <w:sz w:val="18"/>
    </w:rPr>
  </w:style>
  <w:style w:type="character" w:customStyle="1" w:styleId="214">
    <w:name w:val="标题 4 Char"/>
    <w:link w:val="6"/>
    <w:qFormat/>
    <w:uiPriority w:val="0"/>
    <w:rPr>
      <w:rFonts w:eastAsia="宋体"/>
      <w:b/>
      <w:bCs/>
      <w:sz w:val="28"/>
      <w:szCs w:val="28"/>
      <w:lang w:val="en-US" w:eastAsia="zh-CN" w:bidi="ar-SA"/>
    </w:rPr>
  </w:style>
  <w:style w:type="character" w:customStyle="1" w:styleId="215">
    <w:name w:val="标题 Char"/>
    <w:link w:val="40"/>
    <w:qFormat/>
    <w:uiPriority w:val="0"/>
    <w:rPr>
      <w:rFonts w:ascii="Arial" w:hAnsi="Arial"/>
      <w:b/>
      <w:bCs/>
      <w:sz w:val="32"/>
      <w:szCs w:val="32"/>
      <w:lang w:bidi="ar-SA"/>
    </w:rPr>
  </w:style>
  <w:style w:type="character" w:customStyle="1" w:styleId="216">
    <w:name w:val="文字正文主体 Char Char"/>
    <w:link w:val="217"/>
    <w:qFormat/>
    <w:uiPriority w:val="0"/>
    <w:rPr>
      <w:rFonts w:ascii="仿宋" w:hAnsi="仿宋" w:eastAsia="仿宋"/>
      <w:color w:val="3A3A3A"/>
      <w:sz w:val="28"/>
      <w:lang w:val="en-US" w:eastAsia="zh-CN" w:bidi="ar-SA"/>
    </w:rPr>
  </w:style>
  <w:style w:type="paragraph" w:customStyle="1" w:styleId="217">
    <w:name w:val="文字正文主体"/>
    <w:basedOn w:val="1"/>
    <w:link w:val="216"/>
    <w:qFormat/>
    <w:uiPriority w:val="0"/>
    <w:pPr>
      <w:tabs>
        <w:tab w:val="center" w:pos="2268"/>
        <w:tab w:val="right" w:pos="7938"/>
      </w:tabs>
      <w:spacing w:line="360" w:lineRule="auto"/>
      <w:ind w:firstLine="560"/>
    </w:pPr>
    <w:rPr>
      <w:rFonts w:ascii="仿宋" w:hAnsi="仿宋" w:eastAsia="仿宋"/>
      <w:color w:val="3A3A3A"/>
      <w:sz w:val="28"/>
      <w:szCs w:val="20"/>
    </w:rPr>
  </w:style>
  <w:style w:type="character" w:customStyle="1" w:styleId="218">
    <w:name w:val="页眉 Char"/>
    <w:link w:val="29"/>
    <w:qFormat/>
    <w:uiPriority w:val="99"/>
    <w:rPr>
      <w:rFonts w:eastAsia="宋体"/>
      <w:sz w:val="18"/>
      <w:szCs w:val="18"/>
      <w:lang w:val="en-US" w:eastAsia="zh-CN" w:bidi="ar-SA"/>
    </w:rPr>
  </w:style>
  <w:style w:type="character" w:customStyle="1" w:styleId="219">
    <w:name w:val="Char Char5"/>
    <w:qFormat/>
    <w:uiPriority w:val="0"/>
    <w:rPr>
      <w:sz w:val="24"/>
      <w:lang w:val="en-US" w:eastAsia="zh-CN"/>
    </w:rPr>
  </w:style>
  <w:style w:type="character" w:customStyle="1" w:styleId="220">
    <w:name w:val="Char Char11"/>
    <w:qFormat/>
    <w:uiPriority w:val="0"/>
    <w:rPr>
      <w:sz w:val="21"/>
    </w:rPr>
  </w:style>
  <w:style w:type="character" w:customStyle="1" w:styleId="221">
    <w:name w:val="c lh15"/>
    <w:basedOn w:val="45"/>
    <w:qFormat/>
    <w:uiPriority w:val="0"/>
  </w:style>
  <w:style w:type="character" w:customStyle="1" w:styleId="222">
    <w:name w:val="批注文字 Char"/>
    <w:link w:val="15"/>
    <w:qFormat/>
    <w:uiPriority w:val="0"/>
    <w:rPr>
      <w:rFonts w:eastAsia="宋体"/>
      <w:sz w:val="21"/>
      <w:szCs w:val="24"/>
      <w:lang w:val="en-US" w:eastAsia="zh-CN" w:bidi="ar-SA"/>
    </w:rPr>
  </w:style>
  <w:style w:type="character" w:customStyle="1" w:styleId="223">
    <w:name w:val="日期 Char"/>
    <w:link w:val="23"/>
    <w:qFormat/>
    <w:uiPriority w:val="0"/>
    <w:rPr>
      <w:sz w:val="36"/>
      <w:lang w:bidi="ar-SA"/>
    </w:rPr>
  </w:style>
  <w:style w:type="character" w:customStyle="1" w:styleId="224">
    <w:name w:val="Plain Text Char Char"/>
    <w:link w:val="225"/>
    <w:qFormat/>
    <w:uiPriority w:val="0"/>
    <w:rPr>
      <w:rFonts w:ascii="宋体" w:hAnsi="Courier New" w:eastAsia="楷体_GB2312"/>
      <w:sz w:val="28"/>
    </w:rPr>
  </w:style>
  <w:style w:type="paragraph" w:customStyle="1" w:styleId="225">
    <w:name w:val="纯文本1"/>
    <w:basedOn w:val="1"/>
    <w:link w:val="224"/>
    <w:qFormat/>
    <w:uiPriority w:val="0"/>
    <w:rPr>
      <w:rFonts w:ascii="宋体" w:hAnsi="Courier New" w:eastAsia="楷体_GB2312"/>
      <w:sz w:val="28"/>
      <w:szCs w:val="20"/>
    </w:rPr>
  </w:style>
  <w:style w:type="paragraph" w:customStyle="1" w:styleId="226">
    <w:name w:val="Char Char Char Char Char Char Char Char Char1 Char Char Char Char"/>
    <w:basedOn w:val="14"/>
    <w:qFormat/>
    <w:uiPriority w:val="0"/>
    <w:pPr>
      <w:spacing w:line="360" w:lineRule="auto"/>
    </w:pPr>
    <w:rPr>
      <w:rFonts w:eastAsia="楷体_GB2312"/>
      <w:sz w:val="26"/>
      <w:szCs w:val="20"/>
    </w:rPr>
  </w:style>
  <w:style w:type="paragraph" w:customStyle="1" w:styleId="227">
    <w:name w:val="Char Char Char Char Char Char Char Char Char Char"/>
    <w:basedOn w:val="1"/>
    <w:qFormat/>
    <w:uiPriority w:val="0"/>
    <w:pPr>
      <w:numPr>
        <w:ilvl w:val="0"/>
        <w:numId w:val="2"/>
      </w:numPr>
    </w:pPr>
    <w:rPr>
      <w:sz w:val="24"/>
    </w:rPr>
  </w:style>
  <w:style w:type="paragraph" w:customStyle="1" w:styleId="228">
    <w:name w:val="Char Char Char Char Char Char Char Char Char1 Char"/>
    <w:basedOn w:val="14"/>
    <w:qFormat/>
    <w:uiPriority w:val="0"/>
    <w:pPr>
      <w:spacing w:line="360" w:lineRule="auto"/>
    </w:pPr>
    <w:rPr>
      <w:rFonts w:ascii="Tahoma" w:hAnsi="Tahoma"/>
      <w:sz w:val="24"/>
    </w:rPr>
  </w:style>
  <w:style w:type="paragraph" w:customStyle="1" w:styleId="229">
    <w:name w:val="Char Char Char"/>
    <w:basedOn w:val="14"/>
    <w:qFormat/>
    <w:uiPriority w:val="0"/>
    <w:pPr>
      <w:spacing w:line="360" w:lineRule="auto"/>
    </w:pPr>
    <w:rPr>
      <w:rFonts w:ascii="Tahoma" w:hAnsi="Tahoma"/>
      <w:sz w:val="24"/>
    </w:rPr>
  </w:style>
  <w:style w:type="paragraph" w:customStyle="1" w:styleId="230">
    <w:name w:val="Char Char Char Char"/>
    <w:basedOn w:val="14"/>
    <w:qFormat/>
    <w:uiPriority w:val="0"/>
    <w:pPr>
      <w:spacing w:line="360" w:lineRule="auto"/>
    </w:pPr>
    <w:rPr>
      <w:sz w:val="24"/>
      <w:szCs w:val="20"/>
    </w:rPr>
  </w:style>
  <w:style w:type="paragraph" w:customStyle="1" w:styleId="231">
    <w:name w:val="Char1 Char Char Char"/>
    <w:basedOn w:val="1"/>
    <w:qFormat/>
    <w:uiPriority w:val="0"/>
    <w:rPr>
      <w:rFonts w:ascii="Tahoma" w:hAnsi="Tahoma"/>
      <w:sz w:val="24"/>
      <w:szCs w:val="20"/>
    </w:rPr>
  </w:style>
  <w:style w:type="paragraph" w:customStyle="1" w:styleId="232">
    <w:name w:val="Char"/>
    <w:basedOn w:val="1"/>
    <w:qFormat/>
    <w:uiPriority w:val="0"/>
    <w:pPr>
      <w:tabs>
        <w:tab w:val="left" w:pos="420"/>
      </w:tabs>
      <w:ind w:left="420" w:hanging="420"/>
    </w:pPr>
    <w:rPr>
      <w:sz w:val="24"/>
    </w:rPr>
  </w:style>
  <w:style w:type="paragraph" w:customStyle="1" w:styleId="233">
    <w:name w:val="正文2"/>
    <w:basedOn w:val="1"/>
    <w:qFormat/>
    <w:uiPriority w:val="0"/>
    <w:pPr>
      <w:widowControl/>
      <w:spacing w:after="160" w:line="360" w:lineRule="auto"/>
      <w:ind w:firstLine="200"/>
      <w:jc w:val="left"/>
    </w:pPr>
    <w:rPr>
      <w:rFonts w:ascii="Verdana" w:hAnsi="Verdana" w:eastAsia="黑体"/>
      <w:szCs w:val="20"/>
      <w:lang w:eastAsia="en-US"/>
    </w:rPr>
  </w:style>
  <w:style w:type="paragraph" w:customStyle="1" w:styleId="234">
    <w:name w:val="Char Char Char1 Char Char Char Char"/>
    <w:basedOn w:val="1"/>
    <w:qFormat/>
    <w:uiPriority w:val="0"/>
    <w:pPr>
      <w:widowControl/>
      <w:spacing w:after="160" w:line="240" w:lineRule="exact"/>
      <w:jc w:val="left"/>
    </w:pPr>
    <w:rPr>
      <w:sz w:val="24"/>
    </w:rPr>
  </w:style>
  <w:style w:type="paragraph" w:styleId="235">
    <w:name w:val="No Spacing"/>
    <w:qFormat/>
    <w:uiPriority w:val="1"/>
    <w:pPr>
      <w:widowControl w:val="0"/>
      <w:jc w:val="both"/>
    </w:pPr>
    <w:rPr>
      <w:rFonts w:hint="default" w:ascii="Times New Roman" w:hAnsi="Times New Roman" w:eastAsia="宋体" w:cs="Times New Roman"/>
      <w:sz w:val="21"/>
      <w:szCs w:val="24"/>
    </w:rPr>
  </w:style>
  <w:style w:type="paragraph" w:customStyle="1" w:styleId="236">
    <w:name w:val="纯文本11"/>
    <w:basedOn w:val="1"/>
    <w:qFormat/>
    <w:uiPriority w:val="0"/>
    <w:rPr>
      <w:rFonts w:ascii="宋体" w:hAnsi="Courier New" w:eastAsia="楷体_GB2312"/>
      <w:sz w:val="28"/>
      <w:szCs w:val="20"/>
    </w:rPr>
  </w:style>
  <w:style w:type="character" w:customStyle="1" w:styleId="237">
    <w:name w:val="纯文本 Char1"/>
    <w:qFormat/>
    <w:uiPriority w:val="0"/>
    <w:rPr>
      <w:rFonts w:ascii="宋体" w:hAnsi="Courier New" w:eastAsia="楷体_GB2312"/>
      <w:sz w:val="24"/>
      <w:lang w:val="en-US" w:eastAsia="zh-CN" w:bidi="ar-SA"/>
    </w:rPr>
  </w:style>
  <w:style w:type="paragraph" w:customStyle="1" w:styleId="238">
    <w:name w:val="纯文本2"/>
    <w:basedOn w:val="1"/>
    <w:qFormat/>
    <w:uiPriority w:val="0"/>
    <w:rPr>
      <w:rFonts w:ascii="宋体" w:hAnsi="Courier New" w:eastAsia="楷体_GB2312"/>
      <w:sz w:val="26"/>
      <w:szCs w:val="20"/>
    </w:rPr>
  </w:style>
  <w:style w:type="character" w:customStyle="1" w:styleId="239">
    <w:name w:val="Plain Text Char"/>
    <w:qFormat/>
    <w:uiPriority w:val="0"/>
    <w:rPr>
      <w:rFonts w:ascii="宋体" w:hAnsi="Courier New" w:eastAsia="楷体_GB2312"/>
      <w:sz w:val="26"/>
      <w:lang w:val="en-US" w:eastAsia="zh-CN" w:bidi="ar-SA"/>
    </w:rPr>
  </w:style>
  <w:style w:type="paragraph" w:customStyle="1" w:styleId="240">
    <w:name w:val="修订1"/>
    <w:hidden/>
    <w:semiHidden/>
    <w:unhideWhenUsed/>
    <w:qFormat/>
    <w:uiPriority w:val="99"/>
    <w:rPr>
      <w:rFonts w:hint="default" w:ascii="Times New Roman" w:hAnsi="Times New Roman" w:eastAsia="宋体" w:cs="Times New Roman"/>
      <w:sz w:val="21"/>
      <w:szCs w:val="24"/>
    </w:rPr>
  </w:style>
  <w:style w:type="character" w:customStyle="1" w:styleId="241">
    <w:name w:val="apple-converted-space"/>
    <w:basedOn w:val="45"/>
    <w:qFormat/>
    <w:uiPriority w:val="0"/>
  </w:style>
  <w:style w:type="paragraph" w:customStyle="1" w:styleId="242">
    <w:name w:val="p1"/>
    <w:basedOn w:val="1"/>
    <w:qFormat/>
    <w:uiPriority w:val="0"/>
    <w:pPr>
      <w:widowControl/>
      <w:spacing w:before="100" w:beforeAutospacing="1" w:after="100" w:afterAutospacing="1"/>
      <w:jc w:val="left"/>
    </w:pPr>
    <w:rPr>
      <w:rFonts w:ascii="宋体" w:hAnsi="宋体" w:cs="宋体"/>
      <w:sz w:val="24"/>
    </w:rPr>
  </w:style>
  <w:style w:type="paragraph" w:customStyle="1" w:styleId="243">
    <w:name w:val="p3"/>
    <w:basedOn w:val="1"/>
    <w:qFormat/>
    <w:uiPriority w:val="0"/>
    <w:pPr>
      <w:widowControl/>
      <w:spacing w:before="100" w:beforeAutospacing="1" w:after="100" w:afterAutospacing="1"/>
      <w:jc w:val="left"/>
    </w:pPr>
    <w:rPr>
      <w:rFonts w:ascii="宋体" w:hAnsi="宋体" w:cs="宋体"/>
      <w:sz w:val="24"/>
    </w:rPr>
  </w:style>
  <w:style w:type="character" w:customStyle="1" w:styleId="244">
    <w:name w:val="s6"/>
    <w:basedOn w:val="45"/>
    <w:qFormat/>
    <w:uiPriority w:val="0"/>
  </w:style>
  <w:style w:type="character" w:customStyle="1" w:styleId="245">
    <w:name w:val="s1"/>
    <w:basedOn w:val="45"/>
    <w:qFormat/>
    <w:uiPriority w:val="0"/>
  </w:style>
  <w:style w:type="paragraph" w:customStyle="1" w:styleId="246">
    <w:name w:val="列出段落1"/>
    <w:basedOn w:val="1"/>
    <w:qFormat/>
    <w:uiPriority w:val="34"/>
    <w:pPr>
      <w:ind w:firstLine="420"/>
    </w:pPr>
    <w:rPr>
      <w:lang w:val="zh-CN"/>
    </w:rPr>
  </w:style>
  <w:style w:type="character" w:customStyle="1" w:styleId="247">
    <w:name w:val="批注文字 Char3"/>
    <w:qFormat/>
    <w:uiPriority w:val="0"/>
    <w:rPr>
      <w:rFonts w:eastAsia="宋体"/>
      <w:sz w:val="21"/>
      <w:szCs w:val="24"/>
      <w:lang w:val="en-US" w:eastAsia="zh-CN" w:bidi="ar-SA"/>
    </w:rPr>
  </w:style>
  <w:style w:type="paragraph" w:styleId="248">
    <w:name w:val="List Paragraph"/>
    <w:basedOn w:val="1"/>
    <w:qFormat/>
    <w:uiPriority w:val="99"/>
    <w:pPr>
      <w:ind w:firstLine="420"/>
    </w:pPr>
  </w:style>
  <w:style w:type="paragraph" w:customStyle="1" w:styleId="249">
    <w:name w:val="BodyText"/>
    <w:basedOn w:val="1"/>
    <w:qFormat/>
    <w:uiPriority w:val="99"/>
    <w:pPr>
      <w:spacing w:after="120"/>
    </w:pPr>
  </w:style>
  <w:style w:type="character" w:customStyle="1" w:styleId="250">
    <w:name w:val="NormalCharacter"/>
    <w:semiHidden/>
    <w:qFormat/>
    <w:uiPriority w:val="0"/>
  </w:style>
  <w:style w:type="character" w:customStyle="1" w:styleId="251">
    <w:name w:val="正文文本缩进 Char"/>
    <w:basedOn w:val="45"/>
    <w:link w:val="17"/>
    <w:qFormat/>
    <w:uiPriority w:val="0"/>
    <w:rPr>
      <w:rFonts w:ascii="Times New Roman" w:hAnsi="Times New Roman"/>
      <w:sz w:val="21"/>
      <w:szCs w:val="24"/>
    </w:rPr>
  </w:style>
  <w:style w:type="paragraph" w:customStyle="1" w:styleId="252">
    <w:name w:val="纯文本3"/>
    <w:basedOn w:val="1"/>
    <w:qFormat/>
    <w:uiPriority w:val="0"/>
    <w:rPr>
      <w:rFonts w:ascii="宋体" w:hAnsi="Courier New" w:eastAsia="楷体_GB2312"/>
      <w:sz w:val="28"/>
      <w:szCs w:val="20"/>
    </w:rPr>
  </w:style>
  <w:style w:type="paragraph" w:customStyle="1" w:styleId="253">
    <w:name w:val="修订2"/>
    <w:hidden/>
    <w:semiHidden/>
    <w:qFormat/>
    <w:uiPriority w:val="99"/>
    <w:rPr>
      <w:rFonts w:hint="default" w:ascii="Times New Roman" w:hAnsi="Times New Roman" w:eastAsia="宋体" w:cs="Times New Roman"/>
      <w:sz w:val="21"/>
      <w:szCs w:val="24"/>
    </w:rPr>
  </w:style>
  <w:style w:type="paragraph" w:customStyle="1" w:styleId="254">
    <w:name w:val="修订3"/>
    <w:hidden/>
    <w:semiHidden/>
    <w:qFormat/>
    <w:uiPriority w:val="99"/>
    <w:rPr>
      <w:rFonts w:hint="default" w:ascii="Times New Roman" w:hAnsi="Times New Roman" w:eastAsia="宋体" w:cs="Times New Roman"/>
      <w:sz w:val="21"/>
      <w:szCs w:val="24"/>
    </w:rPr>
  </w:style>
  <w:style w:type="paragraph" w:customStyle="1" w:styleId="255">
    <w:name w:val="修订4"/>
    <w:hidden/>
    <w:semiHidden/>
    <w:qFormat/>
    <w:uiPriority w:val="99"/>
    <w:rPr>
      <w:rFonts w:hint="default" w:ascii="Times New Roman" w:hAnsi="Times New Roman" w:eastAsia="宋体" w:cs="Times New Roman"/>
      <w:sz w:val="21"/>
      <w:szCs w:val="24"/>
    </w:rPr>
  </w:style>
  <w:style w:type="paragraph" w:customStyle="1" w:styleId="256">
    <w:name w:val="列出段落2"/>
    <w:basedOn w:val="1"/>
    <w:qFormat/>
    <w:uiPriority w:val="34"/>
    <w:pPr>
      <w:ind w:firstLine="420"/>
    </w:pPr>
  </w:style>
  <w:style w:type="paragraph" w:customStyle="1" w:styleId="257">
    <w:name w:val="_正文段落"/>
    <w:basedOn w:val="1"/>
    <w:qFormat/>
    <w:uiPriority w:val="0"/>
    <w:pPr>
      <w:spacing w:line="360" w:lineRule="auto"/>
      <w:ind w:firstLine="200"/>
    </w:pPr>
    <w:rPr>
      <w:sz w:val="24"/>
    </w:rPr>
  </w:style>
  <w:style w:type="paragraph" w:customStyle="1" w:styleId="258">
    <w:name w:val="_Style 30"/>
    <w:basedOn w:val="1"/>
    <w:next w:val="21"/>
    <w:qFormat/>
    <w:uiPriority w:val="0"/>
    <w:rPr>
      <w:rFonts w:ascii="宋体" w:hAnsi="Courier New"/>
    </w:rPr>
  </w:style>
  <w:style w:type="paragraph" w:customStyle="1" w:styleId="259">
    <w:name w:val="正文缩进1"/>
    <w:basedOn w:val="1"/>
    <w:qFormat/>
    <w:uiPriority w:val="0"/>
    <w:pPr>
      <w:ind w:firstLine="420"/>
      <w:jc w:val="left"/>
    </w:pPr>
    <w:rPr>
      <w:rFonts w:eastAsia="楷体_GB231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16274</Words>
  <Characters>17565</Characters>
  <TotalTime>15</TotalTime>
  <ScaleCrop>false</ScaleCrop>
  <LinksUpToDate>false</LinksUpToDate>
  <CharactersWithSpaces>18271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2024-01-02T10:17:00Z</dcterms:created>
  <dc:creator>Lenovo User</dc:creator>
  <cp:lastModifiedBy>路</cp:lastModifiedBy>
  <dcterms:modified xsi:type="dcterms:W3CDTF">2025-05-16T09:54:11Z</dcterms:modified>
  <dc:title>谈判邀请函</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22B7F8F18FDA4FFC87E0DFA883F7A2C7_13</vt:lpwstr>
  </property>
  <property fmtid="{D5CDD505-2E9C-101B-9397-08002B2CF9AE}" pid="4" name="ContentTypeId">
    <vt:lpwstr>0x01010081C51C0CE0027140830352BF468F90BF</vt:lpwstr>
  </property>
  <property fmtid="{D5CDD505-2E9C-101B-9397-08002B2CF9AE}" pid="5" name="KSOTemplateDocerSaveRecord">
    <vt:lpwstr>eyJoZGlkIjoiYTEzYzlmYzlkMWQ3YjhmOGQ4ODAyOGU2YmQzNmUxNjgiLCJ1c2VySWQiOiIxMDQzMzQ5ODU4In0=</vt:lpwstr>
  </property>
</Properties>
</file>