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A43603">
      <w:pPr>
        <w:ind w:left="660"/>
        <w:rPr>
          <w:rFonts w:ascii="楷体_GB2312" w:eastAsia="楷体_GB2312"/>
          <w:bCs/>
          <w:color w:val="000000"/>
          <w:sz w:val="30"/>
          <w:highlight w:val="none"/>
        </w:rPr>
      </w:pPr>
    </w:p>
    <w:p w14:paraId="1412558C">
      <w:pPr>
        <w:ind w:left="660"/>
        <w:rPr>
          <w:rFonts w:ascii="楷体_GB2312" w:eastAsia="楷体_GB2312"/>
          <w:bCs/>
          <w:color w:val="000000"/>
          <w:sz w:val="30"/>
          <w:highlight w:val="none"/>
        </w:rPr>
      </w:pPr>
    </w:p>
    <w:p w14:paraId="32582D27">
      <w:pPr>
        <w:jc w:val="center"/>
        <w:rPr>
          <w:rFonts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t>无锡市政府采购</w:t>
      </w:r>
    </w:p>
    <w:p w14:paraId="137654AC">
      <w:pPr>
        <w:rPr>
          <w:rFonts w:ascii="华文中宋" w:hAnsi="华文中宋" w:eastAsia="华文中宋"/>
          <w:bCs/>
          <w:color w:val="000000"/>
          <w:sz w:val="30"/>
          <w:highlight w:val="none"/>
        </w:rPr>
      </w:pPr>
    </w:p>
    <w:p w14:paraId="492FB236">
      <w:pPr>
        <w:rPr>
          <w:rFonts w:ascii="华文中宋" w:hAnsi="华文中宋" w:eastAsia="华文中宋"/>
          <w:bCs/>
          <w:color w:val="000000"/>
          <w:sz w:val="30"/>
          <w:highlight w:val="none"/>
        </w:rPr>
      </w:pPr>
    </w:p>
    <w:p w14:paraId="75982B1E">
      <w:pPr>
        <w:rPr>
          <w:rFonts w:ascii="华文中宋" w:hAnsi="华文中宋" w:eastAsia="华文中宋"/>
          <w:bCs/>
          <w:color w:val="000000"/>
          <w:sz w:val="30"/>
          <w:highlight w:val="none"/>
        </w:rPr>
      </w:pPr>
    </w:p>
    <w:p w14:paraId="5FF3EB11">
      <w:pPr>
        <w:jc w:val="center"/>
        <w:outlineLvl w:val="0"/>
        <w:rPr>
          <w:rFonts w:ascii="宋体" w:hAnsi="宋体" w:cs="宋体"/>
          <w:b/>
          <w:color w:val="000000"/>
          <w:spacing w:val="20"/>
          <w:sz w:val="52"/>
          <w:szCs w:val="52"/>
          <w:highlight w:val="none"/>
        </w:rPr>
      </w:pPr>
      <w:r>
        <w:rPr>
          <w:rFonts w:hint="eastAsia" w:ascii="宋体" w:hAnsi="宋体" w:cs="宋体"/>
          <w:b/>
          <w:color w:val="000000"/>
          <w:spacing w:val="20"/>
          <w:sz w:val="52"/>
          <w:szCs w:val="52"/>
          <w:highlight w:val="none"/>
        </w:rPr>
        <w:t>公开</w:t>
      </w:r>
    </w:p>
    <w:p w14:paraId="46C4F433">
      <w:pPr>
        <w:jc w:val="center"/>
        <w:outlineLvl w:val="0"/>
        <w:rPr>
          <w:rFonts w:ascii="黑体" w:hAnsi="华文中宋" w:eastAsia="黑体"/>
          <w:b/>
          <w:color w:val="000000"/>
          <w:spacing w:val="20"/>
          <w:sz w:val="52"/>
          <w:szCs w:val="52"/>
          <w:highlight w:val="none"/>
        </w:rPr>
      </w:pPr>
      <w:bookmarkStart w:id="0" w:name="_Toc9708"/>
      <w:r>
        <w:rPr>
          <w:rFonts w:ascii="宋体" w:hAnsi="宋体" w:cs="宋体"/>
          <w:b/>
          <w:color w:val="000000"/>
          <w:sz w:val="52"/>
          <w:szCs w:val="52"/>
          <w:highlight w:val="none"/>
        </w:rPr>
        <mc:AlternateContent>
          <mc:Choice Requires="wps">
            <w:drawing>
              <wp:anchor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rot="0">
                        <a:noAutofit/>
                      </wps:bodyPr>
                    </wps:wsp>
                  </a:graphicData>
                </a:graphic>
              </wp:anchor>
            </w:drawing>
          </mc:Choice>
          <mc:Fallback>
            <w:pict>
              <v:line id="_x0000_s1026" o:spid="_x0000_s1026" o:spt="20" style="position:absolute;left:0pt;margin-left:-8.9pt;margin-top:15.6pt;height:0pt;width:0.05pt;z-index:251659264;mso-width-relative:page;mso-height-relative:page;" fillcolor="#FFFFFF" filled="t" stroked="t" coordsize="21600,21600" o:allowincell="f" o:gfxdata="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F5dLO1QAAAAkBAAAPAAAAAAAAAAEAIAAAACIA&#10;AABkcnMvZG93bnJldi54bWxQSwECFAAUAAAACACHTuJA2U2vMNMBAAC6AwAADgAAAAAAAAABACAA&#10;AAAkAQAAZHJzL2Uyb0RvYy54bWxQSwUGAAAAAAYABgBZAQAAaQUAAAAA&#10;">
                <v:fill on="t" focussize="0,0"/>
                <v:stroke color="#000000" joinstyle="round"/>
                <v:imagedata o:title=""/>
                <o:lock v:ext="edit" aspectratio="f"/>
              </v:line>
            </w:pict>
          </mc:Fallback>
        </mc:AlternateContent>
      </w:r>
      <w:r>
        <w:rPr>
          <w:rFonts w:hint="eastAsia" w:ascii="宋体" w:hAnsi="宋体" w:cs="宋体"/>
          <w:b/>
          <w:color w:val="000000"/>
          <w:spacing w:val="20"/>
          <w:sz w:val="52"/>
          <w:szCs w:val="52"/>
          <w:highlight w:val="none"/>
        </w:rPr>
        <w:t>招标文件</w:t>
      </w:r>
      <w:bookmarkEnd w:id="0"/>
    </w:p>
    <w:p w14:paraId="144B983D">
      <w:pPr>
        <w:rPr>
          <w:rFonts w:ascii="华文中宋" w:hAnsi="华文中宋" w:eastAsia="华文中宋"/>
          <w:bCs/>
          <w:color w:val="000000"/>
          <w:sz w:val="30"/>
          <w:highlight w:val="none"/>
        </w:rPr>
      </w:pPr>
    </w:p>
    <w:p w14:paraId="25DD5F94">
      <w:pPr>
        <w:tabs>
          <w:tab w:val="left" w:pos="9921"/>
        </w:tabs>
        <w:jc w:val="center"/>
        <w:rPr>
          <w:rFonts w:ascii="华文中宋" w:hAnsi="华文中宋" w:eastAsia="华文中宋"/>
          <w:bCs/>
          <w:color w:val="000000"/>
          <w:sz w:val="30"/>
          <w:highlight w:val="none"/>
        </w:rPr>
      </w:pPr>
      <w:r>
        <w:rPr>
          <w:rFonts w:hint="eastAsia" w:ascii="华文中宋" w:hAnsi="华文中宋" w:eastAsia="华文中宋"/>
          <w:bCs/>
          <w:color w:val="000000"/>
          <w:sz w:val="30"/>
          <w:highlight w:val="none"/>
        </w:rPr>
        <w:t>（全流程电子化）</w:t>
      </w:r>
    </w:p>
    <w:p w14:paraId="24F705B2">
      <w:pPr>
        <w:jc w:val="left"/>
        <w:rPr>
          <w:rFonts w:ascii="华文中宋" w:hAnsi="华文中宋" w:eastAsia="华文中宋"/>
          <w:bCs/>
          <w:color w:val="000000"/>
          <w:sz w:val="30"/>
          <w:highlight w:val="none"/>
        </w:rPr>
      </w:pPr>
    </w:p>
    <w:p w14:paraId="50CFA0DF">
      <w:pPr>
        <w:pStyle w:val="230"/>
        <w:rPr>
          <w:rFonts w:hAnsi="华文中宋"/>
          <w:bCs w:val="0"/>
          <w:color w:val="000000"/>
          <w:sz w:val="30"/>
          <w:highlight w:val="none"/>
        </w:rPr>
      </w:pPr>
    </w:p>
    <w:p w14:paraId="1E2775FA">
      <w:pPr>
        <w:pStyle w:val="251"/>
        <w:rPr>
          <w:highlight w:val="none"/>
        </w:rPr>
      </w:pPr>
    </w:p>
    <w:p w14:paraId="2BD81271">
      <w:pPr>
        <w:adjustRightInd w:val="0"/>
        <w:snapToGrid w:val="0"/>
        <w:spacing w:line="360" w:lineRule="auto"/>
        <w:ind w:firstLine="1480"/>
        <w:rPr>
          <w:rFonts w:hint="eastAsia" w:ascii="黑体" w:hAnsi="华文中宋" w:eastAsia="黑体"/>
          <w:bCs/>
          <w:color w:val="auto"/>
          <w:sz w:val="30"/>
          <w:szCs w:val="30"/>
          <w:highlight w:val="none"/>
          <w:lang w:val="en-US" w:eastAsia="zh-CN"/>
        </w:rPr>
      </w:pPr>
      <w:r>
        <w:rPr>
          <w:rFonts w:hint="eastAsia" w:ascii="黑体" w:hAnsi="华文中宋" w:eastAsia="黑体"/>
          <w:bCs/>
          <w:color w:val="000000"/>
          <w:sz w:val="30"/>
          <w:szCs w:val="30"/>
          <w:highlight w:val="none"/>
        </w:rPr>
        <w:t>采购项目编号：</w:t>
      </w:r>
      <w:r>
        <w:rPr>
          <w:rFonts w:hint="eastAsia" w:ascii="黑体" w:hAnsi="华文中宋" w:eastAsia="黑体"/>
          <w:bCs/>
          <w:color w:val="000000"/>
          <w:sz w:val="30"/>
          <w:szCs w:val="30"/>
          <w:highlight w:val="none"/>
          <w:lang w:eastAsia="zh-CN"/>
        </w:rPr>
        <w:t>JSZC-320214-JHCG-G2025-0008</w:t>
      </w:r>
    </w:p>
    <w:p w14:paraId="6F4B4613">
      <w:pPr>
        <w:adjustRightInd w:val="0"/>
        <w:snapToGrid w:val="0"/>
        <w:spacing w:line="360" w:lineRule="auto"/>
        <w:ind w:firstLine="1500" w:firstLineChars="500"/>
        <w:jc w:val="left"/>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采购项目名称：</w:t>
      </w:r>
      <w:r>
        <w:rPr>
          <w:rFonts w:hint="eastAsia" w:ascii="黑体" w:hAnsi="华文中宋" w:eastAsia="黑体"/>
          <w:bCs/>
          <w:color w:val="000000"/>
          <w:sz w:val="30"/>
          <w:szCs w:val="30"/>
          <w:highlight w:val="none"/>
          <w:lang w:eastAsia="zh-CN"/>
        </w:rPr>
        <w:t>江溪街道治超站食堂食材配送服务（第二次）</w:t>
      </w:r>
    </w:p>
    <w:p w14:paraId="013CC251">
      <w:pPr>
        <w:adjustRightInd w:val="0"/>
        <w:snapToGrid w:val="0"/>
        <w:spacing w:line="360" w:lineRule="auto"/>
        <w:ind w:firstLine="1500" w:firstLineChars="500"/>
        <w:jc w:val="left"/>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采购人：无锡市新吴区人民政府江溪街道办事处</w:t>
      </w:r>
    </w:p>
    <w:p w14:paraId="66BF3214">
      <w:pPr>
        <w:adjustRightInd w:val="0"/>
        <w:snapToGrid w:val="0"/>
        <w:spacing w:line="360" w:lineRule="auto"/>
        <w:ind w:firstLine="1480"/>
        <w:jc w:val="left"/>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采购代理机构：江苏钧华项目管理有限公司</w:t>
      </w:r>
    </w:p>
    <w:p w14:paraId="6382BD82">
      <w:pPr>
        <w:rPr>
          <w:rFonts w:ascii="华文中宋" w:hAnsi="华文中宋" w:eastAsia="华文中宋"/>
          <w:bCs/>
          <w:color w:val="000000"/>
          <w:sz w:val="32"/>
          <w:highlight w:val="none"/>
        </w:rPr>
      </w:pPr>
    </w:p>
    <w:p w14:paraId="59419545">
      <w:pPr>
        <w:rPr>
          <w:rFonts w:ascii="华文中宋" w:hAnsi="华文中宋" w:eastAsia="华文中宋"/>
          <w:bCs/>
          <w:color w:val="000000"/>
          <w:sz w:val="30"/>
          <w:highlight w:val="none"/>
        </w:rPr>
      </w:pPr>
    </w:p>
    <w:p w14:paraId="5583C3DA">
      <w:pPr>
        <w:jc w:val="center"/>
        <w:rPr>
          <w:rFonts w:ascii="黑体" w:hAnsi="华文中宋" w:eastAsia="黑体"/>
          <w:bCs/>
          <w:color w:val="000000"/>
          <w:sz w:val="44"/>
          <w:szCs w:val="44"/>
          <w:highlight w:val="none"/>
        </w:rPr>
      </w:pPr>
      <w:r>
        <w:rPr>
          <w:rFonts w:hint="eastAsia" w:ascii="黑体" w:hAnsi="华文中宋" w:eastAsia="黑体"/>
          <w:bCs/>
          <w:color w:val="000000"/>
          <w:sz w:val="44"/>
          <w:szCs w:val="44"/>
          <w:highlight w:val="none"/>
        </w:rPr>
        <w:t>二○二五年</w:t>
      </w:r>
      <w:r>
        <w:rPr>
          <w:rFonts w:hint="eastAsia" w:ascii="黑体" w:hAnsi="华文中宋" w:eastAsia="黑体"/>
          <w:bCs/>
          <w:color w:val="000000"/>
          <w:sz w:val="44"/>
          <w:szCs w:val="44"/>
          <w:highlight w:val="none"/>
          <w:lang w:val="en-US" w:eastAsia="zh-CN"/>
        </w:rPr>
        <w:t>五</w:t>
      </w:r>
      <w:r>
        <w:rPr>
          <w:rFonts w:hint="eastAsia" w:ascii="黑体" w:hAnsi="华文中宋" w:eastAsia="黑体"/>
          <w:bCs/>
          <w:color w:val="000000"/>
          <w:sz w:val="44"/>
          <w:szCs w:val="44"/>
          <w:highlight w:val="none"/>
        </w:rPr>
        <w:t>月</w:t>
      </w:r>
    </w:p>
    <w:p w14:paraId="6DDF40F0">
      <w:pPr>
        <w:jc w:val="center"/>
        <w:rPr>
          <w:rFonts w:ascii="黑体" w:eastAsia="黑体"/>
          <w:bCs/>
          <w:color w:val="000000"/>
          <w:sz w:val="44"/>
          <w:highlight w:val="none"/>
        </w:rPr>
      </w:pPr>
    </w:p>
    <w:p w14:paraId="4D459C07">
      <w:pPr>
        <w:rPr>
          <w:rFonts w:ascii="华文新魏" w:eastAsia="华文新魏"/>
          <w:bCs/>
          <w:color w:val="000000"/>
          <w:sz w:val="44"/>
          <w:highlight w:val="none"/>
        </w:rPr>
      </w:pPr>
    </w:p>
    <w:p w14:paraId="235358B6">
      <w:pPr>
        <w:jc w:val="center"/>
        <w:rPr>
          <w:rStyle w:val="261"/>
          <w:rFonts w:eastAsia="黑体"/>
          <w:bCs/>
          <w:sz w:val="48"/>
          <w:highlight w:val="none"/>
        </w:rPr>
      </w:pPr>
    </w:p>
    <w:p w14:paraId="510F3B38">
      <w:pPr>
        <w:jc w:val="center"/>
        <w:outlineLvl w:val="0"/>
        <w:rPr>
          <w:rStyle w:val="261"/>
          <w:rFonts w:eastAsia="黑体"/>
          <w:bCs/>
          <w:sz w:val="48"/>
          <w:highlight w:val="none"/>
        </w:rPr>
        <w:sectPr>
          <w:headerReference r:id="rId3" w:type="default"/>
          <w:headerReference r:id="rId4" w:type="even"/>
          <w:footerReference r:id="rId5" w:type="even"/>
          <w:pgSz w:w="11906" w:h="16838"/>
          <w:pgMar w:top="1134" w:right="1134" w:bottom="1134" w:left="1134" w:header="624" w:footer="907" w:gutter="0"/>
          <w:pgNumType w:start="0"/>
          <w:cols w:space="1701" w:num="1"/>
          <w:titlePg/>
          <w:docGrid w:linePitch="360" w:charSpace="0"/>
        </w:sectPr>
      </w:pPr>
      <w:bookmarkStart w:id="1" w:name="_Toc27240"/>
    </w:p>
    <w:p w14:paraId="586D063F">
      <w:pPr>
        <w:jc w:val="center"/>
        <w:outlineLvl w:val="0"/>
        <w:rPr>
          <w:rStyle w:val="261"/>
          <w:rFonts w:eastAsia="黑体"/>
          <w:sz w:val="48"/>
          <w:szCs w:val="48"/>
          <w:highlight w:val="none"/>
        </w:rPr>
      </w:pPr>
      <w:r>
        <w:rPr>
          <w:rStyle w:val="261"/>
          <w:rFonts w:hint="eastAsia" w:eastAsia="黑体"/>
          <w:bCs/>
          <w:sz w:val="48"/>
          <w:highlight w:val="none"/>
        </w:rPr>
        <w:t>目录</w:t>
      </w:r>
      <w:bookmarkEnd w:id="1"/>
    </w:p>
    <w:p w14:paraId="0FAF8FDE">
      <w:pPr>
        <w:jc w:val="center"/>
        <w:rPr>
          <w:rFonts w:ascii="黑体" w:eastAsia="黑体"/>
          <w:bCs/>
          <w:color w:val="000000"/>
          <w:sz w:val="30"/>
          <w:highlight w:val="none"/>
        </w:rPr>
      </w:pPr>
    </w:p>
    <w:p w14:paraId="7A02BF61">
      <w:pPr>
        <w:jc w:val="center"/>
        <w:rPr>
          <w:rFonts w:ascii="黑体" w:eastAsia="黑体"/>
          <w:bCs/>
          <w:color w:val="000000"/>
          <w:sz w:val="30"/>
          <w:highlight w:val="none"/>
        </w:rPr>
      </w:pPr>
    </w:p>
    <w:p w14:paraId="35072085">
      <w:pPr>
        <w:rPr>
          <w:color w:val="000000"/>
          <w:highlight w:val="none"/>
        </w:rPr>
      </w:pPr>
    </w:p>
    <w:p w14:paraId="0E28061C">
      <w:pPr>
        <w:pStyle w:val="247"/>
        <w:tabs>
          <w:tab w:val="right" w:leader="dot" w:pos="9921"/>
        </w:tabs>
        <w:rPr>
          <w:color w:val="000000"/>
          <w:highlight w:val="none"/>
        </w:rPr>
      </w:pPr>
      <w:r>
        <w:rPr>
          <w:rFonts w:ascii="宋体"/>
          <w:bCs/>
          <w:color w:val="000000"/>
          <w:sz w:val="30"/>
          <w:szCs w:val="30"/>
          <w:highlight w:val="none"/>
        </w:rPr>
        <w:fldChar w:fldCharType="begin"/>
      </w:r>
      <w:r>
        <w:rPr>
          <w:rFonts w:ascii="宋体"/>
          <w:bCs/>
          <w:color w:val="000000"/>
          <w:sz w:val="30"/>
          <w:szCs w:val="30"/>
          <w:highlight w:val="none"/>
        </w:rPr>
        <w:instrText xml:space="preserve">TOC \o "1-1" \h \u </w:instrText>
      </w:r>
      <w:r>
        <w:rPr>
          <w:rFonts w:ascii="宋体"/>
          <w:bCs/>
          <w:color w:val="000000"/>
          <w:sz w:val="30"/>
          <w:szCs w:val="30"/>
          <w:highlight w:val="none"/>
        </w:rPr>
        <w:fldChar w:fldCharType="separate"/>
      </w:r>
    </w:p>
    <w:p w14:paraId="6FA2C40F">
      <w:pPr>
        <w:pStyle w:val="247"/>
        <w:tabs>
          <w:tab w:val="right" w:leader="dot" w:pos="9460"/>
        </w:tabs>
        <w:spacing w:line="480" w:lineRule="auto"/>
        <w:ind w:left="638"/>
        <w:rPr>
          <w:rFonts w:ascii="宋体" w:hAnsi="宋体" w:cs="宋体"/>
          <w:color w:val="000000"/>
          <w:sz w:val="36"/>
          <w:szCs w:val="36"/>
          <w:highlight w:val="none"/>
        </w:rPr>
      </w:pPr>
      <w:r>
        <w:rPr>
          <w:highlight w:val="none"/>
        </w:rPr>
        <w:fldChar w:fldCharType="begin"/>
      </w:r>
      <w:r>
        <w:rPr>
          <w:highlight w:val="none"/>
        </w:rPr>
        <w:instrText xml:space="preserve"> HYPERLINK \l "_Toc26807" </w:instrText>
      </w:r>
      <w:r>
        <w:rPr>
          <w:highlight w:val="none"/>
        </w:rPr>
        <w:fldChar w:fldCharType="separate"/>
      </w:r>
      <w:r>
        <w:rPr>
          <w:rFonts w:hint="eastAsia" w:ascii="宋体" w:hAnsi="宋体" w:cs="宋体"/>
          <w:bCs/>
          <w:color w:val="000000"/>
          <w:sz w:val="36"/>
          <w:szCs w:val="36"/>
          <w:highlight w:val="none"/>
        </w:rPr>
        <w:t>一．投标邀请函</w:t>
      </w:r>
      <w:r>
        <w:rPr>
          <w:rFonts w:hint="eastAsia" w:ascii="宋体" w:hAnsi="宋体" w:cs="宋体"/>
          <w:color w:val="000000"/>
          <w:sz w:val="36"/>
          <w:szCs w:val="36"/>
          <w:highlight w:val="none"/>
        </w:rPr>
        <w:tab/>
      </w:r>
      <w:r>
        <w:rPr>
          <w:rFonts w:hint="eastAsia" w:ascii="宋体" w:hAnsi="宋体" w:cs="宋体"/>
          <w:color w:val="000000"/>
          <w:sz w:val="36"/>
          <w:szCs w:val="36"/>
          <w:highlight w:val="none"/>
        </w:rPr>
        <w:fldChar w:fldCharType="begin"/>
      </w:r>
      <w:r>
        <w:rPr>
          <w:rFonts w:hint="eastAsia" w:ascii="宋体" w:hAnsi="宋体" w:cs="宋体"/>
          <w:color w:val="000000"/>
          <w:sz w:val="36"/>
          <w:szCs w:val="36"/>
          <w:highlight w:val="none"/>
        </w:rPr>
        <w:instrText xml:space="preserve"> PAGEREF _Toc26807 \h </w:instrText>
      </w:r>
      <w:r>
        <w:rPr>
          <w:rFonts w:hint="eastAsia" w:ascii="宋体" w:hAnsi="宋体" w:cs="宋体"/>
          <w:color w:val="000000"/>
          <w:sz w:val="36"/>
          <w:szCs w:val="36"/>
          <w:highlight w:val="none"/>
        </w:rPr>
        <w:fldChar w:fldCharType="separate"/>
      </w:r>
      <w:r>
        <w:rPr>
          <w:rFonts w:hint="eastAsia" w:ascii="宋体" w:hAnsi="宋体" w:cs="宋体"/>
          <w:color w:val="000000"/>
          <w:sz w:val="36"/>
          <w:szCs w:val="36"/>
          <w:highlight w:val="none"/>
        </w:rPr>
        <w:t>2</w:t>
      </w:r>
      <w:r>
        <w:rPr>
          <w:rFonts w:hint="eastAsia" w:ascii="宋体" w:hAnsi="宋体" w:cs="宋体"/>
          <w:color w:val="000000"/>
          <w:sz w:val="36"/>
          <w:szCs w:val="36"/>
          <w:highlight w:val="none"/>
        </w:rPr>
        <w:fldChar w:fldCharType="end"/>
      </w:r>
      <w:r>
        <w:rPr>
          <w:rFonts w:hint="eastAsia" w:ascii="宋体" w:hAnsi="宋体" w:cs="宋体"/>
          <w:color w:val="000000"/>
          <w:sz w:val="36"/>
          <w:szCs w:val="36"/>
          <w:highlight w:val="none"/>
        </w:rPr>
        <w:fldChar w:fldCharType="end"/>
      </w:r>
    </w:p>
    <w:p w14:paraId="0A4255F9">
      <w:pPr>
        <w:pStyle w:val="247"/>
        <w:tabs>
          <w:tab w:val="right" w:leader="dot" w:pos="9460"/>
        </w:tabs>
        <w:spacing w:line="480" w:lineRule="auto"/>
        <w:ind w:left="638"/>
        <w:rPr>
          <w:rFonts w:ascii="宋体" w:hAnsi="宋体" w:cs="宋体"/>
          <w:color w:val="000000"/>
          <w:sz w:val="36"/>
          <w:szCs w:val="36"/>
          <w:highlight w:val="none"/>
        </w:rPr>
      </w:pPr>
      <w:r>
        <w:rPr>
          <w:highlight w:val="none"/>
        </w:rPr>
        <w:fldChar w:fldCharType="begin"/>
      </w:r>
      <w:r>
        <w:rPr>
          <w:highlight w:val="none"/>
        </w:rPr>
        <w:instrText xml:space="preserve"> HYPERLINK \l "_Toc16116" </w:instrText>
      </w:r>
      <w:r>
        <w:rPr>
          <w:highlight w:val="none"/>
        </w:rPr>
        <w:fldChar w:fldCharType="separate"/>
      </w:r>
      <w:r>
        <w:rPr>
          <w:rFonts w:hint="eastAsia" w:ascii="宋体" w:hAnsi="宋体" w:cs="宋体"/>
          <w:bCs/>
          <w:color w:val="000000"/>
          <w:sz w:val="36"/>
          <w:szCs w:val="36"/>
          <w:highlight w:val="none"/>
        </w:rPr>
        <w:t>二．投标人须知</w:t>
      </w:r>
      <w:r>
        <w:rPr>
          <w:rFonts w:hint="eastAsia" w:ascii="宋体" w:hAnsi="宋体" w:cs="宋体"/>
          <w:color w:val="000000"/>
          <w:sz w:val="36"/>
          <w:szCs w:val="36"/>
          <w:highlight w:val="none"/>
        </w:rPr>
        <w:tab/>
      </w:r>
      <w:r>
        <w:rPr>
          <w:rFonts w:hint="eastAsia" w:ascii="宋体" w:hAnsi="宋体" w:cs="宋体"/>
          <w:color w:val="000000"/>
          <w:sz w:val="36"/>
          <w:szCs w:val="36"/>
          <w:highlight w:val="none"/>
        </w:rPr>
        <w:t>5</w:t>
      </w:r>
      <w:r>
        <w:rPr>
          <w:rFonts w:hint="eastAsia" w:ascii="宋体" w:hAnsi="宋体" w:cs="宋体"/>
          <w:color w:val="000000"/>
          <w:sz w:val="36"/>
          <w:szCs w:val="36"/>
          <w:highlight w:val="none"/>
        </w:rPr>
        <w:fldChar w:fldCharType="end"/>
      </w:r>
    </w:p>
    <w:p w14:paraId="5BE3AA71">
      <w:pPr>
        <w:pStyle w:val="247"/>
        <w:tabs>
          <w:tab w:val="right" w:leader="dot" w:pos="9460"/>
        </w:tabs>
        <w:spacing w:line="480" w:lineRule="auto"/>
        <w:ind w:left="638"/>
        <w:rPr>
          <w:rFonts w:ascii="宋体" w:hAnsi="宋体" w:cs="宋体"/>
          <w:color w:val="000000"/>
          <w:sz w:val="36"/>
          <w:szCs w:val="36"/>
          <w:highlight w:val="none"/>
        </w:rPr>
      </w:pPr>
      <w:r>
        <w:rPr>
          <w:highlight w:val="none"/>
        </w:rPr>
        <w:fldChar w:fldCharType="begin"/>
      </w:r>
      <w:r>
        <w:rPr>
          <w:highlight w:val="none"/>
        </w:rPr>
        <w:instrText xml:space="preserve"> HYPERLINK \l "_Toc27505" </w:instrText>
      </w:r>
      <w:r>
        <w:rPr>
          <w:highlight w:val="none"/>
        </w:rPr>
        <w:fldChar w:fldCharType="separate"/>
      </w:r>
      <w:r>
        <w:rPr>
          <w:rFonts w:hint="eastAsia" w:ascii="宋体" w:hAnsi="宋体" w:cs="宋体"/>
          <w:bCs/>
          <w:color w:val="000000"/>
          <w:sz w:val="36"/>
          <w:szCs w:val="36"/>
          <w:highlight w:val="none"/>
        </w:rPr>
        <w:t>三．</w:t>
      </w:r>
      <w:r>
        <w:rPr>
          <w:rFonts w:hint="eastAsia" w:ascii="宋体" w:hAnsi="宋体" w:cs="宋体"/>
          <w:color w:val="000000"/>
          <w:sz w:val="36"/>
          <w:szCs w:val="36"/>
          <w:highlight w:val="none"/>
        </w:rPr>
        <w:t>项目技术要求和有关说明</w:t>
      </w:r>
      <w:r>
        <w:rPr>
          <w:rFonts w:hint="eastAsia" w:ascii="宋体" w:hAnsi="宋体" w:cs="宋体"/>
          <w:color w:val="000000"/>
          <w:sz w:val="36"/>
          <w:szCs w:val="36"/>
          <w:highlight w:val="none"/>
        </w:rPr>
        <w:tab/>
      </w:r>
      <w:r>
        <w:rPr>
          <w:rFonts w:hint="eastAsia" w:ascii="宋体" w:hAnsi="宋体" w:cs="宋体"/>
          <w:color w:val="000000"/>
          <w:sz w:val="36"/>
          <w:szCs w:val="36"/>
          <w:highlight w:val="none"/>
        </w:rPr>
        <w:fldChar w:fldCharType="begin"/>
      </w:r>
      <w:r>
        <w:rPr>
          <w:rFonts w:hint="eastAsia" w:ascii="宋体" w:hAnsi="宋体" w:cs="宋体"/>
          <w:color w:val="000000"/>
          <w:sz w:val="36"/>
          <w:szCs w:val="36"/>
          <w:highlight w:val="none"/>
        </w:rPr>
        <w:instrText xml:space="preserve"> PAGEREF _Toc27505 \h </w:instrText>
      </w:r>
      <w:r>
        <w:rPr>
          <w:rFonts w:hint="eastAsia" w:ascii="宋体" w:hAnsi="宋体" w:cs="宋体"/>
          <w:color w:val="000000"/>
          <w:sz w:val="36"/>
          <w:szCs w:val="36"/>
          <w:highlight w:val="none"/>
        </w:rPr>
        <w:fldChar w:fldCharType="separate"/>
      </w:r>
      <w:r>
        <w:rPr>
          <w:rFonts w:hint="eastAsia" w:ascii="宋体" w:hAnsi="宋体" w:cs="宋体"/>
          <w:color w:val="000000"/>
          <w:sz w:val="36"/>
          <w:szCs w:val="36"/>
          <w:highlight w:val="none"/>
        </w:rPr>
        <w:t>16</w:t>
      </w:r>
      <w:r>
        <w:rPr>
          <w:rFonts w:hint="eastAsia" w:ascii="宋体" w:hAnsi="宋体" w:cs="宋体"/>
          <w:color w:val="000000"/>
          <w:sz w:val="36"/>
          <w:szCs w:val="36"/>
          <w:highlight w:val="none"/>
        </w:rPr>
        <w:fldChar w:fldCharType="end"/>
      </w:r>
      <w:r>
        <w:rPr>
          <w:rFonts w:hint="eastAsia" w:ascii="宋体" w:hAnsi="宋体" w:cs="宋体"/>
          <w:color w:val="000000"/>
          <w:sz w:val="36"/>
          <w:szCs w:val="36"/>
          <w:highlight w:val="none"/>
        </w:rPr>
        <w:fldChar w:fldCharType="end"/>
      </w:r>
    </w:p>
    <w:p w14:paraId="0078E689">
      <w:pPr>
        <w:pStyle w:val="247"/>
        <w:tabs>
          <w:tab w:val="right" w:leader="dot" w:pos="9460"/>
        </w:tabs>
        <w:spacing w:line="480" w:lineRule="auto"/>
        <w:ind w:left="638"/>
        <w:rPr>
          <w:rFonts w:ascii="宋体" w:hAnsi="宋体" w:cs="宋体"/>
          <w:color w:val="000000"/>
          <w:sz w:val="36"/>
          <w:szCs w:val="36"/>
          <w:highlight w:val="none"/>
        </w:rPr>
      </w:pPr>
      <w:r>
        <w:rPr>
          <w:highlight w:val="none"/>
        </w:rPr>
        <w:fldChar w:fldCharType="begin"/>
      </w:r>
      <w:r>
        <w:rPr>
          <w:highlight w:val="none"/>
        </w:rPr>
        <w:instrText xml:space="preserve"> HYPERLINK \l "_Toc12363" </w:instrText>
      </w:r>
      <w:r>
        <w:rPr>
          <w:highlight w:val="none"/>
        </w:rPr>
        <w:fldChar w:fldCharType="separate"/>
      </w:r>
      <w:r>
        <w:rPr>
          <w:rFonts w:hint="eastAsia" w:ascii="宋体" w:hAnsi="宋体" w:cs="宋体"/>
          <w:bCs/>
          <w:color w:val="000000"/>
          <w:sz w:val="36"/>
          <w:szCs w:val="36"/>
          <w:highlight w:val="none"/>
        </w:rPr>
        <w:t>四．</w:t>
      </w:r>
      <w:r>
        <w:rPr>
          <w:rFonts w:hint="eastAsia" w:ascii="宋体" w:hAnsi="宋体" w:cs="宋体"/>
          <w:color w:val="000000"/>
          <w:sz w:val="36"/>
          <w:szCs w:val="36"/>
          <w:highlight w:val="none"/>
        </w:rPr>
        <w:t>合同书（格式文本）</w:t>
      </w:r>
      <w:r>
        <w:rPr>
          <w:rFonts w:hint="eastAsia" w:ascii="宋体" w:hAnsi="宋体" w:cs="宋体"/>
          <w:color w:val="000000"/>
          <w:sz w:val="36"/>
          <w:szCs w:val="36"/>
          <w:highlight w:val="none"/>
        </w:rPr>
        <w:tab/>
      </w:r>
      <w:r>
        <w:rPr>
          <w:rFonts w:hint="eastAsia" w:ascii="宋体" w:hAnsi="宋体" w:cs="宋体"/>
          <w:color w:val="000000"/>
          <w:sz w:val="36"/>
          <w:szCs w:val="36"/>
          <w:highlight w:val="none"/>
        </w:rPr>
        <w:t>2</w:t>
      </w:r>
      <w:r>
        <w:rPr>
          <w:rFonts w:hint="eastAsia" w:ascii="宋体" w:hAnsi="宋体" w:cs="宋体"/>
          <w:color w:val="000000"/>
          <w:sz w:val="36"/>
          <w:szCs w:val="36"/>
          <w:highlight w:val="none"/>
        </w:rPr>
        <w:fldChar w:fldCharType="end"/>
      </w:r>
      <w:r>
        <w:rPr>
          <w:rFonts w:hint="eastAsia" w:ascii="宋体" w:hAnsi="宋体" w:cs="宋体"/>
          <w:bCs/>
          <w:color w:val="000000"/>
          <w:sz w:val="36"/>
          <w:szCs w:val="36"/>
          <w:highlight w:val="none"/>
        </w:rPr>
        <w:t>1</w:t>
      </w:r>
    </w:p>
    <w:p w14:paraId="4038BE21">
      <w:pPr>
        <w:pStyle w:val="247"/>
        <w:tabs>
          <w:tab w:val="right" w:leader="dot" w:pos="9460"/>
        </w:tabs>
        <w:spacing w:line="480" w:lineRule="auto"/>
        <w:ind w:left="638"/>
        <w:rPr>
          <w:rFonts w:ascii="宋体" w:hAnsi="宋体" w:cs="宋体"/>
          <w:color w:val="000000"/>
          <w:sz w:val="36"/>
          <w:szCs w:val="36"/>
          <w:highlight w:val="none"/>
        </w:rPr>
      </w:pPr>
      <w:r>
        <w:rPr>
          <w:highlight w:val="none"/>
        </w:rPr>
        <w:fldChar w:fldCharType="begin"/>
      </w:r>
      <w:r>
        <w:rPr>
          <w:highlight w:val="none"/>
        </w:rPr>
        <w:instrText xml:space="preserve"> HYPERLINK \l "_Toc15101" </w:instrText>
      </w:r>
      <w:r>
        <w:rPr>
          <w:highlight w:val="none"/>
        </w:rPr>
        <w:fldChar w:fldCharType="separate"/>
      </w:r>
      <w:r>
        <w:rPr>
          <w:rFonts w:hint="eastAsia" w:ascii="宋体" w:hAnsi="宋体" w:cs="宋体"/>
          <w:bCs/>
          <w:color w:val="000000"/>
          <w:sz w:val="36"/>
          <w:szCs w:val="36"/>
          <w:highlight w:val="none"/>
        </w:rPr>
        <w:t>五.附件</w:t>
      </w:r>
      <w:r>
        <w:rPr>
          <w:rFonts w:hint="eastAsia" w:ascii="宋体" w:hAnsi="宋体" w:cs="宋体"/>
          <w:color w:val="000000"/>
          <w:sz w:val="36"/>
          <w:szCs w:val="36"/>
          <w:highlight w:val="none"/>
        </w:rPr>
        <w:tab/>
      </w:r>
      <w:r>
        <w:rPr>
          <w:rFonts w:hint="eastAsia" w:ascii="宋体" w:hAnsi="宋体" w:cs="宋体"/>
          <w:color w:val="000000"/>
          <w:sz w:val="36"/>
          <w:szCs w:val="36"/>
          <w:highlight w:val="none"/>
        </w:rPr>
        <w:fldChar w:fldCharType="begin"/>
      </w:r>
      <w:r>
        <w:rPr>
          <w:rFonts w:hint="eastAsia" w:ascii="宋体" w:hAnsi="宋体" w:cs="宋体"/>
          <w:color w:val="000000"/>
          <w:sz w:val="36"/>
          <w:szCs w:val="36"/>
          <w:highlight w:val="none"/>
        </w:rPr>
        <w:instrText xml:space="preserve"> PAGEREF _Toc15101 \h </w:instrText>
      </w:r>
      <w:r>
        <w:rPr>
          <w:rFonts w:hint="eastAsia" w:ascii="宋体" w:hAnsi="宋体" w:cs="宋体"/>
          <w:color w:val="000000"/>
          <w:sz w:val="36"/>
          <w:szCs w:val="36"/>
          <w:highlight w:val="none"/>
        </w:rPr>
        <w:fldChar w:fldCharType="separate"/>
      </w:r>
      <w:r>
        <w:rPr>
          <w:rFonts w:hint="eastAsia" w:ascii="宋体" w:hAnsi="宋体" w:cs="宋体"/>
          <w:color w:val="000000"/>
          <w:sz w:val="36"/>
          <w:szCs w:val="36"/>
          <w:highlight w:val="none"/>
        </w:rPr>
        <w:t>20</w:t>
      </w:r>
      <w:r>
        <w:rPr>
          <w:rFonts w:hint="eastAsia" w:ascii="宋体" w:hAnsi="宋体" w:cs="宋体"/>
          <w:color w:val="000000"/>
          <w:sz w:val="36"/>
          <w:szCs w:val="36"/>
          <w:highlight w:val="none"/>
        </w:rPr>
        <w:fldChar w:fldCharType="end"/>
      </w:r>
      <w:r>
        <w:rPr>
          <w:rFonts w:hint="eastAsia" w:ascii="宋体" w:hAnsi="宋体" w:cs="宋体"/>
          <w:color w:val="000000"/>
          <w:sz w:val="36"/>
          <w:szCs w:val="36"/>
          <w:highlight w:val="none"/>
        </w:rPr>
        <w:fldChar w:fldCharType="end"/>
      </w:r>
    </w:p>
    <w:p w14:paraId="0A02E1D5">
      <w:pPr>
        <w:spacing w:line="720" w:lineRule="auto"/>
        <w:ind w:firstLine="315"/>
        <w:rPr>
          <w:rFonts w:ascii="宋体" w:hAnsi="宋体"/>
          <w:bCs/>
          <w:color w:val="000000"/>
          <w:sz w:val="30"/>
          <w:szCs w:val="30"/>
          <w:highlight w:val="none"/>
        </w:rPr>
      </w:pPr>
      <w:r>
        <w:rPr>
          <w:rFonts w:ascii="宋体"/>
          <w:bCs/>
          <w:color w:val="000000"/>
          <w:szCs w:val="30"/>
          <w:highlight w:val="none"/>
        </w:rPr>
        <w:fldChar w:fldCharType="end"/>
      </w:r>
    </w:p>
    <w:p w14:paraId="5BB6B328">
      <w:pPr>
        <w:spacing w:line="720" w:lineRule="auto"/>
        <w:rPr>
          <w:rFonts w:ascii="宋体"/>
          <w:bCs/>
          <w:color w:val="000000"/>
          <w:sz w:val="28"/>
          <w:szCs w:val="28"/>
          <w:highlight w:val="none"/>
        </w:rPr>
      </w:pPr>
    </w:p>
    <w:p w14:paraId="09BFF4FF">
      <w:pPr>
        <w:spacing w:line="720" w:lineRule="auto"/>
        <w:rPr>
          <w:rFonts w:ascii="宋体"/>
          <w:bCs/>
          <w:color w:val="000000"/>
          <w:sz w:val="30"/>
          <w:highlight w:val="none"/>
        </w:rPr>
      </w:pPr>
    </w:p>
    <w:p w14:paraId="5C69B5BC">
      <w:pPr>
        <w:spacing w:line="480" w:lineRule="auto"/>
        <w:rPr>
          <w:rFonts w:ascii="宋体"/>
          <w:bCs/>
          <w:color w:val="000000"/>
          <w:sz w:val="30"/>
          <w:highlight w:val="none"/>
        </w:rPr>
      </w:pPr>
    </w:p>
    <w:p w14:paraId="61797D62">
      <w:pPr>
        <w:rPr>
          <w:rFonts w:ascii="宋体"/>
          <w:bCs/>
          <w:color w:val="000000"/>
          <w:sz w:val="28"/>
          <w:highlight w:val="none"/>
        </w:rPr>
      </w:pPr>
    </w:p>
    <w:p w14:paraId="51844A67">
      <w:pPr>
        <w:rPr>
          <w:rFonts w:ascii="宋体"/>
          <w:bCs/>
          <w:color w:val="000000"/>
          <w:sz w:val="32"/>
          <w:highlight w:val="none"/>
        </w:rPr>
      </w:pPr>
    </w:p>
    <w:p w14:paraId="1AAE15EA">
      <w:pPr>
        <w:rPr>
          <w:rFonts w:ascii="宋体"/>
          <w:bCs/>
          <w:color w:val="000000"/>
          <w:sz w:val="32"/>
          <w:highlight w:val="none"/>
        </w:rPr>
      </w:pPr>
    </w:p>
    <w:p w14:paraId="64F98548">
      <w:pPr>
        <w:spacing w:line="360" w:lineRule="auto"/>
        <w:jc w:val="center"/>
        <w:outlineLvl w:val="0"/>
        <w:rPr>
          <w:rFonts w:ascii="黑体" w:eastAsia="黑体"/>
          <w:bCs/>
          <w:color w:val="000000"/>
          <w:sz w:val="28"/>
          <w:szCs w:val="28"/>
          <w:highlight w:val="none"/>
        </w:rPr>
      </w:pPr>
      <w:bookmarkStart w:id="2" w:name="报价方须知前附表"/>
      <w:bookmarkEnd w:id="2"/>
      <w:r>
        <w:rPr>
          <w:rFonts w:ascii="黑体" w:eastAsia="黑体"/>
          <w:bCs/>
          <w:color w:val="000000"/>
          <w:sz w:val="28"/>
          <w:szCs w:val="28"/>
          <w:highlight w:val="none"/>
        </w:rPr>
        <w:br w:type="page" w:clear="all"/>
      </w:r>
      <w:bookmarkStart w:id="3" w:name="_Toc26807"/>
      <w:r>
        <w:rPr>
          <w:rFonts w:hint="eastAsia" w:ascii="黑体" w:eastAsia="黑体"/>
          <w:bCs/>
          <w:color w:val="000000"/>
          <w:sz w:val="28"/>
          <w:szCs w:val="28"/>
          <w:highlight w:val="none"/>
        </w:rPr>
        <w:t>一．投标邀请函</w:t>
      </w:r>
      <w:bookmarkEnd w:id="3"/>
    </w:p>
    <w:p w14:paraId="1E872289">
      <w:pPr>
        <w:spacing w:line="360" w:lineRule="auto"/>
        <w:ind w:firstLine="480"/>
        <w:rPr>
          <w:rFonts w:ascii="宋体" w:hAnsi="宋体"/>
          <w:bCs/>
          <w:color w:val="000000"/>
          <w:sz w:val="24"/>
          <w:szCs w:val="24"/>
          <w:highlight w:val="none"/>
        </w:rPr>
      </w:pPr>
      <w:r>
        <w:rPr>
          <w:rFonts w:hint="eastAsia" w:ascii="宋体" w:hAnsi="宋体" w:cs="宋体"/>
          <w:color w:val="000000"/>
          <w:sz w:val="24"/>
          <w:szCs w:val="24"/>
          <w:highlight w:val="none"/>
        </w:rPr>
        <w:t>江苏钧华项目管理有限公司受无锡市新吴区人民政府江溪街道办事处的委托，</w:t>
      </w:r>
      <w:r>
        <w:rPr>
          <w:rFonts w:hint="eastAsia" w:ascii="宋体" w:hAnsi="宋体"/>
          <w:bCs/>
          <w:color w:val="000000"/>
          <w:sz w:val="24"/>
          <w:szCs w:val="24"/>
          <w:highlight w:val="none"/>
        </w:rPr>
        <w:t>对</w:t>
      </w:r>
      <w:r>
        <w:rPr>
          <w:rFonts w:hint="eastAsia" w:ascii="宋体" w:hAnsi="宋体"/>
          <w:bCs/>
          <w:color w:val="000000"/>
          <w:sz w:val="24"/>
          <w:szCs w:val="24"/>
          <w:highlight w:val="none"/>
          <w:lang w:eastAsia="zh-CN"/>
        </w:rPr>
        <w:t>江溪街道治超站食堂食材配送服务（第二次）</w:t>
      </w:r>
      <w:r>
        <w:rPr>
          <w:rFonts w:hint="eastAsia" w:ascii="宋体" w:hAnsi="宋体"/>
          <w:bCs/>
          <w:color w:val="000000"/>
          <w:sz w:val="24"/>
          <w:szCs w:val="24"/>
          <w:highlight w:val="none"/>
        </w:rPr>
        <w:t>进行公开招标采购，欢迎符合相关条件的供应商参加投标并提请注意下列相关事项：</w:t>
      </w:r>
    </w:p>
    <w:p w14:paraId="2C713343">
      <w:pPr>
        <w:spacing w:line="360" w:lineRule="auto"/>
        <w:outlineLvl w:val="1"/>
        <w:rPr>
          <w:rFonts w:ascii="黑体" w:hAnsi="黑体" w:eastAsia="黑体"/>
          <w:bCs/>
          <w:color w:val="000000"/>
          <w:sz w:val="24"/>
          <w:szCs w:val="24"/>
          <w:highlight w:val="none"/>
        </w:rPr>
      </w:pPr>
      <w:r>
        <w:rPr>
          <w:rFonts w:hint="eastAsia" w:ascii="黑体" w:hAnsi="黑体" w:eastAsia="黑体"/>
          <w:bCs/>
          <w:color w:val="000000"/>
          <w:sz w:val="24"/>
          <w:szCs w:val="24"/>
          <w:highlight w:val="none"/>
        </w:rPr>
        <w:t>（一）</w:t>
      </w:r>
      <w:r>
        <w:rPr>
          <w:rFonts w:hint="eastAsia" w:ascii="黑体" w:hAnsi="黑体" w:eastAsia="黑体" w:cs="宋体"/>
          <w:color w:val="000000"/>
          <w:sz w:val="24"/>
          <w:szCs w:val="24"/>
          <w:highlight w:val="none"/>
        </w:rPr>
        <w:t>招标项目信息</w:t>
      </w:r>
    </w:p>
    <w:p w14:paraId="6073EE0D">
      <w:pPr>
        <w:widowControl/>
        <w:shd w:val="clear" w:color="auto" w:fill="FFFFFF"/>
        <w:spacing w:line="360" w:lineRule="auto"/>
        <w:ind w:firstLine="480"/>
        <w:jc w:val="left"/>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1.项目名称：</w:t>
      </w:r>
      <w:r>
        <w:rPr>
          <w:rFonts w:hint="eastAsia" w:ascii="宋体" w:hAnsi="宋体" w:cs="宋体"/>
          <w:color w:val="000000"/>
          <w:sz w:val="24"/>
          <w:szCs w:val="24"/>
          <w:highlight w:val="none"/>
          <w:lang w:eastAsia="zh-CN"/>
        </w:rPr>
        <w:t>江溪街道治超站食堂食材配送服务（第二次）</w:t>
      </w:r>
    </w:p>
    <w:p w14:paraId="5EC8371D">
      <w:pPr>
        <w:widowControl/>
        <w:shd w:val="clear" w:color="auto" w:fill="FFFFFF"/>
        <w:spacing w:line="360" w:lineRule="auto"/>
        <w:ind w:firstLine="480"/>
        <w:jc w:val="left"/>
        <w:rPr>
          <w:rFonts w:hint="eastAsia" w:ascii="宋体" w:hAnsi="宋体" w:eastAsia="宋体" w:cs="宋体"/>
          <w:sz w:val="24"/>
          <w:szCs w:val="24"/>
          <w:highlight w:val="none"/>
          <w:lang w:eastAsia="zh-CN"/>
        </w:rPr>
      </w:pPr>
      <w:r>
        <w:rPr>
          <w:rFonts w:hint="eastAsia" w:ascii="宋体" w:hAnsi="宋体" w:cs="宋体"/>
          <w:color w:val="000000"/>
          <w:sz w:val="24"/>
          <w:szCs w:val="24"/>
          <w:highlight w:val="none"/>
        </w:rPr>
        <w:t>2.项目编号：</w:t>
      </w:r>
      <w:r>
        <w:rPr>
          <w:rFonts w:hint="eastAsia" w:ascii="宋体" w:hAnsi="宋体" w:cs="宋体"/>
          <w:color w:val="000000"/>
          <w:sz w:val="24"/>
          <w:szCs w:val="24"/>
          <w:highlight w:val="none"/>
          <w:lang w:eastAsia="zh-CN"/>
        </w:rPr>
        <w:t>JSZC-320214-JHCG-G2025-0008</w:t>
      </w:r>
    </w:p>
    <w:p w14:paraId="1D47EBFF">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jc w:val="left"/>
        <w:textAlignment w:val="auto"/>
        <w:rPr>
          <w:color w:val="000000"/>
          <w:highlight w:val="none"/>
        </w:rPr>
      </w:pPr>
      <w:r>
        <w:rPr>
          <w:rFonts w:hint="eastAsia" w:ascii="宋体" w:hAnsi="宋体" w:cs="宋体"/>
          <w:color w:val="000000"/>
          <w:sz w:val="24"/>
          <w:szCs w:val="24"/>
          <w:highlight w:val="none"/>
        </w:rPr>
        <w:t>3.项目预算：</w:t>
      </w:r>
      <w:r>
        <w:rPr>
          <w:rFonts w:hint="eastAsia" w:ascii="宋体" w:hAnsi="宋体" w:cs="宋体"/>
          <w:color w:val="000000"/>
          <w:sz w:val="24"/>
          <w:szCs w:val="24"/>
          <w:highlight w:val="none"/>
          <w:lang w:val="en-US" w:eastAsia="zh-CN"/>
        </w:rPr>
        <w:t>584000</w:t>
      </w:r>
      <w:r>
        <w:rPr>
          <w:rFonts w:hint="eastAsia" w:ascii="宋体" w:hAnsi="宋体" w:cs="宋体"/>
          <w:color w:val="000000"/>
          <w:sz w:val="24"/>
          <w:szCs w:val="24"/>
          <w:highlight w:val="none"/>
        </w:rPr>
        <w:t>元</w:t>
      </w:r>
    </w:p>
    <w:p w14:paraId="408FE48B">
      <w:pPr>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4.</w:t>
      </w:r>
      <w:r>
        <w:rPr>
          <w:rFonts w:hint="eastAsia" w:ascii="宋体" w:hAnsi="宋体" w:eastAsia="宋体" w:cs="宋体"/>
          <w:color w:val="000000"/>
          <w:sz w:val="24"/>
          <w:szCs w:val="24"/>
          <w:highlight w:val="none"/>
        </w:rPr>
        <w:t>最高限价：本项目报价采用优惠率（折扣率=1－优惠率）。食堂食材配送服务费用设最高折扣率：</w:t>
      </w:r>
      <w:r>
        <w:rPr>
          <w:rFonts w:hint="eastAsia" w:ascii="宋体" w:hAnsi="宋体" w:eastAsia="宋体" w:cs="宋体"/>
          <w:color w:val="000000"/>
          <w:sz w:val="24"/>
          <w:szCs w:val="24"/>
          <w:highlight w:val="none"/>
          <w:lang w:val="en-US" w:eastAsia="zh-CN"/>
        </w:rPr>
        <w:t>80</w:t>
      </w:r>
      <w:r>
        <w:rPr>
          <w:rFonts w:hint="eastAsia" w:ascii="宋体" w:hAnsi="宋体" w:eastAsia="宋体" w:cs="宋体"/>
          <w:color w:val="000000"/>
          <w:sz w:val="24"/>
          <w:szCs w:val="24"/>
          <w:highlight w:val="none"/>
        </w:rPr>
        <w:t>%（即优惠率不得低于</w:t>
      </w:r>
      <w:r>
        <w:rPr>
          <w:rFonts w:hint="eastAsia" w:ascii="宋体" w:hAnsi="宋体" w:eastAsia="宋体" w:cs="宋体"/>
          <w:color w:val="000000"/>
          <w:sz w:val="24"/>
          <w:szCs w:val="24"/>
          <w:highlight w:val="none"/>
          <w:lang w:val="en-US" w:eastAsia="zh-CN"/>
        </w:rPr>
        <w:t>20</w:t>
      </w:r>
      <w:r>
        <w:rPr>
          <w:rFonts w:hint="eastAsia" w:ascii="宋体" w:hAnsi="宋体" w:eastAsia="宋体" w:cs="宋体"/>
          <w:color w:val="000000"/>
          <w:sz w:val="24"/>
          <w:szCs w:val="24"/>
          <w:highlight w:val="none"/>
        </w:rPr>
        <w:t>%）。投标供应商投标折扣率不得超过上述最高折扣率，否则按无效标处理。注：所有产品采用同一折扣率，投标供应商自行考虑价格平衡。</w:t>
      </w:r>
    </w:p>
    <w:p w14:paraId="3E62C574">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jc w:val="left"/>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5.服务期限：一年（以合同签订日期为准）。</w:t>
      </w:r>
    </w:p>
    <w:p w14:paraId="767CBB5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jc w:val="left"/>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6.采购方式：公开招标</w:t>
      </w:r>
    </w:p>
    <w:p w14:paraId="63C1226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jc w:val="left"/>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7.采购人：无锡市新吴区人民政府江溪街道办事处</w:t>
      </w:r>
    </w:p>
    <w:p w14:paraId="16B68A1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jc w:val="left"/>
        <w:textAlignment w:val="auto"/>
        <w:rPr>
          <w:rFonts w:hint="eastAsia" w:ascii="宋体" w:hAnsi="宋体" w:cs="宋体"/>
          <w:sz w:val="24"/>
          <w:szCs w:val="24"/>
          <w:highlight w:val="none"/>
        </w:rPr>
      </w:pPr>
      <w:r>
        <w:rPr>
          <w:rFonts w:hint="eastAsia" w:ascii="宋体" w:hAnsi="宋体" w:cs="宋体"/>
          <w:color w:val="000000"/>
          <w:sz w:val="24"/>
          <w:szCs w:val="24"/>
          <w:highlight w:val="none"/>
        </w:rPr>
        <w:t>8.</w:t>
      </w:r>
      <w:r>
        <w:rPr>
          <w:rFonts w:hint="eastAsia" w:ascii="宋体" w:hAnsi="宋体" w:cs="宋体"/>
          <w:sz w:val="24"/>
          <w:szCs w:val="24"/>
          <w:highlight w:val="none"/>
        </w:rPr>
        <w:t>本项目标的所属行业：</w:t>
      </w:r>
      <w:r>
        <w:rPr>
          <w:rFonts w:hint="eastAsia" w:ascii="宋体" w:hAnsi="宋体" w:cs="宋体"/>
          <w:b/>
          <w:bCs/>
          <w:sz w:val="24"/>
          <w:szCs w:val="24"/>
          <w:highlight w:val="none"/>
        </w:rPr>
        <w:t>租赁和商务服务业。</w:t>
      </w:r>
      <w:r>
        <w:rPr>
          <w:rFonts w:hint="eastAsia" w:ascii="宋体" w:hAnsi="宋体" w:cs="宋体"/>
          <w:sz w:val="24"/>
          <w:szCs w:val="24"/>
          <w:highlight w:val="none"/>
        </w:rPr>
        <w:t>根据《中小企业划型标准规定》工信部联企业〔2011〕300号，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2C14CAD4">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9.本项目是否专门面向中小企业：是</w:t>
      </w:r>
    </w:p>
    <w:p w14:paraId="19D02958">
      <w:pPr>
        <w:pStyle w:val="44"/>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10、质量标准：合格产品，符合国家相关安全卫生标准且满足采购人需求。</w:t>
      </w:r>
    </w:p>
    <w:p w14:paraId="22391C94">
      <w:pPr>
        <w:pStyle w:val="44"/>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11、安全要求：食材必须符合《中华人民共和国食品安全法》标准。</w:t>
      </w:r>
    </w:p>
    <w:p w14:paraId="69433036">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12.本项目</w:t>
      </w:r>
      <w:r>
        <w:rPr>
          <w:rFonts w:hint="eastAsia" w:ascii="宋体" w:hAnsi="宋体" w:eastAsia="宋体" w:cs="宋体"/>
          <w:sz w:val="24"/>
          <w:szCs w:val="24"/>
          <w:highlight w:val="none"/>
          <w:lang w:val="zh-CN" w:eastAsia="zh-CN" w:bidi="ar-SA"/>
        </w:rPr>
        <w:t>不接受联合体投标。</w:t>
      </w:r>
    </w:p>
    <w:p w14:paraId="15BBC9BB">
      <w:pPr>
        <w:keepNext w:val="0"/>
        <w:keepLines w:val="0"/>
        <w:pageBreakBefore w:val="0"/>
        <w:widowControl/>
        <w:shd w:val="clear" w:color="auto" w:fill="FFFFFF"/>
        <w:kinsoku/>
        <w:wordWrap/>
        <w:overflowPunct/>
        <w:topLinePunct w:val="0"/>
        <w:autoSpaceDE/>
        <w:autoSpaceDN/>
        <w:bidi w:val="0"/>
        <w:adjustRightInd/>
        <w:snapToGrid/>
        <w:spacing w:line="360" w:lineRule="auto"/>
        <w:jc w:val="left"/>
        <w:textAlignment w:val="auto"/>
        <w:outlineLvl w:val="1"/>
        <w:rPr>
          <w:rFonts w:ascii="黑体" w:hAnsi="黑体" w:eastAsia="黑体" w:cs="宋体"/>
          <w:color w:val="000000"/>
          <w:sz w:val="24"/>
          <w:szCs w:val="24"/>
          <w:highlight w:val="none"/>
        </w:rPr>
      </w:pPr>
      <w:r>
        <w:rPr>
          <w:rFonts w:hint="eastAsia" w:ascii="黑体" w:hAnsi="黑体" w:eastAsia="黑体" w:cs="宋体"/>
          <w:color w:val="000000"/>
          <w:sz w:val="24"/>
          <w:szCs w:val="24"/>
          <w:highlight w:val="none"/>
        </w:rPr>
        <w:t>（二）投标人资格要求</w:t>
      </w:r>
    </w:p>
    <w:p w14:paraId="134D09CC">
      <w:pPr>
        <w:widowControl/>
        <w:shd w:val="clear" w:color="auto" w:fill="FFFFFF"/>
        <w:spacing w:line="360" w:lineRule="auto"/>
        <w:ind w:firstLine="48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1.满足《中华人民共和国政府采购法》第二十二条规定；</w:t>
      </w:r>
    </w:p>
    <w:p w14:paraId="1CFC1B22">
      <w:pPr>
        <w:widowControl/>
        <w:shd w:val="clear" w:color="auto" w:fill="FFFFFF"/>
        <w:spacing w:line="360" w:lineRule="auto"/>
        <w:ind w:firstLine="48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2.未被“信用中国”网站（www.creditchina.gov.cn）、中国政府采购网（www.ccgp.gov.cn）列入失信被执行人、重大税收违法案件当事人名单、政府采购严重违法失信行为记录名单；</w:t>
      </w:r>
    </w:p>
    <w:p w14:paraId="01B8A2EA">
      <w:pPr>
        <w:widowControl/>
        <w:shd w:val="clear" w:color="auto" w:fill="FFFFFF"/>
        <w:spacing w:line="360" w:lineRule="auto"/>
        <w:ind w:firstLine="48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3.落实政府采购政策需满足的资格要求：供应商为中小企业，或供应商应为监狱企业，或供应商应为残疾人福利企业。</w:t>
      </w:r>
    </w:p>
    <w:p w14:paraId="3B16D07D">
      <w:pPr>
        <w:widowControl/>
        <w:shd w:val="clear" w:color="auto" w:fill="FFFFFF"/>
        <w:spacing w:line="360" w:lineRule="auto"/>
        <w:ind w:firstLine="48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4.本项目的特定资格要求：</w:t>
      </w:r>
    </w:p>
    <w:p w14:paraId="0E4A458E">
      <w:pPr>
        <w:widowControl/>
        <w:shd w:val="clear" w:color="auto" w:fill="FFFFFF"/>
        <w:spacing w:line="360" w:lineRule="auto"/>
        <w:ind w:firstLine="48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（1）投标人具备合法有效的《食品生产许可证》或《食品经营许可证》或《食品流通许可证》。</w:t>
      </w:r>
    </w:p>
    <w:p w14:paraId="7E341493">
      <w:pPr>
        <w:widowControl/>
        <w:shd w:val="clear" w:color="auto" w:fill="FFFFFF"/>
        <w:spacing w:line="360" w:lineRule="auto"/>
        <w:ind w:firstLine="480"/>
        <w:jc w:val="left"/>
        <w:rPr>
          <w:rFonts w:ascii="黑体" w:hAnsi="黑体" w:eastAsia="黑体" w:cs="宋体"/>
          <w:color w:val="000000"/>
          <w:sz w:val="24"/>
          <w:szCs w:val="24"/>
          <w:highlight w:val="none"/>
        </w:rPr>
      </w:pPr>
      <w:r>
        <w:rPr>
          <w:rFonts w:hint="eastAsia" w:ascii="黑体" w:hAnsi="黑体" w:eastAsia="黑体" w:cs="宋体"/>
          <w:color w:val="000000"/>
          <w:sz w:val="24"/>
          <w:szCs w:val="24"/>
          <w:highlight w:val="none"/>
        </w:rPr>
        <w:t>（三）供应商主体信息库注册</w:t>
      </w:r>
    </w:p>
    <w:p w14:paraId="3D2068F2">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1.请有意参加本项目投标的供应商按以下流程进行操作：</w:t>
      </w:r>
    </w:p>
    <w:p w14:paraId="614322F9">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5CC6B117">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p>
    <w:p w14:paraId="0582EFFC">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（3）咨询电话：供应商注册：0519-86722801、0519-86722806，CA及电子加盖公章或签电子公章：0510-81827781，其他事项：0510-81827730。</w:t>
      </w:r>
    </w:p>
    <w:p w14:paraId="5EFD4EE2">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（4）潜在供应商访问“苏采云”系统的网络地址和方法：“苏采云”系统的网址：http://jszfcg.jsczt.cn/。</w:t>
      </w:r>
    </w:p>
    <w:p w14:paraId="31E248F7">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（5）采购文件（后缀名为“.kedt”）、供应商操作手册及政府采购客户端工具也可通过“苏采云”系统--已报名项目--报名详情页面内相应链接进行下载。</w:t>
      </w:r>
    </w:p>
    <w:p w14:paraId="61E0EBB6">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（6）招标代理机构（采购代理机构）将数据电文形式的采购文件加载至“苏采云”系统，供潜在供应商下载或者查阅。     </w:t>
      </w:r>
    </w:p>
    <w:p w14:paraId="695B99F6">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（7）苏采云系统使用谷歌浏览器参与不见面开标。</w:t>
      </w:r>
    </w:p>
    <w:p w14:paraId="5B492A72">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2.如供应商未按上述要求操作，由此所产生的损失及风险供应商自行承担。</w:t>
      </w:r>
    </w:p>
    <w:p w14:paraId="34A42D86">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3.有关本次招标的事项若存在变动或修改，敬请及时关注无锡市公共资源交易中心政府采购专栏、无锡政府采购网、江苏政府采购网和中国政府采购网发布的信息更正公告。如潜在投标人未按上述要求操作，由此所产生的损失及风险由潜在投标人自行承担。</w:t>
      </w:r>
    </w:p>
    <w:p w14:paraId="20E924FC">
      <w:pPr>
        <w:spacing w:line="360" w:lineRule="auto"/>
        <w:ind w:firstLine="480"/>
        <w:outlineLvl w:val="1"/>
        <w:rPr>
          <w:rFonts w:ascii="黑体" w:hAnsi="黑体" w:eastAsia="黑体"/>
          <w:bCs/>
          <w:color w:val="000000"/>
          <w:sz w:val="24"/>
          <w:szCs w:val="24"/>
          <w:highlight w:val="none"/>
        </w:rPr>
      </w:pPr>
      <w:r>
        <w:rPr>
          <w:rFonts w:hint="eastAsia" w:ascii="黑体" w:hAnsi="黑体" w:eastAsia="黑体"/>
          <w:bCs/>
          <w:color w:val="000000"/>
          <w:sz w:val="24"/>
          <w:szCs w:val="24"/>
          <w:highlight w:val="none"/>
        </w:rPr>
        <w:t>（四）完成项目报名，获取采购文件</w:t>
      </w:r>
    </w:p>
    <w:p w14:paraId="549C733B">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潜在投标人可在项目招标公告附件中查看公开招标文件，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53AA2717">
      <w:pPr>
        <w:spacing w:line="360" w:lineRule="auto"/>
        <w:ind w:left="-58" w:firstLine="480"/>
        <w:outlineLvl w:val="1"/>
        <w:rPr>
          <w:rFonts w:ascii="黑体" w:hAnsi="黑体" w:eastAsia="黑体" w:cs="宋体"/>
          <w:color w:val="000000"/>
          <w:sz w:val="24"/>
          <w:szCs w:val="24"/>
          <w:highlight w:val="none"/>
        </w:rPr>
      </w:pPr>
      <w:r>
        <w:rPr>
          <w:rFonts w:hint="eastAsia" w:ascii="黑体" w:hAnsi="黑体" w:eastAsia="黑体" w:cs="宋体"/>
          <w:color w:val="000000"/>
          <w:sz w:val="24"/>
          <w:szCs w:val="24"/>
          <w:highlight w:val="none"/>
        </w:rPr>
        <w:t>（五）公开答疑时间、地点</w:t>
      </w:r>
    </w:p>
    <w:p w14:paraId="431E2106">
      <w:pPr>
        <w:spacing w:line="360" w:lineRule="auto"/>
        <w:ind w:left="-58" w:firstLine="480"/>
        <w:rPr>
          <w:rFonts w:ascii="宋体" w:hAnsi="宋体"/>
          <w:bCs/>
          <w:color w:val="000000"/>
          <w:sz w:val="24"/>
          <w:szCs w:val="24"/>
          <w:highlight w:val="none"/>
        </w:rPr>
      </w:pPr>
      <w:r>
        <w:rPr>
          <w:rFonts w:hint="eastAsia" w:ascii="宋体" w:hAnsi="宋体"/>
          <w:bCs/>
          <w:color w:val="000000"/>
          <w:sz w:val="24"/>
          <w:szCs w:val="24"/>
          <w:highlight w:val="none"/>
        </w:rPr>
        <w:t>采购人、江苏钧华项目管理有限公司将以线上不见面、电话咨询、传真等方式开展线上答疑服务。</w:t>
      </w:r>
      <w:r>
        <w:rPr>
          <w:rFonts w:hint="eastAsia" w:ascii="宋体" w:hAnsi="宋体"/>
          <w:bCs/>
          <w:sz w:val="24"/>
          <w:szCs w:val="24"/>
          <w:highlight w:val="none"/>
        </w:rPr>
        <w:t>截止至2025年</w:t>
      </w:r>
      <w:r>
        <w:rPr>
          <w:rFonts w:hint="eastAsia" w:ascii="宋体" w:hAnsi="宋体"/>
          <w:bCs/>
          <w:sz w:val="24"/>
          <w:szCs w:val="24"/>
          <w:highlight w:val="none"/>
          <w:lang w:val="en-US" w:eastAsia="zh-CN"/>
        </w:rPr>
        <w:t xml:space="preserve"> 5</w:t>
      </w:r>
      <w:r>
        <w:rPr>
          <w:rFonts w:hint="eastAsia" w:ascii="宋体" w:hAnsi="宋体"/>
          <w:bCs/>
          <w:sz w:val="24"/>
          <w:szCs w:val="24"/>
          <w:highlight w:val="none"/>
        </w:rPr>
        <w:t>月</w:t>
      </w:r>
      <w:r>
        <w:rPr>
          <w:rFonts w:hint="eastAsia" w:ascii="宋体" w:hAnsi="宋体"/>
          <w:bCs/>
          <w:sz w:val="24"/>
          <w:szCs w:val="24"/>
          <w:highlight w:val="none"/>
          <w:lang w:val="en-US" w:eastAsia="zh-CN"/>
        </w:rPr>
        <w:t xml:space="preserve">28 </w:t>
      </w:r>
      <w:r>
        <w:rPr>
          <w:rFonts w:hint="eastAsia" w:ascii="宋体" w:hAnsi="宋体"/>
          <w:bCs/>
          <w:sz w:val="24"/>
          <w:szCs w:val="24"/>
          <w:highlight w:val="none"/>
        </w:rPr>
        <w:t>日10:00前，有关</w:t>
      </w:r>
      <w:r>
        <w:rPr>
          <w:rFonts w:hint="eastAsia" w:ascii="宋体" w:hAnsi="宋体"/>
          <w:bCs/>
          <w:color w:val="000000"/>
          <w:sz w:val="24"/>
          <w:szCs w:val="24"/>
          <w:highlight w:val="none"/>
        </w:rPr>
        <w:t>单位对于招标文件的相关事项如有疑问可通过上述方式咨询采购人；投标人如有需要对招标文件要求澄清的问题，请书面提出“</w:t>
      </w:r>
      <w:r>
        <w:rPr>
          <w:rFonts w:hint="eastAsia" w:ascii="宋体" w:hAnsi="宋体"/>
          <w:bCs/>
          <w:sz w:val="24"/>
          <w:szCs w:val="24"/>
          <w:highlight w:val="none"/>
          <w:lang w:eastAsia="zh-CN"/>
        </w:rPr>
        <w:t>JSZC-320214-JHCG-G2025-0008</w:t>
      </w:r>
      <w:r>
        <w:rPr>
          <w:rFonts w:hint="eastAsia" w:ascii="宋体" w:hAnsi="宋体"/>
          <w:bCs/>
          <w:color w:val="000000"/>
          <w:sz w:val="24"/>
          <w:szCs w:val="24"/>
          <w:highlight w:val="none"/>
        </w:rPr>
        <w:t>项目需澄清问题”，并将盖章原件邮寄至江苏钧华项目管理有限公司，地址：无锡市梁溪区南湖大道503号无锡传感设备产业园1号楼210室。若未在法定时间内提出澄清，由此造成的损失及风险由投标人自行承担。</w:t>
      </w:r>
    </w:p>
    <w:p w14:paraId="2C97C0C6">
      <w:pPr>
        <w:spacing w:line="360" w:lineRule="auto"/>
        <w:ind w:left="-58" w:firstLine="480"/>
        <w:rPr>
          <w:rFonts w:ascii="宋体" w:hAnsi="宋体"/>
          <w:bCs/>
          <w:color w:val="000000"/>
          <w:sz w:val="24"/>
          <w:szCs w:val="24"/>
          <w:highlight w:val="none"/>
        </w:rPr>
      </w:pPr>
      <w:r>
        <w:rPr>
          <w:rFonts w:hint="eastAsia" w:ascii="宋体" w:hAnsi="宋体"/>
          <w:bCs/>
          <w:color w:val="000000"/>
          <w:sz w:val="24"/>
          <w:szCs w:val="24"/>
          <w:highlight w:val="none"/>
        </w:rPr>
        <w:t>注：建议各拟投标人尽量对项目现场和周围环境进行踏勘，在随后的采购中，对现场资料和数据所做出的推论、解释和结论及由此造成的后果由投标人负责。</w:t>
      </w:r>
    </w:p>
    <w:p w14:paraId="10688C6A">
      <w:pPr>
        <w:widowControl/>
        <w:shd w:val="clear" w:color="auto" w:fill="FFFFFF"/>
        <w:spacing w:line="360" w:lineRule="auto"/>
        <w:ind w:firstLine="480"/>
        <w:jc w:val="left"/>
        <w:outlineLvl w:val="1"/>
        <w:rPr>
          <w:rFonts w:ascii="黑体" w:hAnsi="黑体" w:eastAsia="黑体" w:cs="宋体"/>
          <w:color w:val="000000"/>
          <w:sz w:val="24"/>
          <w:szCs w:val="24"/>
          <w:highlight w:val="none"/>
        </w:rPr>
      </w:pPr>
      <w:r>
        <w:rPr>
          <w:rFonts w:hint="eastAsia" w:ascii="黑体" w:hAnsi="黑体" w:eastAsia="黑体" w:cs="宋体"/>
          <w:color w:val="000000"/>
          <w:sz w:val="24"/>
          <w:szCs w:val="24"/>
          <w:highlight w:val="none"/>
        </w:rPr>
        <w:t>（六）网上投标及开标、定标时间、地点</w:t>
      </w:r>
      <w:r>
        <w:rPr>
          <w:rFonts w:hint="eastAsia" w:ascii="宋体" w:hAnsi="宋体" w:eastAsia="黑体" w:cs="宋体"/>
          <w:color w:val="000000"/>
          <w:sz w:val="24"/>
          <w:szCs w:val="24"/>
          <w:highlight w:val="none"/>
        </w:rPr>
        <w:t>   </w:t>
      </w:r>
    </w:p>
    <w:p w14:paraId="01A981E7">
      <w:pPr>
        <w:widowControl/>
        <w:shd w:val="clear" w:color="auto" w:fill="FFFFFF"/>
        <w:spacing w:line="360" w:lineRule="auto"/>
        <w:ind w:firstLine="480"/>
        <w:jc w:val="left"/>
        <w:rPr>
          <w:rFonts w:ascii="宋体" w:hAnsi="宋体"/>
          <w:sz w:val="24"/>
          <w:szCs w:val="24"/>
          <w:highlight w:val="none"/>
        </w:rPr>
      </w:pPr>
      <w:r>
        <w:rPr>
          <w:rFonts w:hint="eastAsia" w:ascii="宋体" w:hAnsi="宋体" w:cs="宋体"/>
          <w:sz w:val="24"/>
          <w:szCs w:val="24"/>
          <w:highlight w:val="none"/>
        </w:rPr>
        <w:t>网上投标截止时间：2025年</w:t>
      </w:r>
      <w:r>
        <w:rPr>
          <w:rFonts w:hint="eastAsia" w:ascii="宋体" w:hAnsi="宋体" w:cs="宋体"/>
          <w:sz w:val="24"/>
          <w:szCs w:val="24"/>
          <w:highlight w:val="none"/>
          <w:lang w:val="en-US" w:eastAsia="zh-CN"/>
        </w:rPr>
        <w:t>6</w:t>
      </w:r>
      <w:r>
        <w:rPr>
          <w:rFonts w:hint="eastAsia" w:ascii="宋体" w:hAnsi="宋体" w:cs="宋体"/>
          <w:sz w:val="24"/>
          <w:szCs w:val="24"/>
          <w:highlight w:val="none"/>
        </w:rPr>
        <w:t>月</w:t>
      </w:r>
      <w:r>
        <w:rPr>
          <w:rFonts w:hint="eastAsia" w:ascii="宋体" w:hAnsi="宋体" w:cs="宋体"/>
          <w:sz w:val="24"/>
          <w:szCs w:val="24"/>
          <w:highlight w:val="none"/>
          <w:lang w:val="en-US" w:eastAsia="zh-CN"/>
        </w:rPr>
        <w:t>12</w:t>
      </w:r>
      <w:r>
        <w:rPr>
          <w:rFonts w:hint="eastAsia" w:ascii="宋体" w:hAnsi="宋体" w:cs="宋体"/>
          <w:sz w:val="24"/>
          <w:szCs w:val="24"/>
          <w:highlight w:val="none"/>
        </w:rPr>
        <w:t>日</w:t>
      </w:r>
      <w:r>
        <w:rPr>
          <w:rFonts w:hint="eastAsia" w:ascii="宋体" w:hAnsi="宋体" w:cs="宋体"/>
          <w:sz w:val="24"/>
          <w:szCs w:val="24"/>
          <w:highlight w:val="none"/>
          <w:lang w:val="en-US" w:eastAsia="zh-CN"/>
        </w:rPr>
        <w:t>9</w:t>
      </w:r>
      <w:r>
        <w:rPr>
          <w:rFonts w:hint="eastAsia" w:ascii="宋体" w:hAnsi="宋体" w:cs="宋体"/>
          <w:sz w:val="24"/>
          <w:szCs w:val="24"/>
          <w:highlight w:val="none"/>
        </w:rPr>
        <w:t>:30（投标</w:t>
      </w:r>
      <w:r>
        <w:rPr>
          <w:rFonts w:hint="eastAsia" w:ascii="宋体" w:hAnsi="宋体"/>
          <w:sz w:val="24"/>
          <w:szCs w:val="24"/>
          <w:highlight w:val="none"/>
        </w:rPr>
        <w:t>截止时间后的投</w:t>
      </w:r>
      <w:bookmarkStart w:id="15" w:name="_GoBack"/>
      <w:bookmarkEnd w:id="15"/>
      <w:r>
        <w:rPr>
          <w:rFonts w:hint="eastAsia" w:ascii="宋体" w:hAnsi="宋体"/>
          <w:sz w:val="24"/>
          <w:szCs w:val="24"/>
          <w:highlight w:val="none"/>
        </w:rPr>
        <w:t>标文件恕不接受</w:t>
      </w:r>
      <w:r>
        <w:rPr>
          <w:rFonts w:hint="eastAsia" w:ascii="宋体" w:hAnsi="宋体" w:cs="宋体"/>
          <w:sz w:val="24"/>
          <w:szCs w:val="24"/>
          <w:highlight w:val="none"/>
        </w:rPr>
        <w:t>）</w:t>
      </w:r>
    </w:p>
    <w:p w14:paraId="5C35DF55">
      <w:pPr>
        <w:widowControl/>
        <w:shd w:val="clear" w:color="auto" w:fill="FFFFFF"/>
        <w:spacing w:line="360" w:lineRule="auto"/>
        <w:ind w:firstLine="480"/>
        <w:jc w:val="left"/>
        <w:rPr>
          <w:rFonts w:ascii="宋体" w:hAnsi="宋体" w:cs="宋体"/>
          <w:color w:val="0000FF"/>
          <w:sz w:val="24"/>
          <w:szCs w:val="24"/>
          <w:highlight w:val="none"/>
        </w:rPr>
      </w:pPr>
      <w:r>
        <w:rPr>
          <w:rFonts w:hint="eastAsia" w:ascii="宋体" w:hAnsi="宋体" w:cs="宋体"/>
          <w:sz w:val="24"/>
          <w:szCs w:val="24"/>
          <w:highlight w:val="none"/>
        </w:rPr>
        <w:t>网上投标解密时间：2025年</w:t>
      </w:r>
      <w:r>
        <w:rPr>
          <w:rFonts w:hint="eastAsia" w:ascii="宋体" w:hAnsi="宋体" w:cs="宋体"/>
          <w:sz w:val="24"/>
          <w:szCs w:val="24"/>
          <w:highlight w:val="none"/>
          <w:lang w:val="en-US" w:eastAsia="zh-CN"/>
        </w:rPr>
        <w:t>6</w:t>
      </w:r>
      <w:r>
        <w:rPr>
          <w:rFonts w:hint="eastAsia" w:ascii="宋体" w:hAnsi="宋体" w:cs="宋体"/>
          <w:sz w:val="24"/>
          <w:szCs w:val="24"/>
          <w:highlight w:val="none"/>
        </w:rPr>
        <w:t>月</w:t>
      </w:r>
      <w:r>
        <w:rPr>
          <w:rFonts w:hint="eastAsia" w:ascii="宋体" w:hAnsi="宋体" w:cs="宋体"/>
          <w:sz w:val="24"/>
          <w:szCs w:val="24"/>
          <w:highlight w:val="none"/>
          <w:lang w:val="en-US" w:eastAsia="zh-CN"/>
        </w:rPr>
        <w:t>12</w:t>
      </w:r>
      <w:r>
        <w:rPr>
          <w:rFonts w:hint="eastAsia" w:ascii="宋体" w:hAnsi="宋体" w:cs="宋体"/>
          <w:sz w:val="24"/>
          <w:szCs w:val="24"/>
          <w:highlight w:val="none"/>
        </w:rPr>
        <w:t>日开启解密后半小时。</w:t>
      </w:r>
    </w:p>
    <w:p w14:paraId="1CF6D27D">
      <w:pPr>
        <w:spacing w:line="360" w:lineRule="auto"/>
        <w:ind w:firstLine="480"/>
        <w:rPr>
          <w:rFonts w:ascii="宋体"/>
          <w:bCs/>
          <w:color w:val="000000"/>
          <w:sz w:val="24"/>
          <w:szCs w:val="24"/>
          <w:highlight w:val="none"/>
        </w:rPr>
      </w:pPr>
      <w:r>
        <w:rPr>
          <w:rFonts w:hint="eastAsia" w:ascii="宋体" w:hAnsi="宋体"/>
          <w:bCs/>
          <w:color w:val="000000"/>
          <w:sz w:val="24"/>
          <w:szCs w:val="24"/>
          <w:highlight w:val="none"/>
        </w:rPr>
        <w:t>定标时间：评标结束</w:t>
      </w:r>
    </w:p>
    <w:p w14:paraId="3133DFD3">
      <w:pPr>
        <w:widowControl/>
        <w:shd w:val="clear" w:color="auto" w:fill="FFFFFF"/>
        <w:spacing w:line="360" w:lineRule="auto"/>
        <w:ind w:firstLine="480"/>
        <w:jc w:val="left"/>
        <w:rPr>
          <w:rFonts w:ascii="宋体" w:hAnsi="宋体" w:cs="宋体"/>
          <w:color w:val="000000"/>
          <w:sz w:val="24"/>
          <w:szCs w:val="24"/>
          <w:highlight w:val="none"/>
        </w:rPr>
      </w:pPr>
      <w:r>
        <w:rPr>
          <w:rFonts w:hint="eastAsia" w:ascii="宋体" w:hAnsi="宋体"/>
          <w:bCs/>
          <w:color w:val="000000"/>
          <w:sz w:val="24"/>
          <w:szCs w:val="24"/>
          <w:highlight w:val="none"/>
        </w:rPr>
        <w:t>定标地点：无锡市公共资源交易中心新吴分中心评标室</w:t>
      </w:r>
    </w:p>
    <w:p w14:paraId="0924F37F">
      <w:pPr>
        <w:spacing w:line="360" w:lineRule="auto"/>
        <w:ind w:firstLine="480"/>
        <w:outlineLvl w:val="1"/>
        <w:rPr>
          <w:rFonts w:ascii="宋体"/>
          <w:bCs/>
          <w:color w:val="000000"/>
          <w:sz w:val="24"/>
          <w:szCs w:val="24"/>
          <w:highlight w:val="none"/>
        </w:rPr>
      </w:pPr>
      <w:r>
        <w:rPr>
          <w:rFonts w:hint="eastAsia" w:ascii="黑体" w:hAnsi="黑体" w:eastAsia="黑体"/>
          <w:bCs/>
          <w:color w:val="000000"/>
          <w:sz w:val="24"/>
          <w:szCs w:val="24"/>
          <w:highlight w:val="none"/>
        </w:rPr>
        <w:t>（七）投标有效期：</w:t>
      </w:r>
      <w:r>
        <w:rPr>
          <w:rFonts w:hint="eastAsia" w:ascii="宋体" w:hAnsi="宋体"/>
          <w:bCs/>
          <w:color w:val="000000"/>
          <w:sz w:val="24"/>
          <w:szCs w:val="24"/>
          <w:highlight w:val="none"/>
        </w:rPr>
        <w:t>开标之日起</w:t>
      </w:r>
      <w:r>
        <w:rPr>
          <w:rFonts w:ascii="宋体" w:hAnsi="宋体"/>
          <w:bCs/>
          <w:color w:val="000000"/>
          <w:sz w:val="24"/>
          <w:szCs w:val="24"/>
          <w:highlight w:val="none"/>
        </w:rPr>
        <w:t>90</w:t>
      </w:r>
      <w:r>
        <w:rPr>
          <w:rFonts w:hint="eastAsia" w:ascii="宋体" w:hAnsi="宋体"/>
          <w:bCs/>
          <w:color w:val="000000"/>
          <w:sz w:val="24"/>
          <w:szCs w:val="24"/>
          <w:highlight w:val="none"/>
        </w:rPr>
        <w:t>天</w:t>
      </w:r>
    </w:p>
    <w:p w14:paraId="2E1D4BF0">
      <w:pPr>
        <w:spacing w:line="360" w:lineRule="auto"/>
        <w:ind w:firstLine="480"/>
        <w:outlineLvl w:val="1"/>
        <w:rPr>
          <w:rFonts w:ascii="黑体" w:hAnsi="黑体" w:eastAsia="黑体"/>
          <w:bCs/>
          <w:color w:val="000000"/>
          <w:sz w:val="24"/>
          <w:szCs w:val="24"/>
          <w:highlight w:val="none"/>
        </w:rPr>
      </w:pPr>
      <w:r>
        <w:rPr>
          <w:rFonts w:hint="eastAsia" w:ascii="黑体" w:hAnsi="黑体" w:eastAsia="黑体"/>
          <w:bCs/>
          <w:color w:val="000000"/>
          <w:sz w:val="24"/>
          <w:szCs w:val="24"/>
          <w:highlight w:val="none"/>
        </w:rPr>
        <w:t>（八）采购方法：</w:t>
      </w:r>
    </w:p>
    <w:p w14:paraId="4FA61DDE">
      <w:pPr>
        <w:spacing w:line="360" w:lineRule="auto"/>
        <w:ind w:firstLine="480"/>
        <w:rPr>
          <w:rFonts w:ascii="黑体" w:hAnsi="黑体" w:eastAsia="黑体"/>
          <w:bCs/>
          <w:color w:val="000000"/>
          <w:sz w:val="24"/>
          <w:szCs w:val="24"/>
          <w:highlight w:val="none"/>
        </w:rPr>
      </w:pPr>
      <w:r>
        <w:rPr>
          <w:rFonts w:hint="eastAsia" w:ascii="宋体" w:hAnsi="宋体"/>
          <w:color w:val="000000"/>
          <w:sz w:val="24"/>
          <w:szCs w:val="24"/>
          <w:highlight w:val="none"/>
        </w:rPr>
        <w:t>本次采购采用《江苏省政府采购（苏采云）平台》进行采购活动，采购文件发布、报价、评审和中标结果发布全程电子化。</w:t>
      </w:r>
    </w:p>
    <w:p w14:paraId="5653128E">
      <w:pPr>
        <w:spacing w:line="360" w:lineRule="auto"/>
        <w:ind w:firstLine="480"/>
        <w:outlineLvl w:val="1"/>
        <w:rPr>
          <w:rFonts w:ascii="黑体" w:hAnsi="黑体" w:eastAsia="黑体"/>
          <w:bCs/>
          <w:color w:val="000000"/>
          <w:sz w:val="24"/>
          <w:szCs w:val="24"/>
          <w:highlight w:val="none"/>
        </w:rPr>
      </w:pPr>
      <w:r>
        <w:rPr>
          <w:rFonts w:hint="eastAsia" w:ascii="黑体" w:hAnsi="黑体" w:eastAsia="黑体"/>
          <w:bCs/>
          <w:color w:val="000000"/>
          <w:sz w:val="24"/>
          <w:szCs w:val="24"/>
          <w:highlight w:val="none"/>
        </w:rPr>
        <w:t>（九）其他</w:t>
      </w:r>
    </w:p>
    <w:p w14:paraId="2DE54898">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1.采购人名称：无锡市新吴区人民政府江溪街道办事处</w:t>
      </w:r>
    </w:p>
    <w:p w14:paraId="26DD00ED">
      <w:pPr>
        <w:spacing w:line="360" w:lineRule="auto"/>
        <w:ind w:firstLine="720"/>
        <w:rPr>
          <w:rFonts w:ascii="宋体" w:hAnsi="宋体"/>
          <w:color w:val="000000"/>
          <w:sz w:val="24"/>
          <w:szCs w:val="24"/>
          <w:highlight w:val="none"/>
        </w:rPr>
      </w:pPr>
      <w:r>
        <w:rPr>
          <w:rFonts w:hint="eastAsia" w:ascii="宋体" w:hAnsi="宋体"/>
          <w:color w:val="000000"/>
          <w:sz w:val="24"/>
          <w:szCs w:val="24"/>
          <w:highlight w:val="none"/>
        </w:rPr>
        <w:t>联系人：周晓静</w:t>
      </w:r>
    </w:p>
    <w:p w14:paraId="765441BC">
      <w:pPr>
        <w:spacing w:line="360" w:lineRule="auto"/>
        <w:ind w:firstLine="720"/>
        <w:rPr>
          <w:rFonts w:ascii="宋体" w:hAnsi="宋体"/>
          <w:color w:val="000000"/>
          <w:sz w:val="24"/>
          <w:szCs w:val="24"/>
          <w:highlight w:val="none"/>
        </w:rPr>
      </w:pPr>
      <w:r>
        <w:rPr>
          <w:rFonts w:hint="eastAsia" w:ascii="宋体" w:hAnsi="宋体"/>
          <w:color w:val="000000"/>
          <w:sz w:val="24"/>
          <w:szCs w:val="24"/>
          <w:highlight w:val="none"/>
        </w:rPr>
        <w:t>联系方式：0510-82110033</w:t>
      </w:r>
    </w:p>
    <w:p w14:paraId="545314AA">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2.采购代理机构名称：江苏钧华项目管理有限公司</w:t>
      </w:r>
    </w:p>
    <w:p w14:paraId="251B1EAE">
      <w:pPr>
        <w:spacing w:line="360" w:lineRule="auto"/>
        <w:ind w:left="718" w:leftChars="342" w:firstLine="0" w:firstLineChars="0"/>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rPr>
        <w:t>代理机构联系人：</w:t>
      </w:r>
      <w:r>
        <w:rPr>
          <w:rFonts w:hint="eastAsia" w:ascii="宋体" w:hAnsi="宋体"/>
          <w:color w:val="000000"/>
          <w:sz w:val="24"/>
          <w:szCs w:val="24"/>
          <w:highlight w:val="none"/>
          <w:lang w:val="en-US" w:eastAsia="zh-CN"/>
        </w:rPr>
        <w:t>许财结</w:t>
      </w:r>
      <w:r>
        <w:rPr>
          <w:rFonts w:hint="eastAsia" w:ascii="宋体" w:hAnsi="宋体"/>
          <w:color w:val="000000"/>
          <w:sz w:val="24"/>
          <w:szCs w:val="24"/>
          <w:highlight w:val="none"/>
          <w:lang w:val="en-US" w:eastAsia="zh-CN"/>
        </w:rPr>
        <w:br w:type="textWrapping"/>
      </w:r>
      <w:r>
        <w:rPr>
          <w:rFonts w:hint="eastAsia" w:ascii="宋体" w:hAnsi="宋体"/>
          <w:color w:val="000000"/>
          <w:sz w:val="24"/>
          <w:szCs w:val="24"/>
          <w:highlight w:val="none"/>
        </w:rPr>
        <w:t>联系方式：</w:t>
      </w:r>
      <w:r>
        <w:rPr>
          <w:rFonts w:hint="eastAsia" w:ascii="宋体" w:hAnsi="宋体"/>
          <w:color w:val="000000"/>
          <w:sz w:val="24"/>
          <w:szCs w:val="24"/>
          <w:highlight w:val="none"/>
          <w:lang w:val="en-US" w:eastAsia="zh-CN"/>
        </w:rPr>
        <w:t>18306188281</w:t>
      </w:r>
    </w:p>
    <w:p w14:paraId="4CD194DD">
      <w:pPr>
        <w:spacing w:line="360" w:lineRule="auto"/>
        <w:ind w:firstLine="720"/>
        <w:rPr>
          <w:rFonts w:ascii="宋体" w:hAnsi="宋体"/>
          <w:color w:val="000000"/>
          <w:sz w:val="24"/>
          <w:szCs w:val="24"/>
          <w:highlight w:val="none"/>
        </w:rPr>
      </w:pPr>
      <w:r>
        <w:rPr>
          <w:rFonts w:hint="eastAsia" w:ascii="宋体" w:hAnsi="宋体"/>
          <w:color w:val="000000"/>
          <w:sz w:val="24"/>
          <w:szCs w:val="24"/>
          <w:highlight w:val="none"/>
        </w:rPr>
        <w:t>传真：0510-88331989</w:t>
      </w:r>
    </w:p>
    <w:p w14:paraId="4A149B53">
      <w:pPr>
        <w:spacing w:line="360" w:lineRule="auto"/>
        <w:ind w:firstLine="720"/>
        <w:rPr>
          <w:rFonts w:ascii="宋体" w:hAnsi="宋体"/>
          <w:color w:val="000000"/>
          <w:sz w:val="24"/>
          <w:szCs w:val="24"/>
          <w:highlight w:val="none"/>
        </w:rPr>
      </w:pPr>
      <w:r>
        <w:rPr>
          <w:rFonts w:hint="eastAsia" w:ascii="宋体" w:hAnsi="宋体"/>
          <w:color w:val="000000"/>
          <w:sz w:val="24"/>
          <w:szCs w:val="24"/>
          <w:highlight w:val="none"/>
        </w:rPr>
        <w:t>电子邮件地址：</w:t>
      </w:r>
      <w:r>
        <w:rPr>
          <w:rFonts w:hint="eastAsia" w:ascii="宋体" w:hAnsi="宋体"/>
          <w:color w:val="000000"/>
          <w:sz w:val="24"/>
          <w:szCs w:val="24"/>
          <w:highlight w:val="none"/>
          <w:lang w:val="en-US" w:eastAsia="zh-CN"/>
        </w:rPr>
        <w:t>813488612</w:t>
      </w:r>
      <w:r>
        <w:rPr>
          <w:rFonts w:hint="eastAsia" w:ascii="宋体" w:hAnsi="宋体"/>
          <w:color w:val="000000"/>
          <w:sz w:val="24"/>
          <w:szCs w:val="24"/>
          <w:highlight w:val="none"/>
        </w:rPr>
        <w:t>@qq.com</w:t>
      </w:r>
    </w:p>
    <w:p w14:paraId="12FBF9E8">
      <w:pPr>
        <w:spacing w:line="360" w:lineRule="auto"/>
        <w:ind w:firstLine="720"/>
        <w:rPr>
          <w:rFonts w:ascii="宋体" w:hAnsi="宋体"/>
          <w:color w:val="000000"/>
          <w:sz w:val="24"/>
          <w:szCs w:val="24"/>
          <w:highlight w:val="none"/>
        </w:rPr>
      </w:pPr>
    </w:p>
    <w:p w14:paraId="1D08A3EF">
      <w:pPr>
        <w:spacing w:line="490" w:lineRule="exact"/>
        <w:jc w:val="center"/>
        <w:outlineLvl w:val="0"/>
        <w:rPr>
          <w:rFonts w:ascii="黑体" w:eastAsia="黑体"/>
          <w:bCs/>
          <w:color w:val="000000"/>
          <w:sz w:val="28"/>
          <w:szCs w:val="28"/>
          <w:highlight w:val="none"/>
        </w:rPr>
      </w:pPr>
      <w:r>
        <w:rPr>
          <w:rFonts w:ascii="黑体" w:eastAsia="黑体"/>
          <w:bCs/>
          <w:color w:val="000000"/>
          <w:sz w:val="28"/>
          <w:szCs w:val="28"/>
          <w:highlight w:val="none"/>
        </w:rPr>
        <w:br w:type="page" w:clear="all"/>
      </w:r>
      <w:bookmarkStart w:id="4" w:name="_Toc16116"/>
      <w:r>
        <w:rPr>
          <w:rFonts w:hint="eastAsia" w:ascii="黑体" w:eastAsia="黑体"/>
          <w:bCs/>
          <w:color w:val="000000"/>
          <w:sz w:val="28"/>
          <w:szCs w:val="28"/>
          <w:highlight w:val="none"/>
        </w:rPr>
        <w:t>二．投标人须知</w:t>
      </w:r>
      <w:bookmarkEnd w:id="4"/>
    </w:p>
    <w:p w14:paraId="3F3E4EE9">
      <w:pPr>
        <w:spacing w:line="360" w:lineRule="auto"/>
        <w:ind w:firstLine="480"/>
        <w:outlineLvl w:val="1"/>
        <w:rPr>
          <w:rFonts w:ascii="黑体" w:hAnsi="宋体" w:eastAsia="黑体"/>
          <w:bCs/>
          <w:color w:val="000000"/>
          <w:sz w:val="24"/>
          <w:szCs w:val="24"/>
          <w:highlight w:val="none"/>
        </w:rPr>
      </w:pPr>
      <w:r>
        <w:rPr>
          <w:rFonts w:hint="eastAsia" w:ascii="黑体" w:hAnsi="宋体" w:eastAsia="黑体"/>
          <w:bCs/>
          <w:color w:val="000000"/>
          <w:sz w:val="24"/>
          <w:szCs w:val="24"/>
          <w:highlight w:val="none"/>
        </w:rPr>
        <w:t>（一）遵循原则：</w:t>
      </w:r>
    </w:p>
    <w:p w14:paraId="53BE51B5">
      <w:pPr>
        <w:spacing w:line="360" w:lineRule="auto"/>
        <w:ind w:firstLine="480"/>
        <w:rPr>
          <w:rFonts w:ascii="黑体" w:hAnsi="宋体" w:eastAsia="黑体"/>
          <w:bCs/>
          <w:color w:val="000000"/>
          <w:sz w:val="24"/>
          <w:szCs w:val="24"/>
          <w:highlight w:val="none"/>
        </w:rPr>
      </w:pPr>
      <w:r>
        <w:rPr>
          <w:rFonts w:hint="eastAsia" w:ascii="宋体" w:hAnsi="宋体"/>
          <w:bCs/>
          <w:color w:val="000000"/>
          <w:sz w:val="24"/>
          <w:szCs w:val="24"/>
          <w:highlight w:val="none"/>
        </w:rPr>
        <w:t>公开透明原则、公平竞争原则、公正原则和诚实信用原则。</w:t>
      </w:r>
    </w:p>
    <w:p w14:paraId="3532366D">
      <w:pPr>
        <w:spacing w:line="360" w:lineRule="auto"/>
        <w:ind w:firstLine="480"/>
        <w:outlineLvl w:val="1"/>
        <w:rPr>
          <w:rFonts w:ascii="黑体" w:hAnsi="宋体" w:eastAsia="黑体"/>
          <w:bCs/>
          <w:color w:val="000000"/>
          <w:sz w:val="24"/>
          <w:szCs w:val="24"/>
          <w:highlight w:val="none"/>
        </w:rPr>
      </w:pPr>
      <w:r>
        <w:rPr>
          <w:rFonts w:hint="eastAsia" w:ascii="黑体" w:hAnsi="宋体" w:eastAsia="黑体"/>
          <w:bCs/>
          <w:color w:val="000000"/>
          <w:sz w:val="24"/>
          <w:szCs w:val="24"/>
          <w:highlight w:val="none"/>
        </w:rPr>
        <w:t>（二）采购文件：</w:t>
      </w:r>
    </w:p>
    <w:p w14:paraId="2A3DB4ED">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1．采购文件包括文件目录所列全部内容，投标供应商应仔细阅读，并在投标文件中充分响应采购文件的所有要求。</w:t>
      </w:r>
    </w:p>
    <w:p w14:paraId="2F167D35">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2．投标供应商应向江苏钧华项目管理有限公司购买文件及有关资料，按采购文件要求提交全部资料并对采购文件各项内容做出实质性响应，否则投标无效。</w:t>
      </w:r>
    </w:p>
    <w:p w14:paraId="2FB1B1AF">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3．投标供应商一旦参加本项目投标，即表明承诺接受了本采购文件中所有条件和规定。</w:t>
      </w:r>
    </w:p>
    <w:p w14:paraId="5C8D86A2">
      <w:pPr>
        <w:spacing w:line="360" w:lineRule="auto"/>
        <w:ind w:firstLine="480"/>
        <w:outlineLvl w:val="2"/>
        <w:rPr>
          <w:rFonts w:ascii="宋体" w:hAnsi="宋体" w:cs="宋体"/>
          <w:bCs/>
          <w:color w:val="000000"/>
          <w:sz w:val="24"/>
          <w:highlight w:val="none"/>
        </w:rPr>
      </w:pPr>
      <w:r>
        <w:rPr>
          <w:rFonts w:hint="eastAsia" w:ascii="宋体" w:hAnsi="宋体" w:cs="宋体"/>
          <w:bCs/>
          <w:color w:val="000000"/>
          <w:sz w:val="24"/>
          <w:highlight w:val="none"/>
        </w:rPr>
        <w:t>4．采购文件一经售出、一律不退，且仅作为本次投标使用。</w:t>
      </w:r>
    </w:p>
    <w:p w14:paraId="494AEEFE">
      <w:pPr>
        <w:spacing w:line="360" w:lineRule="auto"/>
        <w:ind w:firstLine="480"/>
        <w:outlineLvl w:val="1"/>
        <w:rPr>
          <w:rFonts w:ascii="黑体" w:hAnsi="宋体" w:eastAsia="黑体"/>
          <w:bCs/>
          <w:color w:val="000000"/>
          <w:sz w:val="24"/>
          <w:szCs w:val="24"/>
          <w:highlight w:val="none"/>
        </w:rPr>
      </w:pPr>
      <w:r>
        <w:rPr>
          <w:rFonts w:hint="eastAsia" w:ascii="黑体" w:hAnsi="宋体" w:eastAsia="黑体"/>
          <w:bCs/>
          <w:color w:val="000000"/>
          <w:sz w:val="24"/>
          <w:szCs w:val="24"/>
          <w:highlight w:val="none"/>
        </w:rPr>
        <w:t>（三）采购文件的解释：</w:t>
      </w:r>
    </w:p>
    <w:p w14:paraId="3345C0E8">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1．投标供应商如有需要对采购文件要求澄清的问题，请以书面提出，并按“投标邀请函”中规定的时间将电子邮件或书面传真发送至江苏钧华项目管理有限公司，联系方式详见“投标邀请函”。</w:t>
      </w:r>
    </w:p>
    <w:p w14:paraId="7DB20B84">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2．采购人、江苏钧华项目管理有限公司将按“投标邀请函”中规定的时间对投标供应商针对采购文件书面提出的要求澄清的问题进行书面答疑。</w:t>
      </w:r>
    </w:p>
    <w:p w14:paraId="5583EA77">
      <w:pPr>
        <w:spacing w:line="360" w:lineRule="auto"/>
        <w:ind w:firstLine="480"/>
        <w:outlineLvl w:val="2"/>
        <w:rPr>
          <w:rFonts w:ascii="宋体" w:hAnsi="宋体" w:cs="宋体"/>
          <w:bCs/>
          <w:color w:val="000000"/>
          <w:sz w:val="24"/>
          <w:highlight w:val="none"/>
        </w:rPr>
      </w:pPr>
      <w:r>
        <w:rPr>
          <w:rFonts w:hint="eastAsia" w:ascii="宋体" w:hAnsi="宋体" w:cs="宋体"/>
          <w:bCs/>
          <w:color w:val="000000"/>
          <w:sz w:val="24"/>
          <w:highlight w:val="none"/>
        </w:rPr>
        <w:t>3．本文件的最终解释权归采购人。</w:t>
      </w:r>
    </w:p>
    <w:p w14:paraId="475760C6">
      <w:pPr>
        <w:tabs>
          <w:tab w:val="left" w:pos="945"/>
        </w:tabs>
        <w:spacing w:line="360" w:lineRule="auto"/>
        <w:ind w:firstLine="523"/>
        <w:outlineLvl w:val="1"/>
        <w:rPr>
          <w:rFonts w:ascii="黑体" w:hAnsi="宋体" w:eastAsia="黑体"/>
          <w:bCs/>
          <w:color w:val="000000"/>
          <w:sz w:val="24"/>
          <w:szCs w:val="24"/>
          <w:highlight w:val="none"/>
        </w:rPr>
      </w:pPr>
      <w:r>
        <w:rPr>
          <w:rFonts w:hint="eastAsia" w:ascii="黑体" w:hAnsi="宋体" w:eastAsia="黑体"/>
          <w:bCs/>
          <w:color w:val="000000"/>
          <w:sz w:val="24"/>
          <w:szCs w:val="24"/>
          <w:highlight w:val="none"/>
        </w:rPr>
        <w:t>（四）采购文件的补充或修正：</w:t>
      </w:r>
    </w:p>
    <w:p w14:paraId="0E7A5698">
      <w:pPr>
        <w:numPr>
          <w:ilvl w:val="0"/>
          <w:numId w:val="3"/>
        </w:numPr>
        <w:tabs>
          <w:tab w:val="left" w:pos="525"/>
          <w:tab w:val="left" w:pos="945"/>
        </w:tabs>
        <w:spacing w:line="360" w:lineRule="auto"/>
        <w:ind w:left="1" w:firstLine="523"/>
        <w:rPr>
          <w:rFonts w:ascii="宋体" w:hAnsi="宋体"/>
          <w:bCs/>
          <w:color w:val="000000"/>
          <w:sz w:val="24"/>
          <w:szCs w:val="24"/>
          <w:highlight w:val="none"/>
        </w:rPr>
      </w:pPr>
      <w:r>
        <w:rPr>
          <w:rFonts w:hint="eastAsia" w:ascii="宋体" w:hAnsi="宋体"/>
          <w:bCs/>
          <w:color w:val="000000"/>
          <w:sz w:val="24"/>
          <w:szCs w:val="24"/>
          <w:highlight w:val="none"/>
        </w:rPr>
        <w:t>采购人或采购代理机构可在投标截止时间十五日前对招标文件进行必要的澄清或者修改，不足15日的，将顺延提交投标文件的截止时间。</w:t>
      </w:r>
    </w:p>
    <w:p w14:paraId="6EAB2698">
      <w:pPr>
        <w:numPr>
          <w:ilvl w:val="0"/>
          <w:numId w:val="3"/>
        </w:numPr>
        <w:tabs>
          <w:tab w:val="left" w:pos="525"/>
          <w:tab w:val="left" w:pos="945"/>
        </w:tabs>
        <w:spacing w:line="360" w:lineRule="auto"/>
        <w:ind w:left="1" w:firstLine="523"/>
        <w:rPr>
          <w:rFonts w:ascii="宋体"/>
          <w:bCs/>
          <w:color w:val="000000"/>
          <w:sz w:val="24"/>
          <w:szCs w:val="24"/>
          <w:highlight w:val="none"/>
        </w:rPr>
      </w:pPr>
      <w:r>
        <w:rPr>
          <w:rFonts w:hint="eastAsia" w:ascii="宋体" w:hAnsi="宋体"/>
          <w:bCs/>
          <w:color w:val="000000"/>
          <w:sz w:val="24"/>
          <w:szCs w:val="24"/>
          <w:highlight w:val="none"/>
        </w:rPr>
        <w:t>如需对招标文件进行澄清或修正，采购人或采购代理机构将在无锡市公共资源交易中心政府采购专栏、无锡政府采购网、江苏政府采购网和中国政府采购网发布更正公告，该澄清或修正的内容为招标文件的组成部分。投标人应在投标截止时间前</w:t>
      </w:r>
      <w:r>
        <w:rPr>
          <w:rFonts w:hint="eastAsia" w:ascii="宋体" w:hAnsi="宋体"/>
          <w:color w:val="000000"/>
          <w:sz w:val="24"/>
          <w:szCs w:val="24"/>
          <w:highlight w:val="none"/>
        </w:rPr>
        <w:t>登录</w:t>
      </w:r>
      <w:r>
        <w:rPr>
          <w:rFonts w:hint="eastAsia" w:ascii="宋体" w:hAnsi="宋体"/>
          <w:bCs/>
          <w:color w:val="000000"/>
          <w:sz w:val="24"/>
          <w:szCs w:val="24"/>
          <w:highlight w:val="none"/>
        </w:rPr>
        <w:t>投标客户端</w:t>
      </w:r>
      <w:r>
        <w:rPr>
          <w:rFonts w:hint="eastAsia" w:ascii="宋体" w:hAnsi="宋体"/>
          <w:color w:val="000000"/>
          <w:sz w:val="24"/>
          <w:szCs w:val="24"/>
          <w:highlight w:val="none"/>
        </w:rPr>
        <w:t>或</w:t>
      </w:r>
      <w:r>
        <w:rPr>
          <w:rFonts w:hint="eastAsia" w:ascii="宋体" w:hAnsi="宋体"/>
          <w:bCs/>
          <w:color w:val="000000"/>
          <w:sz w:val="24"/>
          <w:szCs w:val="24"/>
          <w:highlight w:val="none"/>
        </w:rPr>
        <w:t>关注原招标公告媒体上发布的相关更正公告</w:t>
      </w:r>
      <w:r>
        <w:rPr>
          <w:rFonts w:hint="eastAsia" w:ascii="宋体" w:hAnsi="宋体"/>
          <w:color w:val="000000"/>
          <w:sz w:val="24"/>
          <w:szCs w:val="24"/>
          <w:highlight w:val="none"/>
        </w:rPr>
        <w:t>。</w:t>
      </w:r>
      <w:r>
        <w:rPr>
          <w:rFonts w:hint="eastAsia" w:ascii="宋体" w:hAnsi="宋体"/>
          <w:bCs/>
          <w:color w:val="000000"/>
          <w:sz w:val="24"/>
          <w:szCs w:val="24"/>
          <w:highlight w:val="none"/>
        </w:rPr>
        <w:t>因投标人未尽注意义务，未及时更新上传投标文件</w:t>
      </w:r>
      <w:r>
        <w:rPr>
          <w:rFonts w:hint="eastAsia" w:ascii="宋体" w:hAnsi="宋体"/>
          <w:color w:val="000000"/>
          <w:sz w:val="24"/>
          <w:szCs w:val="24"/>
          <w:highlight w:val="none"/>
        </w:rPr>
        <w:t>或</w:t>
      </w:r>
      <w:r>
        <w:rPr>
          <w:rFonts w:hint="eastAsia" w:ascii="宋体" w:hAnsi="宋体"/>
          <w:bCs/>
          <w:color w:val="000000"/>
          <w:sz w:val="24"/>
          <w:szCs w:val="24"/>
          <w:highlight w:val="none"/>
        </w:rPr>
        <w:t>全面地关注更正公告导致其提交的投标材料不符合招标文件要求，而造成的损失及风险（包括但不限于未中标）由投标人自行承担。</w:t>
      </w:r>
    </w:p>
    <w:p w14:paraId="2BF285E1">
      <w:pPr>
        <w:numPr>
          <w:ilvl w:val="0"/>
          <w:numId w:val="3"/>
        </w:numPr>
        <w:tabs>
          <w:tab w:val="left" w:pos="525"/>
          <w:tab w:val="left" w:pos="945"/>
        </w:tabs>
        <w:spacing w:line="360" w:lineRule="auto"/>
        <w:ind w:left="1" w:firstLine="523"/>
        <w:rPr>
          <w:rFonts w:ascii="宋体"/>
          <w:bCs/>
          <w:color w:val="000000"/>
          <w:sz w:val="24"/>
          <w:szCs w:val="24"/>
          <w:highlight w:val="none"/>
        </w:rPr>
      </w:pPr>
      <w:r>
        <w:rPr>
          <w:rFonts w:hint="eastAsia" w:ascii="宋体" w:hAnsi="宋体"/>
          <w:bCs/>
          <w:color w:val="000000"/>
          <w:sz w:val="24"/>
          <w:szCs w:val="24"/>
          <w:highlight w:val="none"/>
        </w:rPr>
        <w:t>投标人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highlight w:val="none"/>
        </w:rPr>
        <w:fldChar w:fldCharType="begin"/>
      </w:r>
      <w:r>
        <w:rPr>
          <w:highlight w:val="none"/>
        </w:rPr>
        <w:instrText xml:space="preserve"> HYPERLINK "http://download.ccgp.gov.cn/2018/zhiyihanfanben.zip" \t "_blank" </w:instrText>
      </w:r>
      <w:r>
        <w:rPr>
          <w:highlight w:val="none"/>
        </w:rPr>
        <w:fldChar w:fldCharType="separate"/>
      </w:r>
      <w:r>
        <w:rPr>
          <w:rFonts w:hint="eastAsia" w:ascii="宋体" w:hAnsi="宋体"/>
          <w:bCs/>
          <w:color w:val="000000"/>
          <w:sz w:val="24"/>
          <w:szCs w:val="24"/>
          <w:highlight w:val="none"/>
        </w:rPr>
        <w:t>政府采购供应商质疑函范本</w:t>
      </w:r>
      <w:r>
        <w:rPr>
          <w:rFonts w:hint="eastAsia" w:ascii="宋体" w:hAnsi="宋体"/>
          <w:bCs/>
          <w:color w:val="000000"/>
          <w:sz w:val="24"/>
          <w:szCs w:val="24"/>
          <w:highlight w:val="none"/>
        </w:rPr>
        <w:fldChar w:fldCharType="end"/>
      </w:r>
      <w:r>
        <w:rPr>
          <w:rFonts w:hint="eastAsia" w:ascii="宋体" w:hAnsi="宋体"/>
          <w:bCs/>
          <w:color w:val="000000"/>
          <w:sz w:val="24"/>
          <w:szCs w:val="24"/>
          <w:highlight w:val="none"/>
        </w:rPr>
        <w:t>》）。采购人或采购代理机构将在收到符合上述要求的书面质疑后七个工作日内，对质疑内容作出答复。投标人在法定质疑期限外送达的质疑函或法定质疑期限内送达的质疑函不符合上述要求的均为无效质疑，采购人或采购代理机构对无效质疑不予受理。</w:t>
      </w:r>
    </w:p>
    <w:p w14:paraId="428C4990">
      <w:pPr>
        <w:spacing w:line="360" w:lineRule="auto"/>
        <w:ind w:firstLine="480"/>
        <w:outlineLvl w:val="1"/>
        <w:rPr>
          <w:rFonts w:ascii="宋体"/>
          <w:bCs/>
          <w:color w:val="000000"/>
          <w:sz w:val="24"/>
          <w:szCs w:val="24"/>
          <w:highlight w:val="none"/>
        </w:rPr>
      </w:pPr>
      <w:r>
        <w:rPr>
          <w:rFonts w:hint="eastAsia" w:ascii="黑体" w:hAnsi="宋体" w:eastAsia="黑体"/>
          <w:bCs/>
          <w:color w:val="000000"/>
          <w:sz w:val="24"/>
          <w:szCs w:val="24"/>
          <w:highlight w:val="none"/>
        </w:rPr>
        <w:t>（五）投标文件的组成</w:t>
      </w:r>
      <w:r>
        <w:rPr>
          <w:rFonts w:hint="eastAsia" w:ascii="宋体" w:hAnsi="宋体"/>
          <w:bCs/>
          <w:color w:val="000000"/>
          <w:sz w:val="24"/>
          <w:szCs w:val="24"/>
          <w:highlight w:val="none"/>
        </w:rPr>
        <w:t>（</w:t>
      </w:r>
      <w:r>
        <w:rPr>
          <w:rFonts w:hint="eastAsia" w:ascii="宋体" w:hAnsi="宋体"/>
          <w:b/>
          <w:bCs/>
          <w:color w:val="000000"/>
          <w:sz w:val="24"/>
          <w:szCs w:val="24"/>
          <w:highlight w:val="none"/>
        </w:rPr>
        <w:t>相应内容上传至投标客户端</w:t>
      </w:r>
      <w:r>
        <w:rPr>
          <w:rFonts w:hint="eastAsia" w:ascii="宋体" w:hAnsi="宋体"/>
          <w:bCs/>
          <w:color w:val="000000"/>
          <w:sz w:val="24"/>
          <w:szCs w:val="24"/>
          <w:highlight w:val="none"/>
        </w:rPr>
        <w:t>）</w:t>
      </w:r>
      <w:r>
        <w:rPr>
          <w:rFonts w:hint="eastAsia" w:ascii="黑体" w:hAnsi="宋体" w:eastAsia="黑体"/>
          <w:bCs/>
          <w:color w:val="000000"/>
          <w:sz w:val="24"/>
          <w:szCs w:val="24"/>
          <w:highlight w:val="none"/>
        </w:rPr>
        <w:t>：</w:t>
      </w:r>
    </w:p>
    <w:p w14:paraId="63E8C7E0">
      <w:pPr>
        <w:spacing w:line="360" w:lineRule="auto"/>
        <w:ind w:left="480"/>
        <w:rPr>
          <w:rFonts w:ascii="宋体" w:hAnsi="宋体"/>
          <w:b/>
          <w:color w:val="000000"/>
          <w:sz w:val="24"/>
          <w:highlight w:val="none"/>
        </w:rPr>
      </w:pPr>
      <w:r>
        <w:rPr>
          <w:rFonts w:hint="eastAsia" w:ascii="宋体" w:hAnsi="宋体"/>
          <w:b/>
          <w:color w:val="000000"/>
          <w:sz w:val="24"/>
          <w:highlight w:val="none"/>
        </w:rPr>
        <w:t>1）证明文件：</w:t>
      </w:r>
    </w:p>
    <w:p w14:paraId="727D2D95">
      <w:pPr>
        <w:tabs>
          <w:tab w:val="left" w:pos="525"/>
          <w:tab w:val="left" w:pos="945"/>
        </w:tabs>
        <w:spacing w:line="360" w:lineRule="auto"/>
        <w:ind w:firstLine="480" w:firstLineChars="200"/>
        <w:outlineLvl w:val="2"/>
        <w:rPr>
          <w:rFonts w:ascii="宋体"/>
          <w:bCs/>
          <w:color w:val="000000"/>
          <w:sz w:val="24"/>
          <w:szCs w:val="24"/>
          <w:highlight w:val="none"/>
        </w:rPr>
      </w:pPr>
      <w:r>
        <w:rPr>
          <w:rFonts w:hint="eastAsia" w:ascii="宋体" w:hAnsi="宋体"/>
          <w:bCs/>
          <w:color w:val="000000"/>
          <w:sz w:val="24"/>
          <w:szCs w:val="24"/>
          <w:highlight w:val="none"/>
        </w:rPr>
        <w:t>第一部分：资格、资信证明文件</w:t>
      </w:r>
      <w:r>
        <w:rPr>
          <w:rFonts w:hint="eastAsia" w:ascii="宋体" w:hAnsi="宋体"/>
          <w:b/>
          <w:bCs/>
          <w:color w:val="000000"/>
          <w:sz w:val="24"/>
          <w:highlight w:val="none"/>
        </w:rPr>
        <w:t>（原件扫描件上传，</w:t>
      </w:r>
      <w:r>
        <w:rPr>
          <w:rFonts w:hint="eastAsia" w:hAnsi="宋体" w:cs="宋体"/>
          <w:b/>
          <w:color w:val="000000"/>
          <w:sz w:val="24"/>
          <w:highlight w:val="none"/>
        </w:rPr>
        <w:t>身份证应为正、反面</w:t>
      </w:r>
      <w:r>
        <w:rPr>
          <w:rFonts w:hint="eastAsia" w:ascii="宋体" w:hAnsi="宋体"/>
          <w:b/>
          <w:bCs/>
          <w:color w:val="000000"/>
          <w:sz w:val="24"/>
          <w:highlight w:val="none"/>
        </w:rPr>
        <w:t>）</w:t>
      </w:r>
      <w:r>
        <w:rPr>
          <w:rFonts w:hint="eastAsia" w:ascii="宋体" w:hAnsi="宋体"/>
          <w:bCs/>
          <w:color w:val="000000"/>
          <w:sz w:val="24"/>
          <w:szCs w:val="24"/>
          <w:highlight w:val="none"/>
        </w:rPr>
        <w:t>：</w:t>
      </w:r>
    </w:p>
    <w:p w14:paraId="4C9C75CB">
      <w:pPr>
        <w:tabs>
          <w:tab w:val="left" w:pos="945"/>
        </w:tabs>
        <w:spacing w:line="360" w:lineRule="auto"/>
        <w:ind w:firstLine="480"/>
        <w:rPr>
          <w:rFonts w:hint="eastAsia" w:ascii="宋体" w:hAnsi="宋体" w:cs="宋体"/>
          <w:b w:val="0"/>
          <w:bCs/>
          <w:color w:val="000000"/>
          <w:sz w:val="24"/>
          <w:highlight w:val="none"/>
        </w:rPr>
      </w:pPr>
      <w:r>
        <w:rPr>
          <w:rFonts w:hint="eastAsia" w:ascii="宋体" w:hAnsi="宋体" w:cs="宋体"/>
          <w:b w:val="0"/>
          <w:bCs/>
          <w:color w:val="000000"/>
          <w:sz w:val="24"/>
          <w:highlight w:val="none"/>
        </w:rPr>
        <w:t>（1）关于资格的声明函（格式见附件）</w:t>
      </w:r>
      <w:r>
        <w:rPr>
          <w:rFonts w:hint="eastAsia" w:ascii="宋体" w:hAnsi="宋体" w:cs="宋体"/>
          <w:b w:val="0"/>
          <w:bCs/>
          <w:color w:val="000000"/>
          <w:sz w:val="24"/>
          <w:highlight w:val="none"/>
          <w:lang w:val="en-US" w:eastAsia="zh-CN"/>
        </w:rPr>
        <w:t>原件</w:t>
      </w:r>
      <w:r>
        <w:rPr>
          <w:rFonts w:hint="eastAsia" w:ascii="宋体" w:hAnsi="宋体" w:cs="宋体"/>
          <w:b w:val="0"/>
          <w:bCs/>
          <w:color w:val="000000"/>
          <w:sz w:val="24"/>
          <w:highlight w:val="none"/>
        </w:rPr>
        <w:t>扫描件；</w:t>
      </w:r>
    </w:p>
    <w:p w14:paraId="66389D1E">
      <w:pPr>
        <w:tabs>
          <w:tab w:val="left" w:pos="945"/>
        </w:tabs>
        <w:spacing w:line="360" w:lineRule="auto"/>
        <w:ind w:firstLine="480"/>
        <w:rPr>
          <w:rFonts w:hint="eastAsia" w:ascii="宋体" w:hAnsi="宋体" w:cs="宋体"/>
          <w:b w:val="0"/>
          <w:bCs/>
          <w:color w:val="000000"/>
          <w:sz w:val="24"/>
          <w:highlight w:val="none"/>
        </w:rPr>
      </w:pPr>
      <w:r>
        <w:rPr>
          <w:rFonts w:hint="eastAsia" w:ascii="宋体" w:hAnsi="宋体" w:cs="宋体"/>
          <w:b w:val="0"/>
          <w:bCs/>
          <w:color w:val="000000"/>
          <w:sz w:val="24"/>
          <w:highlight w:val="none"/>
        </w:rPr>
        <w:t>（2）具有独立承担民事责任能力的投标人营业执照或相关部门的登记证明文件</w:t>
      </w:r>
      <w:r>
        <w:rPr>
          <w:rFonts w:hint="eastAsia" w:ascii="宋体" w:hAnsi="宋体" w:cs="宋体"/>
          <w:b w:val="0"/>
          <w:bCs/>
          <w:color w:val="000000"/>
          <w:sz w:val="24"/>
          <w:highlight w:val="none"/>
          <w:lang w:val="en-US" w:eastAsia="zh-CN"/>
        </w:rPr>
        <w:t>原件</w:t>
      </w:r>
      <w:r>
        <w:rPr>
          <w:rFonts w:hint="eastAsia" w:ascii="宋体" w:hAnsi="宋体" w:cs="宋体"/>
          <w:b w:val="0"/>
          <w:bCs/>
          <w:color w:val="000000"/>
          <w:sz w:val="24"/>
          <w:highlight w:val="none"/>
        </w:rPr>
        <w:t>扫描件；</w:t>
      </w:r>
    </w:p>
    <w:p w14:paraId="135C6486">
      <w:pPr>
        <w:tabs>
          <w:tab w:val="left" w:pos="945"/>
        </w:tabs>
        <w:spacing w:line="360" w:lineRule="auto"/>
        <w:ind w:firstLine="480"/>
        <w:rPr>
          <w:rFonts w:hint="eastAsia" w:ascii="宋体" w:hAnsi="宋体" w:cs="宋体"/>
          <w:b w:val="0"/>
          <w:bCs/>
          <w:color w:val="000000"/>
          <w:sz w:val="24"/>
          <w:highlight w:val="none"/>
        </w:rPr>
      </w:pPr>
      <w:r>
        <w:rPr>
          <w:rFonts w:hint="eastAsia" w:ascii="宋体" w:hAnsi="宋体" w:cs="宋体"/>
          <w:b w:val="0"/>
          <w:bCs/>
          <w:color w:val="000000"/>
          <w:sz w:val="24"/>
          <w:highlight w:val="none"/>
        </w:rPr>
        <w:t>（3）投标人法定代表人授权委托书（格式见附件）</w:t>
      </w:r>
      <w:r>
        <w:rPr>
          <w:rFonts w:hint="eastAsia" w:ascii="宋体" w:hAnsi="宋体" w:cs="宋体"/>
          <w:b w:val="0"/>
          <w:bCs/>
          <w:color w:val="000000"/>
          <w:sz w:val="24"/>
          <w:highlight w:val="none"/>
          <w:lang w:val="en-US" w:eastAsia="zh-CN"/>
        </w:rPr>
        <w:t>原件</w:t>
      </w:r>
      <w:r>
        <w:rPr>
          <w:rFonts w:hint="eastAsia" w:ascii="宋体" w:hAnsi="宋体" w:cs="宋体"/>
          <w:b w:val="0"/>
          <w:bCs/>
          <w:color w:val="000000"/>
          <w:sz w:val="24"/>
          <w:highlight w:val="none"/>
        </w:rPr>
        <w:t>扫描件；</w:t>
      </w:r>
    </w:p>
    <w:p w14:paraId="4BCE56E5">
      <w:pPr>
        <w:tabs>
          <w:tab w:val="left" w:pos="945"/>
        </w:tabs>
        <w:spacing w:line="360" w:lineRule="auto"/>
        <w:ind w:firstLine="480"/>
        <w:rPr>
          <w:rFonts w:hint="eastAsia" w:ascii="宋体" w:hAnsi="宋体" w:cs="宋体"/>
          <w:b w:val="0"/>
          <w:bCs/>
          <w:color w:val="000000"/>
          <w:sz w:val="24"/>
          <w:highlight w:val="none"/>
        </w:rPr>
      </w:pPr>
      <w:r>
        <w:rPr>
          <w:rFonts w:hint="eastAsia" w:ascii="宋体" w:hAnsi="宋体" w:cs="宋体"/>
          <w:b w:val="0"/>
          <w:bCs/>
          <w:color w:val="000000"/>
          <w:sz w:val="24"/>
          <w:highlight w:val="none"/>
        </w:rPr>
        <w:t>（4）投标人法定代表人身份证（正、反面）</w:t>
      </w:r>
      <w:r>
        <w:rPr>
          <w:rFonts w:hint="eastAsia" w:ascii="宋体" w:hAnsi="宋体" w:cs="宋体"/>
          <w:b w:val="0"/>
          <w:bCs/>
          <w:color w:val="000000"/>
          <w:sz w:val="24"/>
          <w:highlight w:val="none"/>
          <w:lang w:val="en-US" w:eastAsia="zh-CN"/>
        </w:rPr>
        <w:t>原件</w:t>
      </w:r>
      <w:r>
        <w:rPr>
          <w:rFonts w:hint="eastAsia" w:ascii="宋体" w:hAnsi="宋体" w:cs="宋体"/>
          <w:b w:val="0"/>
          <w:bCs/>
          <w:color w:val="000000"/>
          <w:sz w:val="24"/>
          <w:highlight w:val="none"/>
        </w:rPr>
        <w:t>扫描件；</w:t>
      </w:r>
    </w:p>
    <w:p w14:paraId="69F9307F">
      <w:pPr>
        <w:tabs>
          <w:tab w:val="left" w:pos="945"/>
        </w:tabs>
        <w:spacing w:line="360" w:lineRule="auto"/>
        <w:ind w:firstLine="480"/>
        <w:rPr>
          <w:rFonts w:hint="eastAsia" w:ascii="宋体" w:hAnsi="宋体" w:cs="宋体"/>
          <w:b w:val="0"/>
          <w:bCs/>
          <w:color w:val="000000"/>
          <w:sz w:val="24"/>
          <w:highlight w:val="none"/>
        </w:rPr>
      </w:pPr>
      <w:r>
        <w:rPr>
          <w:rFonts w:hint="eastAsia" w:ascii="宋体" w:hAnsi="宋体" w:cs="宋体"/>
          <w:b w:val="0"/>
          <w:bCs/>
          <w:color w:val="000000"/>
          <w:sz w:val="24"/>
          <w:highlight w:val="none"/>
        </w:rPr>
        <w:t>（5）投标人法定代表人授权代表身份证（正、反面）</w:t>
      </w:r>
      <w:r>
        <w:rPr>
          <w:rFonts w:hint="eastAsia" w:ascii="宋体" w:hAnsi="宋体" w:cs="宋体"/>
          <w:b w:val="0"/>
          <w:bCs/>
          <w:color w:val="000000"/>
          <w:sz w:val="24"/>
          <w:highlight w:val="none"/>
          <w:lang w:val="en-US" w:eastAsia="zh-CN"/>
        </w:rPr>
        <w:t>原件</w:t>
      </w:r>
      <w:r>
        <w:rPr>
          <w:rFonts w:hint="eastAsia" w:ascii="宋体" w:hAnsi="宋体" w:cs="宋体"/>
          <w:b w:val="0"/>
          <w:bCs/>
          <w:color w:val="000000"/>
          <w:sz w:val="24"/>
          <w:highlight w:val="none"/>
        </w:rPr>
        <w:t>扫描件；</w:t>
      </w:r>
    </w:p>
    <w:p w14:paraId="3BDD6724">
      <w:pPr>
        <w:tabs>
          <w:tab w:val="left" w:pos="945"/>
        </w:tabs>
        <w:spacing w:line="360" w:lineRule="auto"/>
        <w:ind w:firstLine="480"/>
        <w:rPr>
          <w:rFonts w:hint="eastAsia" w:ascii="宋体" w:hAnsi="宋体" w:cs="宋体"/>
          <w:b w:val="0"/>
          <w:bCs/>
          <w:color w:val="000000"/>
          <w:sz w:val="24"/>
          <w:highlight w:val="none"/>
        </w:rPr>
      </w:pPr>
      <w:r>
        <w:rPr>
          <w:rFonts w:hint="eastAsia" w:ascii="宋体" w:hAnsi="宋体" w:cs="宋体"/>
          <w:b w:val="0"/>
          <w:bCs/>
          <w:color w:val="000000"/>
          <w:sz w:val="24"/>
          <w:highlight w:val="none"/>
        </w:rPr>
        <w:t>（6）法定代表人授权代表与企业签订的劳动合同（法定代表人亲自参加的除外）</w:t>
      </w:r>
      <w:r>
        <w:rPr>
          <w:rFonts w:hint="eastAsia" w:ascii="宋体" w:hAnsi="宋体" w:cs="宋体"/>
          <w:b w:val="0"/>
          <w:bCs/>
          <w:color w:val="000000"/>
          <w:sz w:val="24"/>
          <w:highlight w:val="none"/>
          <w:lang w:val="en-US" w:eastAsia="zh-CN"/>
        </w:rPr>
        <w:t>原件</w:t>
      </w:r>
      <w:r>
        <w:rPr>
          <w:rFonts w:hint="eastAsia" w:ascii="宋体" w:hAnsi="宋体" w:cs="宋体"/>
          <w:b w:val="0"/>
          <w:bCs/>
          <w:color w:val="000000"/>
          <w:sz w:val="24"/>
          <w:highlight w:val="none"/>
        </w:rPr>
        <w:t>扫描件；</w:t>
      </w:r>
    </w:p>
    <w:p w14:paraId="78E7B00E">
      <w:pPr>
        <w:tabs>
          <w:tab w:val="left" w:pos="945"/>
        </w:tabs>
        <w:spacing w:line="360" w:lineRule="auto"/>
        <w:ind w:firstLine="480"/>
        <w:rPr>
          <w:rFonts w:hint="eastAsia" w:ascii="宋体" w:hAnsi="宋体" w:eastAsia="宋体" w:cs="宋体"/>
          <w:b w:val="0"/>
          <w:bCs/>
          <w:color w:val="000000"/>
          <w:sz w:val="24"/>
          <w:highlight w:val="none"/>
          <w:lang w:eastAsia="zh-CN"/>
        </w:rPr>
      </w:pPr>
      <w:r>
        <w:rPr>
          <w:rFonts w:hint="eastAsia" w:ascii="宋体" w:hAnsi="宋体" w:cs="宋体"/>
          <w:b w:val="0"/>
          <w:bCs/>
          <w:color w:val="000000"/>
          <w:sz w:val="24"/>
          <w:highlight w:val="none"/>
        </w:rPr>
        <w:t xml:space="preserve">  （7）投标人近一年内任意一个月（不含投标当月）的财务状况报告（资产负债表和利润表）或由会计师事务所出具的近两年（202</w:t>
      </w:r>
      <w:r>
        <w:rPr>
          <w:rFonts w:hint="eastAsia" w:ascii="宋体" w:hAnsi="宋体" w:cs="宋体"/>
          <w:b w:val="0"/>
          <w:bCs/>
          <w:color w:val="000000"/>
          <w:sz w:val="24"/>
          <w:highlight w:val="none"/>
          <w:lang w:val="en-US" w:eastAsia="zh-CN"/>
        </w:rPr>
        <w:t>3</w:t>
      </w:r>
      <w:r>
        <w:rPr>
          <w:rFonts w:hint="eastAsia" w:ascii="宋体" w:hAnsi="宋体" w:cs="宋体"/>
          <w:b w:val="0"/>
          <w:bCs/>
          <w:color w:val="000000"/>
          <w:sz w:val="24"/>
          <w:highlight w:val="none"/>
        </w:rPr>
        <w:t>年度或202</w:t>
      </w:r>
      <w:r>
        <w:rPr>
          <w:rFonts w:hint="eastAsia" w:ascii="宋体" w:hAnsi="宋体" w:cs="宋体"/>
          <w:b w:val="0"/>
          <w:bCs/>
          <w:color w:val="000000"/>
          <w:sz w:val="24"/>
          <w:highlight w:val="none"/>
          <w:lang w:val="en-US" w:eastAsia="zh-CN"/>
        </w:rPr>
        <w:t>4</w:t>
      </w:r>
      <w:r>
        <w:rPr>
          <w:rFonts w:hint="eastAsia" w:ascii="宋体" w:hAnsi="宋体" w:cs="宋体"/>
          <w:b w:val="0"/>
          <w:bCs/>
          <w:color w:val="000000"/>
          <w:sz w:val="24"/>
          <w:highlight w:val="none"/>
        </w:rPr>
        <w:t>年度）中任意一个年度的审计报告和所附已审财务报告</w:t>
      </w:r>
      <w:r>
        <w:rPr>
          <w:rFonts w:hint="eastAsia"/>
          <w:sz w:val="24"/>
        </w:rPr>
        <w:t>原件扫描件</w:t>
      </w:r>
      <w:r>
        <w:rPr>
          <w:rFonts w:hint="eastAsia"/>
          <w:sz w:val="24"/>
          <w:lang w:eastAsia="zh-CN"/>
        </w:rPr>
        <w:t>。</w:t>
      </w:r>
    </w:p>
    <w:p w14:paraId="64994F97">
      <w:pPr>
        <w:tabs>
          <w:tab w:val="left" w:pos="945"/>
        </w:tabs>
        <w:spacing w:line="360" w:lineRule="auto"/>
        <w:ind w:firstLine="480"/>
        <w:rPr>
          <w:rFonts w:hint="eastAsia" w:ascii="宋体" w:hAnsi="宋体" w:cs="宋体"/>
          <w:b w:val="0"/>
          <w:bCs/>
          <w:color w:val="000000"/>
          <w:sz w:val="24"/>
          <w:highlight w:val="none"/>
        </w:rPr>
      </w:pPr>
      <w:r>
        <w:rPr>
          <w:rFonts w:hint="eastAsia" w:ascii="宋体" w:hAnsi="宋体" w:cs="宋体"/>
          <w:b w:val="0"/>
          <w:bCs/>
          <w:color w:val="000000"/>
          <w:sz w:val="24"/>
          <w:highlight w:val="none"/>
        </w:rPr>
        <w:t>（8）投标人近一年内任意一个月（不含投标当月）的依法缴纳税收的相关材料（提供相关主管部门证明或银行代扣证明）</w:t>
      </w:r>
      <w:r>
        <w:rPr>
          <w:rFonts w:hint="eastAsia" w:ascii="宋体" w:hAnsi="宋体" w:cs="宋体"/>
          <w:b w:val="0"/>
          <w:bCs/>
          <w:color w:val="000000"/>
          <w:sz w:val="24"/>
          <w:highlight w:val="none"/>
          <w:lang w:val="en-US" w:eastAsia="zh-CN"/>
        </w:rPr>
        <w:t>原件</w:t>
      </w:r>
      <w:r>
        <w:rPr>
          <w:rFonts w:hint="eastAsia" w:ascii="宋体" w:hAnsi="宋体" w:cs="宋体"/>
          <w:b w:val="0"/>
          <w:bCs/>
          <w:color w:val="000000"/>
          <w:sz w:val="24"/>
          <w:highlight w:val="none"/>
        </w:rPr>
        <w:t>扫描件；</w:t>
      </w:r>
    </w:p>
    <w:p w14:paraId="15CF4658">
      <w:pPr>
        <w:tabs>
          <w:tab w:val="left" w:pos="945"/>
        </w:tabs>
        <w:spacing w:line="360" w:lineRule="auto"/>
        <w:ind w:firstLine="480"/>
        <w:rPr>
          <w:rFonts w:hint="eastAsia" w:ascii="宋体" w:hAnsi="宋体" w:cs="宋体"/>
          <w:b w:val="0"/>
          <w:bCs/>
          <w:color w:val="000000"/>
          <w:sz w:val="24"/>
          <w:highlight w:val="none"/>
        </w:rPr>
      </w:pPr>
      <w:r>
        <w:rPr>
          <w:rFonts w:hint="eastAsia" w:ascii="宋体" w:hAnsi="宋体" w:cs="宋体"/>
          <w:b w:val="0"/>
          <w:bCs/>
          <w:color w:val="000000"/>
          <w:sz w:val="24"/>
          <w:highlight w:val="none"/>
        </w:rPr>
        <w:t>（9）</w:t>
      </w:r>
      <w:r>
        <w:rPr>
          <w:rFonts w:hint="eastAsia" w:ascii="宋体" w:hAnsi="宋体" w:eastAsia="宋体" w:cs="宋体"/>
          <w:bCs/>
          <w:color w:val="auto"/>
          <w:sz w:val="24"/>
          <w:szCs w:val="24"/>
          <w:highlight w:val="none"/>
        </w:rPr>
        <w:t>投标人</w:t>
      </w:r>
      <w:r>
        <w:rPr>
          <w:rFonts w:hint="eastAsia" w:ascii="宋体" w:hAnsi="宋体" w:eastAsia="宋体" w:cs="宋体"/>
          <w:bCs/>
          <w:color w:val="auto"/>
          <w:sz w:val="24"/>
          <w:szCs w:val="24"/>
          <w:highlight w:val="none"/>
          <w:lang w:eastAsia="zh-CN"/>
        </w:rPr>
        <w:t>近一年</w:t>
      </w:r>
      <w:r>
        <w:rPr>
          <w:rFonts w:hint="eastAsia" w:ascii="宋体" w:hAnsi="宋体" w:eastAsia="宋体" w:cs="宋体"/>
          <w:bCs/>
          <w:color w:val="auto"/>
          <w:sz w:val="24"/>
          <w:highlight w:val="none"/>
          <w:lang w:val="en-US" w:eastAsia="zh-CN"/>
        </w:rPr>
        <w:t>内</w:t>
      </w:r>
      <w:r>
        <w:rPr>
          <w:rFonts w:hint="eastAsia" w:ascii="宋体" w:hAnsi="宋体" w:eastAsia="宋体" w:cs="宋体"/>
          <w:bCs/>
          <w:color w:val="auto"/>
          <w:sz w:val="24"/>
          <w:szCs w:val="24"/>
          <w:highlight w:val="none"/>
          <w:lang w:eastAsia="zh-CN"/>
        </w:rPr>
        <w:t>任意一个月（不含投标当月）</w:t>
      </w:r>
      <w:r>
        <w:rPr>
          <w:rFonts w:hint="eastAsia" w:ascii="宋体" w:hAnsi="宋体" w:eastAsia="宋体" w:cs="宋体"/>
          <w:bCs/>
          <w:color w:val="auto"/>
          <w:sz w:val="24"/>
          <w:szCs w:val="24"/>
          <w:highlight w:val="none"/>
        </w:rPr>
        <w:t>的依法缴纳社会保障资金的相关材料（提供相关主管部门证明或银行代扣证明）</w:t>
      </w:r>
      <w:r>
        <w:rPr>
          <w:rFonts w:hint="eastAsia" w:ascii="宋体" w:hAnsi="宋体" w:cs="宋体"/>
          <w:b w:val="0"/>
          <w:bCs/>
          <w:color w:val="000000"/>
          <w:sz w:val="24"/>
          <w:highlight w:val="none"/>
          <w:lang w:val="en-US" w:eastAsia="zh-CN"/>
        </w:rPr>
        <w:t>原件</w:t>
      </w:r>
      <w:r>
        <w:rPr>
          <w:rFonts w:hint="eastAsia" w:ascii="宋体" w:hAnsi="宋体" w:cs="宋体"/>
          <w:b w:val="0"/>
          <w:bCs/>
          <w:color w:val="000000"/>
          <w:sz w:val="24"/>
          <w:highlight w:val="none"/>
        </w:rPr>
        <w:t>扫描件；</w:t>
      </w:r>
    </w:p>
    <w:p w14:paraId="6234DCBD">
      <w:pPr>
        <w:tabs>
          <w:tab w:val="left" w:pos="945"/>
        </w:tabs>
        <w:spacing w:line="360" w:lineRule="auto"/>
        <w:ind w:firstLine="480"/>
        <w:rPr>
          <w:rFonts w:hint="eastAsia" w:ascii="宋体" w:hAnsi="宋体" w:cs="宋体"/>
          <w:b w:val="0"/>
          <w:bCs/>
          <w:color w:val="000000"/>
          <w:sz w:val="24"/>
          <w:highlight w:val="none"/>
        </w:rPr>
      </w:pPr>
      <w:r>
        <w:rPr>
          <w:rFonts w:hint="eastAsia" w:ascii="宋体" w:hAnsi="宋体" w:cs="宋体"/>
          <w:b w:val="0"/>
          <w:bCs/>
          <w:color w:val="000000"/>
          <w:sz w:val="24"/>
          <w:highlight w:val="none"/>
        </w:rPr>
        <w:t>（10）中小企业声明函（格式见附件）或省级以上监狱管理局、戒毒管理局（含新疆生产建设兵团）出具的属于监狱企业的证明文件或残疾人福利性单位声明函（格式见附件）</w:t>
      </w:r>
      <w:r>
        <w:rPr>
          <w:rFonts w:hint="eastAsia" w:ascii="宋体" w:hAnsi="宋体" w:cs="宋体"/>
          <w:b w:val="0"/>
          <w:bCs/>
          <w:color w:val="000000"/>
          <w:sz w:val="24"/>
          <w:highlight w:val="none"/>
          <w:lang w:val="en-US" w:eastAsia="zh-CN"/>
        </w:rPr>
        <w:t>原件</w:t>
      </w:r>
      <w:r>
        <w:rPr>
          <w:rFonts w:hint="eastAsia" w:ascii="宋体" w:hAnsi="宋体" w:cs="宋体"/>
          <w:b w:val="0"/>
          <w:bCs/>
          <w:color w:val="000000"/>
          <w:sz w:val="24"/>
          <w:highlight w:val="none"/>
        </w:rPr>
        <w:t>扫描件；</w:t>
      </w:r>
    </w:p>
    <w:p w14:paraId="0E7ABC54">
      <w:pPr>
        <w:tabs>
          <w:tab w:val="left" w:pos="945"/>
        </w:tabs>
        <w:spacing w:line="360" w:lineRule="auto"/>
        <w:ind w:firstLine="480"/>
        <w:rPr>
          <w:rFonts w:hint="eastAsia" w:ascii="宋体" w:hAnsi="宋体" w:cs="宋体"/>
          <w:b w:val="0"/>
          <w:bCs/>
          <w:color w:val="000000"/>
          <w:sz w:val="24"/>
          <w:highlight w:val="none"/>
        </w:rPr>
      </w:pPr>
      <w:r>
        <w:rPr>
          <w:rFonts w:hint="eastAsia" w:ascii="宋体" w:hAnsi="宋体" w:cs="宋体"/>
          <w:b w:val="0"/>
          <w:bCs/>
          <w:color w:val="000000"/>
          <w:sz w:val="24"/>
          <w:highlight w:val="none"/>
        </w:rPr>
        <w:t>（11）承诺书（格式见附件）</w:t>
      </w:r>
      <w:r>
        <w:rPr>
          <w:rFonts w:hint="eastAsia" w:ascii="宋体" w:hAnsi="宋体" w:cs="宋体"/>
          <w:b w:val="0"/>
          <w:bCs/>
          <w:color w:val="000000"/>
          <w:sz w:val="24"/>
          <w:highlight w:val="none"/>
          <w:lang w:val="en-US" w:eastAsia="zh-CN"/>
        </w:rPr>
        <w:t>原件</w:t>
      </w:r>
      <w:r>
        <w:rPr>
          <w:rFonts w:hint="eastAsia" w:ascii="宋体" w:hAnsi="宋体" w:cs="宋体"/>
          <w:b w:val="0"/>
          <w:bCs/>
          <w:color w:val="000000"/>
          <w:sz w:val="24"/>
          <w:highlight w:val="none"/>
        </w:rPr>
        <w:t>扫描件；</w:t>
      </w:r>
    </w:p>
    <w:p w14:paraId="2BCD99CF">
      <w:pPr>
        <w:tabs>
          <w:tab w:val="left" w:pos="945"/>
        </w:tabs>
        <w:spacing w:line="360" w:lineRule="auto"/>
        <w:ind w:firstLine="480"/>
        <w:rPr>
          <w:rFonts w:hint="eastAsia" w:ascii="宋体" w:hAnsi="宋体" w:cs="宋体"/>
          <w:b w:val="0"/>
          <w:bCs/>
          <w:color w:val="000000"/>
          <w:sz w:val="24"/>
          <w:highlight w:val="none"/>
        </w:rPr>
      </w:pPr>
      <w:r>
        <w:rPr>
          <w:rFonts w:hint="eastAsia" w:ascii="宋体" w:hAnsi="宋体" w:cs="宋体"/>
          <w:b w:val="0"/>
          <w:bCs/>
          <w:color w:val="000000"/>
          <w:sz w:val="24"/>
          <w:highlight w:val="none"/>
        </w:rPr>
        <w:t>（12）采购人要求的特定资质证明（详见“投标邀请函”-“投标人资格要求”之4中要求）</w:t>
      </w:r>
      <w:r>
        <w:rPr>
          <w:rFonts w:hint="eastAsia" w:ascii="宋体" w:hAnsi="宋体" w:cs="宋体"/>
          <w:b w:val="0"/>
          <w:bCs/>
          <w:color w:val="000000"/>
          <w:sz w:val="24"/>
          <w:highlight w:val="none"/>
          <w:lang w:val="en-US" w:eastAsia="zh-CN"/>
        </w:rPr>
        <w:t>并提供原件</w:t>
      </w:r>
      <w:r>
        <w:rPr>
          <w:rFonts w:hint="eastAsia" w:ascii="宋体" w:hAnsi="宋体" w:cs="宋体"/>
          <w:b w:val="0"/>
          <w:bCs/>
          <w:color w:val="000000"/>
          <w:sz w:val="24"/>
          <w:highlight w:val="none"/>
        </w:rPr>
        <w:t>扫描件。</w:t>
      </w:r>
    </w:p>
    <w:p w14:paraId="47710F5E">
      <w:pPr>
        <w:tabs>
          <w:tab w:val="left" w:pos="945"/>
        </w:tabs>
        <w:spacing w:line="360" w:lineRule="auto"/>
        <w:ind w:firstLine="480"/>
        <w:rPr>
          <w:rFonts w:ascii="宋体" w:hAnsi="宋体" w:cs="宋体"/>
          <w:b/>
          <w:color w:val="000000"/>
          <w:sz w:val="24"/>
          <w:highlight w:val="none"/>
        </w:rPr>
      </w:pPr>
      <w:r>
        <w:rPr>
          <w:rFonts w:hint="eastAsia" w:ascii="宋体" w:hAnsi="宋体" w:cs="宋体"/>
          <w:b/>
          <w:color w:val="000000"/>
          <w:sz w:val="24"/>
          <w:highlight w:val="none"/>
        </w:rPr>
        <w:t>上述资格文件中的资格、资信文件必须按要求全部提供，否则响应文件无效。如上述资格证明文件遇年检、换证，则必须提供法定年检、换证单位出具的有效证明复印件。供应商法定代表人或法定代表人授权代表为外籍、港、澳、台地区人士的，其身份证明须提供有效的护照或港澳同胞来往内地通行证、台湾同胞来往大陆通行证，或其他可在中国大陆有效居留的许可证明。</w:t>
      </w:r>
    </w:p>
    <w:p w14:paraId="2BC67DBF">
      <w:pPr>
        <w:widowControl/>
        <w:tabs>
          <w:tab w:val="left" w:pos="0"/>
        </w:tabs>
        <w:spacing w:line="360" w:lineRule="auto"/>
        <w:ind w:firstLine="424"/>
        <w:jc w:val="left"/>
        <w:rPr>
          <w:rFonts w:ascii="宋体" w:hAnsi="宋体"/>
          <w:color w:val="000000"/>
          <w:sz w:val="24"/>
          <w:szCs w:val="21"/>
          <w:highlight w:val="none"/>
        </w:rPr>
      </w:pPr>
      <w:r>
        <w:rPr>
          <w:rFonts w:hint="eastAsia" w:ascii="宋体" w:hAnsi="宋体"/>
          <w:color w:val="000000"/>
          <w:sz w:val="24"/>
          <w:szCs w:val="21"/>
          <w:highlight w:val="none"/>
        </w:rPr>
        <w:t>第二部分：补充性文件：</w:t>
      </w:r>
    </w:p>
    <w:p w14:paraId="5A9CAABF">
      <w:pPr>
        <w:widowControl/>
        <w:tabs>
          <w:tab w:val="left" w:pos="0"/>
        </w:tabs>
        <w:spacing w:line="360" w:lineRule="auto"/>
        <w:ind w:firstLine="424"/>
        <w:jc w:val="left"/>
        <w:rPr>
          <w:rFonts w:ascii="宋体" w:hAnsi="宋体"/>
          <w:color w:val="000000"/>
          <w:sz w:val="24"/>
          <w:szCs w:val="21"/>
          <w:highlight w:val="none"/>
        </w:rPr>
      </w:pPr>
      <w:r>
        <w:rPr>
          <w:rFonts w:hint="eastAsia" w:ascii="宋体" w:hAnsi="宋体"/>
          <w:color w:val="000000"/>
          <w:sz w:val="24"/>
          <w:szCs w:val="21"/>
          <w:highlight w:val="none"/>
        </w:rPr>
        <w:t>1.投标供应商简介和经营情况说明；</w:t>
      </w:r>
    </w:p>
    <w:p w14:paraId="36F0EC0C">
      <w:pPr>
        <w:spacing w:line="360" w:lineRule="auto"/>
        <w:ind w:left="480"/>
        <w:rPr>
          <w:rFonts w:ascii="宋体" w:hAnsi="宋体"/>
          <w:b/>
          <w:color w:val="000000"/>
          <w:sz w:val="24"/>
          <w:highlight w:val="none"/>
        </w:rPr>
      </w:pPr>
      <w:r>
        <w:rPr>
          <w:rFonts w:hint="eastAsia" w:ascii="宋体" w:hAnsi="宋体"/>
          <w:b/>
          <w:color w:val="000000"/>
          <w:sz w:val="24"/>
          <w:highlight w:val="none"/>
        </w:rPr>
        <w:t>2）响应函部分（格式见附件）：</w:t>
      </w:r>
    </w:p>
    <w:p w14:paraId="66AF2DCF">
      <w:pPr>
        <w:widowControl/>
        <w:spacing w:line="360" w:lineRule="auto"/>
        <w:ind w:firstLine="480"/>
        <w:jc w:val="left"/>
        <w:rPr>
          <w:rFonts w:ascii="宋体" w:hAnsi="宋体" w:cs="宋体"/>
          <w:color w:val="000000"/>
          <w:sz w:val="24"/>
          <w:szCs w:val="21"/>
          <w:highlight w:val="none"/>
        </w:rPr>
      </w:pPr>
      <w:r>
        <w:rPr>
          <w:rFonts w:hint="eastAsia" w:ascii="宋体" w:hAnsi="宋体" w:cs="宋体"/>
          <w:color w:val="000000"/>
          <w:sz w:val="24"/>
          <w:szCs w:val="21"/>
          <w:highlight w:val="none"/>
        </w:rPr>
        <w:t>（1）投标函（格式见附件）</w:t>
      </w:r>
    </w:p>
    <w:p w14:paraId="582B98FA">
      <w:pPr>
        <w:widowControl/>
        <w:spacing w:line="360" w:lineRule="auto"/>
        <w:ind w:firstLine="480"/>
        <w:jc w:val="left"/>
        <w:rPr>
          <w:rFonts w:ascii="宋体" w:hAnsi="宋体" w:cs="宋体"/>
          <w:color w:val="000000"/>
          <w:sz w:val="24"/>
          <w:szCs w:val="21"/>
          <w:highlight w:val="none"/>
        </w:rPr>
      </w:pPr>
      <w:r>
        <w:rPr>
          <w:rFonts w:hint="eastAsia" w:ascii="宋体" w:hAnsi="宋体" w:cs="宋体"/>
          <w:color w:val="000000"/>
          <w:sz w:val="24"/>
          <w:szCs w:val="21"/>
          <w:highlight w:val="none"/>
        </w:rPr>
        <w:t>（2）开标一览表（格式见附件）</w:t>
      </w:r>
    </w:p>
    <w:p w14:paraId="4E361D85">
      <w:pPr>
        <w:widowControl/>
        <w:spacing w:line="360" w:lineRule="auto"/>
        <w:ind w:firstLine="480"/>
        <w:jc w:val="left"/>
        <w:rPr>
          <w:rFonts w:ascii="宋体" w:hAnsi="宋体" w:cs="宋体"/>
          <w:color w:val="000000"/>
          <w:sz w:val="24"/>
          <w:szCs w:val="21"/>
          <w:highlight w:val="none"/>
        </w:rPr>
      </w:pPr>
      <w:r>
        <w:rPr>
          <w:rFonts w:hint="eastAsia" w:ascii="宋体" w:hAnsi="宋体" w:cs="宋体"/>
          <w:color w:val="000000"/>
          <w:sz w:val="24"/>
          <w:szCs w:val="21"/>
          <w:highlight w:val="none"/>
        </w:rPr>
        <w:t>（3）报价明细表（</w:t>
      </w:r>
      <w:r>
        <w:rPr>
          <w:rFonts w:hint="eastAsia" w:ascii="宋体" w:hAnsi="宋体" w:cs="宋体"/>
          <w:color w:val="000000"/>
          <w:sz w:val="24"/>
          <w:szCs w:val="21"/>
          <w:highlight w:val="none"/>
          <w:lang w:val="en-US" w:eastAsia="zh-CN"/>
        </w:rPr>
        <w:t>如有</w:t>
      </w:r>
      <w:r>
        <w:rPr>
          <w:rFonts w:hint="eastAsia" w:ascii="宋体" w:hAnsi="宋体" w:cs="宋体"/>
          <w:color w:val="000000"/>
          <w:sz w:val="24"/>
          <w:szCs w:val="21"/>
          <w:highlight w:val="none"/>
        </w:rPr>
        <w:t>）</w:t>
      </w:r>
    </w:p>
    <w:p w14:paraId="2E5F3215">
      <w:pPr>
        <w:spacing w:line="360" w:lineRule="auto"/>
        <w:ind w:left="480"/>
        <w:rPr>
          <w:rFonts w:ascii="宋体" w:hAnsi="宋体"/>
          <w:b/>
          <w:color w:val="000000"/>
          <w:sz w:val="24"/>
          <w:highlight w:val="none"/>
        </w:rPr>
      </w:pPr>
      <w:r>
        <w:rPr>
          <w:rFonts w:hint="eastAsia" w:ascii="宋体" w:hAnsi="宋体"/>
          <w:b/>
          <w:color w:val="000000"/>
          <w:sz w:val="24"/>
          <w:highlight w:val="none"/>
        </w:rPr>
        <w:t>3）人员配置表（格式见附件）</w:t>
      </w:r>
    </w:p>
    <w:p w14:paraId="3045EF2D">
      <w:pPr>
        <w:spacing w:line="360" w:lineRule="auto"/>
        <w:ind w:left="480"/>
        <w:rPr>
          <w:rFonts w:ascii="宋体" w:hAnsi="宋体" w:cs="宋体"/>
          <w:b/>
          <w:bCs/>
          <w:color w:val="000000"/>
          <w:sz w:val="24"/>
          <w:szCs w:val="24"/>
          <w:highlight w:val="none"/>
        </w:rPr>
      </w:pPr>
      <w:r>
        <w:rPr>
          <w:rFonts w:hint="eastAsia" w:ascii="宋体" w:hAnsi="宋体"/>
          <w:b/>
          <w:color w:val="000000"/>
          <w:sz w:val="24"/>
          <w:highlight w:val="none"/>
        </w:rPr>
        <w:t>4）投标</w:t>
      </w:r>
      <w:r>
        <w:rPr>
          <w:rFonts w:hint="eastAsia" w:ascii="宋体" w:hAnsi="宋体" w:cs="宋体"/>
          <w:b/>
          <w:bCs/>
          <w:color w:val="000000"/>
          <w:sz w:val="24"/>
          <w:szCs w:val="24"/>
          <w:highlight w:val="none"/>
        </w:rPr>
        <w:t>偏离表（格式见附件）</w:t>
      </w:r>
    </w:p>
    <w:p w14:paraId="76F0934C">
      <w:pPr>
        <w:spacing w:line="360" w:lineRule="auto"/>
        <w:ind w:left="480"/>
        <w:rPr>
          <w:rFonts w:ascii="宋体" w:hAnsi="宋体"/>
          <w:b/>
          <w:color w:val="000000"/>
          <w:sz w:val="24"/>
          <w:highlight w:val="none"/>
        </w:rPr>
      </w:pPr>
      <w:r>
        <w:rPr>
          <w:rFonts w:hint="eastAsia" w:ascii="宋体" w:hAnsi="宋体" w:cs="宋体"/>
          <w:b/>
          <w:bCs/>
          <w:color w:val="000000"/>
          <w:sz w:val="24"/>
          <w:szCs w:val="24"/>
          <w:highlight w:val="none"/>
        </w:rPr>
        <w:t>5）其他及补充性文件(投标人认为有必要提供的声明和文件及评分标准中对应的所需证明材料，如有自拟并自行添加至投标文件中)</w:t>
      </w:r>
    </w:p>
    <w:p w14:paraId="7C76BCC5">
      <w:pPr>
        <w:spacing w:line="360" w:lineRule="auto"/>
        <w:ind w:left="480"/>
        <w:rPr>
          <w:rFonts w:ascii="宋体" w:hAnsi="宋体"/>
          <w:b/>
          <w:color w:val="000000"/>
          <w:sz w:val="24"/>
          <w:highlight w:val="none"/>
        </w:rPr>
      </w:pPr>
      <w:r>
        <w:rPr>
          <w:rFonts w:hint="eastAsia" w:ascii="宋体" w:hAnsi="宋体"/>
          <w:b/>
          <w:color w:val="000000"/>
          <w:sz w:val="24"/>
          <w:highlight w:val="none"/>
        </w:rPr>
        <w:t>6）技术文件：</w:t>
      </w:r>
      <w:r>
        <w:rPr>
          <w:rFonts w:hint="eastAsia" w:ascii="宋体" w:hAnsi="宋体"/>
          <w:bCs/>
          <w:color w:val="000000"/>
          <w:sz w:val="24"/>
          <w:szCs w:val="24"/>
          <w:highlight w:val="none"/>
        </w:rPr>
        <w:t>（</w:t>
      </w:r>
      <w:r>
        <w:rPr>
          <w:rFonts w:hint="eastAsia" w:ascii="宋体" w:hAnsi="宋体"/>
          <w:b/>
          <w:color w:val="000000"/>
          <w:sz w:val="24"/>
          <w:szCs w:val="24"/>
          <w:highlight w:val="none"/>
        </w:rPr>
        <w:t>根据评分标准内容，格式自拟</w:t>
      </w:r>
      <w:r>
        <w:rPr>
          <w:rFonts w:hint="eastAsia" w:ascii="宋体" w:hAnsi="宋体"/>
          <w:bCs/>
          <w:color w:val="000000"/>
          <w:sz w:val="24"/>
          <w:szCs w:val="24"/>
          <w:highlight w:val="none"/>
        </w:rPr>
        <w:t>）</w:t>
      </w:r>
    </w:p>
    <w:p w14:paraId="4E5FBB49">
      <w:pPr>
        <w:spacing w:line="360" w:lineRule="auto"/>
        <w:ind w:firstLine="480"/>
        <w:outlineLvl w:val="1"/>
        <w:rPr>
          <w:rFonts w:ascii="黑体" w:hAnsi="宋体" w:eastAsia="黑体"/>
          <w:bCs/>
          <w:color w:val="000000"/>
          <w:sz w:val="24"/>
          <w:szCs w:val="24"/>
          <w:highlight w:val="none"/>
        </w:rPr>
      </w:pPr>
      <w:r>
        <w:rPr>
          <w:rFonts w:hint="eastAsia" w:ascii="黑体" w:hAnsi="宋体" w:eastAsia="黑体"/>
          <w:bCs/>
          <w:color w:val="000000"/>
          <w:sz w:val="24"/>
          <w:szCs w:val="24"/>
          <w:highlight w:val="none"/>
        </w:rPr>
        <w:t>（六）投标文件的制作：</w:t>
      </w:r>
    </w:p>
    <w:p w14:paraId="73607AE2">
      <w:pPr>
        <w:spacing w:line="360" w:lineRule="auto"/>
        <w:ind w:firstLine="480"/>
        <w:jc w:val="left"/>
        <w:rPr>
          <w:rFonts w:ascii="宋体" w:hAnsi="宋体"/>
          <w:color w:val="000000"/>
          <w:sz w:val="24"/>
          <w:szCs w:val="21"/>
          <w:highlight w:val="none"/>
        </w:rPr>
      </w:pPr>
      <w:r>
        <w:rPr>
          <w:rFonts w:ascii="宋体" w:hAnsi="宋体"/>
          <w:color w:val="000000"/>
          <w:sz w:val="24"/>
          <w:szCs w:val="21"/>
          <w:highlight w:val="none"/>
        </w:rPr>
        <w:t>1.</w:t>
      </w:r>
      <w:r>
        <w:rPr>
          <w:rFonts w:hint="eastAsia" w:ascii="宋体" w:hAnsi="宋体"/>
          <w:color w:val="000000"/>
          <w:sz w:val="24"/>
          <w:szCs w:val="21"/>
          <w:highlight w:val="none"/>
        </w:rPr>
        <w:t>所有文件、往来函件均应使用简体中文（规格、型号辅助符号除外）。</w:t>
      </w:r>
    </w:p>
    <w:p w14:paraId="04017459">
      <w:pPr>
        <w:spacing w:line="360" w:lineRule="auto"/>
        <w:ind w:firstLine="480"/>
        <w:jc w:val="left"/>
        <w:rPr>
          <w:rFonts w:ascii="宋体" w:hAnsi="宋体"/>
          <w:color w:val="000000"/>
          <w:sz w:val="24"/>
          <w:szCs w:val="21"/>
          <w:highlight w:val="none"/>
        </w:rPr>
      </w:pPr>
      <w:r>
        <w:rPr>
          <w:rFonts w:ascii="宋体" w:hAnsi="宋体"/>
          <w:color w:val="000000"/>
          <w:sz w:val="24"/>
          <w:szCs w:val="21"/>
          <w:highlight w:val="none"/>
        </w:rPr>
        <w:t>2.</w:t>
      </w:r>
      <w:r>
        <w:rPr>
          <w:rFonts w:hint="eastAsia" w:ascii="宋体" w:hAnsi="宋体"/>
          <w:color w:val="000000"/>
          <w:sz w:val="24"/>
          <w:szCs w:val="21"/>
          <w:highlight w:val="none"/>
        </w:rPr>
        <w:t>投标文件由投标供应商按给定格式如实填写（编写），须有法人（盖章）、法定代表人或法定代表人授权代表签字或盖章，方为有效，未尽事宜可自行补充。</w:t>
      </w:r>
    </w:p>
    <w:p w14:paraId="2CF606A7">
      <w:pPr>
        <w:spacing w:line="360" w:lineRule="auto"/>
        <w:ind w:firstLine="480"/>
        <w:jc w:val="left"/>
        <w:rPr>
          <w:rFonts w:ascii="宋体" w:hAnsi="宋体"/>
          <w:color w:val="000000"/>
          <w:sz w:val="24"/>
          <w:szCs w:val="21"/>
          <w:highlight w:val="none"/>
        </w:rPr>
      </w:pPr>
      <w:r>
        <w:rPr>
          <w:rFonts w:ascii="宋体" w:hAnsi="宋体"/>
          <w:color w:val="000000"/>
          <w:sz w:val="24"/>
          <w:szCs w:val="21"/>
          <w:highlight w:val="none"/>
        </w:rPr>
        <w:t>3.</w:t>
      </w:r>
      <w:r>
        <w:rPr>
          <w:rFonts w:hint="eastAsia" w:ascii="宋体" w:hAnsi="宋体"/>
          <w:color w:val="000000"/>
          <w:sz w:val="24"/>
          <w:szCs w:val="21"/>
          <w:highlight w:val="none"/>
        </w:rPr>
        <w:t>投标供应商报价一律以人民币为报价结算货币，结算单位为“元”。</w:t>
      </w:r>
    </w:p>
    <w:p w14:paraId="11376441">
      <w:pPr>
        <w:spacing w:line="360" w:lineRule="auto"/>
        <w:ind w:firstLine="480"/>
        <w:rPr>
          <w:rFonts w:ascii="宋体" w:hAnsi="宋体"/>
          <w:color w:val="000000"/>
          <w:sz w:val="24"/>
          <w:szCs w:val="21"/>
          <w:highlight w:val="none"/>
        </w:rPr>
      </w:pPr>
      <w:r>
        <w:rPr>
          <w:rFonts w:hint="eastAsia" w:ascii="宋体" w:hAnsi="宋体"/>
          <w:color w:val="000000"/>
          <w:sz w:val="24"/>
          <w:szCs w:val="21"/>
          <w:highlight w:val="none"/>
        </w:rPr>
        <w:t>4</w:t>
      </w:r>
      <w:r>
        <w:rPr>
          <w:rFonts w:ascii="宋体" w:hAnsi="宋体"/>
          <w:color w:val="000000"/>
          <w:sz w:val="24"/>
          <w:szCs w:val="21"/>
          <w:highlight w:val="none"/>
        </w:rPr>
        <w:t>.</w:t>
      </w:r>
      <w:r>
        <w:rPr>
          <w:rFonts w:hint="eastAsia" w:ascii="宋体" w:hAnsi="宋体"/>
          <w:color w:val="000000"/>
          <w:sz w:val="24"/>
          <w:szCs w:val="21"/>
          <w:highlight w:val="none"/>
        </w:rPr>
        <w:t>投标文件格式部分，应由投标供应商按给定格式提供，不得更改。</w:t>
      </w:r>
    </w:p>
    <w:p w14:paraId="161217BE">
      <w:pPr>
        <w:spacing w:line="360" w:lineRule="auto"/>
        <w:ind w:firstLine="480"/>
        <w:rPr>
          <w:rFonts w:ascii="宋体" w:hAnsi="宋体"/>
          <w:color w:val="000000"/>
          <w:sz w:val="24"/>
          <w:szCs w:val="21"/>
          <w:highlight w:val="none"/>
        </w:rPr>
      </w:pPr>
      <w:r>
        <w:rPr>
          <w:rFonts w:hint="eastAsia" w:ascii="宋体" w:hAnsi="宋体"/>
          <w:color w:val="000000"/>
          <w:sz w:val="24"/>
          <w:szCs w:val="21"/>
          <w:highlight w:val="none"/>
        </w:rPr>
        <w:t>5.投标文件份数：本项目为不见面开标，报价人无需递交纸质响应文件至现场，中标后中标供应商向采购人提供与电子投标文件完全一致的纸质响应文件（3份：一正、二副）。</w:t>
      </w:r>
    </w:p>
    <w:p w14:paraId="47B50BDC">
      <w:pPr>
        <w:spacing w:line="360" w:lineRule="auto"/>
        <w:ind w:firstLine="480"/>
        <w:rPr>
          <w:rFonts w:ascii="宋体" w:hAnsi="宋体"/>
          <w:color w:val="000000"/>
          <w:sz w:val="24"/>
          <w:szCs w:val="21"/>
          <w:highlight w:val="none"/>
        </w:rPr>
      </w:pPr>
      <w:r>
        <w:rPr>
          <w:rFonts w:hint="eastAsia" w:ascii="宋体" w:hAnsi="宋体"/>
          <w:color w:val="000000"/>
          <w:sz w:val="24"/>
          <w:szCs w:val="21"/>
          <w:highlight w:val="none"/>
        </w:rPr>
        <w:t>6.投标文件不应有涂改、增删和潦草之处，如有必须修改时，修改处必须有法人、法定代表人或法定代表人授权代表的签章。</w:t>
      </w:r>
    </w:p>
    <w:p w14:paraId="00562273">
      <w:pPr>
        <w:spacing w:line="360" w:lineRule="auto"/>
        <w:ind w:firstLine="480"/>
        <w:rPr>
          <w:rFonts w:ascii="宋体" w:hAnsi="宋体"/>
          <w:color w:val="000000"/>
          <w:sz w:val="24"/>
          <w:szCs w:val="21"/>
          <w:highlight w:val="none"/>
        </w:rPr>
      </w:pPr>
      <w:r>
        <w:rPr>
          <w:rFonts w:hint="eastAsia" w:ascii="宋体" w:hAnsi="宋体"/>
          <w:color w:val="000000"/>
          <w:sz w:val="24"/>
          <w:szCs w:val="21"/>
          <w:highlight w:val="none"/>
        </w:rPr>
        <w:t>7.投标费用自理。</w:t>
      </w:r>
    </w:p>
    <w:p w14:paraId="3AB6B627">
      <w:pPr>
        <w:tabs>
          <w:tab w:val="left" w:pos="945"/>
        </w:tabs>
        <w:spacing w:line="360" w:lineRule="auto"/>
        <w:ind w:firstLine="480"/>
        <w:outlineLvl w:val="1"/>
        <w:rPr>
          <w:rFonts w:ascii="黑体" w:hAnsi="宋体" w:eastAsia="黑体"/>
          <w:bCs/>
          <w:color w:val="000000"/>
          <w:sz w:val="24"/>
          <w:szCs w:val="24"/>
          <w:highlight w:val="none"/>
        </w:rPr>
      </w:pPr>
      <w:r>
        <w:rPr>
          <w:rFonts w:hint="eastAsia" w:ascii="黑体" w:hAnsi="宋体" w:eastAsia="黑体"/>
          <w:bCs/>
          <w:color w:val="000000"/>
          <w:sz w:val="24"/>
          <w:szCs w:val="24"/>
          <w:highlight w:val="none"/>
        </w:rPr>
        <w:t>（七）网上投标</w:t>
      </w:r>
    </w:p>
    <w:p w14:paraId="454508C6">
      <w:pPr>
        <w:tabs>
          <w:tab w:val="left" w:pos="525"/>
          <w:tab w:val="left" w:pos="945"/>
        </w:tabs>
        <w:spacing w:line="360" w:lineRule="auto"/>
        <w:ind w:left="1" w:firstLine="523"/>
        <w:rPr>
          <w:rFonts w:ascii="宋体" w:hAnsi="宋体"/>
          <w:bCs/>
          <w:color w:val="000000"/>
          <w:sz w:val="24"/>
          <w:szCs w:val="24"/>
          <w:highlight w:val="none"/>
        </w:rPr>
      </w:pPr>
      <w:r>
        <w:rPr>
          <w:rFonts w:hint="eastAsia" w:ascii="宋体" w:hAnsi="宋体"/>
          <w:bCs/>
          <w:color w:val="000000"/>
          <w:sz w:val="24"/>
          <w:szCs w:val="24"/>
          <w:highlight w:val="none"/>
        </w:rPr>
        <w:t>1.投标人应由其法定代表人或法定代表人授权代表在规定的网上投标时间内，凭</w:t>
      </w:r>
      <w:r>
        <w:rPr>
          <w:rFonts w:ascii="宋体" w:hAnsi="宋体"/>
          <w:bCs/>
          <w:color w:val="000000"/>
          <w:sz w:val="24"/>
          <w:szCs w:val="24"/>
          <w:highlight w:val="none"/>
        </w:rPr>
        <w:t>CA</w:t>
      </w:r>
      <w:r>
        <w:rPr>
          <w:rFonts w:hint="eastAsia" w:ascii="宋体" w:hAnsi="宋体"/>
          <w:bCs/>
          <w:color w:val="000000"/>
          <w:sz w:val="24"/>
          <w:szCs w:val="24"/>
          <w:highlight w:val="none"/>
        </w:rPr>
        <w:t>数字证书登录政府采购交易管理一体化系统获取招标文件，在投标客户端制作投标文件（电子数据），并在投标截止时间之前上传投标文件。</w:t>
      </w:r>
    </w:p>
    <w:p w14:paraId="69A8E16E">
      <w:pPr>
        <w:tabs>
          <w:tab w:val="left" w:pos="525"/>
          <w:tab w:val="left" w:pos="945"/>
        </w:tabs>
        <w:spacing w:line="360" w:lineRule="auto"/>
        <w:ind w:left="1" w:firstLine="523"/>
        <w:rPr>
          <w:rFonts w:ascii="宋体" w:hAnsi="宋体"/>
          <w:bCs/>
          <w:color w:val="000000"/>
          <w:sz w:val="24"/>
          <w:szCs w:val="24"/>
          <w:highlight w:val="none"/>
        </w:rPr>
      </w:pPr>
      <w:r>
        <w:rPr>
          <w:rFonts w:hint="eastAsia" w:ascii="宋体" w:hAnsi="宋体"/>
          <w:bCs/>
          <w:color w:val="000000"/>
          <w:sz w:val="24"/>
          <w:szCs w:val="24"/>
          <w:highlight w:val="none"/>
        </w:rPr>
        <w:t>2.投标人应对</w:t>
      </w:r>
      <w:r>
        <w:rPr>
          <w:rFonts w:ascii="宋体" w:hAnsi="宋体"/>
          <w:bCs/>
          <w:color w:val="000000"/>
          <w:sz w:val="24"/>
          <w:szCs w:val="24"/>
          <w:highlight w:val="none"/>
        </w:rPr>
        <w:t>CA</w:t>
      </w:r>
      <w:r>
        <w:rPr>
          <w:rFonts w:hint="eastAsia" w:ascii="宋体" w:hAnsi="宋体"/>
          <w:bCs/>
          <w:color w:val="000000"/>
          <w:sz w:val="24"/>
          <w:szCs w:val="24"/>
          <w:highlight w:val="none"/>
        </w:rPr>
        <w:t>数字证书妥善保管，如被他人盗用投标，后果自负。</w:t>
      </w:r>
    </w:p>
    <w:p w14:paraId="6453EC34">
      <w:pPr>
        <w:tabs>
          <w:tab w:val="left" w:pos="525"/>
          <w:tab w:val="left" w:pos="945"/>
        </w:tabs>
        <w:spacing w:line="360" w:lineRule="auto"/>
        <w:ind w:left="1" w:firstLine="523"/>
        <w:rPr>
          <w:rFonts w:ascii="宋体" w:hAnsi="宋体"/>
          <w:bCs/>
          <w:color w:val="000000"/>
          <w:sz w:val="24"/>
          <w:szCs w:val="24"/>
          <w:highlight w:val="none"/>
        </w:rPr>
      </w:pPr>
      <w:r>
        <w:rPr>
          <w:rFonts w:hint="eastAsia" w:ascii="宋体" w:hAnsi="宋体"/>
          <w:bCs/>
          <w:color w:val="000000"/>
          <w:sz w:val="24"/>
          <w:szCs w:val="24"/>
          <w:highlight w:val="none"/>
        </w:rPr>
        <w:t>3.投标人按招标文件规定的</w:t>
      </w:r>
      <w:r>
        <w:rPr>
          <w:rFonts w:hint="eastAsia" w:ascii="宋体" w:hAnsi="宋体"/>
          <w:color w:val="000000"/>
          <w:sz w:val="24"/>
          <w:szCs w:val="24"/>
          <w:highlight w:val="none"/>
        </w:rPr>
        <w:t>网上解密时间</w:t>
      </w:r>
      <w:r>
        <w:rPr>
          <w:rFonts w:hint="eastAsia" w:ascii="宋体" w:hAnsi="宋体"/>
          <w:bCs/>
          <w:color w:val="000000"/>
          <w:sz w:val="24"/>
          <w:szCs w:val="24"/>
          <w:highlight w:val="none"/>
        </w:rPr>
        <w:t>进行解密，如未按时解密后果自负。</w:t>
      </w:r>
    </w:p>
    <w:p w14:paraId="2668C0B4">
      <w:pPr>
        <w:tabs>
          <w:tab w:val="left" w:pos="525"/>
          <w:tab w:val="left" w:pos="945"/>
        </w:tabs>
        <w:spacing w:line="360" w:lineRule="auto"/>
        <w:ind w:left="1" w:firstLine="523"/>
        <w:rPr>
          <w:rFonts w:ascii="宋体" w:hAnsi="宋体"/>
          <w:bCs/>
          <w:color w:val="000000"/>
          <w:sz w:val="24"/>
          <w:szCs w:val="24"/>
          <w:highlight w:val="none"/>
        </w:rPr>
      </w:pPr>
      <w:r>
        <w:rPr>
          <w:rFonts w:hint="eastAsia" w:ascii="宋体" w:hAnsi="宋体"/>
          <w:bCs/>
          <w:color w:val="000000"/>
          <w:sz w:val="24"/>
          <w:szCs w:val="24"/>
          <w:highlight w:val="none"/>
        </w:rPr>
        <w:t>4.投标人应当对招标文件提出的要求和条件作出实质性响应，并在电子投标系统逐条应答。</w:t>
      </w:r>
    </w:p>
    <w:p w14:paraId="3A61233E">
      <w:pPr>
        <w:tabs>
          <w:tab w:val="left" w:pos="525"/>
          <w:tab w:val="left" w:pos="945"/>
        </w:tabs>
        <w:spacing w:line="360" w:lineRule="auto"/>
        <w:ind w:left="1" w:firstLine="523"/>
        <w:rPr>
          <w:rFonts w:ascii="宋体" w:hAnsi="宋体"/>
          <w:bCs/>
          <w:color w:val="000000"/>
          <w:sz w:val="24"/>
          <w:szCs w:val="24"/>
          <w:highlight w:val="none"/>
        </w:rPr>
      </w:pPr>
      <w:r>
        <w:rPr>
          <w:rFonts w:hint="eastAsia" w:ascii="宋体" w:hAnsi="宋体"/>
          <w:bCs/>
          <w:color w:val="000000"/>
          <w:sz w:val="24"/>
          <w:szCs w:val="24"/>
          <w:highlight w:val="none"/>
        </w:rPr>
        <w:t>5.投标人应对要求提供的资格证明文件（如资质证书、资格证书）、技术资料（如白皮书、彩页、手册、检测报告等）扫描上传至投标系统。</w:t>
      </w:r>
    </w:p>
    <w:p w14:paraId="1F139513">
      <w:pPr>
        <w:tabs>
          <w:tab w:val="left" w:pos="525"/>
          <w:tab w:val="left" w:pos="945"/>
        </w:tabs>
        <w:spacing w:line="360" w:lineRule="auto"/>
        <w:ind w:left="1" w:firstLine="523"/>
        <w:rPr>
          <w:rFonts w:ascii="宋体" w:hAnsi="宋体"/>
          <w:bCs/>
          <w:color w:val="000000"/>
          <w:sz w:val="24"/>
          <w:szCs w:val="24"/>
          <w:highlight w:val="none"/>
        </w:rPr>
      </w:pPr>
      <w:r>
        <w:rPr>
          <w:rFonts w:hint="eastAsia" w:ascii="宋体" w:hAnsi="宋体"/>
          <w:bCs/>
          <w:color w:val="000000"/>
          <w:sz w:val="24"/>
          <w:szCs w:val="24"/>
          <w:highlight w:val="none"/>
        </w:rPr>
        <w:t>6.投标人进行网上</w:t>
      </w:r>
      <w:r>
        <w:rPr>
          <w:rFonts w:hint="eastAsia" w:ascii="宋体" w:hAnsi="宋体"/>
          <w:color w:val="000000"/>
          <w:sz w:val="24"/>
          <w:szCs w:val="24"/>
          <w:highlight w:val="none"/>
        </w:rPr>
        <w:t>投标</w:t>
      </w:r>
      <w:r>
        <w:rPr>
          <w:rFonts w:hint="eastAsia" w:ascii="宋体" w:hAnsi="宋体"/>
          <w:bCs/>
          <w:color w:val="000000"/>
          <w:sz w:val="24"/>
          <w:szCs w:val="24"/>
          <w:highlight w:val="none"/>
        </w:rPr>
        <w:t>请参照《</w:t>
      </w:r>
      <w:r>
        <w:rPr>
          <w:rFonts w:hint="eastAsia" w:ascii="宋体" w:hAnsi="宋体"/>
          <w:bCs/>
          <w:color w:val="000000"/>
          <w:sz w:val="24"/>
          <w:szCs w:val="24"/>
          <w:highlight w:val="none"/>
          <w:lang w:val="zh-CN"/>
        </w:rPr>
        <w:t>江苏省政府采购交易系统（苏采云）供应商操作手册</w:t>
      </w:r>
      <w:r>
        <w:rPr>
          <w:rFonts w:hint="eastAsia" w:ascii="宋体" w:hAnsi="宋体"/>
          <w:color w:val="000000"/>
          <w:sz w:val="24"/>
          <w:szCs w:val="24"/>
          <w:highlight w:val="none"/>
        </w:rPr>
        <w:t>》。</w:t>
      </w:r>
    </w:p>
    <w:p w14:paraId="4FE016B6">
      <w:pPr>
        <w:spacing w:line="430" w:lineRule="exact"/>
        <w:ind w:firstLine="480"/>
        <w:outlineLvl w:val="0"/>
        <w:rPr>
          <w:rFonts w:ascii="宋体"/>
          <w:b/>
          <w:bCs/>
          <w:color w:val="000000"/>
          <w:sz w:val="24"/>
          <w:szCs w:val="24"/>
          <w:highlight w:val="none"/>
        </w:rPr>
      </w:pPr>
      <w:r>
        <w:rPr>
          <w:rFonts w:hint="eastAsia" w:ascii="黑体" w:hAnsi="宋体" w:eastAsia="黑体"/>
          <w:bCs/>
          <w:color w:val="000000"/>
          <w:sz w:val="24"/>
          <w:szCs w:val="24"/>
          <w:highlight w:val="none"/>
        </w:rPr>
        <w:t>（八）报价要求：</w:t>
      </w:r>
    </w:p>
    <w:p w14:paraId="0FF253A3">
      <w:pPr>
        <w:spacing w:line="360" w:lineRule="auto"/>
        <w:ind w:firstLine="480"/>
        <w:rPr>
          <w:rFonts w:ascii="宋体" w:hAnsi="宋体"/>
          <w:color w:val="000000"/>
          <w:sz w:val="24"/>
          <w:szCs w:val="21"/>
          <w:highlight w:val="none"/>
        </w:rPr>
      </w:pPr>
      <w:r>
        <w:rPr>
          <w:rFonts w:hint="eastAsia" w:ascii="宋体" w:hAnsi="宋体"/>
          <w:color w:val="000000"/>
          <w:sz w:val="24"/>
          <w:szCs w:val="21"/>
          <w:highlight w:val="none"/>
        </w:rPr>
        <w:t>1.投标报价应包括人员工资、</w:t>
      </w:r>
      <w:r>
        <w:rPr>
          <w:rFonts w:hint="eastAsia" w:ascii="宋体" w:hAnsi="宋体"/>
          <w:color w:val="000000"/>
          <w:sz w:val="24"/>
          <w:szCs w:val="21"/>
          <w:highlight w:val="none"/>
          <w:lang w:val="zh-CN"/>
        </w:rPr>
        <w:t>差旅食宿费、文印费、资料搜集、综合整理、文本编制、图件编制、资料费、</w:t>
      </w:r>
      <w:r>
        <w:rPr>
          <w:rFonts w:hint="eastAsia" w:ascii="宋体" w:hAnsi="宋体"/>
          <w:color w:val="000000"/>
          <w:sz w:val="24"/>
          <w:szCs w:val="21"/>
          <w:highlight w:val="none"/>
        </w:rPr>
        <w:t>保险、利润、税金等服务期内满足采购人要求的全部费用。投标供应商应充分考虑服务期内所有可能影响到报价的因素（包括最低工资标准和社保基数的政策性调整），一旦投标结束最终中标，不予调整。</w:t>
      </w:r>
    </w:p>
    <w:p w14:paraId="78BA76F1">
      <w:pPr>
        <w:spacing w:line="360" w:lineRule="auto"/>
        <w:ind w:firstLine="480"/>
        <w:rPr>
          <w:rFonts w:ascii="宋体" w:hAnsi="宋体"/>
          <w:color w:val="000000"/>
          <w:sz w:val="24"/>
          <w:szCs w:val="21"/>
          <w:highlight w:val="none"/>
        </w:rPr>
      </w:pPr>
      <w:r>
        <w:rPr>
          <w:rFonts w:hint="eastAsia" w:ascii="宋体" w:hAnsi="宋体"/>
          <w:color w:val="000000"/>
          <w:sz w:val="24"/>
          <w:szCs w:val="21"/>
          <w:highlight w:val="none"/>
        </w:rPr>
        <w:t>2.投标供应商可先到现场踏勘以充分了解项目位置、情况、道路及任何其他足以影响承包价的情况，任何因忽视或误解项目情况而导致的索赔申请将不被批准。</w:t>
      </w:r>
    </w:p>
    <w:p w14:paraId="4A6F3442">
      <w:pPr>
        <w:spacing w:line="360" w:lineRule="auto"/>
        <w:ind w:firstLine="480"/>
        <w:rPr>
          <w:rFonts w:ascii="宋体" w:hAnsi="宋体"/>
          <w:color w:val="000000"/>
          <w:sz w:val="24"/>
          <w:szCs w:val="21"/>
          <w:highlight w:val="none"/>
        </w:rPr>
      </w:pPr>
      <w:r>
        <w:rPr>
          <w:rFonts w:hint="eastAsia" w:ascii="宋体" w:hAnsi="宋体"/>
          <w:color w:val="000000"/>
          <w:sz w:val="24"/>
          <w:szCs w:val="21"/>
          <w:highlight w:val="none"/>
        </w:rPr>
        <w:t>3.投标供应商应当充分考虑服务期内所有可能影响到的因素，一旦投标结束最终成交，总价将包定，除采购人要求变更岗位配置数量外，总价不予调整（国家政策性调整除外）。如发生漏、缺、少项，都将被认为是中标方的报价让利行为，损失自负。</w:t>
      </w:r>
    </w:p>
    <w:p w14:paraId="2BFE2DA6">
      <w:pPr>
        <w:spacing w:line="360" w:lineRule="auto"/>
        <w:ind w:firstLine="480"/>
        <w:rPr>
          <w:rFonts w:ascii="黑体" w:hAnsi="宋体" w:eastAsia="黑体"/>
          <w:bCs/>
          <w:color w:val="000000"/>
          <w:sz w:val="24"/>
          <w:szCs w:val="24"/>
          <w:highlight w:val="none"/>
        </w:rPr>
      </w:pPr>
      <w:r>
        <w:rPr>
          <w:rFonts w:hint="eastAsia" w:ascii="宋体" w:hAnsi="宋体"/>
          <w:color w:val="000000"/>
          <w:sz w:val="24"/>
          <w:szCs w:val="21"/>
          <w:highlight w:val="none"/>
        </w:rPr>
        <w:t>4.评审小组认为投标供应商的报价明显低于其他通过符合性审查投标供应商的报价，有可能影响产品质量或者不能诚信履约的，应当要求其在评标现场合理的时间内(自通知之时起一小时内)提供书面说明，必要时提交相关证明材料；投标供应商不能证明其报价合理性的，评审小组应当将其作为无效标处理。</w:t>
      </w:r>
    </w:p>
    <w:p w14:paraId="2F874C44">
      <w:pPr>
        <w:tabs>
          <w:tab w:val="left" w:pos="945"/>
        </w:tabs>
        <w:spacing w:line="360" w:lineRule="auto"/>
        <w:ind w:firstLine="480"/>
        <w:outlineLvl w:val="1"/>
        <w:rPr>
          <w:rFonts w:ascii="黑体" w:hAnsi="宋体" w:eastAsia="黑体"/>
          <w:bCs/>
          <w:color w:val="000000"/>
          <w:sz w:val="24"/>
          <w:szCs w:val="24"/>
          <w:highlight w:val="none"/>
        </w:rPr>
      </w:pPr>
      <w:r>
        <w:rPr>
          <w:rFonts w:hint="eastAsia" w:ascii="黑体" w:hAnsi="宋体" w:eastAsia="黑体"/>
          <w:bCs/>
          <w:color w:val="000000"/>
          <w:sz w:val="24"/>
          <w:szCs w:val="24"/>
          <w:highlight w:val="none"/>
        </w:rPr>
        <w:t>（九）无效投标文件的确认：</w:t>
      </w:r>
    </w:p>
    <w:p w14:paraId="3D932216">
      <w:pPr>
        <w:tabs>
          <w:tab w:val="left" w:pos="945"/>
        </w:tabs>
        <w:spacing w:line="360" w:lineRule="auto"/>
        <w:ind w:firstLine="480"/>
        <w:rPr>
          <w:rFonts w:ascii="黑体" w:hAnsi="宋体" w:eastAsia="黑体"/>
          <w:bCs/>
          <w:color w:val="000000"/>
          <w:sz w:val="24"/>
          <w:szCs w:val="24"/>
          <w:highlight w:val="none"/>
        </w:rPr>
      </w:pPr>
      <w:r>
        <w:rPr>
          <w:rFonts w:hint="eastAsia" w:ascii="宋体" w:hAnsi="宋体"/>
          <w:bCs/>
          <w:color w:val="000000"/>
          <w:sz w:val="24"/>
          <w:szCs w:val="24"/>
          <w:highlight w:val="none"/>
        </w:rPr>
        <w:t>投标人有下列情况之一者，投标文件无效：</w:t>
      </w:r>
    </w:p>
    <w:p w14:paraId="2A69B05F">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1.未按规定在无锡市政府采购供应商信息库注册的；</w:t>
      </w:r>
    </w:p>
    <w:p w14:paraId="7E17FE06">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2.电子投标文件未按规定期限投标的，纸质投标文件（如要求）未按规定的期限、地点送达的；</w:t>
      </w:r>
    </w:p>
    <w:p w14:paraId="18B31618">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3.电子投标文件未按招标文件要求签章的；</w:t>
      </w:r>
    </w:p>
    <w:p w14:paraId="4374EFD8">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4.投标供应商的被授权代表无法定代表人授权委托书的；</w:t>
      </w:r>
    </w:p>
    <w:p w14:paraId="21335045">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5.不具备采购文件中规定的资格要求及未按采购文件规定的要求提供资格、资信证明文件的；</w:t>
      </w:r>
    </w:p>
    <w:p w14:paraId="0B5173F3">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6.投标文件未按采购文件规定的格式、内容和要求填写、制作的；</w:t>
      </w:r>
    </w:p>
    <w:p w14:paraId="14552AEB">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7.投标文件书写潦草、字迹模糊不清、无法辨认的；</w:t>
      </w:r>
    </w:p>
    <w:p w14:paraId="1B31C562">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8.投标文件中有采购文件未允许提供的选择性内容的；</w:t>
      </w:r>
    </w:p>
    <w:p w14:paraId="120E70DD">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9.未按采购文件要求解密电子投标文件的；</w:t>
      </w:r>
    </w:p>
    <w:p w14:paraId="7319A975">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10.提供虚假材料的（包括工商营业执照、财务报表、资格、资信证明文件等）；</w:t>
      </w:r>
    </w:p>
    <w:p w14:paraId="726B5C03">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11.投标文件未按要求制作、递交的；</w:t>
      </w:r>
    </w:p>
    <w:p w14:paraId="6E59ABCB">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12.投标文件未加盖投标供应商公章及法定代表人或授权代表签字和盖章的；</w:t>
      </w:r>
    </w:p>
    <w:p w14:paraId="26DE53A4">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13.投标供应商未遵循公平竞争的原则，恶意串通，妨碍其他供应商的竞争行为，损害采购人或者其他供应商的合法权益；</w:t>
      </w:r>
    </w:p>
    <w:p w14:paraId="074F8D13">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14.不同投标供应商的投标文件的装订形式、纸张情况、目录序号、排版格式、文字风格等存在明显的相似性或一致性，特征显示由同一单位或者同一个人编制的；</w:t>
      </w:r>
    </w:p>
    <w:p w14:paraId="58AFB84F">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15.不同投标供应商委托同一单位或者个人办理投标事宜；</w:t>
      </w:r>
    </w:p>
    <w:p w14:paraId="63F191B6">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16.不同投标供应商的投标文件载明的项目管理成员或者联系人员为同一人；</w:t>
      </w:r>
    </w:p>
    <w:p w14:paraId="0B48A52B">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17.不同投标供应商投标文件内容存在非正常一致、项目组成员出现同一人、投标文件中错误（或异常）一致或雷同、电子文档信息一致或雷同的；</w:t>
      </w:r>
    </w:p>
    <w:p w14:paraId="503D3109">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18.不同投标供应商报价细目呈明显规律性变化，或恶意串通其他投标供应商，故意哄抬价格或压价的；</w:t>
      </w:r>
    </w:p>
    <w:p w14:paraId="76A14FBB">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19.不同投标供应商投标文件相互混装的；</w:t>
      </w:r>
    </w:p>
    <w:p w14:paraId="29C0068A">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20.不同投标供应商投标文件中的项目相关人员出现同一人的；</w:t>
      </w:r>
    </w:p>
    <w:p w14:paraId="366B9279">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21.不同投标供应商聘请同一人为其投标提供技术或经济咨询服务的；</w:t>
      </w:r>
    </w:p>
    <w:p w14:paraId="1272EC66">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22.不同投标供应商的单位负责人为同一人或者存在直接控股、管理关系的；</w:t>
      </w:r>
    </w:p>
    <w:p w14:paraId="7E4CF0AC">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23.投标文件中同一方案有选择性报价且未声明以哪一个为准的；</w:t>
      </w:r>
    </w:p>
    <w:p w14:paraId="7308D9A3">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24.投标文件被本项目评委确认为无效投标文件的；</w:t>
      </w:r>
    </w:p>
    <w:p w14:paraId="7BE527DE">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25.未通过初步资格性审查、投标文件资格性检查、投标文件符合性检查的；</w:t>
      </w:r>
    </w:p>
    <w:p w14:paraId="0D034620">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26.未按要求提供技术文件的；</w:t>
      </w:r>
    </w:p>
    <w:p w14:paraId="34A89EF9">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27.投标报价超过采购文件中规定的最高限价或者采购预算或者单项最高限价的；</w:t>
      </w:r>
    </w:p>
    <w:p w14:paraId="3373F9FA">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28.投标供应商的投标报价畸高或畸低，投标总报价与各分项报价不能相互对应，在询标时没有合理的解释或者不能提供计算依据和报价依据的；</w:t>
      </w:r>
    </w:p>
    <w:p w14:paraId="278EE630">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29.投标报价明显低于其他通过符合性审查供应商的报价，且供应商不能证明其报价合理性，不能在合理的时间内提供书面说明及提交相关证明材料，有可能影响产品及服务质量或者不能诚信履约的；</w:t>
      </w:r>
    </w:p>
    <w:p w14:paraId="03B4D0E6">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30.不同供应商的委托代理人、项目负责人以及其他相关人员有在同一个单位缴纳社会保险的；</w:t>
      </w:r>
    </w:p>
    <w:p w14:paraId="689652F8">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31.同一投标文件中单位名称落款与公章不是同一单位的；</w:t>
      </w:r>
    </w:p>
    <w:p w14:paraId="65AAC7DF">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32.投标文件内容不全或不符合法律法规和招标文件中规定的其他实质性要求的。</w:t>
      </w:r>
    </w:p>
    <w:p w14:paraId="77AB5229">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33.不同投标供应商的投标文件由同一台电脑编制或者同一把数字证书加密锁加密或者同一台附属设备打印的； </w:t>
      </w:r>
    </w:p>
    <w:p w14:paraId="7F8E7004">
      <w:pPr>
        <w:tabs>
          <w:tab w:val="left" w:pos="945"/>
        </w:tabs>
        <w:spacing w:line="336" w:lineRule="auto"/>
        <w:ind w:firstLine="480"/>
        <w:outlineLvl w:val="0"/>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34.各投标供应商的投标文件上传使用的 MAC 地址和 IP 地址一致的，不同投标文件留有相同标记标识、存在两处以上一致性错误或雷同等情况，视为投标供应商相互围标、串标,其投标无效； </w:t>
      </w:r>
    </w:p>
    <w:p w14:paraId="29088C4C">
      <w:pPr>
        <w:tabs>
          <w:tab w:val="left" w:pos="945"/>
        </w:tabs>
        <w:spacing w:line="360" w:lineRule="auto"/>
        <w:ind w:left="1" w:firstLine="523"/>
        <w:rPr>
          <w:rFonts w:ascii="宋体" w:hAnsi="宋体"/>
          <w:bCs/>
          <w:color w:val="000000"/>
          <w:sz w:val="24"/>
          <w:szCs w:val="24"/>
          <w:highlight w:val="none"/>
        </w:rPr>
      </w:pPr>
      <w:r>
        <w:rPr>
          <w:rFonts w:hint="eastAsia" w:ascii="宋体" w:hAnsi="宋体" w:cs="宋体"/>
          <w:bCs/>
          <w:color w:val="000000"/>
          <w:sz w:val="24"/>
          <w:szCs w:val="24"/>
          <w:highlight w:val="none"/>
        </w:rPr>
        <w:t>35.列入失信被执行人、重大税收违法案件当事人名单、政府采购严重违法失信行为记录名单及其他不符合《中华人民共和国政府采购法》第二十二条规定条件的；</w:t>
      </w:r>
    </w:p>
    <w:p w14:paraId="6112B30E">
      <w:pPr>
        <w:tabs>
          <w:tab w:val="left" w:pos="945"/>
        </w:tabs>
        <w:spacing w:line="360" w:lineRule="auto"/>
        <w:ind w:left="1" w:firstLine="523"/>
        <w:rPr>
          <w:rFonts w:ascii="宋体" w:hAnsi="宋体"/>
          <w:bCs/>
          <w:color w:val="000000"/>
          <w:sz w:val="24"/>
          <w:szCs w:val="24"/>
          <w:highlight w:val="none"/>
        </w:rPr>
      </w:pPr>
      <w:r>
        <w:rPr>
          <w:rFonts w:hint="eastAsia" w:ascii="宋体" w:hAnsi="宋体"/>
          <w:bCs/>
          <w:color w:val="000000"/>
          <w:sz w:val="24"/>
          <w:szCs w:val="24"/>
          <w:highlight w:val="none"/>
        </w:rPr>
        <w:t>36.投标文件内容不全或不符合招标文件中规定的其他实质性要求的；</w:t>
      </w:r>
    </w:p>
    <w:p w14:paraId="1DB414C3">
      <w:pPr>
        <w:tabs>
          <w:tab w:val="left" w:pos="945"/>
        </w:tabs>
        <w:spacing w:line="360" w:lineRule="auto"/>
        <w:ind w:left="1" w:firstLine="523"/>
        <w:rPr>
          <w:rFonts w:ascii="宋体" w:hAnsi="宋体"/>
          <w:bCs/>
          <w:color w:val="000000"/>
          <w:sz w:val="24"/>
          <w:szCs w:val="24"/>
          <w:highlight w:val="none"/>
        </w:rPr>
      </w:pPr>
      <w:r>
        <w:rPr>
          <w:rFonts w:hint="eastAsia" w:ascii="宋体" w:hAnsi="宋体"/>
          <w:bCs/>
          <w:color w:val="000000"/>
          <w:sz w:val="24"/>
          <w:szCs w:val="24"/>
          <w:highlight w:val="none"/>
        </w:rPr>
        <w:t>37.法律法规和招标文件规定的其他无效情形。</w:t>
      </w:r>
    </w:p>
    <w:p w14:paraId="2F686B5C">
      <w:pPr>
        <w:tabs>
          <w:tab w:val="left" w:pos="945"/>
        </w:tabs>
        <w:spacing w:line="360" w:lineRule="auto"/>
        <w:ind w:firstLine="480"/>
        <w:outlineLvl w:val="1"/>
        <w:rPr>
          <w:rFonts w:ascii="黑体" w:hAnsi="宋体" w:eastAsia="黑体"/>
          <w:bCs/>
          <w:color w:val="000000"/>
          <w:sz w:val="24"/>
          <w:szCs w:val="24"/>
          <w:highlight w:val="none"/>
        </w:rPr>
      </w:pPr>
      <w:r>
        <w:rPr>
          <w:rFonts w:hint="eastAsia" w:ascii="黑体" w:hAnsi="宋体" w:eastAsia="黑体"/>
          <w:bCs/>
          <w:color w:val="000000"/>
          <w:sz w:val="24"/>
          <w:szCs w:val="24"/>
          <w:highlight w:val="none"/>
        </w:rPr>
        <w:t>（十）开标、评标：</w:t>
      </w:r>
    </w:p>
    <w:p w14:paraId="7897BCD8">
      <w:pPr>
        <w:numPr>
          <w:ilvl w:val="1"/>
          <w:numId w:val="0"/>
        </w:numPr>
        <w:tabs>
          <w:tab w:val="left" w:pos="525"/>
          <w:tab w:val="left" w:pos="945"/>
        </w:tabs>
        <w:spacing w:line="360" w:lineRule="auto"/>
        <w:ind w:left="1" w:firstLine="523"/>
        <w:rPr>
          <w:rFonts w:ascii="宋体"/>
          <w:bCs/>
          <w:color w:val="000000"/>
          <w:sz w:val="24"/>
          <w:szCs w:val="24"/>
          <w:highlight w:val="none"/>
        </w:rPr>
      </w:pPr>
      <w:r>
        <w:rPr>
          <w:rFonts w:hint="eastAsia" w:ascii="宋体"/>
          <w:bCs/>
          <w:color w:val="000000"/>
          <w:sz w:val="24"/>
          <w:szCs w:val="24"/>
          <w:highlight w:val="none"/>
        </w:rPr>
        <w:t>1．</w:t>
      </w:r>
      <w:r>
        <w:rPr>
          <w:rFonts w:hint="eastAsia" w:ascii="宋体" w:hAnsi="宋体"/>
          <w:bCs/>
          <w:color w:val="000000"/>
          <w:sz w:val="24"/>
          <w:szCs w:val="24"/>
          <w:highlight w:val="none"/>
          <w:lang w:val="zh-CN"/>
        </w:rPr>
        <w:t>采购人按</w:t>
      </w:r>
      <w:r>
        <w:rPr>
          <w:rFonts w:hint="eastAsia" w:ascii="宋体" w:hAnsi="宋体"/>
          <w:bCs/>
          <w:color w:val="000000"/>
          <w:sz w:val="24"/>
          <w:szCs w:val="24"/>
          <w:highlight w:val="none"/>
        </w:rPr>
        <w:t>招标</w:t>
      </w:r>
      <w:r>
        <w:rPr>
          <w:rFonts w:hint="eastAsia" w:ascii="宋体" w:hAnsi="宋体"/>
          <w:bCs/>
          <w:color w:val="000000"/>
          <w:sz w:val="24"/>
          <w:szCs w:val="24"/>
          <w:highlight w:val="none"/>
          <w:lang w:val="zh-CN"/>
        </w:rPr>
        <w:t>文件规定的时间在“苏采云开标大厅”召开开标大会。</w:t>
      </w:r>
      <w:r>
        <w:rPr>
          <w:rFonts w:hint="eastAsia" w:ascii="宋体" w:hAnsi="宋体"/>
          <w:bCs/>
          <w:color w:val="000000"/>
          <w:sz w:val="24"/>
          <w:szCs w:val="24"/>
          <w:highlight w:val="none"/>
        </w:rPr>
        <w:t>供应商</w:t>
      </w:r>
      <w:r>
        <w:rPr>
          <w:rFonts w:hint="eastAsia" w:ascii="宋体" w:hAnsi="宋体"/>
          <w:bCs/>
          <w:color w:val="000000"/>
          <w:sz w:val="24"/>
          <w:szCs w:val="24"/>
          <w:highlight w:val="none"/>
          <w:lang w:val="zh-CN"/>
        </w:rPr>
        <w:t>应当在</w:t>
      </w:r>
      <w:r>
        <w:rPr>
          <w:rFonts w:hint="eastAsia" w:ascii="宋体" w:hAnsi="宋体"/>
          <w:bCs/>
          <w:color w:val="000000"/>
          <w:sz w:val="24"/>
          <w:szCs w:val="24"/>
          <w:highlight w:val="none"/>
        </w:rPr>
        <w:t>报价</w:t>
      </w:r>
      <w:r>
        <w:rPr>
          <w:rFonts w:hint="eastAsia" w:ascii="宋体" w:hAnsi="宋体"/>
          <w:bCs/>
          <w:color w:val="000000"/>
          <w:sz w:val="24"/>
          <w:szCs w:val="24"/>
          <w:highlight w:val="none"/>
          <w:lang w:val="zh-CN"/>
        </w:rPr>
        <w:t>前做好充分准备，携带 CA 数字证书准时参加</w:t>
      </w:r>
      <w:r>
        <w:rPr>
          <w:rFonts w:hint="eastAsia" w:ascii="宋体" w:hAnsi="宋体"/>
          <w:bCs/>
          <w:color w:val="000000"/>
          <w:sz w:val="24"/>
          <w:szCs w:val="24"/>
          <w:highlight w:val="none"/>
        </w:rPr>
        <w:t>；</w:t>
      </w:r>
    </w:p>
    <w:p w14:paraId="31C98459">
      <w:pPr>
        <w:numPr>
          <w:ilvl w:val="1"/>
          <w:numId w:val="0"/>
        </w:numPr>
        <w:tabs>
          <w:tab w:val="left" w:pos="525"/>
          <w:tab w:val="left" w:pos="945"/>
        </w:tabs>
        <w:spacing w:line="360" w:lineRule="auto"/>
        <w:ind w:left="1" w:firstLine="523"/>
        <w:rPr>
          <w:rFonts w:ascii="宋体" w:hAnsi="宋体"/>
          <w:bCs/>
          <w:color w:val="000000"/>
          <w:sz w:val="24"/>
          <w:szCs w:val="24"/>
          <w:highlight w:val="none"/>
        </w:rPr>
      </w:pPr>
      <w:r>
        <w:rPr>
          <w:rFonts w:hint="eastAsia" w:ascii="宋体" w:hAnsi="宋体"/>
          <w:bCs/>
          <w:color w:val="000000"/>
          <w:sz w:val="24"/>
          <w:szCs w:val="24"/>
          <w:highlight w:val="none"/>
        </w:rPr>
        <w:t>2．</w:t>
      </w:r>
      <w:r>
        <w:rPr>
          <w:rFonts w:hint="eastAsia" w:ascii="宋体" w:hAnsi="宋体"/>
          <w:bCs/>
          <w:color w:val="000000"/>
          <w:sz w:val="24"/>
          <w:szCs w:val="24"/>
          <w:highlight w:val="none"/>
          <w:lang w:val="zh-CN"/>
        </w:rPr>
        <w:t>响应文件</w:t>
      </w:r>
      <w:r>
        <w:rPr>
          <w:rFonts w:ascii="宋体" w:hAnsi="宋体"/>
          <w:bCs/>
          <w:color w:val="000000"/>
          <w:sz w:val="24"/>
          <w:szCs w:val="24"/>
          <w:highlight w:val="none"/>
          <w:lang w:val="zh-CN"/>
        </w:rPr>
        <w:t>递交截止时间后，采购</w:t>
      </w:r>
      <w:r>
        <w:rPr>
          <w:rFonts w:hint="eastAsia" w:ascii="宋体" w:hAnsi="宋体"/>
          <w:bCs/>
          <w:color w:val="000000"/>
          <w:sz w:val="24"/>
          <w:szCs w:val="24"/>
          <w:highlight w:val="none"/>
        </w:rPr>
        <w:t>代理机构</w:t>
      </w:r>
      <w:r>
        <w:rPr>
          <w:rFonts w:ascii="宋体" w:hAnsi="宋体"/>
          <w:bCs/>
          <w:color w:val="000000"/>
          <w:sz w:val="24"/>
          <w:szCs w:val="24"/>
          <w:highlight w:val="none"/>
          <w:lang w:val="zh-CN"/>
        </w:rPr>
        <w:t>将在系统内公布</w:t>
      </w:r>
      <w:r>
        <w:rPr>
          <w:rFonts w:hint="eastAsia" w:ascii="宋体" w:hAnsi="宋体"/>
          <w:bCs/>
          <w:color w:val="000000"/>
          <w:sz w:val="24"/>
          <w:szCs w:val="24"/>
          <w:highlight w:val="none"/>
          <w:lang w:val="zh-CN"/>
        </w:rPr>
        <w:t>供应商</w:t>
      </w:r>
      <w:r>
        <w:rPr>
          <w:rFonts w:ascii="宋体" w:hAnsi="宋体"/>
          <w:bCs/>
          <w:color w:val="000000"/>
          <w:sz w:val="24"/>
          <w:szCs w:val="24"/>
          <w:highlight w:val="none"/>
          <w:lang w:val="zh-CN"/>
        </w:rPr>
        <w:t>名单然后通过开标会议区发出</w:t>
      </w:r>
      <w:r>
        <w:rPr>
          <w:rFonts w:hint="eastAsia" w:ascii="宋体" w:hAnsi="宋体"/>
          <w:bCs/>
          <w:color w:val="000000"/>
          <w:sz w:val="24"/>
          <w:szCs w:val="24"/>
          <w:highlight w:val="none"/>
          <w:lang w:val="zh-CN"/>
        </w:rPr>
        <w:t>响应文件</w:t>
      </w:r>
      <w:r>
        <w:rPr>
          <w:rFonts w:ascii="宋体" w:hAnsi="宋体"/>
          <w:bCs/>
          <w:color w:val="000000"/>
          <w:sz w:val="24"/>
          <w:szCs w:val="24"/>
          <w:highlight w:val="none"/>
          <w:lang w:val="zh-CN"/>
        </w:rPr>
        <w:t>解密的指令，供应商在各自地点按规定时间自行实施远程解密，</w:t>
      </w:r>
      <w:r>
        <w:rPr>
          <w:rFonts w:hint="eastAsia" w:ascii="宋体" w:hAnsi="宋体"/>
          <w:bCs/>
          <w:color w:val="000000"/>
          <w:sz w:val="24"/>
          <w:szCs w:val="24"/>
          <w:highlight w:val="none"/>
          <w:lang w:val="zh-CN"/>
        </w:rPr>
        <w:t>供应商解密限定在解密时间开始30分钟内完成。</w:t>
      </w:r>
      <w:r>
        <w:rPr>
          <w:rFonts w:ascii="宋体" w:hAnsi="宋体"/>
          <w:bCs/>
          <w:color w:val="000000"/>
          <w:sz w:val="24"/>
          <w:szCs w:val="24"/>
          <w:highlight w:val="none"/>
          <w:lang w:val="zh-CN"/>
        </w:rPr>
        <w:t>因供应商网络与电源不稳定、未按操作手册要求配置软硬件、解密锁发生故障或用错、故意不在要求时限内完成解密等自身原因，导致</w:t>
      </w:r>
      <w:r>
        <w:rPr>
          <w:rFonts w:hint="eastAsia" w:ascii="宋体" w:hAnsi="宋体"/>
          <w:bCs/>
          <w:color w:val="000000"/>
          <w:sz w:val="24"/>
          <w:szCs w:val="24"/>
          <w:highlight w:val="none"/>
          <w:lang w:val="zh-CN"/>
        </w:rPr>
        <w:t>响应文件</w:t>
      </w:r>
      <w:r>
        <w:rPr>
          <w:rFonts w:ascii="宋体" w:hAnsi="宋体"/>
          <w:bCs/>
          <w:color w:val="000000"/>
          <w:sz w:val="24"/>
          <w:szCs w:val="24"/>
          <w:highlight w:val="none"/>
          <w:lang w:val="zh-CN"/>
        </w:rPr>
        <w:t>在规定时间内未能解密、解密失败或解密超时，视为供应商撤销其</w:t>
      </w:r>
      <w:r>
        <w:rPr>
          <w:rFonts w:hint="eastAsia" w:ascii="宋体" w:hAnsi="宋体"/>
          <w:bCs/>
          <w:color w:val="000000"/>
          <w:sz w:val="24"/>
          <w:szCs w:val="24"/>
          <w:highlight w:val="none"/>
          <w:lang w:val="zh-CN"/>
        </w:rPr>
        <w:t>响应文件</w:t>
      </w:r>
      <w:r>
        <w:rPr>
          <w:rFonts w:ascii="宋体" w:hAnsi="宋体"/>
          <w:bCs/>
          <w:color w:val="000000"/>
          <w:sz w:val="24"/>
          <w:szCs w:val="24"/>
          <w:highlight w:val="none"/>
          <w:lang w:val="zh-CN"/>
        </w:rPr>
        <w:t>；因网上平台发生故障，导致无法按时完成</w:t>
      </w:r>
      <w:r>
        <w:rPr>
          <w:rFonts w:hint="eastAsia" w:ascii="宋体" w:hAnsi="宋体"/>
          <w:bCs/>
          <w:color w:val="000000"/>
          <w:sz w:val="24"/>
          <w:szCs w:val="24"/>
          <w:highlight w:val="none"/>
          <w:lang w:val="zh-CN"/>
        </w:rPr>
        <w:t>响应文件</w:t>
      </w:r>
      <w:r>
        <w:rPr>
          <w:rFonts w:ascii="宋体" w:hAnsi="宋体"/>
          <w:bCs/>
          <w:color w:val="000000"/>
          <w:sz w:val="24"/>
          <w:szCs w:val="24"/>
          <w:highlight w:val="none"/>
          <w:lang w:val="zh-CN"/>
        </w:rPr>
        <w:t>解密或开、评标工作无法进行的，可根据实际情况相应延迟解密时间或调整开、评标时间（友情提示：若</w:t>
      </w:r>
      <w:r>
        <w:rPr>
          <w:rFonts w:hint="eastAsia" w:ascii="宋体" w:hAnsi="宋体"/>
          <w:bCs/>
          <w:color w:val="000000"/>
          <w:sz w:val="24"/>
          <w:szCs w:val="24"/>
          <w:highlight w:val="none"/>
          <w:lang w:val="zh-CN"/>
        </w:rPr>
        <w:t>供应商</w:t>
      </w:r>
      <w:r>
        <w:rPr>
          <w:rFonts w:ascii="宋体" w:hAnsi="宋体"/>
          <w:bCs/>
          <w:color w:val="000000"/>
          <w:sz w:val="24"/>
          <w:szCs w:val="24"/>
          <w:highlight w:val="none"/>
          <w:lang w:val="zh-CN"/>
        </w:rPr>
        <w:t>已领取副锁（含多把副锁）请注意正副锁的使用差别）。本项目在限定的解密时间内，只要有一家供应商解密成功，即视为网上平台运行无故障。</w:t>
      </w:r>
      <w:r>
        <w:rPr>
          <w:rFonts w:hint="eastAsia" w:ascii="宋体" w:hAnsi="宋体"/>
          <w:bCs/>
          <w:color w:val="000000"/>
          <w:sz w:val="24"/>
          <w:szCs w:val="24"/>
          <w:highlight w:val="none"/>
          <w:lang w:val="zh-CN"/>
        </w:rPr>
        <w:t>响应文件</w:t>
      </w:r>
      <w:r>
        <w:rPr>
          <w:rFonts w:ascii="宋体" w:hAnsi="宋体"/>
          <w:bCs/>
          <w:color w:val="000000"/>
          <w:sz w:val="24"/>
          <w:szCs w:val="24"/>
          <w:highlight w:val="none"/>
          <w:lang w:val="zh-CN"/>
        </w:rPr>
        <w:t>递交</w:t>
      </w:r>
      <w:r>
        <w:rPr>
          <w:rFonts w:hint="eastAsia" w:ascii="宋体" w:hAnsi="宋体"/>
          <w:bCs/>
          <w:color w:val="000000"/>
          <w:sz w:val="24"/>
          <w:szCs w:val="24"/>
          <w:highlight w:val="none"/>
        </w:rPr>
        <w:t>截止时间后参加投标的供应商或解密投标文件的供应商不足三家的，不开标；开标后，所有投标供应商可在线上开标大厅中看到所有投标人的投标报价；</w:t>
      </w:r>
    </w:p>
    <w:p w14:paraId="15CA5533">
      <w:pPr>
        <w:numPr>
          <w:ilvl w:val="1"/>
          <w:numId w:val="0"/>
        </w:numPr>
        <w:tabs>
          <w:tab w:val="left" w:pos="525"/>
          <w:tab w:val="left" w:pos="945"/>
        </w:tabs>
        <w:spacing w:line="360" w:lineRule="auto"/>
        <w:ind w:left="1" w:firstLine="523"/>
        <w:rPr>
          <w:rFonts w:ascii="宋体"/>
          <w:bCs/>
          <w:color w:val="000000"/>
          <w:sz w:val="24"/>
          <w:szCs w:val="24"/>
          <w:highlight w:val="none"/>
        </w:rPr>
      </w:pPr>
      <w:r>
        <w:rPr>
          <w:rFonts w:hint="eastAsia" w:ascii="宋体"/>
          <w:bCs/>
          <w:color w:val="000000"/>
          <w:sz w:val="24"/>
          <w:szCs w:val="24"/>
          <w:highlight w:val="none"/>
        </w:rPr>
        <w:t>3．</w:t>
      </w:r>
      <w:r>
        <w:rPr>
          <w:rFonts w:hint="eastAsia" w:ascii="宋体" w:hAnsi="宋体"/>
          <w:bCs/>
          <w:color w:val="000000"/>
          <w:sz w:val="24"/>
          <w:szCs w:val="24"/>
          <w:highlight w:val="none"/>
        </w:rPr>
        <w:t>开标时，投标文件</w:t>
      </w:r>
      <w:r>
        <w:rPr>
          <w:rFonts w:ascii="宋体" w:hAnsi="宋体"/>
          <w:bCs/>
          <w:color w:val="000000"/>
          <w:sz w:val="24"/>
          <w:szCs w:val="24"/>
          <w:highlight w:val="none"/>
        </w:rPr>
        <w:t>报价出现前后不一致的，按照下列规定修正：</w:t>
      </w:r>
    </w:p>
    <w:p w14:paraId="03D7FDB2">
      <w:pPr>
        <w:tabs>
          <w:tab w:val="left" w:pos="630"/>
          <w:tab w:val="left" w:pos="945"/>
          <w:tab w:val="left" w:pos="1155"/>
          <w:tab w:val="left" w:pos="1554"/>
        </w:tabs>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（一）</w:t>
      </w:r>
      <w:r>
        <w:rPr>
          <w:rFonts w:ascii="宋体" w:hAnsi="宋体"/>
          <w:bCs/>
          <w:color w:val="000000"/>
          <w:sz w:val="24"/>
          <w:szCs w:val="24"/>
          <w:highlight w:val="none"/>
        </w:rPr>
        <w:t>投标文件中开标一览表（报价表）内容与投标文件中相应内容不一致的，以开标一览表（报价表）为准；</w:t>
      </w:r>
    </w:p>
    <w:p w14:paraId="25C8C0DA">
      <w:pPr>
        <w:tabs>
          <w:tab w:val="left" w:pos="630"/>
          <w:tab w:val="left" w:pos="945"/>
          <w:tab w:val="left" w:pos="1155"/>
        </w:tabs>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（二）</w:t>
      </w:r>
      <w:r>
        <w:rPr>
          <w:rFonts w:ascii="宋体" w:hAnsi="宋体"/>
          <w:bCs/>
          <w:color w:val="000000"/>
          <w:sz w:val="24"/>
          <w:szCs w:val="24"/>
          <w:highlight w:val="none"/>
        </w:rPr>
        <w:t>大写金额和小写金额不一致的，以大写金额为准；</w:t>
      </w:r>
    </w:p>
    <w:p w14:paraId="07DB420D">
      <w:pPr>
        <w:tabs>
          <w:tab w:val="left" w:pos="630"/>
          <w:tab w:val="left" w:pos="945"/>
          <w:tab w:val="left" w:pos="1155"/>
        </w:tabs>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（三）</w:t>
      </w:r>
      <w:r>
        <w:rPr>
          <w:rFonts w:ascii="宋体" w:hAnsi="宋体"/>
          <w:bCs/>
          <w:color w:val="000000"/>
          <w:sz w:val="24"/>
          <w:szCs w:val="24"/>
          <w:highlight w:val="none"/>
        </w:rPr>
        <w:t>单价金额小数点或者百分比有明显错位的，以开标一览表的总价为准，并修改单价；</w:t>
      </w:r>
    </w:p>
    <w:p w14:paraId="20258BAA">
      <w:pPr>
        <w:tabs>
          <w:tab w:val="left" w:pos="630"/>
          <w:tab w:val="left" w:pos="945"/>
          <w:tab w:val="left" w:pos="1155"/>
        </w:tabs>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（四）</w:t>
      </w:r>
      <w:r>
        <w:rPr>
          <w:rFonts w:ascii="宋体" w:hAnsi="宋体"/>
          <w:bCs/>
          <w:color w:val="000000"/>
          <w:sz w:val="24"/>
          <w:szCs w:val="24"/>
          <w:highlight w:val="none"/>
        </w:rPr>
        <w:t>总价金额与按单价汇总金额不一致的，以单价金额计算结果为准。</w:t>
      </w:r>
    </w:p>
    <w:p w14:paraId="1BD25BB6">
      <w:pPr>
        <w:tabs>
          <w:tab w:val="left" w:pos="945"/>
        </w:tabs>
        <w:spacing w:line="360" w:lineRule="auto"/>
        <w:ind w:firstLine="480"/>
        <w:rPr>
          <w:rFonts w:ascii="宋体" w:hAnsi="宋体"/>
          <w:bCs/>
          <w:color w:val="000000"/>
          <w:sz w:val="24"/>
          <w:szCs w:val="24"/>
          <w:highlight w:val="none"/>
        </w:rPr>
      </w:pPr>
      <w:r>
        <w:rPr>
          <w:rFonts w:ascii="宋体" w:hAnsi="宋体"/>
          <w:bCs/>
          <w:color w:val="000000"/>
          <w:sz w:val="24"/>
          <w:szCs w:val="24"/>
          <w:highlight w:val="none"/>
        </w:rPr>
        <w:t>同时出现两种以上不一致的，按照前款规定的顺序修正。修正后的报价</w:t>
      </w:r>
      <w:r>
        <w:rPr>
          <w:rFonts w:hint="eastAsia" w:ascii="宋体" w:hAnsi="宋体"/>
          <w:bCs/>
          <w:color w:val="000000"/>
          <w:sz w:val="24"/>
          <w:szCs w:val="24"/>
          <w:highlight w:val="none"/>
        </w:rPr>
        <w:t>评标委员会</w:t>
      </w:r>
      <w:r>
        <w:rPr>
          <w:rFonts w:ascii="宋体" w:hAnsi="宋体"/>
          <w:bCs/>
          <w:color w:val="000000"/>
          <w:sz w:val="24"/>
          <w:szCs w:val="24"/>
          <w:highlight w:val="none"/>
        </w:rPr>
        <w:t>应当以书面形式要求</w:t>
      </w:r>
      <w:r>
        <w:rPr>
          <w:rFonts w:hint="eastAsia" w:ascii="宋体" w:hAnsi="宋体"/>
          <w:bCs/>
          <w:color w:val="000000"/>
          <w:sz w:val="24"/>
          <w:szCs w:val="24"/>
          <w:highlight w:val="none"/>
        </w:rPr>
        <w:t>投标</w:t>
      </w:r>
      <w:r>
        <w:rPr>
          <w:rFonts w:ascii="宋体" w:hAnsi="宋体"/>
          <w:bCs/>
          <w:color w:val="000000"/>
          <w:sz w:val="24"/>
          <w:szCs w:val="24"/>
          <w:highlight w:val="none"/>
        </w:rPr>
        <w:t>人作出必要的澄清、说明或者补正</w:t>
      </w:r>
      <w:r>
        <w:rPr>
          <w:rFonts w:hint="eastAsia" w:ascii="宋体" w:hAnsi="宋体"/>
          <w:bCs/>
          <w:color w:val="000000"/>
          <w:sz w:val="24"/>
          <w:szCs w:val="24"/>
          <w:highlight w:val="none"/>
        </w:rPr>
        <w:t>，</w:t>
      </w:r>
      <w:r>
        <w:rPr>
          <w:rFonts w:ascii="宋体" w:hAnsi="宋体"/>
          <w:bCs/>
          <w:color w:val="000000"/>
          <w:sz w:val="24"/>
          <w:szCs w:val="24"/>
          <w:highlight w:val="none"/>
        </w:rPr>
        <w:t>经投标人确认后产生约束力，投标人不确认的，其投标无效</w:t>
      </w:r>
      <w:r>
        <w:rPr>
          <w:rFonts w:hint="eastAsia" w:ascii="宋体" w:hAnsi="宋体"/>
          <w:bCs/>
          <w:color w:val="000000"/>
          <w:sz w:val="24"/>
          <w:szCs w:val="24"/>
          <w:highlight w:val="none"/>
        </w:rPr>
        <w:t>。</w:t>
      </w:r>
    </w:p>
    <w:p w14:paraId="3CE11838">
      <w:pPr>
        <w:numPr>
          <w:ilvl w:val="1"/>
          <w:numId w:val="0"/>
        </w:numPr>
        <w:tabs>
          <w:tab w:val="left" w:pos="525"/>
          <w:tab w:val="left" w:pos="945"/>
        </w:tabs>
        <w:spacing w:line="360" w:lineRule="auto"/>
        <w:ind w:left="1" w:firstLine="523"/>
        <w:rPr>
          <w:rFonts w:ascii="宋体" w:hAnsi="宋体"/>
          <w:bCs/>
          <w:color w:val="000000"/>
          <w:sz w:val="24"/>
          <w:szCs w:val="24"/>
          <w:highlight w:val="none"/>
        </w:rPr>
      </w:pPr>
      <w:r>
        <w:rPr>
          <w:rFonts w:hint="eastAsia" w:ascii="宋体" w:hAnsi="宋体"/>
          <w:bCs/>
          <w:color w:val="000000"/>
          <w:sz w:val="24"/>
          <w:szCs w:val="24"/>
          <w:highlight w:val="none"/>
        </w:rPr>
        <w:t>4．电子投标文件与纸质投标文件（如有）不符的，以电子投标文件为准。</w:t>
      </w:r>
    </w:p>
    <w:p w14:paraId="3812B4C3">
      <w:pPr>
        <w:numPr>
          <w:ilvl w:val="1"/>
          <w:numId w:val="0"/>
        </w:numPr>
        <w:tabs>
          <w:tab w:val="left" w:pos="525"/>
          <w:tab w:val="left" w:pos="945"/>
        </w:tabs>
        <w:spacing w:line="360" w:lineRule="auto"/>
        <w:ind w:left="1" w:firstLine="523"/>
        <w:rPr>
          <w:rFonts w:ascii="宋体" w:hAnsi="宋体"/>
          <w:bCs/>
          <w:color w:val="000000"/>
          <w:sz w:val="24"/>
          <w:szCs w:val="24"/>
          <w:highlight w:val="none"/>
        </w:rPr>
      </w:pPr>
      <w:r>
        <w:rPr>
          <w:rFonts w:hint="eastAsia" w:ascii="宋体" w:hAnsi="宋体"/>
          <w:bCs/>
          <w:color w:val="000000"/>
          <w:sz w:val="24"/>
          <w:szCs w:val="24"/>
          <w:highlight w:val="none"/>
        </w:rPr>
        <w:t>5．投标人未参加开标的，视同认可开标结果。</w:t>
      </w:r>
    </w:p>
    <w:p w14:paraId="798DAA8A">
      <w:pPr>
        <w:numPr>
          <w:ilvl w:val="1"/>
          <w:numId w:val="0"/>
        </w:numPr>
        <w:tabs>
          <w:tab w:val="left" w:pos="525"/>
          <w:tab w:val="left" w:pos="945"/>
        </w:tabs>
        <w:spacing w:line="360" w:lineRule="auto"/>
        <w:ind w:left="1" w:firstLine="523"/>
        <w:rPr>
          <w:rFonts w:ascii="宋体"/>
          <w:bCs/>
          <w:color w:val="000000"/>
          <w:sz w:val="24"/>
          <w:szCs w:val="24"/>
          <w:highlight w:val="none"/>
        </w:rPr>
      </w:pPr>
      <w:r>
        <w:rPr>
          <w:rFonts w:hint="eastAsia" w:ascii="宋体"/>
          <w:bCs/>
          <w:color w:val="000000"/>
          <w:sz w:val="24"/>
          <w:szCs w:val="24"/>
          <w:highlight w:val="none"/>
        </w:rPr>
        <w:t>6．</w:t>
      </w:r>
      <w:r>
        <w:rPr>
          <w:rFonts w:hint="eastAsia" w:ascii="宋体" w:hAnsi="宋体"/>
          <w:bCs/>
          <w:color w:val="000000"/>
          <w:sz w:val="24"/>
          <w:szCs w:val="24"/>
          <w:highlight w:val="none"/>
        </w:rPr>
        <w:t>评标程序</w:t>
      </w:r>
    </w:p>
    <w:p w14:paraId="3601D90C">
      <w:pPr>
        <w:tabs>
          <w:tab w:val="left" w:pos="945"/>
        </w:tabs>
        <w:spacing w:line="360" w:lineRule="auto"/>
        <w:ind w:firstLine="523"/>
        <w:rPr>
          <w:rFonts w:ascii="宋体"/>
          <w:bCs/>
          <w:color w:val="000000"/>
          <w:sz w:val="24"/>
          <w:szCs w:val="24"/>
          <w:highlight w:val="none"/>
        </w:rPr>
      </w:pPr>
      <w:r>
        <w:rPr>
          <w:rFonts w:hint="eastAsia" w:ascii="宋体" w:hAnsi="宋体"/>
          <w:bCs/>
          <w:color w:val="000000"/>
          <w:sz w:val="24"/>
          <w:szCs w:val="24"/>
          <w:highlight w:val="none"/>
        </w:rPr>
        <w:t>评标工作由采购人和采购代理机构负责组织，具体评标事务由依法组建的评标委员会负责。</w:t>
      </w:r>
    </w:p>
    <w:p w14:paraId="3925A4B1">
      <w:pPr>
        <w:numPr>
          <w:ilvl w:val="0"/>
          <w:numId w:val="4"/>
        </w:numPr>
        <w:tabs>
          <w:tab w:val="left" w:pos="630"/>
          <w:tab w:val="left" w:pos="945"/>
          <w:tab w:val="left" w:pos="1155"/>
        </w:tabs>
        <w:spacing w:line="360" w:lineRule="auto"/>
        <w:ind w:left="0" w:firstLine="523"/>
        <w:rPr>
          <w:rFonts w:ascii="宋体"/>
          <w:bCs/>
          <w:color w:val="000000"/>
          <w:sz w:val="24"/>
          <w:szCs w:val="24"/>
          <w:highlight w:val="none"/>
        </w:rPr>
      </w:pPr>
      <w:r>
        <w:rPr>
          <w:rFonts w:hint="eastAsia" w:ascii="宋体" w:hAnsi="宋体"/>
          <w:bCs/>
          <w:color w:val="000000"/>
          <w:sz w:val="24"/>
          <w:highlight w:val="none"/>
        </w:rPr>
        <w:t>投标文件初审。初审分为资格性检查和符合性检查。</w:t>
      </w:r>
    </w:p>
    <w:p w14:paraId="2E122B43">
      <w:pPr>
        <w:numPr>
          <w:ilvl w:val="0"/>
          <w:numId w:val="5"/>
        </w:numPr>
        <w:tabs>
          <w:tab w:val="left" w:pos="525"/>
          <w:tab w:val="left" w:pos="630"/>
          <w:tab w:val="left" w:pos="945"/>
          <w:tab w:val="left" w:pos="1365"/>
        </w:tabs>
        <w:spacing w:line="360" w:lineRule="auto"/>
        <w:ind w:left="0" w:firstLine="523"/>
        <w:rPr>
          <w:rFonts w:ascii="宋体" w:hAnsi="宋体"/>
          <w:bCs/>
          <w:color w:val="000000"/>
          <w:sz w:val="24"/>
          <w:szCs w:val="24"/>
          <w:highlight w:val="none"/>
        </w:rPr>
      </w:pPr>
      <w:r>
        <w:rPr>
          <w:rFonts w:hint="eastAsia" w:ascii="宋体" w:hAnsi="宋体"/>
          <w:bCs/>
          <w:color w:val="000000"/>
          <w:sz w:val="24"/>
          <w:highlight w:val="none"/>
        </w:rPr>
        <w:t>资格性检查。采购人依据法律法规和招标文件的规定，对投标文件中的资格证明、投标（报价）承诺函等进行审查；在信用中国（www.creditchina.gov.cn）、中国政府采购网(www.ccgp.gov.cn)网站输入供应商全称或统一社会信用代码查询信用记录并逐一打印。在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bCs/>
          <w:color w:val="000000"/>
          <w:sz w:val="24"/>
          <w:szCs w:val="24"/>
          <w:highlight w:val="none"/>
        </w:rPr>
        <w:t>A、政府采购严重违法记录，即供应商被全国各级财政部门列入“政府采购严重违法失信行为记录名单”，且在处罚有效期内的。B、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的信用记录。处罚生效日至递交响应文件日未满三年的。</w:t>
      </w:r>
    </w:p>
    <w:p w14:paraId="33E2D1A0">
      <w:pPr>
        <w:tabs>
          <w:tab w:val="left" w:pos="945"/>
        </w:tabs>
        <w:spacing w:line="360" w:lineRule="auto"/>
        <w:ind w:firstLine="523"/>
        <w:rPr>
          <w:rFonts w:ascii="宋体" w:hAnsi="宋体"/>
          <w:bCs/>
          <w:color w:val="000000"/>
          <w:sz w:val="24"/>
          <w:szCs w:val="24"/>
          <w:highlight w:val="none"/>
        </w:rPr>
      </w:pPr>
      <w:r>
        <w:rPr>
          <w:rFonts w:hint="eastAsia" w:ascii="宋体" w:hAnsi="宋体"/>
          <w:bCs/>
          <w:color w:val="000000"/>
          <w:sz w:val="24"/>
          <w:szCs w:val="24"/>
          <w:highlight w:val="none"/>
        </w:rPr>
        <w:t>查询证据留存方式：对存在失信信息的供应商，采购人及采购代理机构应填写《无锡市政府采购供应商失信信息确认函》，由失信供应商签名确认。同时，采购代理机构工作人员应登录到来源网站页面进行复核并打印，作为证据留存。</w:t>
      </w:r>
    </w:p>
    <w:p w14:paraId="7C571790">
      <w:pPr>
        <w:tabs>
          <w:tab w:val="left" w:pos="945"/>
        </w:tabs>
        <w:spacing w:line="360" w:lineRule="auto"/>
        <w:ind w:firstLine="523"/>
        <w:rPr>
          <w:rFonts w:ascii="宋体" w:hAnsi="宋体"/>
          <w:bCs/>
          <w:color w:val="000000"/>
          <w:sz w:val="24"/>
          <w:szCs w:val="24"/>
          <w:highlight w:val="none"/>
        </w:rPr>
      </w:pPr>
      <w:r>
        <w:rPr>
          <w:rFonts w:hint="eastAsia" w:ascii="宋体" w:hAnsi="宋体"/>
          <w:bCs/>
          <w:color w:val="000000"/>
          <w:sz w:val="24"/>
          <w:szCs w:val="24"/>
          <w:highlight w:val="none"/>
        </w:rPr>
        <w:t>经审查供应商存在上述失信行为的，资格审查不予通过，其投标无效。</w:t>
      </w:r>
    </w:p>
    <w:p w14:paraId="2947ACAC">
      <w:pPr>
        <w:numPr>
          <w:ilvl w:val="0"/>
          <w:numId w:val="6"/>
        </w:numPr>
        <w:tabs>
          <w:tab w:val="left" w:pos="525"/>
          <w:tab w:val="left" w:pos="630"/>
          <w:tab w:val="left" w:pos="881"/>
          <w:tab w:val="left" w:pos="945"/>
          <w:tab w:val="left" w:pos="1365"/>
        </w:tabs>
        <w:spacing w:line="360" w:lineRule="auto"/>
        <w:ind w:left="0" w:firstLine="523"/>
        <w:rPr>
          <w:rFonts w:ascii="宋体"/>
          <w:bCs/>
          <w:color w:val="000000"/>
          <w:sz w:val="24"/>
          <w:highlight w:val="none"/>
        </w:rPr>
      </w:pPr>
      <w:r>
        <w:rPr>
          <w:rFonts w:hint="eastAsia" w:ascii="宋体" w:hAnsi="宋体"/>
          <w:bCs/>
          <w:color w:val="000000"/>
          <w:sz w:val="24"/>
          <w:szCs w:val="24"/>
          <w:highlight w:val="none"/>
        </w:rPr>
        <w:t>采购代理机构将通过相关渠道查询的供应商主体信用记录，与项目其他采购资料一并保存</w:t>
      </w:r>
      <w:r>
        <w:rPr>
          <w:rFonts w:hint="eastAsia" w:ascii="宋体" w:hAnsi="宋体"/>
          <w:color w:val="000000"/>
          <w:sz w:val="24"/>
          <w:szCs w:val="24"/>
          <w:highlight w:val="none"/>
        </w:rPr>
        <w:t>。</w:t>
      </w:r>
    </w:p>
    <w:p w14:paraId="4D91385E">
      <w:pPr>
        <w:numPr>
          <w:ilvl w:val="0"/>
          <w:numId w:val="6"/>
        </w:numPr>
        <w:tabs>
          <w:tab w:val="left" w:pos="525"/>
          <w:tab w:val="left" w:pos="630"/>
          <w:tab w:val="left" w:pos="881"/>
          <w:tab w:val="left" w:pos="945"/>
          <w:tab w:val="left" w:pos="1365"/>
        </w:tabs>
        <w:spacing w:line="360" w:lineRule="auto"/>
        <w:ind w:left="0" w:firstLine="523"/>
        <w:rPr>
          <w:rFonts w:ascii="宋体"/>
          <w:bCs/>
          <w:color w:val="000000"/>
          <w:sz w:val="24"/>
          <w:highlight w:val="none"/>
        </w:rPr>
      </w:pPr>
      <w:r>
        <w:rPr>
          <w:rFonts w:hint="eastAsia" w:ascii="宋体" w:hAnsi="宋体"/>
          <w:bCs/>
          <w:color w:val="000000"/>
          <w:sz w:val="24"/>
          <w:highlight w:val="none"/>
        </w:rPr>
        <w:t>符合性检查。评标委员会依据招标文件的规定，从投标文件的有效性、完整性和对招标文件的响应程度进行审查，以确定是否对招标文件的实质性要求作出响应。</w:t>
      </w:r>
    </w:p>
    <w:p w14:paraId="1BA313E8">
      <w:pPr>
        <w:numPr>
          <w:ilvl w:val="0"/>
          <w:numId w:val="4"/>
        </w:numPr>
        <w:tabs>
          <w:tab w:val="left" w:pos="525"/>
          <w:tab w:val="left" w:pos="945"/>
          <w:tab w:val="left" w:pos="1155"/>
        </w:tabs>
        <w:spacing w:line="360" w:lineRule="auto"/>
        <w:ind w:left="0" w:firstLine="523"/>
        <w:rPr>
          <w:rFonts w:ascii="宋体"/>
          <w:bCs/>
          <w:color w:val="000000"/>
          <w:sz w:val="24"/>
          <w:szCs w:val="24"/>
          <w:highlight w:val="none"/>
        </w:rPr>
      </w:pPr>
      <w:r>
        <w:rPr>
          <w:rFonts w:ascii="宋体" w:hAnsi="宋体"/>
          <w:bCs/>
          <w:color w:val="000000"/>
          <w:sz w:val="24"/>
          <w:szCs w:val="24"/>
          <w:highlight w:val="none"/>
        </w:rPr>
        <w:t>澄清有关问题。对</w:t>
      </w:r>
      <w:r>
        <w:rPr>
          <w:rFonts w:hint="eastAsia" w:ascii="宋体" w:hAnsi="宋体"/>
          <w:bCs/>
          <w:color w:val="000000"/>
          <w:sz w:val="24"/>
          <w:szCs w:val="24"/>
          <w:highlight w:val="none"/>
        </w:rPr>
        <w:t>投标</w:t>
      </w:r>
      <w:r>
        <w:rPr>
          <w:rFonts w:ascii="宋体" w:hAnsi="宋体"/>
          <w:bCs/>
          <w:color w:val="000000"/>
          <w:sz w:val="24"/>
          <w:szCs w:val="24"/>
          <w:highlight w:val="none"/>
        </w:rPr>
        <w:t>文件中含义不明确、同类问题表述不一致或者有明显文字和计算错误的内容，</w:t>
      </w:r>
      <w:r>
        <w:rPr>
          <w:rFonts w:hint="eastAsia" w:ascii="宋体" w:hAnsi="宋体"/>
          <w:bCs/>
          <w:color w:val="000000"/>
          <w:sz w:val="24"/>
          <w:szCs w:val="24"/>
          <w:highlight w:val="none"/>
        </w:rPr>
        <w:t>评标委员会</w:t>
      </w:r>
      <w:r>
        <w:rPr>
          <w:rFonts w:ascii="宋体" w:hAnsi="宋体"/>
          <w:bCs/>
          <w:color w:val="000000"/>
          <w:sz w:val="24"/>
          <w:szCs w:val="24"/>
          <w:highlight w:val="none"/>
        </w:rPr>
        <w:t>可以</w:t>
      </w:r>
      <w:r>
        <w:rPr>
          <w:rFonts w:hint="eastAsia" w:ascii="宋体" w:hAnsi="宋体"/>
          <w:bCs/>
          <w:color w:val="000000"/>
          <w:sz w:val="24"/>
          <w:highlight w:val="none"/>
        </w:rPr>
        <w:t>通过</w:t>
      </w:r>
      <w:r>
        <w:rPr>
          <w:rFonts w:hint="eastAsia" w:ascii="宋体" w:hAnsi="宋体"/>
          <w:bCs/>
          <w:color w:val="000000"/>
          <w:sz w:val="24"/>
          <w:szCs w:val="24"/>
          <w:highlight w:val="none"/>
        </w:rPr>
        <w:t>政府采购交易管理一体化系统</w:t>
      </w:r>
      <w:r>
        <w:rPr>
          <w:rFonts w:hint="eastAsia" w:ascii="宋体" w:hAnsi="宋体"/>
          <w:bCs/>
          <w:color w:val="000000"/>
          <w:sz w:val="24"/>
          <w:highlight w:val="none"/>
        </w:rPr>
        <w:t>发起询标</w:t>
      </w:r>
      <w:r>
        <w:rPr>
          <w:rFonts w:ascii="宋体" w:hAnsi="宋体"/>
          <w:bCs/>
          <w:color w:val="000000"/>
          <w:sz w:val="24"/>
          <w:szCs w:val="24"/>
          <w:highlight w:val="none"/>
        </w:rPr>
        <w:t>要求</w:t>
      </w:r>
      <w:r>
        <w:rPr>
          <w:rFonts w:hint="eastAsia" w:ascii="宋体" w:hAnsi="宋体"/>
          <w:bCs/>
          <w:color w:val="000000"/>
          <w:sz w:val="24"/>
          <w:szCs w:val="24"/>
          <w:highlight w:val="none"/>
        </w:rPr>
        <w:t>投标</w:t>
      </w:r>
      <w:r>
        <w:rPr>
          <w:rFonts w:ascii="宋体" w:hAnsi="宋体"/>
          <w:bCs/>
          <w:color w:val="000000"/>
          <w:sz w:val="24"/>
          <w:szCs w:val="24"/>
          <w:highlight w:val="none"/>
        </w:rPr>
        <w:t>人作出必要的澄清、说明或者纠正。</w:t>
      </w:r>
      <w:r>
        <w:rPr>
          <w:rFonts w:hint="eastAsia" w:ascii="宋体" w:hAnsi="宋体"/>
          <w:bCs/>
          <w:color w:val="000000"/>
          <w:sz w:val="24"/>
          <w:szCs w:val="24"/>
          <w:highlight w:val="none"/>
        </w:rPr>
        <w:t>投标</w:t>
      </w:r>
      <w:r>
        <w:rPr>
          <w:rFonts w:ascii="宋体" w:hAnsi="宋体"/>
          <w:bCs/>
          <w:color w:val="000000"/>
          <w:sz w:val="24"/>
          <w:szCs w:val="24"/>
          <w:highlight w:val="none"/>
        </w:rPr>
        <w:t>人的澄清、说明或者补正应当</w:t>
      </w:r>
      <w:r>
        <w:rPr>
          <w:rFonts w:hint="eastAsia" w:ascii="宋体" w:hAnsi="宋体"/>
          <w:bCs/>
          <w:color w:val="000000"/>
          <w:sz w:val="24"/>
          <w:highlight w:val="none"/>
        </w:rPr>
        <w:t>通过</w:t>
      </w:r>
      <w:r>
        <w:rPr>
          <w:rFonts w:hint="eastAsia" w:ascii="宋体" w:hAnsi="宋体"/>
          <w:bCs/>
          <w:color w:val="000000"/>
          <w:sz w:val="24"/>
          <w:szCs w:val="24"/>
          <w:highlight w:val="none"/>
        </w:rPr>
        <w:t>政府采购交易管理一体化系统</w:t>
      </w:r>
      <w:r>
        <w:rPr>
          <w:rFonts w:ascii="宋体" w:hAnsi="宋体"/>
          <w:bCs/>
          <w:color w:val="000000"/>
          <w:sz w:val="24"/>
          <w:szCs w:val="24"/>
          <w:highlight w:val="none"/>
        </w:rPr>
        <w:t>，由其授权的代表</w:t>
      </w:r>
      <w:r>
        <w:rPr>
          <w:rFonts w:hint="eastAsia" w:ascii="宋体" w:hAnsi="宋体"/>
          <w:bCs/>
          <w:color w:val="000000"/>
          <w:sz w:val="24"/>
          <w:highlight w:val="none"/>
        </w:rPr>
        <w:t>应答并加盖电子公章，且不得超出投标文件的范围或者改变投标文件的实质性内容</w:t>
      </w:r>
      <w:r>
        <w:rPr>
          <w:rFonts w:hint="eastAsia" w:ascii="宋体" w:hAnsi="宋体"/>
          <w:bCs/>
          <w:color w:val="000000"/>
          <w:sz w:val="24"/>
          <w:szCs w:val="24"/>
          <w:highlight w:val="none"/>
        </w:rPr>
        <w:t>。</w:t>
      </w:r>
    </w:p>
    <w:p w14:paraId="56C35C60">
      <w:pPr>
        <w:numPr>
          <w:ilvl w:val="0"/>
          <w:numId w:val="4"/>
        </w:numPr>
        <w:tabs>
          <w:tab w:val="left" w:pos="945"/>
          <w:tab w:val="left" w:pos="1155"/>
          <w:tab w:val="left" w:pos="1365"/>
        </w:tabs>
        <w:spacing w:line="360" w:lineRule="auto"/>
        <w:ind w:left="0" w:firstLine="523"/>
        <w:rPr>
          <w:rFonts w:ascii="宋体"/>
          <w:bCs/>
          <w:color w:val="000000"/>
          <w:sz w:val="24"/>
          <w:szCs w:val="24"/>
          <w:highlight w:val="none"/>
        </w:rPr>
      </w:pPr>
      <w:r>
        <w:rPr>
          <w:rFonts w:hint="eastAsia" w:ascii="宋体" w:hAnsi="宋体"/>
          <w:bCs/>
          <w:color w:val="000000"/>
          <w:sz w:val="24"/>
          <w:highlight w:val="none"/>
        </w:rPr>
        <w:t>比较与评价。按招标文件中规定的评标方法和标准，对资格性检查和符合性检查合格的投标文件进行商务和技术评估，综合比较与评价</w:t>
      </w:r>
      <w:r>
        <w:rPr>
          <w:rFonts w:hint="eastAsia" w:ascii="宋体" w:hAnsi="宋体"/>
          <w:bCs/>
          <w:color w:val="000000"/>
          <w:sz w:val="24"/>
          <w:szCs w:val="24"/>
          <w:highlight w:val="none"/>
        </w:rPr>
        <w:t>。</w:t>
      </w:r>
    </w:p>
    <w:p w14:paraId="5D0283AE">
      <w:pPr>
        <w:numPr>
          <w:ilvl w:val="1"/>
          <w:numId w:val="0"/>
        </w:numPr>
        <w:tabs>
          <w:tab w:val="left" w:pos="525"/>
          <w:tab w:val="left" w:pos="945"/>
        </w:tabs>
        <w:spacing w:line="360" w:lineRule="auto"/>
        <w:ind w:left="1" w:firstLine="523"/>
        <w:rPr>
          <w:rFonts w:ascii="宋体"/>
          <w:bCs/>
          <w:color w:val="000000"/>
          <w:sz w:val="24"/>
          <w:szCs w:val="24"/>
          <w:highlight w:val="none"/>
        </w:rPr>
      </w:pPr>
      <w:r>
        <w:rPr>
          <w:rFonts w:hint="eastAsia" w:ascii="宋体"/>
          <w:bCs/>
          <w:color w:val="000000"/>
          <w:sz w:val="24"/>
          <w:szCs w:val="24"/>
          <w:highlight w:val="none"/>
        </w:rPr>
        <w:t>7．</w:t>
      </w:r>
      <w:r>
        <w:rPr>
          <w:rFonts w:hint="eastAsia" w:ascii="宋体" w:hAnsi="宋体"/>
          <w:bCs/>
          <w:color w:val="000000"/>
          <w:sz w:val="24"/>
          <w:szCs w:val="24"/>
          <w:highlight w:val="none"/>
        </w:rPr>
        <w:t>评标方法</w:t>
      </w:r>
    </w:p>
    <w:p w14:paraId="4181EA56">
      <w:pPr>
        <w:tabs>
          <w:tab w:val="left" w:pos="945"/>
        </w:tabs>
        <w:spacing w:line="360" w:lineRule="auto"/>
        <w:ind w:firstLine="523"/>
        <w:rPr>
          <w:rFonts w:ascii="宋体"/>
          <w:bCs/>
          <w:color w:val="000000"/>
          <w:sz w:val="24"/>
          <w:szCs w:val="24"/>
          <w:highlight w:val="none"/>
        </w:rPr>
      </w:pPr>
      <w:r>
        <w:rPr>
          <w:rFonts w:hint="eastAsia" w:ascii="宋体" w:hAnsi="宋体"/>
          <w:bCs/>
          <w:color w:val="000000"/>
          <w:sz w:val="24"/>
          <w:szCs w:val="24"/>
          <w:highlight w:val="none"/>
        </w:rPr>
        <w:t>投标人通过初审的，方可进入</w:t>
      </w:r>
      <w:r>
        <w:rPr>
          <w:rFonts w:hint="eastAsia" w:ascii="宋体" w:hAnsi="宋体"/>
          <w:bCs/>
          <w:color w:val="000000"/>
          <w:sz w:val="24"/>
          <w:highlight w:val="none"/>
        </w:rPr>
        <w:t>比较与评价程序</w:t>
      </w:r>
      <w:r>
        <w:rPr>
          <w:rFonts w:hint="eastAsia" w:ascii="宋体" w:hAnsi="宋体"/>
          <w:bCs/>
          <w:color w:val="000000"/>
          <w:sz w:val="24"/>
          <w:szCs w:val="24"/>
          <w:highlight w:val="none"/>
        </w:rPr>
        <w:t>。</w:t>
      </w:r>
    </w:p>
    <w:p w14:paraId="38B47781">
      <w:pPr>
        <w:tabs>
          <w:tab w:val="left" w:pos="945"/>
        </w:tabs>
        <w:spacing w:line="360" w:lineRule="auto"/>
        <w:ind w:firstLine="523"/>
        <w:rPr>
          <w:rFonts w:ascii="宋体"/>
          <w:bCs/>
          <w:color w:val="000000"/>
          <w:sz w:val="24"/>
          <w:szCs w:val="24"/>
          <w:highlight w:val="none"/>
        </w:rPr>
      </w:pPr>
      <w:r>
        <w:rPr>
          <w:rFonts w:hint="eastAsia" w:ascii="宋体" w:hAnsi="宋体"/>
          <w:bCs/>
          <w:color w:val="000000"/>
          <w:sz w:val="24"/>
          <w:highlight w:val="none"/>
        </w:rPr>
        <w:t>比较与评价</w:t>
      </w:r>
      <w:r>
        <w:rPr>
          <w:rFonts w:hint="eastAsia" w:ascii="宋体" w:hAnsi="宋体"/>
          <w:bCs/>
          <w:color w:val="000000"/>
          <w:sz w:val="24"/>
          <w:szCs w:val="24"/>
          <w:highlight w:val="none"/>
        </w:rPr>
        <w:t>采用综合评分法。</w:t>
      </w:r>
    </w:p>
    <w:p w14:paraId="22B1C150">
      <w:pPr>
        <w:tabs>
          <w:tab w:val="left" w:pos="945"/>
        </w:tabs>
        <w:spacing w:line="360" w:lineRule="auto"/>
        <w:ind w:firstLine="523"/>
        <w:rPr>
          <w:rFonts w:ascii="宋体" w:hAnsi="宋体"/>
          <w:bCs/>
          <w:color w:val="000000"/>
          <w:sz w:val="24"/>
          <w:szCs w:val="24"/>
          <w:highlight w:val="none"/>
        </w:rPr>
      </w:pPr>
      <w:r>
        <w:rPr>
          <w:rFonts w:hint="eastAsia" w:ascii="宋体" w:hAnsi="宋体"/>
          <w:color w:val="000000"/>
          <w:sz w:val="24"/>
          <w:highlight w:val="none"/>
        </w:rPr>
        <w:t>评审委员会遵循公平、公正、择优原则，独立按照评分标准分别评定投标供应商的分值；各投标供应商的最终得分为各评委所评定分值的平均值，</w:t>
      </w:r>
      <w:r>
        <w:rPr>
          <w:rFonts w:hint="eastAsia" w:ascii="宋体" w:hAnsi="宋体" w:cs="宋体"/>
          <w:color w:val="000000"/>
          <w:sz w:val="24"/>
          <w:highlight w:val="none"/>
        </w:rPr>
        <w:t>评标结果按评审后得分由高到低顺序排列</w:t>
      </w:r>
      <w:r>
        <w:rPr>
          <w:rFonts w:hint="eastAsia" w:ascii="宋体" w:hAnsi="宋体"/>
          <w:color w:val="000000"/>
          <w:sz w:val="24"/>
          <w:highlight w:val="none"/>
        </w:rPr>
        <w:t>。得分相同的，</w:t>
      </w:r>
      <w:r>
        <w:rPr>
          <w:rFonts w:hint="eastAsia" w:ascii="宋体" w:hAnsi="宋体" w:cs="宋体"/>
          <w:color w:val="000000"/>
          <w:sz w:val="24"/>
          <w:highlight w:val="none"/>
        </w:rPr>
        <w:t>按投标报价由低到高顺序排列。得分且投标报价相同的并列。并列的</w:t>
      </w:r>
      <w:r>
        <w:rPr>
          <w:rFonts w:ascii="宋体" w:hAnsi="宋体"/>
          <w:bCs/>
          <w:color w:val="000000"/>
          <w:sz w:val="24"/>
          <w:highlight w:val="none"/>
        </w:rPr>
        <w:t>按</w:t>
      </w:r>
      <w:r>
        <w:rPr>
          <w:rFonts w:hint="eastAsia" w:ascii="宋体" w:hAnsi="宋体"/>
          <w:bCs/>
          <w:color w:val="000000"/>
          <w:sz w:val="24"/>
          <w:highlight w:val="none"/>
        </w:rPr>
        <w:t>技术标</w:t>
      </w:r>
      <w:r>
        <w:rPr>
          <w:rFonts w:ascii="宋体" w:hAnsi="宋体"/>
          <w:bCs/>
          <w:color w:val="000000"/>
          <w:sz w:val="24"/>
          <w:highlight w:val="none"/>
        </w:rPr>
        <w:t>指标优劣顺序排列</w:t>
      </w:r>
      <w:r>
        <w:rPr>
          <w:rFonts w:hint="eastAsia" w:ascii="宋体" w:hAnsi="宋体"/>
          <w:bCs/>
          <w:color w:val="000000"/>
          <w:sz w:val="24"/>
          <w:highlight w:val="none"/>
        </w:rPr>
        <w:t>。</w:t>
      </w:r>
      <w:r>
        <w:rPr>
          <w:rFonts w:hint="eastAsia" w:ascii="宋体" w:hAnsi="宋体" w:cs="宋体"/>
          <w:color w:val="000000"/>
          <w:sz w:val="24"/>
          <w:highlight w:val="none"/>
        </w:rPr>
        <w:t>投标文件满足招标文件全部实质性要求，且按照评审因素的量化指标评审得分最高的投标供应商为排名第一的中标候选人。未列入本评分细则的其他条件不作为评分内容</w:t>
      </w:r>
      <w:r>
        <w:rPr>
          <w:rFonts w:hint="eastAsia" w:ascii="宋体" w:hAnsi="宋体"/>
          <w:bCs/>
          <w:color w:val="000000"/>
          <w:sz w:val="24"/>
          <w:szCs w:val="24"/>
          <w:highlight w:val="none"/>
        </w:rPr>
        <w:t>。</w:t>
      </w:r>
    </w:p>
    <w:p w14:paraId="15EEE8A1">
      <w:pPr>
        <w:numPr>
          <w:ilvl w:val="1"/>
          <w:numId w:val="0"/>
        </w:numPr>
        <w:tabs>
          <w:tab w:val="left" w:pos="525"/>
          <w:tab w:val="left" w:pos="945"/>
        </w:tabs>
        <w:spacing w:line="360" w:lineRule="auto"/>
        <w:ind w:left="1" w:firstLine="523"/>
        <w:rPr>
          <w:rFonts w:ascii="宋体" w:hAnsi="宋体"/>
          <w:bCs/>
          <w:color w:val="000000"/>
          <w:sz w:val="24"/>
          <w:szCs w:val="24"/>
          <w:highlight w:val="none"/>
        </w:rPr>
      </w:pPr>
      <w:r>
        <w:rPr>
          <w:rFonts w:hint="eastAsia" w:ascii="宋体" w:hAnsi="宋体"/>
          <w:bCs/>
          <w:color w:val="000000"/>
          <w:sz w:val="24"/>
          <w:szCs w:val="24"/>
          <w:highlight w:val="none"/>
        </w:rPr>
        <w:t>8．评分标准</w:t>
      </w:r>
    </w:p>
    <w:p w14:paraId="66F0D87D">
      <w:pPr>
        <w:tabs>
          <w:tab w:val="left" w:pos="525"/>
          <w:tab w:val="left" w:pos="945"/>
        </w:tabs>
        <w:spacing w:line="360" w:lineRule="auto"/>
        <w:ind w:left="524"/>
        <w:rPr>
          <w:rFonts w:ascii="宋体" w:hAnsi="宋体"/>
          <w:bCs/>
          <w:color w:val="000000"/>
          <w:sz w:val="24"/>
          <w:szCs w:val="24"/>
          <w:highlight w:val="none"/>
        </w:rPr>
      </w:pPr>
      <w:r>
        <w:rPr>
          <w:rFonts w:hint="eastAsia" w:ascii="宋体" w:hAnsi="宋体"/>
          <w:bCs/>
          <w:color w:val="000000"/>
          <w:sz w:val="24"/>
          <w:szCs w:val="24"/>
          <w:highlight w:val="none"/>
        </w:rPr>
        <w:t>详见附件。</w:t>
      </w:r>
    </w:p>
    <w:p w14:paraId="147197D9">
      <w:pPr>
        <w:tabs>
          <w:tab w:val="left" w:pos="945"/>
        </w:tabs>
        <w:spacing w:line="360" w:lineRule="auto"/>
        <w:ind w:firstLine="480"/>
        <w:outlineLvl w:val="1"/>
        <w:rPr>
          <w:rFonts w:ascii="黑体" w:hAnsi="宋体" w:eastAsia="黑体"/>
          <w:bCs/>
          <w:color w:val="000000"/>
          <w:sz w:val="24"/>
          <w:szCs w:val="24"/>
          <w:highlight w:val="none"/>
        </w:rPr>
      </w:pPr>
      <w:r>
        <w:rPr>
          <w:rFonts w:hint="eastAsia" w:ascii="黑体" w:hAnsi="宋体" w:eastAsia="黑体"/>
          <w:bCs/>
          <w:color w:val="000000"/>
          <w:sz w:val="24"/>
          <w:szCs w:val="24"/>
          <w:highlight w:val="none"/>
        </w:rPr>
        <w:t>（十一）定标：</w:t>
      </w:r>
    </w:p>
    <w:p w14:paraId="5846546F">
      <w:pPr>
        <w:tabs>
          <w:tab w:val="left" w:pos="1155"/>
        </w:tabs>
        <w:spacing w:line="360" w:lineRule="auto"/>
        <w:ind w:firstLine="480"/>
        <w:rPr>
          <w:rFonts w:ascii="宋体" w:hAnsi="宋体" w:cs="宋体"/>
          <w:color w:val="000000"/>
          <w:sz w:val="24"/>
          <w:highlight w:val="none"/>
        </w:rPr>
      </w:pPr>
      <w:r>
        <w:rPr>
          <w:rFonts w:ascii="宋体" w:hAnsi="宋体"/>
          <w:bCs/>
          <w:color w:val="000000"/>
          <w:sz w:val="24"/>
          <w:highlight w:val="none"/>
        </w:rPr>
        <w:t>1.</w:t>
      </w:r>
      <w:r>
        <w:rPr>
          <w:rFonts w:hint="eastAsia" w:ascii="宋体" w:hAnsi="宋体"/>
          <w:bCs/>
          <w:color w:val="000000"/>
          <w:sz w:val="24"/>
          <w:highlight w:val="none"/>
        </w:rPr>
        <w:t xml:space="preserve"> 评标委员会根据招标文件规定的评标方法和评标标准进行评审，按本次招标的定标规则确定中标候选人，</w:t>
      </w:r>
      <w:r>
        <w:rPr>
          <w:rFonts w:hint="eastAsia" w:ascii="宋体" w:hAnsi="宋体" w:cs="宋体"/>
          <w:color w:val="000000"/>
          <w:sz w:val="24"/>
          <w:highlight w:val="none"/>
        </w:rPr>
        <w:t>采</w:t>
      </w:r>
      <w:r>
        <w:rPr>
          <w:rFonts w:hint="eastAsia" w:ascii="宋体" w:hAnsi="宋体"/>
          <w:bCs/>
          <w:color w:val="000000"/>
          <w:sz w:val="24"/>
          <w:highlight w:val="none"/>
        </w:rPr>
        <w:t>购代理机构应当在评标结束后2个工作日内将评标报告送采购人。采购人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江苏钧华项目管理有限公司自中标人确定之日起2个工作日内，在省级以上财政部门指定的媒体（江苏政府采购网、无锡政府采购网）上公告中标结</w:t>
      </w:r>
      <w:r>
        <w:rPr>
          <w:rFonts w:hint="eastAsia" w:ascii="宋体" w:hAnsi="宋体" w:cs="宋体"/>
          <w:color w:val="000000"/>
          <w:sz w:val="24"/>
          <w:highlight w:val="none"/>
        </w:rPr>
        <w:t>果，在公告中标结果的同时，江苏钧华项目管理有限公司向中标人发出中标通知书。</w:t>
      </w:r>
    </w:p>
    <w:p w14:paraId="16614482">
      <w:pPr>
        <w:tabs>
          <w:tab w:val="left" w:pos="1155"/>
        </w:tabs>
        <w:spacing w:line="360" w:lineRule="auto"/>
        <w:ind w:firstLine="480"/>
        <w:rPr>
          <w:rFonts w:ascii="宋体" w:hAnsi="宋体" w:cs="宋体"/>
          <w:color w:val="000000"/>
          <w:sz w:val="24"/>
          <w:highlight w:val="none"/>
        </w:rPr>
      </w:pPr>
      <w:r>
        <w:rPr>
          <w:rFonts w:hint="eastAsia" w:ascii="宋体" w:hAnsi="宋体"/>
          <w:bCs/>
          <w:color w:val="000000"/>
          <w:sz w:val="24"/>
          <w:highlight w:val="none"/>
        </w:rPr>
        <w:t>2.</w:t>
      </w:r>
      <w:r>
        <w:rPr>
          <w:rFonts w:ascii="宋体" w:hAnsi="宋体"/>
          <w:bCs/>
          <w:color w:val="000000"/>
          <w:sz w:val="24"/>
          <w:highlight w:val="none"/>
        </w:rPr>
        <w:t xml:space="preserve"> 如有质疑，</w:t>
      </w:r>
      <w:r>
        <w:rPr>
          <w:rFonts w:hint="eastAsia" w:ascii="宋体" w:hAnsi="宋体"/>
          <w:bCs/>
          <w:color w:val="000000"/>
          <w:sz w:val="24"/>
          <w:highlight w:val="none"/>
        </w:rPr>
        <w:t>按中华人民共和国财政部令第94号--政府采购质疑和投诉办法执行，供应商在法定质疑期限外送达的质疑函或法定质疑期限内送达的质疑函不符合下述要求的均为无效质疑，江苏钧华项目管理有限公司对无效质疑不予受理。如质疑查无实据或供应商捏造事实，提供虚假材料进行恶意举报，不配合或采用不正当手段干扰政府采购质疑的，将记入供应商在江苏省和无锡市的政府采购“供应商诚信记录”，并按相关规定处理。</w:t>
      </w:r>
    </w:p>
    <w:p w14:paraId="583F2857">
      <w:pPr>
        <w:tabs>
          <w:tab w:val="right" w:pos="180"/>
          <w:tab w:val="left" w:pos="525"/>
          <w:tab w:val="left" w:pos="945"/>
        </w:tabs>
        <w:spacing w:line="360" w:lineRule="auto"/>
        <w:ind w:left="523"/>
        <w:rPr>
          <w:rFonts w:ascii="宋体" w:hAnsi="宋体"/>
          <w:bCs/>
          <w:color w:val="000000"/>
          <w:sz w:val="24"/>
          <w:highlight w:val="none"/>
        </w:rPr>
      </w:pPr>
      <w:r>
        <w:rPr>
          <w:rFonts w:hint="eastAsia" w:ascii="宋体" w:hAnsi="宋体"/>
          <w:bCs/>
          <w:color w:val="000000"/>
          <w:sz w:val="24"/>
          <w:highlight w:val="none"/>
        </w:rPr>
        <w:t>1）提出质疑的供应商应当是参与所质疑项目采购活动的供应商。</w:t>
      </w:r>
    </w:p>
    <w:p w14:paraId="5A7478AB">
      <w:pPr>
        <w:tabs>
          <w:tab w:val="right" w:pos="180"/>
          <w:tab w:val="left" w:pos="525"/>
          <w:tab w:val="left" w:pos="570"/>
          <w:tab w:val="left" w:pos="945"/>
        </w:tabs>
        <w:spacing w:line="360" w:lineRule="auto"/>
        <w:ind w:firstLine="480"/>
        <w:rPr>
          <w:rFonts w:ascii="宋体" w:hAnsi="宋体"/>
          <w:bCs/>
          <w:color w:val="000000"/>
          <w:sz w:val="24"/>
          <w:highlight w:val="none"/>
        </w:rPr>
      </w:pPr>
      <w:r>
        <w:rPr>
          <w:rFonts w:hint="eastAsia" w:ascii="宋体" w:hAnsi="宋体"/>
          <w:bCs/>
          <w:color w:val="000000"/>
          <w:sz w:val="24"/>
          <w:highlight w:val="none"/>
        </w:rPr>
        <w:t>潜在供应商已依法获取其可质疑的采购文件的，可以对该文件提出质疑。对采购文件提出质疑的，应当在获取采购文件或者采购文件公告期限届满之日起7个工作日内提出。</w:t>
      </w:r>
    </w:p>
    <w:p w14:paraId="04E96885">
      <w:pPr>
        <w:tabs>
          <w:tab w:val="right" w:pos="180"/>
          <w:tab w:val="left" w:pos="525"/>
          <w:tab w:val="left" w:pos="570"/>
          <w:tab w:val="left" w:pos="945"/>
        </w:tabs>
        <w:spacing w:line="360" w:lineRule="auto"/>
        <w:ind w:firstLine="480"/>
        <w:rPr>
          <w:rFonts w:ascii="宋体" w:hAnsi="宋体"/>
          <w:bCs/>
          <w:color w:val="000000"/>
          <w:sz w:val="24"/>
          <w:highlight w:val="none"/>
        </w:rPr>
      </w:pPr>
      <w:r>
        <w:rPr>
          <w:rFonts w:hint="eastAsia" w:ascii="宋体" w:hAnsi="宋体"/>
          <w:bCs/>
          <w:color w:val="000000"/>
          <w:sz w:val="24"/>
          <w:highlight w:val="none"/>
        </w:rPr>
        <w:t>2）供应商提出质疑应当提交质疑函和必要的证明材料。质疑函应当包括下列内容：</w:t>
      </w:r>
    </w:p>
    <w:p w14:paraId="67B65AC7">
      <w:pPr>
        <w:pStyle w:val="23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w:t>
      </w:r>
      <w:r>
        <w:rPr>
          <w:rFonts w:ascii="宋体" w:hAnsi="宋体" w:eastAsia="宋体"/>
          <w:color w:val="000000"/>
          <w:sz w:val="24"/>
          <w:szCs w:val="24"/>
          <w:highlight w:val="none"/>
        </w:rPr>
        <w:t>A</w:t>
      </w:r>
      <w:r>
        <w:rPr>
          <w:rFonts w:hint="eastAsia" w:ascii="宋体" w:hAnsi="宋体" w:eastAsia="宋体"/>
          <w:color w:val="000000"/>
          <w:sz w:val="24"/>
          <w:szCs w:val="24"/>
          <w:highlight w:val="none"/>
        </w:rPr>
        <w:t>．供应商的姓名或者名称、地址、邮编、联系人及联系电话；</w:t>
      </w:r>
    </w:p>
    <w:p w14:paraId="2400BC3C">
      <w:pPr>
        <w:pStyle w:val="23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w:t>
      </w:r>
      <w:r>
        <w:rPr>
          <w:rFonts w:ascii="宋体" w:hAnsi="宋体" w:eastAsia="宋体"/>
          <w:color w:val="000000"/>
          <w:sz w:val="24"/>
          <w:szCs w:val="24"/>
          <w:highlight w:val="none"/>
        </w:rPr>
        <w:t>B</w:t>
      </w:r>
      <w:r>
        <w:rPr>
          <w:rFonts w:hint="eastAsia" w:ascii="宋体" w:hAnsi="宋体" w:eastAsia="宋体"/>
          <w:color w:val="000000"/>
          <w:sz w:val="24"/>
          <w:szCs w:val="24"/>
          <w:highlight w:val="none"/>
        </w:rPr>
        <w:t>．质疑项目的名称、编号；</w:t>
      </w:r>
    </w:p>
    <w:p w14:paraId="6F8A0761">
      <w:pPr>
        <w:pStyle w:val="23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w:t>
      </w:r>
      <w:r>
        <w:rPr>
          <w:rFonts w:ascii="宋体" w:hAnsi="宋体" w:eastAsia="宋体"/>
          <w:color w:val="000000"/>
          <w:sz w:val="24"/>
          <w:szCs w:val="24"/>
          <w:highlight w:val="none"/>
        </w:rPr>
        <w:t>C</w:t>
      </w:r>
      <w:r>
        <w:rPr>
          <w:rFonts w:hint="eastAsia" w:ascii="宋体" w:hAnsi="宋体" w:eastAsia="宋体"/>
          <w:color w:val="000000"/>
          <w:sz w:val="24"/>
          <w:szCs w:val="24"/>
          <w:highlight w:val="none"/>
        </w:rPr>
        <w:t>．具体、明确的质疑事项和与质疑事项相关的请求；</w:t>
      </w:r>
    </w:p>
    <w:p w14:paraId="0A435AA7">
      <w:pPr>
        <w:pStyle w:val="23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w:t>
      </w:r>
      <w:r>
        <w:rPr>
          <w:rFonts w:ascii="宋体" w:hAnsi="宋体" w:eastAsia="宋体"/>
          <w:color w:val="000000"/>
          <w:sz w:val="24"/>
          <w:szCs w:val="24"/>
          <w:highlight w:val="none"/>
        </w:rPr>
        <w:t>D</w:t>
      </w:r>
      <w:r>
        <w:rPr>
          <w:rFonts w:hint="eastAsia" w:ascii="宋体" w:hAnsi="宋体" w:eastAsia="宋体"/>
          <w:color w:val="000000"/>
          <w:sz w:val="24"/>
          <w:szCs w:val="24"/>
          <w:highlight w:val="none"/>
        </w:rPr>
        <w:t>．事实依据；</w:t>
      </w:r>
    </w:p>
    <w:p w14:paraId="0E98AEA7">
      <w:pPr>
        <w:pStyle w:val="23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w:t>
      </w:r>
      <w:r>
        <w:rPr>
          <w:rFonts w:ascii="宋体" w:hAnsi="宋体" w:eastAsia="宋体"/>
          <w:color w:val="000000"/>
          <w:sz w:val="24"/>
          <w:szCs w:val="24"/>
          <w:highlight w:val="none"/>
        </w:rPr>
        <w:t>E</w:t>
      </w:r>
      <w:r>
        <w:rPr>
          <w:rFonts w:hint="eastAsia" w:ascii="宋体" w:hAnsi="宋体" w:eastAsia="宋体"/>
          <w:color w:val="000000"/>
          <w:sz w:val="24"/>
          <w:szCs w:val="24"/>
          <w:highlight w:val="none"/>
        </w:rPr>
        <w:t>．必要的法律依据；</w:t>
      </w:r>
    </w:p>
    <w:p w14:paraId="205EE5E7">
      <w:pPr>
        <w:pStyle w:val="23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w:t>
      </w:r>
      <w:r>
        <w:rPr>
          <w:rFonts w:ascii="宋体" w:hAnsi="宋体" w:eastAsia="宋体"/>
          <w:color w:val="000000"/>
          <w:sz w:val="24"/>
          <w:szCs w:val="24"/>
          <w:highlight w:val="none"/>
        </w:rPr>
        <w:t>F</w:t>
      </w:r>
      <w:r>
        <w:rPr>
          <w:rFonts w:hint="eastAsia" w:ascii="宋体" w:hAnsi="宋体" w:eastAsia="宋体"/>
          <w:color w:val="000000"/>
          <w:sz w:val="24"/>
          <w:szCs w:val="24"/>
          <w:highlight w:val="none"/>
        </w:rPr>
        <w:t>．提出质疑的日期。</w:t>
      </w:r>
    </w:p>
    <w:p w14:paraId="1D1155A4">
      <w:pPr>
        <w:pStyle w:val="23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供应商为自然人的，应当由本人签字；供应商为法人或者其他组织的，应当由法定代表人、主要负责人，或者其授权代表签字或者盖章，并加盖公章。</w:t>
      </w:r>
    </w:p>
    <w:p w14:paraId="2C1F613B">
      <w:pPr>
        <w:pStyle w:val="230"/>
        <w:spacing w:line="360" w:lineRule="auto"/>
        <w:ind w:firstLine="480"/>
        <w:rPr>
          <w:rFonts w:ascii="宋体" w:hAnsi="宋体" w:eastAsia="宋体"/>
          <w:color w:val="000000"/>
          <w:sz w:val="24"/>
          <w:szCs w:val="24"/>
          <w:highlight w:val="none"/>
        </w:rPr>
      </w:pPr>
      <w:r>
        <w:rPr>
          <w:rFonts w:hint="eastAsia" w:ascii="宋体" w:hAnsi="宋体" w:eastAsia="宋体"/>
          <w:color w:val="000000"/>
          <w:sz w:val="24"/>
          <w:szCs w:val="24"/>
          <w:highlight w:val="none"/>
        </w:rPr>
        <w:t>3）采购人、采购代理机构不得拒收质疑供应商在法定质疑期内发出的质疑函，应当在收到质疑函后7个工作日内作出答复，并以书面形式通知质疑供应商和其他有关供应商。</w:t>
      </w:r>
    </w:p>
    <w:p w14:paraId="38536448">
      <w:pPr>
        <w:tabs>
          <w:tab w:val="left" w:pos="525"/>
          <w:tab w:val="left" w:pos="945"/>
          <w:tab w:val="left" w:pos="1155"/>
        </w:tabs>
        <w:spacing w:line="360" w:lineRule="auto"/>
        <w:ind w:firstLine="523"/>
        <w:rPr>
          <w:rFonts w:ascii="宋体"/>
          <w:bCs/>
          <w:color w:val="000000"/>
          <w:sz w:val="24"/>
          <w:szCs w:val="24"/>
          <w:highlight w:val="none"/>
        </w:rPr>
      </w:pPr>
      <w:r>
        <w:rPr>
          <w:rFonts w:hint="eastAsia" w:ascii="宋体" w:hAnsi="宋体"/>
          <w:bCs/>
          <w:color w:val="000000"/>
          <w:sz w:val="24"/>
          <w:highlight w:val="none"/>
        </w:rPr>
        <w:t>3</w:t>
      </w:r>
      <w:r>
        <w:rPr>
          <w:rFonts w:ascii="宋体" w:hAnsi="宋体"/>
          <w:bCs/>
          <w:color w:val="000000"/>
          <w:sz w:val="24"/>
          <w:highlight w:val="none"/>
        </w:rPr>
        <w:t>.</w:t>
      </w:r>
      <w:r>
        <w:rPr>
          <w:rFonts w:hint="eastAsia" w:ascii="宋体" w:hAnsi="宋体"/>
          <w:bCs/>
          <w:color w:val="000000"/>
          <w:sz w:val="24"/>
          <w:highlight w:val="none"/>
        </w:rPr>
        <w:t>投标、开标及定标的整个过程均由有关部门进行现场监督。</w:t>
      </w:r>
    </w:p>
    <w:p w14:paraId="146072C2">
      <w:pPr>
        <w:tabs>
          <w:tab w:val="left" w:pos="945"/>
        </w:tabs>
        <w:spacing w:line="360" w:lineRule="auto"/>
        <w:ind w:firstLine="480"/>
        <w:outlineLvl w:val="1"/>
        <w:rPr>
          <w:rFonts w:ascii="黑体" w:hAnsi="宋体" w:eastAsia="黑体"/>
          <w:bCs/>
          <w:color w:val="000000"/>
          <w:sz w:val="24"/>
          <w:szCs w:val="24"/>
          <w:highlight w:val="none"/>
        </w:rPr>
      </w:pPr>
      <w:r>
        <w:rPr>
          <w:rFonts w:hint="eastAsia" w:ascii="黑体" w:hAnsi="宋体" w:eastAsia="黑体"/>
          <w:bCs/>
          <w:color w:val="000000"/>
          <w:sz w:val="24"/>
          <w:szCs w:val="24"/>
          <w:highlight w:val="none"/>
        </w:rPr>
        <w:t>（十二） 废标的确认：</w:t>
      </w:r>
    </w:p>
    <w:p w14:paraId="53554A25">
      <w:pPr>
        <w:spacing w:line="360" w:lineRule="auto"/>
        <w:ind w:firstLine="480"/>
        <w:rPr>
          <w:rFonts w:ascii="宋体"/>
          <w:bCs/>
          <w:color w:val="000000"/>
          <w:sz w:val="24"/>
          <w:szCs w:val="24"/>
          <w:highlight w:val="none"/>
        </w:rPr>
      </w:pPr>
      <w:r>
        <w:rPr>
          <w:rFonts w:hint="eastAsia" w:ascii="宋体" w:hAnsi="宋体"/>
          <w:bCs/>
          <w:color w:val="000000"/>
          <w:sz w:val="24"/>
          <w:szCs w:val="24"/>
          <w:highlight w:val="none"/>
        </w:rPr>
        <w:t>在招标采购中，出现下列情况之一的，应予废标：</w:t>
      </w:r>
    </w:p>
    <w:p w14:paraId="11BF76B6">
      <w:pPr>
        <w:numPr>
          <w:ilvl w:val="0"/>
          <w:numId w:val="7"/>
        </w:numPr>
        <w:tabs>
          <w:tab w:val="left" w:pos="525"/>
          <w:tab w:val="left" w:pos="945"/>
          <w:tab w:val="left" w:pos="1260"/>
        </w:tabs>
        <w:spacing w:line="360" w:lineRule="auto"/>
        <w:ind w:left="0" w:firstLine="525"/>
        <w:rPr>
          <w:rFonts w:ascii="宋体"/>
          <w:bCs/>
          <w:color w:val="000000"/>
          <w:sz w:val="24"/>
          <w:szCs w:val="24"/>
          <w:highlight w:val="none"/>
        </w:rPr>
      </w:pPr>
      <w:r>
        <w:rPr>
          <w:rFonts w:hint="eastAsia" w:ascii="宋体" w:hAnsi="宋体"/>
          <w:bCs/>
          <w:color w:val="000000"/>
          <w:sz w:val="24"/>
          <w:szCs w:val="24"/>
          <w:highlight w:val="none"/>
        </w:rPr>
        <w:t>符合专业条件的投标人或者对招标文件作出实质性响应的投标人不足三家；</w:t>
      </w:r>
    </w:p>
    <w:p w14:paraId="6D3C88FD">
      <w:pPr>
        <w:numPr>
          <w:ilvl w:val="0"/>
          <w:numId w:val="7"/>
        </w:numPr>
        <w:tabs>
          <w:tab w:val="left" w:pos="525"/>
          <w:tab w:val="left" w:pos="945"/>
          <w:tab w:val="left" w:pos="1260"/>
        </w:tabs>
        <w:spacing w:line="360" w:lineRule="auto"/>
        <w:ind w:left="0" w:firstLine="525"/>
        <w:rPr>
          <w:rFonts w:ascii="宋体"/>
          <w:bCs/>
          <w:color w:val="000000"/>
          <w:sz w:val="24"/>
          <w:szCs w:val="24"/>
          <w:highlight w:val="none"/>
        </w:rPr>
      </w:pPr>
      <w:r>
        <w:rPr>
          <w:rFonts w:hint="eastAsia" w:ascii="宋体" w:hAnsi="宋体"/>
          <w:bCs/>
          <w:color w:val="000000"/>
          <w:sz w:val="24"/>
          <w:szCs w:val="24"/>
          <w:highlight w:val="none"/>
        </w:rPr>
        <w:t>出现影响采购公正的违法、违规行为；</w:t>
      </w:r>
    </w:p>
    <w:p w14:paraId="555221CF">
      <w:pPr>
        <w:numPr>
          <w:ilvl w:val="0"/>
          <w:numId w:val="7"/>
        </w:numPr>
        <w:tabs>
          <w:tab w:val="left" w:pos="525"/>
          <w:tab w:val="left" w:pos="945"/>
          <w:tab w:val="left" w:pos="1260"/>
        </w:tabs>
        <w:spacing w:line="360" w:lineRule="auto"/>
        <w:ind w:left="0" w:firstLine="525"/>
        <w:rPr>
          <w:rFonts w:ascii="宋体"/>
          <w:bCs/>
          <w:color w:val="000000"/>
          <w:sz w:val="24"/>
          <w:szCs w:val="24"/>
          <w:highlight w:val="none"/>
        </w:rPr>
      </w:pPr>
      <w:r>
        <w:rPr>
          <w:rFonts w:hint="eastAsia" w:ascii="宋体" w:hAnsi="宋体"/>
          <w:bCs/>
          <w:color w:val="000000"/>
          <w:sz w:val="24"/>
          <w:szCs w:val="24"/>
          <w:highlight w:val="none"/>
        </w:rPr>
        <w:t>投标人的报价均超过采购预算，采购人不能支付的；</w:t>
      </w:r>
    </w:p>
    <w:p w14:paraId="622C085F">
      <w:pPr>
        <w:numPr>
          <w:ilvl w:val="0"/>
          <w:numId w:val="7"/>
        </w:numPr>
        <w:tabs>
          <w:tab w:val="right" w:pos="180"/>
          <w:tab w:val="left" w:pos="525"/>
          <w:tab w:val="left" w:pos="945"/>
          <w:tab w:val="left" w:pos="1260"/>
        </w:tabs>
        <w:spacing w:line="360" w:lineRule="auto"/>
        <w:ind w:left="0" w:firstLine="525"/>
        <w:rPr>
          <w:rFonts w:ascii="宋体"/>
          <w:bCs/>
          <w:color w:val="000000"/>
          <w:sz w:val="24"/>
          <w:szCs w:val="24"/>
          <w:highlight w:val="none"/>
        </w:rPr>
      </w:pPr>
      <w:r>
        <w:rPr>
          <w:rFonts w:hint="eastAsia" w:ascii="宋体" w:hAnsi="宋体"/>
          <w:bCs/>
          <w:color w:val="000000"/>
          <w:sz w:val="24"/>
          <w:szCs w:val="24"/>
          <w:highlight w:val="none"/>
        </w:rPr>
        <w:t>因重大变故，采购任务取消。</w:t>
      </w:r>
    </w:p>
    <w:p w14:paraId="06E16C68">
      <w:pPr>
        <w:tabs>
          <w:tab w:val="left" w:pos="945"/>
        </w:tabs>
        <w:spacing w:line="360" w:lineRule="auto"/>
        <w:ind w:firstLine="480"/>
        <w:outlineLvl w:val="1"/>
        <w:rPr>
          <w:rFonts w:ascii="黑体" w:hAnsi="宋体" w:eastAsia="黑体"/>
          <w:bCs/>
          <w:color w:val="000000"/>
          <w:sz w:val="24"/>
          <w:szCs w:val="24"/>
          <w:highlight w:val="none"/>
        </w:rPr>
      </w:pPr>
      <w:r>
        <w:rPr>
          <w:rFonts w:hint="eastAsia" w:ascii="黑体" w:hAnsi="宋体" w:eastAsia="黑体"/>
          <w:bCs/>
          <w:color w:val="000000"/>
          <w:sz w:val="24"/>
          <w:szCs w:val="24"/>
          <w:highlight w:val="none"/>
        </w:rPr>
        <w:t>（十三）中标无效的确认：</w:t>
      </w:r>
    </w:p>
    <w:p w14:paraId="1AA53FDB">
      <w:pPr>
        <w:tabs>
          <w:tab w:val="left" w:pos="420"/>
          <w:tab w:val="left" w:pos="945"/>
          <w:tab w:val="left" w:pos="1155"/>
        </w:tabs>
        <w:spacing w:line="360" w:lineRule="auto"/>
        <w:ind w:firstLine="523"/>
        <w:rPr>
          <w:rFonts w:ascii="宋体"/>
          <w:bCs/>
          <w:color w:val="000000"/>
          <w:sz w:val="24"/>
          <w:szCs w:val="24"/>
          <w:highlight w:val="none"/>
        </w:rPr>
      </w:pPr>
      <w:r>
        <w:rPr>
          <w:rFonts w:hint="eastAsia" w:ascii="宋体"/>
          <w:bCs/>
          <w:color w:val="000000"/>
          <w:sz w:val="24"/>
          <w:szCs w:val="24"/>
          <w:highlight w:val="none"/>
        </w:rPr>
        <w:t>（1）</w:t>
      </w:r>
      <w:r>
        <w:rPr>
          <w:rFonts w:hint="eastAsia" w:ascii="宋体" w:hAnsi="宋体"/>
          <w:bCs/>
          <w:color w:val="000000"/>
          <w:sz w:val="24"/>
          <w:szCs w:val="24"/>
          <w:highlight w:val="none"/>
        </w:rPr>
        <w:t>提供虚假材料谋取中标的；</w:t>
      </w:r>
    </w:p>
    <w:p w14:paraId="6138F70C">
      <w:pPr>
        <w:tabs>
          <w:tab w:val="left" w:pos="420"/>
          <w:tab w:val="left" w:pos="945"/>
          <w:tab w:val="left" w:pos="1155"/>
        </w:tabs>
        <w:spacing w:line="360" w:lineRule="auto"/>
        <w:ind w:firstLine="523"/>
        <w:rPr>
          <w:rFonts w:ascii="宋体"/>
          <w:bCs/>
          <w:color w:val="000000"/>
          <w:sz w:val="24"/>
          <w:szCs w:val="24"/>
          <w:highlight w:val="none"/>
        </w:rPr>
      </w:pPr>
      <w:r>
        <w:rPr>
          <w:rFonts w:hint="eastAsia" w:ascii="宋体"/>
          <w:bCs/>
          <w:color w:val="000000"/>
          <w:sz w:val="24"/>
          <w:szCs w:val="24"/>
          <w:highlight w:val="none"/>
        </w:rPr>
        <w:t>（2）</w:t>
      </w:r>
      <w:r>
        <w:rPr>
          <w:rFonts w:hint="eastAsia" w:ascii="宋体" w:hAnsi="宋体"/>
          <w:bCs/>
          <w:color w:val="000000"/>
          <w:sz w:val="24"/>
          <w:szCs w:val="24"/>
          <w:highlight w:val="none"/>
        </w:rPr>
        <w:t>采取不正当手段诋毁、排挤其他投标人的；</w:t>
      </w:r>
    </w:p>
    <w:p w14:paraId="1D451317">
      <w:pPr>
        <w:tabs>
          <w:tab w:val="left" w:pos="420"/>
          <w:tab w:val="left" w:pos="945"/>
          <w:tab w:val="left" w:pos="1155"/>
        </w:tabs>
        <w:spacing w:line="360" w:lineRule="auto"/>
        <w:ind w:firstLine="523"/>
        <w:rPr>
          <w:rFonts w:ascii="宋体"/>
          <w:bCs/>
          <w:color w:val="000000"/>
          <w:sz w:val="24"/>
          <w:szCs w:val="24"/>
          <w:highlight w:val="none"/>
        </w:rPr>
      </w:pPr>
      <w:r>
        <w:rPr>
          <w:rFonts w:hint="eastAsia" w:ascii="宋体"/>
          <w:bCs/>
          <w:color w:val="000000"/>
          <w:sz w:val="24"/>
          <w:szCs w:val="24"/>
          <w:highlight w:val="none"/>
        </w:rPr>
        <w:t>（3）</w:t>
      </w:r>
      <w:r>
        <w:rPr>
          <w:rFonts w:hint="eastAsia" w:ascii="宋体" w:hAnsi="宋体"/>
          <w:bCs/>
          <w:color w:val="000000"/>
          <w:sz w:val="24"/>
          <w:szCs w:val="24"/>
          <w:highlight w:val="none"/>
        </w:rPr>
        <w:t>与招标采购单位、其他投标人恶意串通的；</w:t>
      </w:r>
    </w:p>
    <w:p w14:paraId="39873E8F">
      <w:pPr>
        <w:numPr>
          <w:ilvl w:val="2"/>
          <w:numId w:val="0"/>
        </w:numPr>
        <w:tabs>
          <w:tab w:val="left" w:pos="420"/>
          <w:tab w:val="left" w:pos="945"/>
          <w:tab w:val="left" w:pos="1155"/>
        </w:tabs>
        <w:spacing w:line="360" w:lineRule="auto"/>
        <w:ind w:firstLine="523"/>
        <w:rPr>
          <w:rFonts w:ascii="宋体"/>
          <w:bCs/>
          <w:color w:val="000000"/>
          <w:sz w:val="24"/>
          <w:szCs w:val="24"/>
          <w:highlight w:val="none"/>
        </w:rPr>
      </w:pPr>
      <w:r>
        <w:rPr>
          <w:rFonts w:hint="eastAsia" w:ascii="宋体"/>
          <w:bCs/>
          <w:color w:val="000000"/>
          <w:sz w:val="24"/>
          <w:szCs w:val="24"/>
          <w:highlight w:val="none"/>
        </w:rPr>
        <w:t>（4）</w:t>
      </w:r>
      <w:r>
        <w:rPr>
          <w:rFonts w:hint="eastAsia" w:ascii="宋体" w:hAnsi="宋体"/>
          <w:bCs/>
          <w:color w:val="000000"/>
          <w:sz w:val="24"/>
          <w:szCs w:val="24"/>
          <w:highlight w:val="none"/>
        </w:rPr>
        <w:t>向招标采购单位行贿或者提供其他不正当利益的；</w:t>
      </w:r>
    </w:p>
    <w:p w14:paraId="53A0C5A4">
      <w:pPr>
        <w:numPr>
          <w:ilvl w:val="2"/>
          <w:numId w:val="0"/>
        </w:numPr>
        <w:tabs>
          <w:tab w:val="left" w:pos="420"/>
          <w:tab w:val="left" w:pos="945"/>
          <w:tab w:val="left" w:pos="1155"/>
        </w:tabs>
        <w:spacing w:line="360" w:lineRule="auto"/>
        <w:ind w:firstLine="523"/>
        <w:rPr>
          <w:rFonts w:ascii="宋体"/>
          <w:bCs/>
          <w:color w:val="000000"/>
          <w:sz w:val="24"/>
          <w:szCs w:val="24"/>
          <w:highlight w:val="none"/>
        </w:rPr>
      </w:pPr>
      <w:r>
        <w:rPr>
          <w:rFonts w:hint="eastAsia" w:ascii="宋体"/>
          <w:bCs/>
          <w:color w:val="000000"/>
          <w:sz w:val="24"/>
          <w:szCs w:val="24"/>
          <w:highlight w:val="none"/>
        </w:rPr>
        <w:t>（5）</w:t>
      </w:r>
      <w:r>
        <w:rPr>
          <w:rFonts w:hint="eastAsia" w:ascii="宋体" w:hAnsi="宋体"/>
          <w:bCs/>
          <w:color w:val="000000"/>
          <w:sz w:val="24"/>
          <w:szCs w:val="24"/>
          <w:highlight w:val="none"/>
        </w:rPr>
        <w:t>在招标过程中与招标采购单位进行协商谈判、不按照招标文件和中标供应商的投标文件订立合同，或者与采购人另行订立背离合同实质性内容的协议的；</w:t>
      </w:r>
    </w:p>
    <w:p w14:paraId="0C9084E4">
      <w:pPr>
        <w:numPr>
          <w:ilvl w:val="2"/>
          <w:numId w:val="0"/>
        </w:numPr>
        <w:tabs>
          <w:tab w:val="left" w:pos="420"/>
          <w:tab w:val="left" w:pos="945"/>
          <w:tab w:val="left" w:pos="1155"/>
        </w:tabs>
        <w:spacing w:line="360" w:lineRule="auto"/>
        <w:ind w:firstLine="523"/>
        <w:rPr>
          <w:rFonts w:ascii="宋体"/>
          <w:bCs/>
          <w:color w:val="000000"/>
          <w:sz w:val="24"/>
          <w:szCs w:val="24"/>
          <w:highlight w:val="none"/>
        </w:rPr>
      </w:pPr>
      <w:r>
        <w:rPr>
          <w:rFonts w:hint="eastAsia" w:ascii="宋体"/>
          <w:bCs/>
          <w:color w:val="000000"/>
          <w:sz w:val="24"/>
          <w:szCs w:val="24"/>
          <w:highlight w:val="none"/>
        </w:rPr>
        <w:t>（6）</w:t>
      </w:r>
      <w:r>
        <w:rPr>
          <w:rFonts w:hint="eastAsia" w:ascii="宋体" w:hAnsi="宋体"/>
          <w:bCs/>
          <w:color w:val="000000"/>
          <w:sz w:val="24"/>
          <w:szCs w:val="24"/>
          <w:highlight w:val="none"/>
        </w:rPr>
        <w:t>拒绝有关部门监督检查或者提供虚假情况的。</w:t>
      </w:r>
    </w:p>
    <w:p w14:paraId="5B3D67CB">
      <w:pPr>
        <w:tabs>
          <w:tab w:val="left" w:pos="945"/>
        </w:tabs>
        <w:spacing w:line="360" w:lineRule="auto"/>
        <w:ind w:firstLine="480"/>
        <w:rPr>
          <w:rFonts w:ascii="宋体"/>
          <w:bCs/>
          <w:color w:val="000000"/>
          <w:sz w:val="24"/>
          <w:szCs w:val="24"/>
          <w:highlight w:val="none"/>
        </w:rPr>
      </w:pPr>
      <w:r>
        <w:rPr>
          <w:rFonts w:hint="eastAsia" w:ascii="宋体" w:hAnsi="宋体"/>
          <w:bCs/>
          <w:color w:val="000000"/>
          <w:sz w:val="24"/>
          <w:szCs w:val="24"/>
          <w:highlight w:val="none"/>
        </w:rPr>
        <w:t>投标人有上述（</w:t>
      </w:r>
      <w:r>
        <w:rPr>
          <w:rFonts w:ascii="宋体" w:hAnsi="宋体"/>
          <w:bCs/>
          <w:color w:val="000000"/>
          <w:sz w:val="24"/>
          <w:szCs w:val="24"/>
          <w:highlight w:val="none"/>
        </w:rPr>
        <w:t>1</w:t>
      </w:r>
      <w:r>
        <w:rPr>
          <w:rFonts w:hint="eastAsia" w:ascii="宋体" w:hAnsi="宋体"/>
          <w:bCs/>
          <w:color w:val="000000"/>
          <w:sz w:val="24"/>
          <w:szCs w:val="24"/>
          <w:highlight w:val="none"/>
        </w:rPr>
        <w:t>）至（</w:t>
      </w:r>
      <w:r>
        <w:rPr>
          <w:rFonts w:ascii="宋体" w:hAnsi="宋体"/>
          <w:bCs/>
          <w:color w:val="000000"/>
          <w:sz w:val="24"/>
          <w:szCs w:val="24"/>
          <w:highlight w:val="none"/>
        </w:rPr>
        <w:t>5</w:t>
      </w:r>
      <w:r>
        <w:rPr>
          <w:rFonts w:hint="eastAsia" w:ascii="宋体" w:hAnsi="宋体"/>
          <w:bCs/>
          <w:color w:val="000000"/>
          <w:sz w:val="24"/>
          <w:szCs w:val="24"/>
          <w:highlight w:val="none"/>
        </w:rPr>
        <w:t>）项情形之一的，中标无效。有上述（</w:t>
      </w:r>
      <w:r>
        <w:rPr>
          <w:rFonts w:ascii="宋体" w:hAnsi="宋体"/>
          <w:bCs/>
          <w:color w:val="000000"/>
          <w:sz w:val="24"/>
          <w:szCs w:val="24"/>
          <w:highlight w:val="none"/>
        </w:rPr>
        <w:t>1</w:t>
      </w:r>
      <w:r>
        <w:rPr>
          <w:rFonts w:hint="eastAsia" w:ascii="宋体" w:hAnsi="宋体"/>
          <w:bCs/>
          <w:color w:val="000000"/>
          <w:sz w:val="24"/>
          <w:szCs w:val="24"/>
          <w:highlight w:val="none"/>
        </w:rPr>
        <w:t>）至（</w:t>
      </w:r>
      <w:r>
        <w:rPr>
          <w:rFonts w:ascii="宋体" w:hAnsi="宋体"/>
          <w:bCs/>
          <w:color w:val="000000"/>
          <w:sz w:val="24"/>
          <w:szCs w:val="24"/>
          <w:highlight w:val="none"/>
        </w:rPr>
        <w:t>6</w:t>
      </w:r>
      <w:r>
        <w:rPr>
          <w:rFonts w:hint="eastAsia" w:ascii="宋体" w:hAnsi="宋体"/>
          <w:bCs/>
          <w:color w:val="000000"/>
          <w:sz w:val="24"/>
          <w:szCs w:val="24"/>
          <w:highlight w:val="none"/>
        </w:rPr>
        <w:t>）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746C77D8">
      <w:pPr>
        <w:tabs>
          <w:tab w:val="left" w:pos="945"/>
        </w:tabs>
        <w:spacing w:line="360" w:lineRule="auto"/>
        <w:ind w:firstLine="480"/>
        <w:outlineLvl w:val="1"/>
        <w:rPr>
          <w:rFonts w:ascii="黑体" w:hAnsi="宋体" w:eastAsia="黑体"/>
          <w:bCs/>
          <w:color w:val="000000"/>
          <w:sz w:val="24"/>
          <w:szCs w:val="24"/>
          <w:highlight w:val="none"/>
        </w:rPr>
      </w:pPr>
      <w:r>
        <w:rPr>
          <w:rFonts w:hint="eastAsia" w:ascii="黑体" w:hAnsi="宋体" w:eastAsia="黑体"/>
          <w:bCs/>
          <w:color w:val="000000"/>
          <w:sz w:val="24"/>
          <w:szCs w:val="24"/>
          <w:highlight w:val="none"/>
        </w:rPr>
        <w:t>（十四）签订、履行合同：</w:t>
      </w:r>
    </w:p>
    <w:p w14:paraId="09F5D8D2">
      <w:pPr>
        <w:tabs>
          <w:tab w:val="left" w:pos="525"/>
          <w:tab w:val="left" w:pos="1050"/>
        </w:tabs>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1.采购人应当自中标通知书发出之日起</w:t>
      </w:r>
      <w:r>
        <w:rPr>
          <w:rFonts w:hint="eastAsia" w:ascii="宋体" w:hAnsi="宋体" w:cs="宋体"/>
          <w:b/>
          <w:color w:val="000000"/>
          <w:sz w:val="24"/>
          <w:highlight w:val="none"/>
        </w:rPr>
        <w:t>三十日</w:t>
      </w:r>
      <w:r>
        <w:rPr>
          <w:rFonts w:hint="eastAsia" w:ascii="宋体" w:hAnsi="宋体" w:cs="宋体"/>
          <w:bCs/>
          <w:color w:val="000000"/>
          <w:sz w:val="24"/>
          <w:highlight w:val="none"/>
        </w:rPr>
        <w:t>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江苏钧华项目管理有限公司见证后生效。</w:t>
      </w:r>
    </w:p>
    <w:p w14:paraId="7B0DD6D9">
      <w:pPr>
        <w:tabs>
          <w:tab w:val="left" w:pos="525"/>
          <w:tab w:val="left" w:pos="945"/>
          <w:tab w:val="left" w:pos="1050"/>
        </w:tabs>
        <w:spacing w:line="360" w:lineRule="auto"/>
        <w:ind w:firstLine="525"/>
        <w:rPr>
          <w:rFonts w:ascii="宋体"/>
          <w:bCs/>
          <w:color w:val="000000"/>
          <w:sz w:val="24"/>
          <w:szCs w:val="24"/>
          <w:highlight w:val="none"/>
        </w:rPr>
      </w:pPr>
      <w:r>
        <w:rPr>
          <w:rFonts w:hint="eastAsia" w:ascii="宋体" w:hAnsi="宋体" w:cs="宋体"/>
          <w:bCs/>
          <w:color w:val="000000"/>
          <w:sz w:val="24"/>
          <w:highlight w:val="none"/>
        </w:rPr>
        <w:t>2.江苏钧华项目管理有限公司监督合同的履行。中标方非因不可抗力未履行招、投标文件和合同规定的义务，一经查实，招标代理机构将根据具体情况提请政府采购管理部门作出相应处理。</w:t>
      </w:r>
    </w:p>
    <w:p w14:paraId="7D05284F">
      <w:pPr>
        <w:tabs>
          <w:tab w:val="left" w:pos="945"/>
        </w:tabs>
        <w:spacing w:line="360" w:lineRule="auto"/>
        <w:ind w:firstLine="480"/>
        <w:outlineLvl w:val="1"/>
        <w:rPr>
          <w:rFonts w:ascii="黑体" w:hAnsi="宋体" w:eastAsia="黑体"/>
          <w:bCs/>
          <w:color w:val="000000"/>
          <w:sz w:val="24"/>
          <w:szCs w:val="24"/>
          <w:highlight w:val="none"/>
        </w:rPr>
      </w:pPr>
      <w:r>
        <w:rPr>
          <w:rFonts w:hint="eastAsia" w:ascii="黑体" w:hAnsi="宋体" w:eastAsia="黑体"/>
          <w:bCs/>
          <w:color w:val="000000"/>
          <w:sz w:val="24"/>
          <w:szCs w:val="24"/>
          <w:highlight w:val="none"/>
        </w:rPr>
        <w:t>（十五）</w:t>
      </w:r>
      <w:r>
        <w:rPr>
          <w:rFonts w:ascii="黑体" w:hAnsi="宋体" w:eastAsia="黑体"/>
          <w:bCs/>
          <w:color w:val="000000"/>
          <w:sz w:val="24"/>
          <w:szCs w:val="24"/>
          <w:highlight w:val="none"/>
        </w:rPr>
        <w:t>代理</w:t>
      </w:r>
      <w:r>
        <w:rPr>
          <w:rFonts w:hint="eastAsia" w:ascii="黑体" w:hAnsi="宋体" w:eastAsia="黑体"/>
          <w:bCs/>
          <w:color w:val="000000"/>
          <w:sz w:val="24"/>
          <w:szCs w:val="24"/>
          <w:highlight w:val="none"/>
        </w:rPr>
        <w:t>服务费：</w:t>
      </w:r>
    </w:p>
    <w:p w14:paraId="053D6D81">
      <w:pPr>
        <w:tabs>
          <w:tab w:val="left" w:pos="525"/>
          <w:tab w:val="left" w:pos="945"/>
          <w:tab w:val="left" w:pos="1050"/>
        </w:tabs>
        <w:spacing w:line="360" w:lineRule="auto"/>
        <w:ind w:firstLine="525"/>
        <w:rPr>
          <w:rFonts w:ascii="宋体" w:hAnsi="宋体" w:cs="宋体"/>
          <w:bCs/>
          <w:color w:val="000000"/>
          <w:sz w:val="24"/>
          <w:highlight w:val="none"/>
        </w:rPr>
      </w:pPr>
      <w:r>
        <w:rPr>
          <w:rFonts w:hint="eastAsia" w:ascii="宋体" w:hAnsi="宋体" w:cs="宋体"/>
          <w:bCs/>
          <w:color w:val="000000"/>
          <w:sz w:val="24"/>
          <w:highlight w:val="none"/>
        </w:rPr>
        <w:t>（1）本次招标的采购代理服务费按标段由中标供应商支付，采购代理服务费的收费按差额定率累进法，参照计价格</w:t>
      </w:r>
      <w:r>
        <w:rPr>
          <w:rFonts w:hint="eastAsia" w:ascii="宋体" w:hAnsi="宋体" w:cs="宋体"/>
          <w:bCs/>
          <w:color w:val="000000"/>
          <w:sz w:val="24"/>
          <w:highlight w:val="none"/>
          <w:lang w:eastAsia="zh-CN"/>
        </w:rPr>
        <w:t>〔2002〕</w:t>
      </w:r>
      <w:r>
        <w:rPr>
          <w:rFonts w:hint="eastAsia" w:ascii="宋体" w:hAnsi="宋体" w:cs="宋体"/>
          <w:bCs/>
          <w:color w:val="000000"/>
          <w:sz w:val="24"/>
          <w:highlight w:val="none"/>
        </w:rPr>
        <w:t>1980号文收费标准服务类的70%计取。</w:t>
      </w:r>
    </w:p>
    <w:p w14:paraId="0098F7C6">
      <w:pPr>
        <w:tabs>
          <w:tab w:val="left" w:pos="525"/>
          <w:tab w:val="left" w:pos="945"/>
          <w:tab w:val="left" w:pos="1050"/>
        </w:tabs>
        <w:spacing w:line="360" w:lineRule="auto"/>
        <w:ind w:firstLine="525"/>
        <w:rPr>
          <w:rFonts w:ascii="宋体" w:hAnsi="宋体" w:cs="宋体"/>
          <w:bCs/>
          <w:color w:val="000000"/>
          <w:sz w:val="24"/>
          <w:highlight w:val="none"/>
        </w:rPr>
      </w:pPr>
      <w:r>
        <w:rPr>
          <w:rFonts w:hint="eastAsia" w:ascii="宋体" w:hAnsi="宋体" w:cs="宋体"/>
          <w:bCs/>
          <w:color w:val="000000"/>
          <w:sz w:val="24"/>
          <w:highlight w:val="none"/>
        </w:rPr>
        <w:t>（2）中标单位在领取中标通知书前一次性付清。</w:t>
      </w:r>
    </w:p>
    <w:p w14:paraId="17756924">
      <w:pPr>
        <w:tabs>
          <w:tab w:val="left" w:pos="945"/>
        </w:tabs>
        <w:spacing w:line="360" w:lineRule="auto"/>
        <w:ind w:firstLine="480"/>
        <w:outlineLvl w:val="1"/>
        <w:rPr>
          <w:rFonts w:ascii="黑体" w:hAnsi="宋体" w:eastAsia="黑体"/>
          <w:bCs/>
          <w:color w:val="000000"/>
          <w:sz w:val="24"/>
          <w:szCs w:val="24"/>
          <w:highlight w:val="none"/>
        </w:rPr>
      </w:pPr>
      <w:r>
        <w:rPr>
          <w:rFonts w:hint="eastAsia" w:ascii="黑体" w:hAnsi="宋体" w:eastAsia="黑体"/>
          <w:bCs/>
          <w:color w:val="000000"/>
          <w:sz w:val="24"/>
          <w:szCs w:val="24"/>
          <w:highlight w:val="none"/>
        </w:rPr>
        <w:t>（十</w:t>
      </w:r>
      <w:r>
        <w:rPr>
          <w:rFonts w:ascii="黑体" w:hAnsi="宋体" w:eastAsia="黑体"/>
          <w:bCs/>
          <w:color w:val="000000"/>
          <w:sz w:val="24"/>
          <w:szCs w:val="24"/>
          <w:highlight w:val="none"/>
        </w:rPr>
        <w:t>六</w:t>
      </w:r>
      <w:r>
        <w:rPr>
          <w:rFonts w:hint="eastAsia" w:ascii="黑体" w:hAnsi="宋体" w:eastAsia="黑体"/>
          <w:bCs/>
          <w:color w:val="000000"/>
          <w:sz w:val="24"/>
          <w:szCs w:val="24"/>
          <w:highlight w:val="none"/>
        </w:rPr>
        <w:t>）政府采购信用担保：</w:t>
      </w:r>
    </w:p>
    <w:p w14:paraId="4A5EF956">
      <w:pPr>
        <w:tabs>
          <w:tab w:val="left" w:pos="525"/>
          <w:tab w:val="left" w:pos="1050"/>
        </w:tabs>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政府采购信用担保，是由专业担保机构为供应商向采购人、代理机构、金融机构提供的保证，主要包括履约担保、合同融资两种形式。供应商可以根据自身情况，自行决定是否选择采用该两种信用担保形式。</w:t>
      </w:r>
    </w:p>
    <w:p w14:paraId="2F05F6B2">
      <w:pPr>
        <w:tabs>
          <w:tab w:val="left" w:pos="525"/>
          <w:tab w:val="left" w:pos="1050"/>
        </w:tabs>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1、履约担保</w:t>
      </w:r>
    </w:p>
    <w:p w14:paraId="44A2D9C6">
      <w:pPr>
        <w:tabs>
          <w:tab w:val="left" w:pos="525"/>
          <w:tab w:val="left" w:pos="1050"/>
        </w:tabs>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54E1A509">
      <w:pPr>
        <w:tabs>
          <w:tab w:val="left" w:pos="525"/>
          <w:tab w:val="left" w:pos="1050"/>
        </w:tabs>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250BA8E0">
      <w:pPr>
        <w:tabs>
          <w:tab w:val="left" w:pos="525"/>
          <w:tab w:val="left" w:pos="1050"/>
        </w:tabs>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2、政府采购合同融资</w:t>
      </w:r>
    </w:p>
    <w:p w14:paraId="18FE495C">
      <w:pPr>
        <w:tabs>
          <w:tab w:val="left" w:pos="525"/>
          <w:tab w:val="left" w:pos="1050"/>
        </w:tabs>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根据无锡市《关于开展政府采购合同融资工作的通知》（锡财购〔2020〕17号）要求</w:t>
      </w:r>
      <w:r>
        <w:rPr>
          <w:rFonts w:ascii="宋体" w:hAnsi="宋体"/>
          <w:color w:val="000000"/>
          <w:sz w:val="24"/>
          <w:szCs w:val="24"/>
          <w:highlight w:val="none"/>
        </w:rPr>
        <w:t>：</w:t>
      </w:r>
      <w:r>
        <w:rPr>
          <w:rFonts w:hint="eastAsia" w:ascii="宋体" w:hAnsi="宋体"/>
          <w:color w:val="000000"/>
          <w:sz w:val="24"/>
          <w:szCs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22035A3A">
      <w:pPr>
        <w:tabs>
          <w:tab w:val="left" w:pos="525"/>
          <w:tab w:val="left" w:pos="1050"/>
        </w:tabs>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中标、成交供应商可根据自身情况，自行决定是否选择采用合同融资形式，在无锡政府采购网——政采贷专栏提供的银行名录内自主选择合作银行。</w:t>
      </w:r>
    </w:p>
    <w:p w14:paraId="68DE4C15">
      <w:pPr>
        <w:tabs>
          <w:tab w:val="left" w:pos="945"/>
        </w:tabs>
        <w:spacing w:line="360" w:lineRule="auto"/>
        <w:ind w:firstLine="480"/>
        <w:outlineLvl w:val="1"/>
        <w:rPr>
          <w:rFonts w:ascii="黑体" w:hAnsi="宋体" w:eastAsia="黑体"/>
          <w:bCs/>
          <w:color w:val="000000"/>
          <w:sz w:val="24"/>
          <w:szCs w:val="24"/>
          <w:highlight w:val="none"/>
        </w:rPr>
      </w:pPr>
      <w:r>
        <w:rPr>
          <w:rFonts w:hint="eastAsia" w:ascii="黑体" w:hAnsi="宋体" w:eastAsia="黑体"/>
          <w:bCs/>
          <w:color w:val="000000"/>
          <w:sz w:val="24"/>
          <w:szCs w:val="24"/>
          <w:highlight w:val="none"/>
        </w:rPr>
        <w:t>（十七）其他：</w:t>
      </w:r>
    </w:p>
    <w:p w14:paraId="2BA39638">
      <w:pPr>
        <w:spacing w:line="440" w:lineRule="exact"/>
        <w:ind w:firstLine="480"/>
        <w:jc w:val="left"/>
        <w:rPr>
          <w:rFonts w:ascii="宋体" w:hAnsi="宋体" w:cs="宋体"/>
          <w:color w:val="000000"/>
          <w:sz w:val="24"/>
          <w:szCs w:val="34"/>
          <w:highlight w:val="none"/>
        </w:rPr>
      </w:pPr>
      <w:r>
        <w:rPr>
          <w:rFonts w:hint="eastAsia" w:ascii="宋体" w:hAnsi="宋体" w:cs="宋体"/>
          <w:color w:val="000000"/>
          <w:sz w:val="24"/>
          <w:szCs w:val="34"/>
          <w:highlight w:val="none"/>
        </w:rPr>
        <w:t>1.招标文件的条款必须认真审阅，投标人应自行检查招标文件页数是否齐全。若有遗漏、重复或不清楚，需立刻通知招标人予以更正；凡属对条款的误解所造成的投标价格失误，由投标人负责。</w:t>
      </w:r>
    </w:p>
    <w:p w14:paraId="7D6CE469">
      <w:pPr>
        <w:spacing w:line="440" w:lineRule="exact"/>
        <w:ind w:firstLine="480"/>
        <w:jc w:val="left"/>
        <w:rPr>
          <w:rFonts w:ascii="宋体"/>
          <w:bCs/>
          <w:color w:val="000000"/>
          <w:sz w:val="24"/>
          <w:szCs w:val="24"/>
          <w:highlight w:val="none"/>
        </w:rPr>
      </w:pPr>
      <w:r>
        <w:rPr>
          <w:rFonts w:hint="eastAsia" w:ascii="宋体" w:hAnsi="宋体" w:cs="宋体"/>
          <w:color w:val="000000"/>
          <w:sz w:val="24"/>
          <w:szCs w:val="34"/>
          <w:highlight w:val="none"/>
        </w:rPr>
        <w:t>2.</w:t>
      </w:r>
      <w:r>
        <w:rPr>
          <w:rFonts w:hint="eastAsia" w:ascii="宋体" w:hAnsi="宋体"/>
          <w:bCs/>
          <w:color w:val="000000"/>
          <w:sz w:val="24"/>
          <w:highlight w:val="none"/>
        </w:rPr>
        <w:t>开标后，投标人须自行准备设备（包括但不限于笔记本电脑、无线网络）登录“江苏省政府采购(苏采云)平台”，按招标文件规定时间解密后，在评审过程中保持在线，等待评标委员会的询标和评标结果，中途不得离开。如未按要求应答，由此所产生的损失及风险由投标人自行承担。</w:t>
      </w:r>
    </w:p>
    <w:p w14:paraId="0C866706">
      <w:pPr>
        <w:pStyle w:val="214"/>
        <w:outlineLvl w:val="9"/>
        <w:rPr>
          <w:rFonts w:eastAsia="宋体"/>
          <w:color w:val="000000"/>
          <w:highlight w:val="none"/>
        </w:rPr>
      </w:pPr>
    </w:p>
    <w:p w14:paraId="54D27476">
      <w:pPr>
        <w:tabs>
          <w:tab w:val="left" w:pos="525"/>
          <w:tab w:val="left" w:pos="1050"/>
        </w:tabs>
        <w:spacing w:line="360" w:lineRule="auto"/>
        <w:ind w:firstLine="480"/>
        <w:rPr>
          <w:rFonts w:ascii="宋体" w:hAnsi="宋体" w:cs="宋体"/>
          <w:color w:val="000000"/>
          <w:sz w:val="24"/>
          <w:szCs w:val="34"/>
          <w:highlight w:val="none"/>
        </w:rPr>
      </w:pPr>
    </w:p>
    <w:p w14:paraId="5103F86B">
      <w:pPr>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Cs/>
          <w:color w:val="auto"/>
          <w:sz w:val="30"/>
          <w:szCs w:val="30"/>
          <w:highlight w:val="none"/>
          <w:lang w:eastAsia="zh-CN"/>
        </w:rPr>
      </w:pPr>
      <w:bookmarkStart w:id="5" w:name="_Toc27505"/>
      <w:r>
        <w:rPr>
          <w:rFonts w:hint="eastAsia" w:ascii="黑体" w:eastAsia="黑体"/>
          <w:bCs/>
          <w:color w:val="000000"/>
          <w:sz w:val="30"/>
          <w:szCs w:val="30"/>
          <w:highlight w:val="none"/>
        </w:rPr>
        <w:br w:type="page" w:clear="all"/>
      </w:r>
      <w:bookmarkEnd w:id="5"/>
      <w:bookmarkStart w:id="6" w:name="_Toc12363"/>
      <w:r>
        <w:rPr>
          <w:rFonts w:hint="eastAsia" w:ascii="宋体" w:hAnsi="宋体" w:eastAsia="宋体" w:cs="宋体"/>
          <w:bCs/>
          <w:color w:val="auto"/>
          <w:sz w:val="30"/>
          <w:szCs w:val="30"/>
          <w:highlight w:val="none"/>
          <w:lang w:eastAsia="zh-CN"/>
        </w:rPr>
        <w:t>三、</w:t>
      </w:r>
      <w:r>
        <w:rPr>
          <w:rFonts w:hint="eastAsia" w:ascii="宋体" w:hAnsi="宋体" w:eastAsia="宋体" w:cs="宋体"/>
          <w:b/>
          <w:color w:val="auto"/>
          <w:sz w:val="30"/>
          <w:szCs w:val="30"/>
          <w:highlight w:val="none"/>
          <w:lang w:val="en-US" w:eastAsia="zh-CN"/>
        </w:rPr>
        <w:t>采购需求</w:t>
      </w:r>
    </w:p>
    <w:p w14:paraId="170959ED">
      <w:pPr>
        <w:keepNext w:val="0"/>
        <w:keepLines w:val="0"/>
        <w:pageBreakBefore w:val="0"/>
        <w:tabs>
          <w:tab w:val="left" w:pos="525"/>
          <w:tab w:val="left" w:pos="945"/>
          <w:tab w:val="left" w:pos="105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本项目为</w:t>
      </w:r>
      <w:r>
        <w:rPr>
          <w:rFonts w:hint="eastAsia" w:ascii="宋体" w:hAnsi="宋体" w:cs="宋体"/>
          <w:b/>
          <w:bCs/>
          <w:color w:val="auto"/>
          <w:sz w:val="24"/>
          <w:szCs w:val="24"/>
          <w:highlight w:val="none"/>
          <w:lang w:eastAsia="zh-CN"/>
        </w:rPr>
        <w:t>江溪街道治超站食堂食材配送服务（第二次）</w:t>
      </w:r>
      <w:r>
        <w:rPr>
          <w:rFonts w:hint="eastAsia" w:ascii="宋体" w:hAnsi="宋体" w:eastAsia="宋体" w:cs="宋体"/>
          <w:bCs/>
          <w:color w:val="auto"/>
          <w:sz w:val="24"/>
          <w:szCs w:val="24"/>
          <w:highlight w:val="none"/>
        </w:rPr>
        <w:t>，具体要求如下，投标人须提供满足以下要求的服务，不得有负偏离。</w:t>
      </w:r>
    </w:p>
    <w:p w14:paraId="2538A00F">
      <w:pPr>
        <w:keepNext w:val="0"/>
        <w:keepLines w:val="0"/>
        <w:pageBreakBefore w:val="0"/>
        <w:kinsoku/>
        <w:wordWrap/>
        <w:overflowPunct/>
        <w:topLinePunct w:val="0"/>
        <w:autoSpaceDE/>
        <w:autoSpaceDN/>
        <w:bidi w:val="0"/>
        <w:adjustRightInd/>
        <w:snapToGrid/>
        <w:spacing w:line="360" w:lineRule="auto"/>
        <w:ind w:firstLine="600"/>
        <w:textAlignment w:val="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1、采购标的需实现的功能或者目标，以及为落实政府采购政策需满足的要求：</w:t>
      </w:r>
    </w:p>
    <w:p w14:paraId="31AD2E3E">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（1）采购标的需实现的功能或者目标：江溪街道</w:t>
      </w:r>
      <w:r>
        <w:rPr>
          <w:rFonts w:hint="eastAsia" w:ascii="宋体" w:hAnsi="宋体" w:eastAsia="宋体" w:cs="宋体"/>
          <w:color w:val="auto"/>
          <w:sz w:val="24"/>
          <w:highlight w:val="none"/>
          <w:lang w:val="en-US" w:eastAsia="zh-CN"/>
        </w:rPr>
        <w:t>治超站</w:t>
      </w:r>
      <w:r>
        <w:rPr>
          <w:rFonts w:hint="eastAsia" w:ascii="宋体" w:hAnsi="宋体" w:eastAsia="宋体" w:cs="宋体"/>
          <w:color w:val="auto"/>
          <w:sz w:val="24"/>
          <w:highlight w:val="none"/>
        </w:rPr>
        <w:t>食堂所需的大米、蔬菜、肉、食用油、调料等各类食材供货及相关服务。</w:t>
      </w:r>
    </w:p>
    <w:p w14:paraId="67A5B801">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本项目需执行的国家相关标准、行业标准、地方标准或者其他标准、规范：《中华人民共和国政府采购法》《中华人民共和国食品安全法》《食品生产通用卫生规范》《餐饮服务食品安全操作规范》等其他法律法规以及江苏省和无锡市行业主管部门颁布的相关文件规定，如地方性法规与国家法规相抵触，按国家法规执行。</w:t>
      </w:r>
    </w:p>
    <w:p w14:paraId="6E0C23B9">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3、本项目需满足的质量、安全、技术规格、物理特性等要求：</w:t>
      </w:r>
    </w:p>
    <w:p w14:paraId="243245D2">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（1）质量要求：合格产品，符合国家相关食品安全卫生标准；</w:t>
      </w:r>
    </w:p>
    <w:p w14:paraId="69DDC382">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（2）安全要求：安全要求应满足国家相关法律法规的要求。</w:t>
      </w:r>
    </w:p>
    <w:p w14:paraId="10C84A71">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4、本项目采购标的的数量、采购项目交付或者实施的时间和地点要求：</w:t>
      </w:r>
    </w:p>
    <w:p w14:paraId="02B4218B">
      <w:pPr>
        <w:pStyle w:val="254"/>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（1）采购标的数量：江溪街道治超站食堂食材供货，配送品种：叶、瓜、果、根、茎类时蔬、水产品分为（鲜活和冷冻）、肉类（新鲜）、各类早餐点心半成品、米、食用油、调料等。</w:t>
      </w:r>
    </w:p>
    <w:p w14:paraId="4C5408DB">
      <w:pPr>
        <w:pStyle w:val="254"/>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（2）实施时间：</w:t>
      </w:r>
      <w:r>
        <w:rPr>
          <w:rFonts w:hint="eastAsia" w:ascii="宋体" w:hAnsi="宋体" w:eastAsia="宋体" w:cs="宋体"/>
          <w:color w:val="auto"/>
          <w:highlight w:val="none"/>
          <w:lang w:val="en-US" w:eastAsia="zh-CN"/>
        </w:rPr>
        <w:t>一</w:t>
      </w:r>
      <w:r>
        <w:rPr>
          <w:rFonts w:hint="eastAsia" w:ascii="宋体" w:hAnsi="宋体" w:eastAsia="宋体" w:cs="宋体"/>
          <w:color w:val="auto"/>
          <w:highlight w:val="none"/>
        </w:rPr>
        <w:t>年（以合同签订日期为准）。</w:t>
      </w:r>
    </w:p>
    <w:p w14:paraId="523DAB0C">
      <w:pPr>
        <w:pStyle w:val="254"/>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（3）实施地点：</w:t>
      </w:r>
      <w:r>
        <w:rPr>
          <w:rFonts w:hint="eastAsia" w:ascii="宋体" w:hAnsi="宋体" w:eastAsia="宋体" w:cs="宋体"/>
          <w:color w:val="auto"/>
          <w:sz w:val="24"/>
          <w:highlight w:val="none"/>
        </w:rPr>
        <w:t>江溪街道</w:t>
      </w:r>
      <w:r>
        <w:rPr>
          <w:rFonts w:hint="eastAsia" w:ascii="宋体" w:hAnsi="宋体" w:eastAsia="宋体" w:cs="宋体"/>
          <w:color w:val="auto"/>
          <w:sz w:val="24"/>
          <w:highlight w:val="none"/>
          <w:lang w:val="en-US" w:eastAsia="zh-CN"/>
        </w:rPr>
        <w:t>治超站</w:t>
      </w:r>
      <w:r>
        <w:rPr>
          <w:rFonts w:hint="eastAsia" w:ascii="宋体" w:hAnsi="宋体" w:eastAsia="宋体" w:cs="宋体"/>
          <w:color w:val="auto"/>
          <w:highlight w:val="none"/>
        </w:rPr>
        <w:t>（</w:t>
      </w:r>
      <w:r>
        <w:rPr>
          <w:rFonts w:hint="eastAsia" w:ascii="宋体" w:hAnsi="宋体" w:eastAsia="宋体" w:cs="宋体"/>
          <w:sz w:val="24"/>
          <w:highlight w:val="none"/>
        </w:rPr>
        <w:t>312国道新吴段东侧景云立交南800米</w:t>
      </w:r>
      <w:r>
        <w:rPr>
          <w:rFonts w:hint="eastAsia" w:ascii="宋体" w:hAnsi="宋体" w:eastAsia="宋体" w:cs="宋体"/>
          <w:color w:val="auto"/>
          <w:highlight w:val="none"/>
        </w:rPr>
        <w:t>）</w:t>
      </w:r>
    </w:p>
    <w:p w14:paraId="744E9FB5">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5、本项目采购标的需满足的服务标准、期限、效率等要求：</w:t>
      </w:r>
    </w:p>
    <w:p w14:paraId="2A701357">
      <w:pPr>
        <w:pStyle w:val="254"/>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甲方每天</w:t>
      </w:r>
      <w:r>
        <w:rPr>
          <w:rFonts w:hint="eastAsia" w:ascii="宋体" w:hAnsi="宋体" w:eastAsia="宋体" w:cs="宋体"/>
          <w:color w:val="auto"/>
          <w:highlight w:val="none"/>
          <w:lang w:eastAsia="zh-CN"/>
        </w:rPr>
        <w:t>16:</w:t>
      </w:r>
      <w:r>
        <w:rPr>
          <w:rFonts w:hint="eastAsia" w:ascii="宋体" w:hAnsi="宋体" w:eastAsia="宋体" w:cs="宋体"/>
          <w:color w:val="auto"/>
          <w:highlight w:val="none"/>
        </w:rPr>
        <w:t>00前向乙方下达第二天的订单，甲方以传真或电话方式直接通知乙方，订单内容包括名称、种类、规格、数量、运送时间、送达地点、订单联系人等具体要求。乙方接到甲方订单后，个别品种因缺货而无法提供的，乙方应在接到订单当天内及时知会甲方并协商好解决方案。乙方每天早上5:30前将订单内所有蔬菜送到甲方指定的地点并配送完毕，乙方提供《送货清单》一式多份，甲乙双方现场过秤并验收签名，作结算凭证。所有品种按除箱净重过磅，最终交易重量以双方确认的过磅数为准。乙方送货人员负责将货物从车上搬到秤上过磅，然后放到平板推车上，由甲方食堂人员负责拉到各自使用点。</w:t>
      </w:r>
    </w:p>
    <w:p w14:paraId="7CCCBE47">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6</w:t>
      </w:r>
      <w:r>
        <w:rPr>
          <w:rFonts w:hint="eastAsia" w:ascii="宋体" w:hAnsi="宋体" w:eastAsia="宋体" w:cs="宋体"/>
          <w:b/>
          <w:color w:val="auto"/>
          <w:sz w:val="24"/>
          <w:highlight w:val="none"/>
        </w:rPr>
        <w:t>、其他技术、服务要求：</w:t>
      </w:r>
    </w:p>
    <w:p w14:paraId="4D51F550">
      <w:pPr>
        <w:pStyle w:val="254"/>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（1）配送品种：叶、瓜、果、根、茎类时蔬、水产品分为（鲜活和冷冻）、肉类（新鲜）、各类早餐点心半成品、米、食用油、调料等。</w:t>
      </w:r>
    </w:p>
    <w:p w14:paraId="61BAAFB7">
      <w:pPr>
        <w:pStyle w:val="254"/>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（2）价格确定：</w:t>
      </w:r>
    </w:p>
    <w:p w14:paraId="2FCE8FAB">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1）项目预算：58.4万元。</w:t>
      </w:r>
    </w:p>
    <w:p w14:paraId="3023FC86">
      <w:pPr>
        <w:pStyle w:val="254"/>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cs="宋体"/>
          <w:color w:val="auto"/>
          <w:highlight w:val="none"/>
        </w:rPr>
      </w:pPr>
      <w:r>
        <w:rPr>
          <w:rFonts w:hint="eastAsia" w:ascii="宋体" w:hAnsi="宋体" w:eastAsia="宋体" w:cs="宋体"/>
          <w:color w:val="auto"/>
          <w:highlight w:val="none"/>
        </w:rPr>
        <w:t>2）</w:t>
      </w:r>
      <w:r>
        <w:rPr>
          <w:rFonts w:hint="eastAsia" w:hAnsi="宋体" w:cs="宋体"/>
          <w:bCs/>
          <w:color w:val="000000"/>
          <w:sz w:val="24"/>
          <w:highlight w:val="none"/>
          <w:lang w:val="en-US" w:eastAsia="zh-CN"/>
        </w:rPr>
        <w:t>本项目报价采用折扣率。优先按无锡市发展和改革委员会官网专题专栏中民生价费上周第一天公示价格的平均价格</w:t>
      </w:r>
      <w:r>
        <w:rPr>
          <w:rFonts w:hint="eastAsia" w:cs="宋体"/>
          <w:color w:val="auto"/>
          <w:highlight w:val="none"/>
        </w:rPr>
        <w:t>（</w:t>
      </w:r>
      <w:r>
        <w:rPr>
          <w:rFonts w:hint="eastAsia"/>
          <w:color w:val="auto"/>
          <w:highlight w:val="none"/>
        </w:rPr>
        <w:t>如果食品价格在该官网没有，则以无锡天惠超市价位为参照</w:t>
      </w:r>
      <w:r>
        <w:rPr>
          <w:rFonts w:hint="eastAsia" w:cs="宋体"/>
          <w:color w:val="auto"/>
          <w:highlight w:val="none"/>
        </w:rPr>
        <w:t>*X（X为投标供应商在本项目的报价折扣率，本项目有效折扣率</w:t>
      </w:r>
      <w:r>
        <w:rPr>
          <w:rFonts w:cs="宋体"/>
          <w:color w:val="auto"/>
          <w:highlight w:val="none"/>
        </w:rPr>
        <w:t>≤</w:t>
      </w:r>
      <w:r>
        <w:rPr>
          <w:rFonts w:hint="eastAsia" w:cs="宋体"/>
          <w:color w:val="auto"/>
          <w:highlight w:val="none"/>
          <w:lang w:val="en-US" w:eastAsia="zh-CN"/>
        </w:rPr>
        <w:t>80</w:t>
      </w:r>
      <w:r>
        <w:rPr>
          <w:rFonts w:hint="eastAsia" w:cs="宋体"/>
          <w:color w:val="auto"/>
          <w:highlight w:val="none"/>
        </w:rPr>
        <w:t>%（注：折扣率=1-优惠率），超出此报价范围的按无效标书处理），X在合同执行期间是固定值，价格按每月月末定价一次。</w:t>
      </w:r>
      <w:r>
        <w:rPr>
          <w:rFonts w:hint="eastAsia" w:cs="宋体"/>
          <w:color w:val="auto"/>
          <w:highlight w:val="none"/>
        </w:rPr>
        <w:br w:type="textWrapping"/>
      </w:r>
      <w:r>
        <w:rPr>
          <w:rFonts w:hint="eastAsia" w:cs="宋体"/>
          <w:color w:val="auto"/>
          <w:highlight w:val="none"/>
        </w:rPr>
        <w:t>无锡市发展和改革委员会官网专题专栏中民生价费网址：http://dpc.wuxi.gov.cn/ztzl/msjf/syp/index.shtml</w:t>
      </w:r>
    </w:p>
    <w:p w14:paraId="7DD87670">
      <w:pPr>
        <w:pStyle w:val="254"/>
        <w:keepNext w:val="0"/>
        <w:keepLines w:val="0"/>
        <w:pageBreakBefore w:val="0"/>
        <w:kinsoku/>
        <w:wordWrap/>
        <w:overflowPunct/>
        <w:topLinePunct w:val="0"/>
        <w:autoSpaceDE/>
        <w:autoSpaceDN/>
        <w:bidi w:val="0"/>
        <w:adjustRightInd/>
        <w:snapToGrid/>
        <w:spacing w:before="0" w:beforeAutospacing="0" w:after="0" w:afterAutospacing="0" w:line="360" w:lineRule="auto"/>
        <w:textAlignment w:val="auto"/>
        <w:rPr>
          <w:rFonts w:hint="eastAsia" w:cs="宋体"/>
          <w:color w:val="auto"/>
          <w:highlight w:val="none"/>
        </w:rPr>
      </w:pPr>
      <w:r>
        <w:rPr>
          <w:rFonts w:hint="eastAsia" w:cs="宋体"/>
          <w:color w:val="auto"/>
          <w:highlight w:val="none"/>
        </w:rPr>
        <w:t>无锡市天惠商城官网网址：http://www.cy365.com/</w:t>
      </w:r>
      <w:r>
        <w:rPr>
          <w:rFonts w:hint="eastAsia" w:cs="宋体"/>
          <w:color w:val="auto"/>
          <w:highlight w:val="none"/>
        </w:rPr>
        <w:br w:type="textWrapping"/>
      </w:r>
      <w:r>
        <w:rPr>
          <w:rFonts w:hint="eastAsia" w:cs="宋体"/>
          <w:color w:val="auto"/>
          <w:highlight w:val="none"/>
        </w:rPr>
        <w:t>注：所有产品采用同一折扣率，投标供应商自行考虑价格平衡。</w:t>
      </w:r>
    </w:p>
    <w:p w14:paraId="0A85B4FA">
      <w:pPr>
        <w:pStyle w:val="254"/>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（3）采购计划的确定</w:t>
      </w:r>
    </w:p>
    <w:p w14:paraId="409B5EE9">
      <w:pPr>
        <w:pStyle w:val="294"/>
        <w:keepNext w:val="0"/>
        <w:keepLines w:val="0"/>
        <w:pageBreakBefore w:val="0"/>
        <w:widowControl w:val="0"/>
        <w:spacing w:before="0" w:beforeAutospacing="0" w:after="0" w:afterAutospacing="0" w:line="360" w:lineRule="auto"/>
        <w:ind w:firstLine="480"/>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1、甲方在每天</w:t>
      </w:r>
      <w:r>
        <w:rPr>
          <w:rFonts w:hint="eastAsia" w:eastAsia="宋体" w:cs="宋体"/>
          <w:color w:val="000000"/>
          <w:szCs w:val="20"/>
          <w:highlight w:val="none"/>
          <w:lang w:eastAsia="zh-CN"/>
        </w:rPr>
        <w:t>16:</w:t>
      </w:r>
      <w:r>
        <w:rPr>
          <w:rFonts w:hint="eastAsia" w:ascii="宋体" w:hAnsi="宋体" w:eastAsia="宋体" w:cs="宋体"/>
          <w:color w:val="000000"/>
          <w:szCs w:val="20"/>
          <w:highlight w:val="none"/>
        </w:rPr>
        <w:t>00前，将第二天的采购计划以书面、电子稿形式通知乙方，订单内容包括名称、种类、规格、数量、运送时间、送达地点、订单联系人等具体要求。</w:t>
      </w:r>
    </w:p>
    <w:p w14:paraId="4AF714BC">
      <w:pPr>
        <w:pStyle w:val="294"/>
        <w:keepNext w:val="0"/>
        <w:keepLines w:val="0"/>
        <w:pageBreakBefore w:val="0"/>
        <w:widowControl w:val="0"/>
        <w:spacing w:before="0" w:beforeAutospacing="0" w:after="0" w:afterAutospacing="0" w:line="360" w:lineRule="auto"/>
        <w:ind w:firstLine="480"/>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2、原则上，采购计划与实际下达的订单偏差控制在20％以内。</w:t>
      </w:r>
    </w:p>
    <w:p w14:paraId="105A4A0D">
      <w:pPr>
        <w:pStyle w:val="294"/>
        <w:keepNext w:val="0"/>
        <w:keepLines w:val="0"/>
        <w:pageBreakBefore w:val="0"/>
        <w:widowControl w:val="0"/>
        <w:spacing w:before="0" w:beforeAutospacing="0" w:after="0" w:afterAutospacing="0" w:line="360" w:lineRule="auto"/>
        <w:ind w:firstLine="480"/>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3、采购方有权根据食材生产季节、天气、市场价格情况等协商调整每期采购计划中食材品种和数量。中标供应商必须能保证提供丰富的品种供甲方选择。</w:t>
      </w:r>
    </w:p>
    <w:p w14:paraId="1B8F1C27">
      <w:pPr>
        <w:pStyle w:val="294"/>
        <w:keepNext w:val="0"/>
        <w:keepLines w:val="0"/>
        <w:pageBreakBefore w:val="0"/>
        <w:widowControl w:val="0"/>
        <w:spacing w:before="0" w:beforeAutospacing="0" w:after="0" w:afterAutospacing="0" w:line="360" w:lineRule="auto"/>
        <w:ind w:firstLine="480"/>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4、如有特殊原因,采购方有权取消订单。</w:t>
      </w:r>
    </w:p>
    <w:p w14:paraId="61A8BA0F">
      <w:pPr>
        <w:pStyle w:val="294"/>
        <w:keepNext w:val="0"/>
        <w:keepLines w:val="0"/>
        <w:pageBreakBefore w:val="0"/>
        <w:widowControl w:val="0"/>
        <w:spacing w:before="0" w:beforeAutospacing="0" w:after="0" w:afterAutospacing="0" w:line="360" w:lineRule="auto"/>
        <w:ind w:firstLine="480"/>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5、本次预算</w:t>
      </w:r>
      <w:r>
        <w:rPr>
          <w:rFonts w:hint="eastAsia" w:ascii="宋体" w:hAnsi="宋体" w:eastAsia="宋体" w:cs="宋体"/>
          <w:color w:val="000000"/>
          <w:szCs w:val="20"/>
          <w:highlight w:val="none"/>
          <w:lang w:val="en-US" w:eastAsia="zh-CN"/>
        </w:rPr>
        <w:t>80余</w:t>
      </w:r>
      <w:r>
        <w:rPr>
          <w:rFonts w:hint="eastAsia" w:ascii="宋体" w:hAnsi="宋体" w:eastAsia="宋体" w:cs="宋体"/>
          <w:color w:val="000000"/>
          <w:szCs w:val="20"/>
          <w:highlight w:val="none"/>
        </w:rPr>
        <w:t>人计取，</w:t>
      </w:r>
      <w:r>
        <w:rPr>
          <w:rFonts w:hint="eastAsia" w:ascii="宋体" w:hAnsi="宋体" w:eastAsia="宋体" w:cs="宋体"/>
          <w:color w:val="000000"/>
          <w:highlight w:val="none"/>
        </w:rPr>
        <w:t>后期如果发生编制人数增减，结算时按照实际编制人数下达预算进行结算；新增外部搭伙人员餐费用于新增预算内。</w:t>
      </w:r>
    </w:p>
    <w:p w14:paraId="3348DF6B">
      <w:pPr>
        <w:pStyle w:val="254"/>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）交货要求</w:t>
      </w:r>
    </w:p>
    <w:p w14:paraId="2098348E">
      <w:pPr>
        <w:pStyle w:val="254"/>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1）乙方每天早上5:30前将订单内所有蔬菜及肉类等所需货物送到甲方指定的地点并配送完毕，乙方提供《送货清单》一式多份，甲乙双方现场过秤并验收签名，作结算凭证。</w:t>
      </w:r>
    </w:p>
    <w:p w14:paraId="15E48553">
      <w:pPr>
        <w:pStyle w:val="254"/>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2）所有品种按除箱净重过磅，最终交易重量以双方确认的过磅数为准。</w:t>
      </w:r>
    </w:p>
    <w:p w14:paraId="76B9D8AB">
      <w:pPr>
        <w:pStyle w:val="254"/>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3）乙方送货人员负责将货物从车上搬到秤上过磅，然后放到平板推车上，由甲方食堂人员负责拉到各自使用点。</w:t>
      </w:r>
    </w:p>
    <w:p w14:paraId="767FACC3">
      <w:pPr>
        <w:pStyle w:val="254"/>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）数量、质量、品质要求</w:t>
      </w:r>
    </w:p>
    <w:p w14:paraId="648B0EA9">
      <w:pPr>
        <w:pStyle w:val="294"/>
        <w:keepNext w:val="0"/>
        <w:keepLines w:val="0"/>
        <w:pageBreakBefore w:val="0"/>
        <w:widowControl w:val="0"/>
        <w:spacing w:before="0" w:beforeAutospacing="0" w:after="0" w:afterAutospacing="0" w:line="360" w:lineRule="auto"/>
        <w:ind w:firstLine="480"/>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1、品种数量超出规定的部分由中标供应商带回，不纳入结算，短缺的部分由中标供应商补足。</w:t>
      </w:r>
    </w:p>
    <w:p w14:paraId="10A8CD0B">
      <w:pPr>
        <w:pStyle w:val="294"/>
        <w:keepNext w:val="0"/>
        <w:keepLines w:val="0"/>
        <w:pageBreakBefore w:val="0"/>
        <w:widowControl w:val="0"/>
        <w:spacing w:before="0" w:beforeAutospacing="0" w:after="0" w:afterAutospacing="0" w:line="360" w:lineRule="auto"/>
        <w:ind w:firstLine="480"/>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2、</w:t>
      </w:r>
      <w:r>
        <w:rPr>
          <w:rFonts w:hint="eastAsia" w:ascii="宋体" w:hAnsi="宋体" w:eastAsia="宋体" w:cs="宋体"/>
          <w:color w:val="000000"/>
          <w:szCs w:val="20"/>
          <w:highlight w:val="none"/>
          <w:lang w:val="en-US" w:eastAsia="zh-CN"/>
        </w:rPr>
        <w:t>每个</w:t>
      </w:r>
      <w:r>
        <w:rPr>
          <w:rFonts w:hint="eastAsia" w:ascii="宋体" w:hAnsi="宋体" w:eastAsia="宋体" w:cs="宋体"/>
          <w:color w:val="000000"/>
          <w:szCs w:val="20"/>
          <w:highlight w:val="none"/>
        </w:rPr>
        <w:t>品种的重量以双方核准的净重过磅数为准，双方签字确认作为结算凭证。</w:t>
      </w:r>
    </w:p>
    <w:p w14:paraId="0B3CE5E4">
      <w:pPr>
        <w:pStyle w:val="294"/>
        <w:keepNext w:val="0"/>
        <w:keepLines w:val="0"/>
        <w:pageBreakBefore w:val="0"/>
        <w:widowControl w:val="0"/>
        <w:spacing w:before="0" w:beforeAutospacing="0" w:after="0" w:afterAutospacing="0" w:line="360" w:lineRule="auto"/>
        <w:ind w:firstLine="480"/>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3、质量必须符合国家相关食品安全卫生标准。采购方每天进行检测，检测一次不合格的，罚当天食材供货费用的两倍，检测不合格满三次的，甲方有权终止合同，且中标供应商须向甲方支付5%合同总金额的赔偿金。</w:t>
      </w:r>
    </w:p>
    <w:p w14:paraId="2CE20C0B">
      <w:pPr>
        <w:pStyle w:val="294"/>
        <w:keepNext w:val="0"/>
        <w:keepLines w:val="0"/>
        <w:pageBreakBefore w:val="0"/>
        <w:widowControl w:val="0"/>
        <w:spacing w:before="0" w:beforeAutospacing="0" w:after="0" w:afterAutospacing="0" w:line="360" w:lineRule="auto"/>
        <w:ind w:firstLine="480"/>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4、质量必须达到投标文件所列的要求，并且品质不低于采购方当天在各大食材批发市场的自购标准。</w:t>
      </w:r>
    </w:p>
    <w:p w14:paraId="6F61097E">
      <w:pPr>
        <w:pStyle w:val="294"/>
        <w:keepNext w:val="0"/>
        <w:keepLines w:val="0"/>
        <w:pageBreakBefore w:val="0"/>
        <w:widowControl w:val="0"/>
        <w:spacing w:before="0" w:beforeAutospacing="0" w:after="0" w:afterAutospacing="0" w:line="360" w:lineRule="auto"/>
        <w:ind w:firstLine="480"/>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5、</w:t>
      </w:r>
      <w:r>
        <w:rPr>
          <w:rFonts w:hint="eastAsia" w:ascii="宋体" w:hAnsi="宋体" w:eastAsia="宋体" w:cs="宋体"/>
          <w:color w:val="000000"/>
          <w:highlight w:val="none"/>
        </w:rPr>
        <w:t>中标供应商当日供应的食材经采购方验收后不达标、不足量、漏供或错供时，中标供应商必须进行调换或补充并按合同规定进行处罚。中标供应商调换或补充的食材必须经采购方同意，按协商后的品种、质量、规格、数量将食材于当日10:00前配送至各伙食单位，相关费用由中标供应商承担。</w:t>
      </w:r>
    </w:p>
    <w:p w14:paraId="1CA9F89D">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482"/>
        <w:jc w:val="left"/>
        <w:textAlignment w:val="auto"/>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rPr>
        <w:t>7、</w:t>
      </w:r>
      <w:r>
        <w:rPr>
          <w:rFonts w:hint="eastAsia" w:ascii="宋体" w:hAnsi="宋体" w:eastAsia="宋体" w:cs="宋体"/>
          <w:b/>
          <w:bCs w:val="0"/>
          <w:color w:val="000000"/>
          <w:sz w:val="24"/>
          <w:szCs w:val="24"/>
          <w:highlight w:val="none"/>
          <w:lang w:val="en-US" w:eastAsia="zh-CN" w:bidi="ar-SA"/>
        </w:rPr>
        <w:t>食品安全责任</w:t>
      </w:r>
    </w:p>
    <w:p w14:paraId="685E897A">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482"/>
        <w:jc w:val="left"/>
        <w:textAlignment w:va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中标供应商应严格遵守《食品卫生安全法》和《动物检疫法》等相关规定，一经发现供应以下食品，除全部退货外，将取消供货单位的供货资格，并由其承担因此造成的经济责任和法律责任：</w:t>
      </w:r>
    </w:p>
    <w:p w14:paraId="74DF03C4">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482"/>
        <w:jc w:val="left"/>
        <w:textAlignment w:va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（1）腐败变质、油脂酸败、霉变、生虫、污秽不洁、混有异物或者其他感官性状异常，对人体健康有害的；</w:t>
      </w:r>
    </w:p>
    <w:p w14:paraId="576D79F0">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left"/>
        <w:textAlignment w:va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（2）含有毒、有害物质或者被有害物质污染，对人体健康有害的；</w:t>
      </w:r>
    </w:p>
    <w:p w14:paraId="56AE27D5">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left"/>
        <w:textAlignment w:va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（3）含有致病性寄生虫、微生物或者微生物含量超过国家限定标准的；</w:t>
      </w:r>
    </w:p>
    <w:p w14:paraId="645C5BF7">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left"/>
        <w:textAlignment w:va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（4）未经动物检疫部门检疫、检验或者检疫、检验不合格的肉类及其制品；</w:t>
      </w:r>
    </w:p>
    <w:p w14:paraId="2D8E7CA8">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left"/>
        <w:textAlignment w:va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（5）病死、毒死或者死因不明的禽、畜禽、兽、水产动物等及其制品；</w:t>
      </w:r>
    </w:p>
    <w:p w14:paraId="3BC46EF9">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left"/>
        <w:textAlignment w:va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（6）掺假、掺杂、伪造，影响营养、卫生的；</w:t>
      </w:r>
    </w:p>
    <w:p w14:paraId="7104D4B9">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left"/>
        <w:textAlignment w:va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（7）用非食品原料加工的，加入非食品用化学物质或者将非食品当作食品的；</w:t>
      </w:r>
    </w:p>
    <w:p w14:paraId="205C2FB0">
      <w:pPr>
        <w:pStyle w:val="294"/>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（8）超过保质期限的。</w:t>
      </w:r>
    </w:p>
    <w:p w14:paraId="6981FC82">
      <w:pPr>
        <w:pStyle w:val="29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2"/>
        <w:textAlignment w:val="auto"/>
        <w:rPr>
          <w:rFonts w:hint="eastAsia" w:ascii="宋体" w:hAnsi="宋体" w:eastAsia="宋体" w:cs="宋体"/>
          <w:b/>
          <w:color w:val="000000"/>
          <w:szCs w:val="20"/>
          <w:highlight w:val="none"/>
        </w:rPr>
      </w:pPr>
      <w:r>
        <w:rPr>
          <w:rFonts w:hint="eastAsia" w:ascii="宋体" w:hAnsi="宋体" w:eastAsia="宋体" w:cs="宋体"/>
          <w:b/>
          <w:color w:val="000000"/>
          <w:szCs w:val="20"/>
          <w:highlight w:val="none"/>
          <w:lang w:val="en-US" w:eastAsia="zh-CN"/>
        </w:rPr>
        <w:t>8、</w:t>
      </w:r>
      <w:r>
        <w:rPr>
          <w:rFonts w:hint="eastAsia" w:ascii="宋体" w:hAnsi="宋体" w:eastAsia="宋体" w:cs="宋体"/>
          <w:b/>
          <w:color w:val="000000"/>
          <w:szCs w:val="20"/>
          <w:highlight w:val="none"/>
        </w:rPr>
        <w:t>试供期及合同签订</w:t>
      </w:r>
    </w:p>
    <w:p w14:paraId="033C9E65">
      <w:pPr>
        <w:pStyle w:val="29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2"/>
        <w:textAlignment w:val="auto"/>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1、试供期均为15天，即试供期从</w:t>
      </w:r>
      <w:r>
        <w:rPr>
          <w:rFonts w:hint="eastAsia" w:ascii="宋体" w:hAnsi="宋体" w:eastAsia="宋体" w:cs="宋体"/>
          <w:color w:val="000000"/>
          <w:szCs w:val="20"/>
          <w:highlight w:val="none"/>
          <w:u w:val="single"/>
        </w:rPr>
        <w:t xml:space="preserve">    年    月    日至    年   月    日</w:t>
      </w:r>
      <w:r>
        <w:rPr>
          <w:rFonts w:hint="eastAsia" w:ascii="宋体" w:hAnsi="宋体" w:eastAsia="宋体" w:cs="宋体"/>
          <w:color w:val="000000"/>
          <w:szCs w:val="20"/>
          <w:highlight w:val="none"/>
        </w:rPr>
        <w:t>，试供期内采购方主要考察中标供应商货物质量、服务、信誉等方面。</w:t>
      </w:r>
    </w:p>
    <w:p w14:paraId="3E557D9B">
      <w:pPr>
        <w:pStyle w:val="29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2"/>
        <w:textAlignment w:val="auto"/>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2、试供期满且经采购方综合考察认为合格的，签订正式供货合同；若试供期间出现质量、服务等难以磨合的问题的，采购方有权终止合同，并有权选择下一排位的成交候选供应商进行替补。</w:t>
      </w:r>
    </w:p>
    <w:p w14:paraId="7C42419C">
      <w:pPr>
        <w:pStyle w:val="294"/>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2"/>
        <w:textAlignment w:val="auto"/>
        <w:rPr>
          <w:rFonts w:hint="eastAsia" w:ascii="宋体" w:hAnsi="宋体" w:eastAsia="宋体" w:cs="宋体"/>
          <w:color w:val="000000"/>
          <w:highlight w:val="none"/>
        </w:rPr>
      </w:pPr>
      <w:r>
        <w:rPr>
          <w:rFonts w:hint="eastAsia" w:ascii="宋体" w:hAnsi="宋体" w:eastAsia="宋体" w:cs="宋体"/>
          <w:color w:val="000000"/>
          <w:szCs w:val="20"/>
          <w:highlight w:val="none"/>
        </w:rPr>
        <w:t>3、服务期</w:t>
      </w:r>
      <w:r>
        <w:rPr>
          <w:rFonts w:hint="eastAsia" w:ascii="宋体" w:hAnsi="宋体" w:eastAsia="宋体" w:cs="宋体"/>
          <w:color w:val="000000"/>
          <w:szCs w:val="20"/>
          <w:highlight w:val="none"/>
          <w:lang w:eastAsia="zh-CN"/>
        </w:rPr>
        <w:t xml:space="preserve">：一年（以合同签订日期为准）。 </w:t>
      </w:r>
    </w:p>
    <w:p w14:paraId="2218475D">
      <w:pPr>
        <w:pStyle w:val="294"/>
        <w:keepNext w:val="0"/>
        <w:keepLines w:val="0"/>
        <w:pageBreakBefore w:val="0"/>
        <w:widowControl w:val="0"/>
        <w:shd w:val="clear" w:color="auto" w:fill="FFFFFF"/>
        <w:spacing w:before="0" w:beforeAutospacing="0" w:after="0" w:afterAutospacing="0" w:line="360" w:lineRule="auto"/>
        <w:ind w:firstLine="480"/>
        <w:rPr>
          <w:rFonts w:hint="eastAsia" w:ascii="宋体" w:hAnsi="宋体" w:eastAsia="宋体" w:cs="宋体"/>
          <w:b/>
          <w:color w:val="000000"/>
          <w:szCs w:val="20"/>
          <w:highlight w:val="none"/>
        </w:rPr>
      </w:pPr>
      <w:r>
        <w:rPr>
          <w:rFonts w:hint="eastAsia" w:ascii="宋体" w:hAnsi="宋体" w:eastAsia="宋体" w:cs="宋体"/>
          <w:b/>
          <w:color w:val="000000"/>
          <w:szCs w:val="20"/>
          <w:highlight w:val="none"/>
          <w:lang w:val="en-US" w:eastAsia="zh-CN"/>
        </w:rPr>
        <w:t>9、</w:t>
      </w:r>
      <w:r>
        <w:rPr>
          <w:rFonts w:hint="eastAsia" w:ascii="宋体" w:hAnsi="宋体" w:eastAsia="宋体" w:cs="宋体"/>
          <w:b/>
          <w:color w:val="000000"/>
          <w:szCs w:val="20"/>
          <w:highlight w:val="none"/>
        </w:rPr>
        <w:t>供货食品的定价结算</w:t>
      </w:r>
    </w:p>
    <w:p w14:paraId="7A27C9BC">
      <w:pPr>
        <w:widowControl/>
        <w:spacing w:before="0" w:beforeAutospacing="0" w:after="0" w:afterAutospacing="0" w:line="360" w:lineRule="auto"/>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根据乙方投标文件，优先按无锡市发展和改革委员会官网专题专栏中民生价费上周第一天公示价格的平均价格*折扣率*实际数量进行结算，如遇网站上没有该食品，则按无锡市天惠商城官网的价格*折扣率*实际数量进行结算，如遇无锡市天惠商城官网上没有该食品，则按无锡天鹏菜篮子工程有限公司官网的平均价格*折扣率*实际数量进行结算。若上述网站均没有采购方需要采购的食品，以无锡市3家同类市场价中的最低价格*折扣率*实际数量结算。</w:t>
      </w:r>
    </w:p>
    <w:p w14:paraId="5C9A48F4">
      <w:pPr>
        <w:widowControl/>
        <w:spacing w:before="0" w:beforeAutospacing="0" w:after="0" w:afterAutospacing="0" w:line="360" w:lineRule="auto"/>
        <w:ind w:firstLine="480"/>
        <w:jc w:val="left"/>
        <w:rPr>
          <w:rFonts w:hint="eastAsia" w:ascii="宋体" w:hAnsi="宋体" w:eastAsia="宋体" w:cs="宋体"/>
          <w:b/>
          <w:color w:val="000000"/>
          <w:szCs w:val="20"/>
          <w:highlight w:val="none"/>
          <w:lang w:val="en-US" w:eastAsia="zh-CN"/>
        </w:rPr>
      </w:pPr>
      <w:r>
        <w:rPr>
          <w:rFonts w:hint="eastAsia" w:ascii="宋体" w:hAnsi="宋体" w:eastAsia="宋体" w:cs="宋体"/>
          <w:color w:val="000000"/>
          <w:sz w:val="24"/>
          <w:szCs w:val="24"/>
          <w:highlight w:val="none"/>
          <w:lang w:val="en-US" w:eastAsia="zh-CN" w:bidi="ar-SA"/>
        </w:rPr>
        <w:t>2、配送价格应包含供应商所有税费、成本、利润、运输、装卸、各类劳保、保险等一切费用。</w:t>
      </w:r>
    </w:p>
    <w:p w14:paraId="37F424AC">
      <w:pPr>
        <w:pStyle w:val="44"/>
        <w:ind w:left="0" w:leftChars="0" w:firstLine="0" w:firstLineChars="0"/>
        <w:rPr>
          <w:rFonts w:hint="eastAsia" w:ascii="宋体" w:hAnsi="宋体" w:eastAsia="宋体" w:cs="宋体"/>
          <w:highlight w:val="none"/>
        </w:rPr>
      </w:pPr>
    </w:p>
    <w:p w14:paraId="45797E60">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9</w:t>
      </w:r>
      <w:r>
        <w:rPr>
          <w:rFonts w:hint="eastAsia" w:ascii="宋体" w:hAnsi="宋体" w:eastAsia="宋体" w:cs="宋体"/>
          <w:b/>
          <w:color w:val="auto"/>
          <w:sz w:val="24"/>
          <w:szCs w:val="24"/>
          <w:highlight w:val="none"/>
        </w:rPr>
        <w:t>、付款方式：</w:t>
      </w:r>
    </w:p>
    <w:p w14:paraId="4844BDC5">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每月凭经甲方签字的送货单据及定价单结算一次（节假日顺延），采用转账支付方式结算。乙方需提供与货款等额的正规发票。</w:t>
      </w:r>
    </w:p>
    <w:p w14:paraId="22A1DD16">
      <w:pPr>
        <w:pStyle w:val="294"/>
        <w:keepNext w:val="0"/>
        <w:keepLines w:val="0"/>
        <w:pageBreakBefore w:val="0"/>
        <w:widowControl w:val="0"/>
        <w:shd w:val="clear" w:color="auto" w:fill="FFFFFF"/>
        <w:spacing w:before="0" w:beforeAutospacing="0" w:after="0" w:afterAutospacing="0" w:line="360" w:lineRule="auto"/>
        <w:ind w:firstLine="480"/>
        <w:rPr>
          <w:rFonts w:hint="eastAsia" w:ascii="宋体" w:hAnsi="宋体" w:eastAsia="宋体" w:cs="宋体"/>
          <w:b/>
          <w:bCs w:val="0"/>
          <w:color w:val="000000"/>
          <w:szCs w:val="20"/>
          <w:highlight w:val="none"/>
          <w:lang w:val="en-US" w:eastAsia="zh-CN"/>
        </w:rPr>
      </w:pPr>
      <w:r>
        <w:rPr>
          <w:rFonts w:hint="eastAsia" w:ascii="宋体" w:hAnsi="宋体" w:eastAsia="宋体" w:cs="宋体"/>
          <w:b/>
          <w:bCs w:val="0"/>
          <w:color w:val="auto"/>
          <w:sz w:val="24"/>
          <w:szCs w:val="24"/>
          <w:highlight w:val="none"/>
          <w:lang w:val="en-US" w:eastAsia="zh-CN"/>
        </w:rPr>
        <w:t>10、</w:t>
      </w:r>
      <w:r>
        <w:rPr>
          <w:rFonts w:hint="eastAsia" w:ascii="宋体" w:hAnsi="宋体" w:eastAsia="宋体" w:cs="宋体"/>
          <w:b/>
          <w:bCs w:val="0"/>
          <w:color w:val="000000"/>
          <w:szCs w:val="20"/>
          <w:highlight w:val="none"/>
          <w:lang w:val="en-US" w:eastAsia="zh-CN"/>
        </w:rPr>
        <w:t>验收标准及退货依据</w:t>
      </w:r>
    </w:p>
    <w:p w14:paraId="00EE44C2">
      <w:pPr>
        <w:pStyle w:val="254"/>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000000"/>
          <w:szCs w:val="20"/>
          <w:highlight w:val="none"/>
          <w:lang w:val="en-US" w:eastAsia="zh-CN"/>
        </w:rPr>
        <w:t>1</w:t>
      </w:r>
      <w:r>
        <w:rPr>
          <w:rFonts w:hint="eastAsia" w:ascii="宋体" w:hAnsi="宋体" w:eastAsia="宋体" w:cs="宋体"/>
          <w:color w:val="000000"/>
          <w:szCs w:val="20"/>
          <w:highlight w:val="none"/>
        </w:rPr>
        <w:t>、甲方按照以下分类标准作为验收标准以及退货依据：</w:t>
      </w:r>
      <w:r>
        <w:rPr>
          <w:rFonts w:hint="eastAsia" w:ascii="宋体" w:hAnsi="宋体" w:eastAsia="宋体" w:cs="宋体"/>
          <w:color w:val="000000"/>
          <w:szCs w:val="20"/>
          <w:highlight w:val="none"/>
        </w:rPr>
        <w:br w:type="textWrapping"/>
      </w:r>
      <w:r>
        <w:rPr>
          <w:rFonts w:hint="eastAsia" w:ascii="宋体" w:hAnsi="宋体" w:eastAsia="宋体" w:cs="宋体"/>
          <w:color w:val="auto"/>
          <w:highlight w:val="none"/>
        </w:rPr>
        <w:t>1）蔬菜类：</w:t>
      </w:r>
    </w:p>
    <w:tbl>
      <w:tblPr>
        <w:tblStyle w:val="38"/>
        <w:tblpPr w:leftFromText="180" w:rightFromText="180" w:vertAnchor="text" w:horzAnchor="page" w:tblpX="825" w:tblpY="514"/>
        <w:tblOverlap w:val="never"/>
        <w:tblW w:w="537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92"/>
        <w:gridCol w:w="1213"/>
        <w:gridCol w:w="4814"/>
        <w:gridCol w:w="1991"/>
        <w:gridCol w:w="1991"/>
      </w:tblGrid>
      <w:tr w14:paraId="372EF7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8" w:hRule="atLeast"/>
        </w:trPr>
        <w:tc>
          <w:tcPr>
            <w:tcW w:w="279" w:type="pct"/>
            <w:noWrap/>
            <w:vAlign w:val="center"/>
          </w:tcPr>
          <w:p w14:paraId="4527693E">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572" w:type="pct"/>
            <w:noWrap/>
            <w:vAlign w:val="center"/>
          </w:tcPr>
          <w:p w14:paraId="743476E5">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货物种类</w:t>
            </w:r>
          </w:p>
        </w:tc>
        <w:tc>
          <w:tcPr>
            <w:tcW w:w="2270" w:type="pct"/>
            <w:noWrap/>
            <w:vAlign w:val="center"/>
          </w:tcPr>
          <w:p w14:paraId="6C390079">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b/>
                <w:color w:val="auto"/>
                <w:sz w:val="24"/>
                <w:highlight w:val="none"/>
              </w:rPr>
              <w:t>验收标准</w:t>
            </w:r>
          </w:p>
        </w:tc>
        <w:tc>
          <w:tcPr>
            <w:tcW w:w="939" w:type="pct"/>
            <w:noWrap/>
            <w:vAlign w:val="center"/>
          </w:tcPr>
          <w:p w14:paraId="5429E45B">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b/>
                <w:color w:val="auto"/>
                <w:sz w:val="24"/>
                <w:highlight w:val="none"/>
              </w:rPr>
              <w:t>退货依据</w:t>
            </w:r>
          </w:p>
        </w:tc>
        <w:tc>
          <w:tcPr>
            <w:tcW w:w="939" w:type="pct"/>
            <w:noWrap/>
            <w:vAlign w:val="center"/>
          </w:tcPr>
          <w:p w14:paraId="2B6FB4AE">
            <w:pPr>
              <w:spacing w:line="240" w:lineRule="auto"/>
              <w:jc w:val="center"/>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rPr>
              <w:t>其他要求</w:t>
            </w:r>
          </w:p>
        </w:tc>
      </w:tr>
      <w:tr w14:paraId="19D037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26" w:hRule="atLeast"/>
        </w:trPr>
        <w:tc>
          <w:tcPr>
            <w:tcW w:w="279" w:type="pct"/>
            <w:noWrap/>
            <w:vAlign w:val="center"/>
          </w:tcPr>
          <w:p w14:paraId="7AB67726">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572" w:type="pct"/>
            <w:noWrap/>
            <w:vAlign w:val="center"/>
          </w:tcPr>
          <w:p w14:paraId="67474C8C">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叶菜类</w:t>
            </w:r>
          </w:p>
        </w:tc>
        <w:tc>
          <w:tcPr>
            <w:tcW w:w="2270" w:type="pct"/>
            <w:noWrap/>
            <w:vAlign w:val="center"/>
          </w:tcPr>
          <w:p w14:paraId="030C9FE6">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外形正常，叶梗光滑幼嫩，不干瘪凋萎，无过多黄叶，色泽正常。去除根须，不含土，无虫害，大白菜、卷心菜切开心不变黑，无腐烂情形，无明显浸水现象；农药残留不超标。</w:t>
            </w:r>
          </w:p>
        </w:tc>
        <w:tc>
          <w:tcPr>
            <w:tcW w:w="939" w:type="pct"/>
            <w:noWrap/>
            <w:vAlign w:val="center"/>
          </w:tcPr>
          <w:p w14:paraId="16338C0E">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味苦，鲜度嫩度明显不佳，含黄叶须根，泥土、虫害严重，</w:t>
            </w:r>
            <w:r>
              <w:rPr>
                <w:rFonts w:hint="eastAsia" w:ascii="宋体" w:hAnsi="宋体" w:eastAsia="宋体" w:cs="宋体"/>
                <w:color w:val="auto"/>
                <w:sz w:val="24"/>
                <w:szCs w:val="24"/>
                <w:highlight w:val="none"/>
                <w:lang w:eastAsia="zh-CN"/>
              </w:rPr>
              <w:t>凋萎</w:t>
            </w:r>
            <w:r>
              <w:rPr>
                <w:rFonts w:hint="eastAsia" w:ascii="宋体" w:hAnsi="宋体" w:eastAsia="宋体" w:cs="宋体"/>
                <w:color w:val="auto"/>
                <w:sz w:val="24"/>
                <w:szCs w:val="24"/>
                <w:highlight w:val="none"/>
              </w:rPr>
              <w:t>严重，浸水后仍不可恢复者；农药残留超标。</w:t>
            </w:r>
          </w:p>
        </w:tc>
        <w:tc>
          <w:tcPr>
            <w:tcW w:w="939" w:type="pct"/>
            <w:vMerge w:val="restart"/>
            <w:noWrap/>
            <w:vAlign w:val="center"/>
          </w:tcPr>
          <w:p w14:paraId="03B46C09">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开具正规发票，按要求送货上门，必须每天提供农药残留检测报告，保证送货质量，诚实守信。</w:t>
            </w:r>
          </w:p>
        </w:tc>
      </w:tr>
      <w:tr w14:paraId="3E08B5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4" w:hRule="atLeast"/>
        </w:trPr>
        <w:tc>
          <w:tcPr>
            <w:tcW w:w="279" w:type="pct"/>
            <w:noWrap/>
            <w:vAlign w:val="center"/>
          </w:tcPr>
          <w:p w14:paraId="6C44A405">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572" w:type="pct"/>
            <w:noWrap/>
            <w:vAlign w:val="center"/>
          </w:tcPr>
          <w:p w14:paraId="294190CB">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根茎类</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如香芋、土豆、莴笋</w:t>
            </w:r>
          </w:p>
        </w:tc>
        <w:tc>
          <w:tcPr>
            <w:tcW w:w="2270" w:type="pct"/>
            <w:noWrap/>
            <w:vAlign w:val="center"/>
          </w:tcPr>
          <w:p w14:paraId="6ABF41AD">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无虫咬、发芽、发霉现象，新鲜，形态大小与甲方自购标准相当。农药残留不超标。</w:t>
            </w:r>
          </w:p>
        </w:tc>
        <w:tc>
          <w:tcPr>
            <w:tcW w:w="939" w:type="pct"/>
            <w:noWrap/>
            <w:vAlign w:val="center"/>
          </w:tcPr>
          <w:p w14:paraId="0C02A83D">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发芽严重、发霉，新鲜度不佳，形态大小与甲方自购标准存在较大负偏差。农药残留超标。</w:t>
            </w:r>
          </w:p>
        </w:tc>
        <w:tc>
          <w:tcPr>
            <w:tcW w:w="939" w:type="pct"/>
            <w:vMerge w:val="continue"/>
            <w:shd w:val="clear" w:color="auto" w:fill="auto"/>
            <w:noWrap/>
            <w:vAlign w:val="center"/>
          </w:tcPr>
          <w:p w14:paraId="740289A3">
            <w:pPr>
              <w:spacing w:line="240" w:lineRule="auto"/>
              <w:jc w:val="center"/>
              <w:rPr>
                <w:rFonts w:hint="eastAsia" w:ascii="宋体" w:hAnsi="宋体" w:eastAsia="宋体" w:cs="宋体"/>
                <w:b/>
                <w:color w:val="auto"/>
                <w:sz w:val="24"/>
                <w:highlight w:val="none"/>
                <w:lang w:val="en-US" w:eastAsia="zh-CN" w:bidi="ar-SA"/>
              </w:rPr>
            </w:pPr>
          </w:p>
        </w:tc>
      </w:tr>
      <w:tr w14:paraId="2B892B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7" w:hRule="atLeast"/>
        </w:trPr>
        <w:tc>
          <w:tcPr>
            <w:tcW w:w="279" w:type="pct"/>
            <w:noWrap/>
            <w:vAlign w:val="center"/>
          </w:tcPr>
          <w:p w14:paraId="353693AD">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572" w:type="pct"/>
            <w:noWrap/>
            <w:vAlign w:val="center"/>
          </w:tcPr>
          <w:p w14:paraId="4F766D82">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花果类：如西兰花、白菜花</w:t>
            </w:r>
          </w:p>
        </w:tc>
        <w:tc>
          <w:tcPr>
            <w:tcW w:w="2270" w:type="pct"/>
            <w:noWrap/>
            <w:vAlign w:val="center"/>
          </w:tcPr>
          <w:p w14:paraId="2782FB75">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无虫害，成熟度良好，新鲜固有的色泽鲜明，无发霉发黄。农药残留不超标。</w:t>
            </w:r>
          </w:p>
        </w:tc>
        <w:tc>
          <w:tcPr>
            <w:tcW w:w="939" w:type="pct"/>
            <w:noWrap/>
            <w:vAlign w:val="center"/>
          </w:tcPr>
          <w:p w14:paraId="7F02582B">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不新鲜，发霉，虫害过多。农药残留超标。</w:t>
            </w:r>
          </w:p>
        </w:tc>
        <w:tc>
          <w:tcPr>
            <w:tcW w:w="939" w:type="pct"/>
            <w:vMerge w:val="continue"/>
            <w:noWrap/>
            <w:vAlign w:val="center"/>
          </w:tcPr>
          <w:p w14:paraId="042F55FB">
            <w:pPr>
              <w:spacing w:line="240" w:lineRule="auto"/>
              <w:rPr>
                <w:rFonts w:hint="eastAsia" w:ascii="宋体" w:hAnsi="宋体" w:eastAsia="宋体" w:cs="宋体"/>
                <w:color w:val="auto"/>
                <w:sz w:val="24"/>
                <w:szCs w:val="24"/>
                <w:highlight w:val="none"/>
              </w:rPr>
            </w:pPr>
          </w:p>
        </w:tc>
      </w:tr>
      <w:tr w14:paraId="7B0908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14" w:hRule="atLeast"/>
        </w:trPr>
        <w:tc>
          <w:tcPr>
            <w:tcW w:w="279" w:type="pct"/>
            <w:noWrap/>
            <w:vAlign w:val="center"/>
          </w:tcPr>
          <w:p w14:paraId="3B159E27">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572" w:type="pct"/>
            <w:noWrap/>
            <w:vAlign w:val="center"/>
          </w:tcPr>
          <w:p w14:paraId="03BD9F55">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瓜果类</w:t>
            </w:r>
          </w:p>
        </w:tc>
        <w:tc>
          <w:tcPr>
            <w:tcW w:w="2270" w:type="pct"/>
            <w:noWrap/>
            <w:vAlign w:val="center"/>
          </w:tcPr>
          <w:p w14:paraId="598546A6">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外表光亮无斑点，有新鲜连接的秧，形状正常、大小均匀，无软塌，成熟度适度。无腐烂，无污染，清洁、新鲜，无异味、无病虫损害。农药残留不超标。</w:t>
            </w:r>
          </w:p>
        </w:tc>
        <w:tc>
          <w:tcPr>
            <w:tcW w:w="939" w:type="pct"/>
            <w:noWrap/>
            <w:vAlign w:val="center"/>
          </w:tcPr>
          <w:p w14:paraId="701A3E3C">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不新鲜，软塌、腐烂、发霉，虫害过多。形态大小与甲方自购标准存在较大负偏差。农药残留超标。</w:t>
            </w:r>
          </w:p>
        </w:tc>
        <w:tc>
          <w:tcPr>
            <w:tcW w:w="939" w:type="pct"/>
            <w:vMerge w:val="continue"/>
            <w:noWrap/>
            <w:vAlign w:val="center"/>
          </w:tcPr>
          <w:p w14:paraId="4B6B73E0">
            <w:pPr>
              <w:spacing w:line="240" w:lineRule="auto"/>
              <w:rPr>
                <w:rFonts w:hint="eastAsia" w:ascii="宋体" w:hAnsi="宋体" w:eastAsia="宋体" w:cs="宋体"/>
                <w:color w:val="auto"/>
                <w:sz w:val="24"/>
                <w:szCs w:val="24"/>
                <w:highlight w:val="none"/>
                <w:lang w:val="en-US" w:eastAsia="zh-CN"/>
              </w:rPr>
            </w:pPr>
          </w:p>
        </w:tc>
      </w:tr>
    </w:tbl>
    <w:p w14:paraId="19E893E4">
      <w:pPr>
        <w:spacing w:line="520" w:lineRule="exact"/>
        <w:ind w:firstLine="480" w:firstLineChars="200"/>
        <w:rPr>
          <w:rFonts w:hint="eastAsia" w:ascii="宋体" w:hAnsi="宋体" w:eastAsia="宋体" w:cs="宋体"/>
          <w:color w:val="auto"/>
          <w:sz w:val="24"/>
          <w:highlight w:val="none"/>
        </w:rPr>
      </w:pPr>
    </w:p>
    <w:p w14:paraId="0EC91C83">
      <w:pPr>
        <w:spacing w:line="520" w:lineRule="exact"/>
        <w:ind w:firstLine="480" w:firstLineChars="200"/>
        <w:rPr>
          <w:rFonts w:hint="eastAsia" w:ascii="宋体" w:hAnsi="宋体" w:eastAsia="宋体" w:cs="宋体"/>
          <w:color w:val="auto"/>
          <w:sz w:val="24"/>
          <w:highlight w:val="none"/>
        </w:rPr>
      </w:pPr>
    </w:p>
    <w:p w14:paraId="265764DB">
      <w:pPr>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2)大米必须符合GB1354-86标准，并拥有“QS“食品质量安全认证；</w:t>
      </w:r>
    </w:p>
    <w:p w14:paraId="50B7050B">
      <w:pPr>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3)食用油必须符合GB1535-2003标准，并拥有“QS“食品质量安全认证；</w:t>
      </w:r>
    </w:p>
    <w:p w14:paraId="733C2DF5">
      <w:pPr>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4)面粉必须符合GB1355-86标准，并拥有“QS“食品质量安全认证；</w:t>
      </w:r>
    </w:p>
    <w:p w14:paraId="48433DAB">
      <w:pPr>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5)猪肉、牛肉、鲜鸡鸭、鸡副产品等必须为新鲜食材，非冻品，具有动物检验检疫合格证明；</w:t>
      </w:r>
    </w:p>
    <w:p w14:paraId="6D83B24E">
      <w:pPr>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6)糖、味精、酱油、醋、生粉等必须具有“QS“食品质量认证标志；</w:t>
      </w:r>
    </w:p>
    <w:p w14:paraId="538ABEE7">
      <w:pPr>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7)豆制品、半成品必须具有“QS“食品质量安全认证；</w:t>
      </w:r>
    </w:p>
    <w:p w14:paraId="3B7310CF">
      <w:pPr>
        <w:spacing w:line="520" w:lineRule="exact"/>
        <w:ind w:firstLine="480" w:firstLineChars="200"/>
        <w:rPr>
          <w:rFonts w:hint="eastAsia" w:ascii="宋体" w:hAnsi="宋体" w:eastAsia="宋体" w:cs="宋体"/>
          <w:b/>
          <w:color w:val="auto"/>
          <w:sz w:val="24"/>
          <w:highlight w:val="none"/>
        </w:rPr>
      </w:pPr>
      <w:r>
        <w:rPr>
          <w:rFonts w:hint="eastAsia" w:ascii="宋体" w:hAnsi="宋体" w:eastAsia="宋体" w:cs="宋体"/>
          <w:color w:val="auto"/>
          <w:sz w:val="24"/>
          <w:highlight w:val="none"/>
        </w:rPr>
        <w:t>8)禽蛋、蔬菜必须保证新鲜，且符合食品卫生安全法要求。</w:t>
      </w:r>
    </w:p>
    <w:p w14:paraId="70594875">
      <w:pPr>
        <w:pStyle w:val="294"/>
        <w:keepNext w:val="0"/>
        <w:keepLines w:val="0"/>
        <w:pageBreakBefore w:val="0"/>
        <w:widowControl w:val="0"/>
        <w:spacing w:before="0" w:beforeAutospacing="0" w:after="0" w:afterAutospacing="0" w:line="360" w:lineRule="auto"/>
        <w:ind w:firstLine="480"/>
        <w:rPr>
          <w:rFonts w:hint="eastAsia" w:ascii="宋体" w:hAnsi="宋体" w:eastAsia="宋体" w:cs="宋体"/>
          <w:color w:val="000000"/>
          <w:sz w:val="24"/>
          <w:szCs w:val="24"/>
          <w:highlight w:val="none"/>
          <w:lang w:val="en-US" w:eastAsia="zh-CN"/>
        </w:rPr>
      </w:pPr>
    </w:p>
    <w:p w14:paraId="6F8BEB23">
      <w:pPr>
        <w:pStyle w:val="294"/>
        <w:keepNext w:val="0"/>
        <w:keepLines w:val="0"/>
        <w:pageBreakBefore w:val="0"/>
        <w:widowControl w:val="0"/>
        <w:spacing w:before="0" w:beforeAutospacing="0" w:after="0" w:afterAutospacing="0" w:line="360" w:lineRule="auto"/>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乙方在履行合同期间，如抽查发现当天供货价格超出无锡市发展和改革委员会官网的公布价格、原材料出现明显质量问题，不符合国家相关规定。发生以上情况，第一次，采购人给予书面警告，并罚款5000元人民币；第二次，采购人将约谈供货方，并罚款10000元人民币；第三次，采购人将直接取消其供货资格，由第二中标候选人进行替补。</w:t>
      </w:r>
    </w:p>
    <w:p w14:paraId="39A0406A">
      <w:pPr>
        <w:pStyle w:val="294"/>
        <w:keepNext w:val="0"/>
        <w:keepLines w:val="0"/>
        <w:pageBreakBefore w:val="0"/>
        <w:widowControl w:val="0"/>
        <w:spacing w:before="0" w:beforeAutospacing="0" w:after="0" w:afterAutospacing="0" w:line="360" w:lineRule="auto"/>
        <w:ind w:firstLine="480"/>
        <w:rPr>
          <w:rFonts w:hint="eastAsia" w:ascii="宋体" w:hAnsi="宋体" w:eastAsia="宋体" w:cs="宋体"/>
          <w:highlight w:val="none"/>
          <w:lang w:val="en-US" w:eastAsia="zh-CN"/>
        </w:rPr>
      </w:pPr>
      <w:r>
        <w:rPr>
          <w:rFonts w:hint="eastAsia" w:ascii="宋体" w:hAnsi="宋体" w:eastAsia="宋体" w:cs="宋体"/>
          <w:b/>
          <w:bCs/>
          <w:color w:val="000000"/>
          <w:sz w:val="24"/>
          <w:szCs w:val="20"/>
          <w:highlight w:val="none"/>
          <w:lang w:val="en-US" w:eastAsia="zh-CN" w:bidi="ar-SA"/>
        </w:rPr>
        <w:t>11、其他说明</w:t>
      </w:r>
    </w:p>
    <w:p w14:paraId="761EA787">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14:paraId="27C52D49">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）依据《政府采购促进中小企业发展管理办法》规定享受扶持政策获得政府采购合同的，小微企业不得将合同分包给大中型企业，中型企业不得将合同分包给大型企业。</w:t>
      </w:r>
    </w:p>
    <w:p w14:paraId="2DF1CDBD">
      <w:pPr>
        <w:numPr>
          <w:ilvl w:val="0"/>
          <w:numId w:val="0"/>
        </w:numPr>
        <w:spacing w:line="360" w:lineRule="auto"/>
        <w:jc w:val="center"/>
        <w:outlineLvl w:val="0"/>
        <w:rPr>
          <w:rFonts w:hint="eastAsia" w:ascii="宋体" w:hAnsi="宋体" w:cs="宋体"/>
          <w:bCs/>
          <w:sz w:val="24"/>
          <w:szCs w:val="24"/>
          <w:highlight w:val="none"/>
        </w:rPr>
      </w:pPr>
    </w:p>
    <w:p w14:paraId="13472489">
      <w:pPr>
        <w:numPr>
          <w:ilvl w:val="0"/>
          <w:numId w:val="0"/>
        </w:numPr>
        <w:spacing w:line="360" w:lineRule="auto"/>
        <w:jc w:val="center"/>
        <w:outlineLvl w:val="0"/>
        <w:rPr>
          <w:rFonts w:hint="eastAsia" w:ascii="宋体" w:hAnsi="宋体" w:cs="宋体"/>
          <w:bCs/>
          <w:sz w:val="24"/>
          <w:szCs w:val="24"/>
          <w:highlight w:val="none"/>
        </w:rPr>
      </w:pPr>
    </w:p>
    <w:p w14:paraId="5E7C1900">
      <w:pPr>
        <w:numPr>
          <w:ilvl w:val="0"/>
          <w:numId w:val="0"/>
        </w:numPr>
        <w:spacing w:line="360" w:lineRule="auto"/>
        <w:jc w:val="center"/>
        <w:outlineLvl w:val="0"/>
        <w:rPr>
          <w:rFonts w:hint="eastAsia" w:ascii="宋体" w:hAnsi="宋体" w:cs="宋体"/>
          <w:bCs/>
          <w:sz w:val="24"/>
          <w:szCs w:val="24"/>
          <w:highlight w:val="none"/>
        </w:rPr>
      </w:pPr>
    </w:p>
    <w:p w14:paraId="6AA4ABFF">
      <w:pPr>
        <w:numPr>
          <w:ilvl w:val="0"/>
          <w:numId w:val="0"/>
        </w:numPr>
        <w:spacing w:line="360" w:lineRule="auto"/>
        <w:jc w:val="center"/>
        <w:outlineLvl w:val="0"/>
        <w:rPr>
          <w:rFonts w:hint="eastAsia" w:ascii="宋体" w:hAnsi="宋体" w:cs="宋体"/>
          <w:bCs/>
          <w:sz w:val="24"/>
          <w:szCs w:val="24"/>
          <w:highlight w:val="none"/>
        </w:rPr>
      </w:pPr>
    </w:p>
    <w:p w14:paraId="3920D4EF">
      <w:pPr>
        <w:numPr>
          <w:ilvl w:val="0"/>
          <w:numId w:val="0"/>
        </w:numPr>
        <w:spacing w:line="360" w:lineRule="auto"/>
        <w:jc w:val="center"/>
        <w:outlineLvl w:val="0"/>
        <w:rPr>
          <w:rFonts w:hint="eastAsia" w:ascii="宋体" w:hAnsi="宋体" w:cs="宋体"/>
          <w:bCs/>
          <w:sz w:val="24"/>
          <w:szCs w:val="24"/>
          <w:highlight w:val="none"/>
        </w:rPr>
      </w:pPr>
    </w:p>
    <w:bookmarkEnd w:id="6"/>
    <w:p w14:paraId="6F8CF1C2">
      <w:pPr>
        <w:spacing w:line="360" w:lineRule="auto"/>
        <w:jc w:val="center"/>
        <w:rPr>
          <w:rFonts w:hint="eastAsia" w:ascii="宋体" w:hAnsi="宋体" w:eastAsia="宋体" w:cs="宋体"/>
          <w:bCs/>
          <w:color w:val="auto"/>
          <w:sz w:val="36"/>
          <w:szCs w:val="36"/>
          <w:highlight w:val="none"/>
        </w:rPr>
      </w:pPr>
      <w:bookmarkStart w:id="7" w:name="_Toc15101"/>
    </w:p>
    <w:p w14:paraId="56F5F68D">
      <w:pPr>
        <w:spacing w:line="360" w:lineRule="auto"/>
        <w:jc w:val="center"/>
        <w:rPr>
          <w:rFonts w:hint="eastAsia" w:ascii="宋体" w:hAnsi="宋体" w:eastAsia="宋体" w:cs="宋体"/>
          <w:bCs/>
          <w:color w:val="auto"/>
          <w:sz w:val="36"/>
          <w:szCs w:val="36"/>
          <w:highlight w:val="none"/>
        </w:rPr>
      </w:pPr>
    </w:p>
    <w:p w14:paraId="7934DB8B">
      <w:pPr>
        <w:spacing w:line="360" w:lineRule="auto"/>
        <w:jc w:val="center"/>
        <w:rPr>
          <w:rFonts w:hint="eastAsia" w:ascii="宋体" w:hAnsi="宋体" w:eastAsia="宋体" w:cs="宋体"/>
          <w:bCs/>
          <w:color w:val="auto"/>
          <w:sz w:val="36"/>
          <w:szCs w:val="36"/>
          <w:highlight w:val="none"/>
        </w:rPr>
      </w:pPr>
    </w:p>
    <w:p w14:paraId="0373FC5B">
      <w:pPr>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Cs/>
          <w:color w:val="auto"/>
          <w:sz w:val="36"/>
          <w:szCs w:val="36"/>
          <w:highlight w:val="none"/>
        </w:rPr>
        <w:t>四．</w:t>
      </w:r>
      <w:r>
        <w:rPr>
          <w:rFonts w:hint="eastAsia" w:ascii="宋体" w:hAnsi="宋体" w:eastAsia="宋体" w:cs="宋体"/>
          <w:b/>
          <w:color w:val="auto"/>
          <w:sz w:val="36"/>
          <w:szCs w:val="36"/>
          <w:highlight w:val="none"/>
        </w:rPr>
        <w:t>合同书（</w:t>
      </w:r>
      <w:r>
        <w:rPr>
          <w:rFonts w:hint="eastAsia" w:ascii="宋体" w:hAnsi="宋体" w:eastAsia="宋体" w:cs="宋体"/>
          <w:color w:val="auto"/>
          <w:sz w:val="36"/>
          <w:szCs w:val="36"/>
          <w:highlight w:val="none"/>
        </w:rPr>
        <w:t>格式文本</w:t>
      </w:r>
      <w:r>
        <w:rPr>
          <w:rFonts w:hint="eastAsia" w:ascii="宋体" w:hAnsi="宋体" w:eastAsia="宋体" w:cs="宋体"/>
          <w:b/>
          <w:color w:val="auto"/>
          <w:sz w:val="36"/>
          <w:szCs w:val="36"/>
          <w:highlight w:val="none"/>
        </w:rPr>
        <w:t>）</w:t>
      </w:r>
    </w:p>
    <w:p w14:paraId="1CF61913">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4"/>
          <w:szCs w:val="24"/>
          <w:highlight w:val="none"/>
        </w:rPr>
        <w:t>根据《中华人民共和国政府采购法》及相关法规、《中华人民共和国民法典》，遵循平等、自愿、公平和诚实信用的原则，供需双方就项目（项目编号：</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 ）实施及有关事项协商一致，共同达成如下协议：</w:t>
      </w:r>
    </w:p>
    <w:p w14:paraId="1D31C7CF">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需方(采购人)：</w:t>
      </w:r>
      <w:r>
        <w:rPr>
          <w:rFonts w:hint="eastAsia" w:ascii="宋体" w:hAnsi="宋体" w:eastAsia="宋体" w:cs="宋体"/>
          <w:bCs/>
          <w:color w:val="auto"/>
          <w:sz w:val="24"/>
          <w:highlight w:val="none"/>
          <w:u w:val="single"/>
        </w:rPr>
        <w:t xml:space="preserve">                    </w:t>
      </w:r>
    </w:p>
    <w:p w14:paraId="322C3736">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供方(中标方)：</w:t>
      </w:r>
      <w:r>
        <w:rPr>
          <w:rFonts w:hint="eastAsia" w:ascii="宋体" w:hAnsi="宋体" w:eastAsia="宋体" w:cs="宋体"/>
          <w:bCs/>
          <w:color w:val="auto"/>
          <w:sz w:val="24"/>
          <w:highlight w:val="none"/>
          <w:u w:val="single"/>
        </w:rPr>
        <w:t xml:space="preserve">                    </w:t>
      </w:r>
    </w:p>
    <w:p w14:paraId="1B29ACF8">
      <w:pPr>
        <w:keepNext w:val="0"/>
        <w:keepLines w:val="0"/>
        <w:pageBreakBefore w:val="0"/>
        <w:tabs>
          <w:tab w:val="left" w:pos="840"/>
          <w:tab w:val="left" w:pos="115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一、政府采购编号：  </w:t>
      </w:r>
    </w:p>
    <w:p w14:paraId="60FB50E8">
      <w:pPr>
        <w:keepNext w:val="0"/>
        <w:keepLines w:val="0"/>
        <w:pageBreakBefore w:val="0"/>
        <w:tabs>
          <w:tab w:val="left" w:pos="840"/>
          <w:tab w:val="left" w:pos="115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二、采购内容：</w:t>
      </w:r>
      <w:bookmarkStart w:id="8" w:name="_Hlk2066327"/>
      <w:r>
        <w:rPr>
          <w:rFonts w:hint="eastAsia" w:ascii="宋体" w:hAnsi="宋体" w:eastAsia="宋体" w:cs="宋体"/>
          <w:bCs/>
          <w:color w:val="auto"/>
          <w:sz w:val="24"/>
          <w:highlight w:val="none"/>
          <w:u w:val="single"/>
        </w:rPr>
        <w:t>江溪街道治超站食堂所需的大米、蔬菜、肉、食用油、调料等各类食材供货及相关服务</w:t>
      </w:r>
      <w:r>
        <w:rPr>
          <w:rFonts w:hint="eastAsia" w:ascii="宋体" w:hAnsi="宋体" w:eastAsia="宋体" w:cs="宋体"/>
          <w:bCs/>
          <w:color w:val="auto"/>
          <w:sz w:val="24"/>
          <w:highlight w:val="none"/>
          <w:u w:val="single"/>
          <w:lang w:eastAsia="zh-CN"/>
        </w:rPr>
        <w:t>。</w:t>
      </w:r>
      <w:r>
        <w:rPr>
          <w:rFonts w:hint="eastAsia" w:ascii="宋体" w:hAnsi="宋体" w:eastAsia="宋体" w:cs="宋体"/>
          <w:bCs/>
          <w:color w:val="auto"/>
          <w:sz w:val="24"/>
          <w:highlight w:val="none"/>
          <w:u w:val="single"/>
        </w:rPr>
        <w:t xml:space="preserve">                                                         </w:t>
      </w:r>
      <w:bookmarkEnd w:id="8"/>
    </w:p>
    <w:p w14:paraId="70F4940E">
      <w:pPr>
        <w:keepNext w:val="0"/>
        <w:keepLines w:val="0"/>
        <w:pageBreakBefore w:val="0"/>
        <w:tabs>
          <w:tab w:val="left" w:pos="840"/>
          <w:tab w:val="left" w:pos="115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三、中标总金额：(大写)</w:t>
      </w:r>
      <w:r>
        <w:rPr>
          <w:rFonts w:hint="eastAsia" w:ascii="宋体" w:hAnsi="宋体" w:eastAsia="宋体" w:cs="宋体"/>
          <w:bCs/>
          <w:color w:val="auto"/>
          <w:sz w:val="24"/>
          <w:highlight w:val="none"/>
          <w:u w:val="single"/>
        </w:rPr>
        <w:t xml:space="preserve">                       ： </w:t>
      </w:r>
      <w:r>
        <w:rPr>
          <w:rFonts w:hint="eastAsia" w:ascii="宋体" w:hAnsi="宋体" w:eastAsia="宋体" w:cs="宋体"/>
          <w:bCs/>
          <w:color w:val="auto"/>
          <w:sz w:val="24"/>
          <w:highlight w:val="none"/>
        </w:rPr>
        <w:t>(小写)</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w:t>
      </w:r>
    </w:p>
    <w:p w14:paraId="407EAB1F">
      <w:pPr>
        <w:keepNext w:val="0"/>
        <w:keepLines w:val="0"/>
        <w:pageBreakBefore w:val="0"/>
        <w:tabs>
          <w:tab w:val="left" w:pos="840"/>
          <w:tab w:val="left" w:pos="115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四、质量要求及验收标准：</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满足招标人要求。</w:t>
      </w:r>
      <w:r>
        <w:rPr>
          <w:rFonts w:hint="eastAsia" w:ascii="宋体" w:hAnsi="宋体" w:eastAsia="宋体" w:cs="宋体"/>
          <w:bCs/>
          <w:color w:val="auto"/>
          <w:sz w:val="24"/>
          <w:highlight w:val="none"/>
          <w:u w:val="single"/>
        </w:rPr>
        <w:t xml:space="preserve">                                          </w:t>
      </w:r>
    </w:p>
    <w:p w14:paraId="12D7F80C">
      <w:pPr>
        <w:keepNext w:val="0"/>
        <w:keepLines w:val="0"/>
        <w:pageBreakBefore w:val="0"/>
        <w:tabs>
          <w:tab w:val="left" w:pos="840"/>
          <w:tab w:val="left" w:pos="115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五、服务期：</w:t>
      </w:r>
      <w:r>
        <w:rPr>
          <w:rFonts w:hint="eastAsia" w:ascii="宋体" w:hAnsi="宋体" w:eastAsia="宋体" w:cs="宋体"/>
          <w:bCs/>
          <w:color w:val="auto"/>
          <w:sz w:val="24"/>
          <w:highlight w:val="none"/>
          <w:u w:val="single"/>
        </w:rPr>
        <w:t xml:space="preserve"> 一年（以合同签订日期为准）</w:t>
      </w:r>
      <w:r>
        <w:rPr>
          <w:rFonts w:hint="eastAsia" w:ascii="宋体" w:hAnsi="宋体" w:eastAsia="宋体" w:cs="宋体"/>
          <w:bCs/>
          <w:color w:val="auto"/>
          <w:sz w:val="24"/>
          <w:highlight w:val="none"/>
          <w:u w:val="single"/>
          <w:lang w:eastAsia="zh-CN"/>
        </w:rPr>
        <w:t>。</w:t>
      </w:r>
      <w:r>
        <w:rPr>
          <w:rFonts w:hint="eastAsia" w:ascii="宋体" w:hAnsi="宋体" w:eastAsia="宋体" w:cs="宋体"/>
          <w:bCs/>
          <w:color w:val="auto"/>
          <w:sz w:val="24"/>
          <w:highlight w:val="none"/>
          <w:u w:val="single"/>
        </w:rPr>
        <w:t xml:space="preserve">                                            </w:t>
      </w:r>
    </w:p>
    <w:p w14:paraId="3C27433D">
      <w:pPr>
        <w:keepNext w:val="0"/>
        <w:keepLines w:val="0"/>
        <w:pageBreakBefore w:val="0"/>
        <w:tabs>
          <w:tab w:val="left" w:pos="840"/>
          <w:tab w:val="left" w:pos="115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六、服务地点和方式：</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招标人指定地点和方式</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eastAsia="zh-CN"/>
        </w:rPr>
        <w:t>。</w:t>
      </w:r>
      <w:r>
        <w:rPr>
          <w:rFonts w:hint="eastAsia" w:ascii="宋体" w:hAnsi="宋体" w:eastAsia="宋体" w:cs="宋体"/>
          <w:bCs/>
          <w:color w:val="auto"/>
          <w:sz w:val="24"/>
          <w:highlight w:val="none"/>
          <w:u w:val="single"/>
        </w:rPr>
        <w:t xml:space="preserve">                                                   </w:t>
      </w:r>
    </w:p>
    <w:p w14:paraId="2102D7C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highlight w:val="none"/>
        </w:rPr>
        <w:t>七、服务费支付步骤和办法：</w:t>
      </w:r>
      <w:r>
        <w:rPr>
          <w:rFonts w:hint="eastAsia" w:ascii="宋体" w:hAnsi="宋体" w:eastAsia="宋体" w:cs="宋体"/>
          <w:bCs/>
          <w:color w:val="auto"/>
          <w:sz w:val="24"/>
          <w:highlight w:val="none"/>
          <w:u w:val="single"/>
        </w:rPr>
        <w:t>每月凭经甲方签字的送货单据及定价单结算一次（节假日顺延），采用转账支付方式结算。乙方需提供与货款等额的正规发票</w:t>
      </w:r>
      <w:r>
        <w:rPr>
          <w:rFonts w:hint="eastAsia" w:ascii="宋体" w:hAnsi="宋体" w:eastAsia="宋体" w:cs="宋体"/>
          <w:bCs/>
          <w:color w:val="auto"/>
          <w:sz w:val="24"/>
          <w:highlight w:val="none"/>
          <w:u w:val="single"/>
          <w:lang w:eastAsia="zh-CN"/>
        </w:rPr>
        <w:t>。</w:t>
      </w:r>
    </w:p>
    <w:p w14:paraId="5292EDED">
      <w:pPr>
        <w:keepNext w:val="0"/>
        <w:keepLines w:val="0"/>
        <w:pageBreakBefore w:val="0"/>
        <w:tabs>
          <w:tab w:val="left" w:pos="0"/>
          <w:tab w:val="left" w:pos="1260"/>
        </w:tabs>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Cs/>
          <w:sz w:val="24"/>
          <w:highlight w:val="none"/>
        </w:rPr>
      </w:pPr>
      <w:r>
        <w:rPr>
          <w:rFonts w:hint="eastAsia" w:ascii="宋体" w:hAnsi="宋体" w:eastAsia="宋体" w:cs="宋体"/>
          <w:b/>
          <w:sz w:val="24"/>
          <w:highlight w:val="none"/>
        </w:rPr>
        <w:t>八、违约责任：</w:t>
      </w:r>
      <w:r>
        <w:rPr>
          <w:rFonts w:hint="eastAsia" w:ascii="宋体" w:hAnsi="宋体" w:eastAsia="宋体" w:cs="宋体"/>
          <w:bCs/>
          <w:color w:val="auto"/>
          <w:sz w:val="24"/>
          <w:szCs w:val="24"/>
          <w:highlight w:val="none"/>
          <w:u w:val="single"/>
          <w:lang w:val="en-US" w:eastAsia="zh-CN"/>
        </w:rPr>
        <w:t>详见合同条款。</w:t>
      </w:r>
    </w:p>
    <w:p w14:paraId="4573346E">
      <w:pPr>
        <w:keepNext w:val="0"/>
        <w:keepLines w:val="0"/>
        <w:pageBreakBefore w:val="0"/>
        <w:tabs>
          <w:tab w:val="left" w:pos="0"/>
          <w:tab w:val="left" w:pos="1260"/>
        </w:tabs>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Cs/>
          <w:sz w:val="24"/>
          <w:szCs w:val="24"/>
          <w:highlight w:val="none"/>
          <w:u w:val="single"/>
          <w:lang w:val="en-US"/>
        </w:rPr>
      </w:pPr>
      <w:r>
        <w:rPr>
          <w:rFonts w:hint="eastAsia" w:ascii="宋体" w:hAnsi="宋体" w:eastAsia="宋体" w:cs="宋体"/>
          <w:b/>
          <w:bCs/>
          <w:sz w:val="24"/>
          <w:highlight w:val="none"/>
        </w:rPr>
        <w:t>九、</w:t>
      </w:r>
      <w:r>
        <w:rPr>
          <w:rFonts w:hint="eastAsia" w:ascii="宋体" w:hAnsi="宋体" w:eastAsia="宋体" w:cs="宋体"/>
          <w:b/>
          <w:bCs/>
          <w:sz w:val="24"/>
          <w:highlight w:val="none"/>
          <w:lang w:eastAsia="zh-CN"/>
        </w:rPr>
        <w:t>其他</w:t>
      </w:r>
      <w:r>
        <w:rPr>
          <w:rFonts w:hint="eastAsia" w:ascii="宋体" w:hAnsi="宋体" w:eastAsia="宋体" w:cs="宋体"/>
          <w:b/>
          <w:sz w:val="24"/>
          <w:highlight w:val="none"/>
        </w:rPr>
        <w:t>事项：</w:t>
      </w:r>
      <w:r>
        <w:rPr>
          <w:rFonts w:hint="eastAsia" w:ascii="宋体" w:hAnsi="宋体" w:eastAsia="宋体" w:cs="宋体"/>
          <w:bCs/>
          <w:sz w:val="24"/>
          <w:szCs w:val="24"/>
          <w:highlight w:val="none"/>
          <w:u w:val="single"/>
          <w:lang w:val="en-US" w:eastAsia="zh-CN"/>
        </w:rPr>
        <w:t xml:space="preserve">                                                                </w:t>
      </w:r>
    </w:p>
    <w:p w14:paraId="6B7362AD">
      <w:pPr>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Cs/>
          <w:sz w:val="24"/>
          <w:highlight w:val="none"/>
          <w:lang w:eastAsia="zh-CN"/>
        </w:rPr>
      </w:pPr>
      <w:r>
        <w:rPr>
          <w:rFonts w:hint="eastAsia" w:ascii="宋体" w:hAnsi="宋体" w:eastAsia="宋体" w:cs="宋体"/>
          <w:b/>
          <w:sz w:val="24"/>
          <w:highlight w:val="none"/>
        </w:rPr>
        <w:t>十、</w:t>
      </w:r>
      <w:r>
        <w:rPr>
          <w:rFonts w:hint="eastAsia" w:ascii="宋体" w:hAnsi="宋体" w:eastAsia="宋体" w:cs="宋体"/>
          <w:b/>
          <w:sz w:val="24"/>
          <w:szCs w:val="24"/>
          <w:highlight w:val="none"/>
          <w:u w:val="none"/>
        </w:rPr>
        <w:t>解决争议的方式：</w:t>
      </w:r>
      <w:r>
        <w:rPr>
          <w:rFonts w:hint="eastAsia" w:ascii="宋体" w:hAnsi="宋体" w:eastAsia="宋体" w:cs="宋体"/>
          <w:bCs/>
          <w:color w:val="auto"/>
          <w:sz w:val="24"/>
          <w:szCs w:val="24"/>
          <w:highlight w:val="none"/>
          <w:u w:val="single"/>
          <w:lang w:val="en-US" w:eastAsia="zh-CN"/>
        </w:rPr>
        <w:t>详见合同条款。</w:t>
      </w:r>
    </w:p>
    <w:p w14:paraId="0C63E8B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sz w:val="24"/>
          <w:szCs w:val="24"/>
          <w:highlight w:val="none"/>
          <w:u w:val="single"/>
        </w:rPr>
      </w:pPr>
      <w:r>
        <w:rPr>
          <w:rFonts w:hint="eastAsia" w:ascii="宋体" w:hAnsi="宋体" w:eastAsia="宋体" w:cs="宋体"/>
          <w:b w:val="0"/>
          <w:bCs/>
          <w:sz w:val="24"/>
          <w:szCs w:val="24"/>
          <w:highlight w:val="none"/>
          <w:u w:val="none"/>
        </w:rPr>
        <w:t>十一、</w:t>
      </w:r>
      <w:r>
        <w:rPr>
          <w:rFonts w:hint="eastAsia" w:ascii="宋体" w:hAnsi="宋体" w:eastAsia="宋体" w:cs="宋体"/>
          <w:b w:val="0"/>
          <w:bCs/>
          <w:sz w:val="24"/>
          <w:highlight w:val="none"/>
        </w:rPr>
        <w:t>合同不可分割部分：招标文件、投标文件、合同条款及中标通知书，供方在投标</w:t>
      </w:r>
      <w:r>
        <w:rPr>
          <w:rFonts w:hint="eastAsia" w:ascii="宋体" w:hAnsi="宋体" w:eastAsia="宋体" w:cs="宋体"/>
          <w:bCs/>
          <w:sz w:val="24"/>
          <w:highlight w:val="none"/>
        </w:rPr>
        <w:t>、评标过程中所作</w:t>
      </w:r>
      <w:r>
        <w:rPr>
          <w:rFonts w:hint="eastAsia" w:ascii="宋体" w:hAnsi="宋体" w:eastAsia="宋体" w:cs="宋体"/>
          <w:bCs/>
          <w:sz w:val="24"/>
          <w:highlight w:val="none"/>
          <w:lang w:eastAsia="zh-CN"/>
        </w:rPr>
        <w:t>其他有关</w:t>
      </w:r>
      <w:r>
        <w:rPr>
          <w:rFonts w:hint="eastAsia" w:ascii="宋体" w:hAnsi="宋体" w:eastAsia="宋体" w:cs="宋体"/>
          <w:bCs/>
          <w:sz w:val="24"/>
          <w:highlight w:val="none"/>
        </w:rPr>
        <w:t>承诺、声明、书面澄清等均为合同不可分割的部分，与主合同具有同等法律效力。</w:t>
      </w:r>
    </w:p>
    <w:p w14:paraId="430EDA41">
      <w:pPr>
        <w:keepNext w:val="0"/>
        <w:keepLines w:val="0"/>
        <w:pageBreakBefore w:val="0"/>
        <w:tabs>
          <w:tab w:val="left" w:pos="840"/>
          <w:tab w:val="left" w:pos="115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十二、合同备案：合同一式伍份，供需双方各执贰份，见证方</w:t>
      </w:r>
      <w:r>
        <w:rPr>
          <w:rFonts w:hint="eastAsia" w:ascii="宋体" w:hAnsi="宋体" w:eastAsia="宋体" w:cs="宋体"/>
          <w:bCs/>
          <w:sz w:val="24"/>
          <w:highlight w:val="none"/>
          <w:lang w:val="en-US" w:eastAsia="zh-CN"/>
        </w:rPr>
        <w:t>壹</w:t>
      </w:r>
      <w:r>
        <w:rPr>
          <w:rFonts w:hint="eastAsia" w:ascii="宋体" w:hAnsi="宋体" w:eastAsia="宋体" w:cs="宋体"/>
          <w:bCs/>
          <w:sz w:val="24"/>
          <w:highlight w:val="none"/>
        </w:rPr>
        <w:t>份。</w:t>
      </w:r>
    </w:p>
    <w:p w14:paraId="10680FD8">
      <w:pPr>
        <w:keepNext w:val="0"/>
        <w:keepLines w:val="0"/>
        <w:pageBreakBefore w:val="0"/>
        <w:tabs>
          <w:tab w:val="left" w:pos="840"/>
          <w:tab w:val="left" w:pos="115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sz w:val="24"/>
          <w:highlight w:val="none"/>
        </w:rPr>
        <w:t>十三、合同生效：本合同由供需双方签字、盖章后生效。</w:t>
      </w:r>
    </w:p>
    <w:p w14:paraId="70F5BAAC">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需方(采购人)：(盖章)                           供方(中标方)：(盖章)</w:t>
      </w:r>
    </w:p>
    <w:p w14:paraId="18E5BCF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法定(授权)代表人：                             法定(授权)代表人：</w:t>
      </w:r>
    </w:p>
    <w:p w14:paraId="57D15410">
      <w:pPr>
        <w:keepNext w:val="0"/>
        <w:keepLines w:val="0"/>
        <w:pageBreakBefore w:val="0"/>
        <w:kinsoku/>
        <w:wordWrap/>
        <w:overflowPunct/>
        <w:topLinePunct w:val="0"/>
        <w:autoSpaceDE/>
        <w:autoSpaceDN/>
        <w:bidi w:val="0"/>
        <w:adjustRightInd/>
        <w:snapToGrid/>
        <w:spacing w:line="360" w:lineRule="auto"/>
        <w:ind w:firstLine="840" w:firstLineChars="350"/>
        <w:textAlignment w:val="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年  月  日                              年  月  日</w:t>
      </w:r>
    </w:p>
    <w:p w14:paraId="2EDD94AA">
      <w:pPr>
        <w:keepNext w:val="0"/>
        <w:keepLines w:val="0"/>
        <w:pageBreakBefore w:val="0"/>
        <w:kinsoku/>
        <w:wordWrap/>
        <w:overflowPunct/>
        <w:topLinePunct w:val="0"/>
        <w:autoSpaceDE/>
        <w:autoSpaceDN/>
        <w:bidi w:val="0"/>
        <w:adjustRightInd/>
        <w:snapToGrid/>
        <w:spacing w:line="360" w:lineRule="auto"/>
        <w:ind w:firstLine="3240" w:firstLineChars="1350"/>
        <w:textAlignment w:val="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                    供方户名：</w:t>
      </w:r>
    </w:p>
    <w:p w14:paraId="30E17E1A">
      <w:pPr>
        <w:keepNext w:val="0"/>
        <w:keepLines w:val="0"/>
        <w:pageBreakBefore w:val="0"/>
        <w:kinsoku/>
        <w:wordWrap/>
        <w:overflowPunct/>
        <w:topLinePunct w:val="0"/>
        <w:autoSpaceDE/>
        <w:autoSpaceDN/>
        <w:bidi w:val="0"/>
        <w:adjustRightInd/>
        <w:snapToGrid/>
        <w:spacing w:line="360" w:lineRule="auto"/>
        <w:ind w:firstLine="5640" w:firstLineChars="2350"/>
        <w:textAlignment w:val="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供方开户银行：</w:t>
      </w:r>
    </w:p>
    <w:p w14:paraId="21618609">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   供方账号：</w:t>
      </w:r>
    </w:p>
    <w:p w14:paraId="450A81FC">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见证方（公章）：                                日期：</w:t>
      </w:r>
    </w:p>
    <w:p w14:paraId="774344C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五.合同条款</w:t>
      </w:r>
    </w:p>
    <w:p w14:paraId="6E6B731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（根据相关法律规定以及采购文件确定事项订立）</w:t>
      </w:r>
    </w:p>
    <w:p w14:paraId="08A8728D">
      <w:pPr>
        <w:pStyle w:val="2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w:t>
      </w:r>
      <w:r>
        <w:rPr>
          <w:rFonts w:hint="eastAsia" w:hAnsi="宋体" w:cs="宋体"/>
          <w:b/>
          <w:bCs/>
          <w:color w:val="auto"/>
          <w:sz w:val="24"/>
          <w:szCs w:val="24"/>
          <w:highlight w:val="none"/>
          <w:u w:val="single"/>
          <w:lang w:eastAsia="zh-CN"/>
        </w:rPr>
        <w:t>江溪街道治超站食堂食材配送服务（第二次）</w:t>
      </w:r>
      <w:r>
        <w:rPr>
          <w:rFonts w:hint="eastAsia" w:ascii="宋体" w:hAnsi="宋体" w:eastAsia="宋体" w:cs="宋体"/>
          <w:color w:val="auto"/>
          <w:sz w:val="24"/>
          <w:szCs w:val="24"/>
          <w:highlight w:val="none"/>
        </w:rPr>
        <w:t>采购文件、投标结果和中标通知书，甲、乙双方就</w:t>
      </w:r>
      <w:r>
        <w:rPr>
          <w:rFonts w:hint="eastAsia" w:hAnsi="宋体" w:cs="宋体"/>
          <w:b/>
          <w:bCs/>
          <w:color w:val="auto"/>
          <w:sz w:val="24"/>
          <w:szCs w:val="24"/>
          <w:highlight w:val="none"/>
          <w:u w:val="single"/>
          <w:lang w:eastAsia="zh-CN"/>
        </w:rPr>
        <w:t>江溪街道治超站食堂食材配送服务（第二次）</w:t>
      </w:r>
      <w:r>
        <w:rPr>
          <w:rFonts w:hint="eastAsia" w:ascii="宋体" w:hAnsi="宋体" w:eastAsia="宋体" w:cs="宋体"/>
          <w:color w:val="auto"/>
          <w:sz w:val="24"/>
          <w:szCs w:val="24"/>
          <w:highlight w:val="none"/>
        </w:rPr>
        <w:t>的采购事宜，签订本协议。</w:t>
      </w:r>
    </w:p>
    <w:p w14:paraId="69D6C17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一、配送任务：</w:t>
      </w:r>
      <w:r>
        <w:rPr>
          <w:rFonts w:hint="eastAsia" w:ascii="宋体" w:hAnsi="宋体" w:eastAsia="宋体" w:cs="宋体"/>
          <w:color w:val="auto"/>
          <w:sz w:val="24"/>
          <w:highlight w:val="none"/>
        </w:rPr>
        <w:t>乙方负责甲方指定食堂的食材配送。</w:t>
      </w:r>
    </w:p>
    <w:p w14:paraId="76D3C123">
      <w:pPr>
        <w:spacing w:line="500" w:lineRule="exact"/>
        <w:rPr>
          <w:rFonts w:hint="eastAsia" w:ascii="宋体" w:hAnsi="宋体" w:eastAsia="宋体" w:cs="宋体"/>
          <w:color w:val="auto"/>
          <w:kern w:val="0"/>
          <w:sz w:val="24"/>
          <w:highlight w:val="none"/>
        </w:rPr>
      </w:pPr>
      <w:r>
        <w:rPr>
          <w:rFonts w:hint="eastAsia" w:ascii="宋体" w:hAnsi="宋体" w:eastAsia="宋体" w:cs="宋体"/>
          <w:b/>
          <w:bCs/>
          <w:color w:val="auto"/>
          <w:sz w:val="24"/>
          <w:highlight w:val="none"/>
        </w:rPr>
        <w:t>二、配送范围：</w:t>
      </w:r>
      <w:r>
        <w:rPr>
          <w:rFonts w:hint="eastAsia" w:ascii="宋体" w:hAnsi="宋体" w:eastAsia="宋体" w:cs="宋体"/>
          <w:color w:val="auto"/>
          <w:kern w:val="0"/>
          <w:sz w:val="24"/>
          <w:highlight w:val="none"/>
        </w:rPr>
        <w:t>食材每天早上要送到采购人指定地点。</w:t>
      </w:r>
    </w:p>
    <w:p w14:paraId="3EA37F75">
      <w:pPr>
        <w:spacing w:line="500" w:lineRule="exact"/>
        <w:rPr>
          <w:rFonts w:hint="eastAsia" w:ascii="宋体" w:hAnsi="宋体" w:eastAsia="宋体" w:cs="宋体"/>
          <w:color w:val="auto"/>
          <w:highlight w:val="none"/>
        </w:rPr>
      </w:pPr>
      <w:r>
        <w:rPr>
          <w:rFonts w:hint="eastAsia" w:ascii="宋体" w:hAnsi="宋体" w:eastAsia="宋体" w:cs="宋体"/>
          <w:b/>
          <w:bCs/>
          <w:color w:val="auto"/>
          <w:sz w:val="24"/>
          <w:highlight w:val="none"/>
        </w:rPr>
        <w:t>三、配送品种：</w:t>
      </w:r>
      <w:r>
        <w:rPr>
          <w:rFonts w:hint="eastAsia" w:ascii="宋体" w:hAnsi="宋体" w:eastAsia="宋体" w:cs="宋体"/>
          <w:color w:val="auto"/>
          <w:sz w:val="24"/>
          <w:highlight w:val="none"/>
        </w:rPr>
        <w:t>叶、瓜、果、根、茎类时蔬、水产品分为（鲜活和冷冻）、肉类（新鲜）、各类早餐点心半成品、米、食用油、调料等</w:t>
      </w:r>
      <w:r>
        <w:rPr>
          <w:rFonts w:hint="eastAsia" w:ascii="宋体" w:hAnsi="宋体" w:eastAsia="宋体" w:cs="宋体"/>
          <w:color w:val="auto"/>
          <w:highlight w:val="none"/>
        </w:rPr>
        <w:t>。</w:t>
      </w:r>
    </w:p>
    <w:p w14:paraId="3A750604">
      <w:pPr>
        <w:pStyle w:val="294"/>
        <w:spacing w:before="0" w:beforeAutospacing="0" w:after="0" w:afterAutospacing="0" w:line="520" w:lineRule="exact"/>
        <w:rPr>
          <w:rFonts w:hint="eastAsia" w:ascii="宋体" w:hAnsi="宋体" w:eastAsia="宋体" w:cs="宋体"/>
          <w:color w:val="000000"/>
          <w:szCs w:val="20"/>
          <w:highlight w:val="none"/>
        </w:rPr>
      </w:pPr>
      <w:r>
        <w:rPr>
          <w:rFonts w:hint="eastAsia" w:ascii="宋体" w:hAnsi="宋体" w:eastAsia="宋体" w:cs="宋体"/>
          <w:b/>
          <w:bCs/>
          <w:color w:val="000000"/>
          <w:szCs w:val="20"/>
          <w:highlight w:val="none"/>
          <w:lang w:val="en-US" w:eastAsia="zh-CN"/>
        </w:rPr>
        <w:t>四、供货期</w:t>
      </w:r>
      <w:r>
        <w:rPr>
          <w:rFonts w:hint="eastAsia" w:ascii="宋体" w:hAnsi="宋体" w:eastAsia="宋体" w:cs="宋体"/>
          <w:b/>
          <w:bCs/>
          <w:color w:val="000000"/>
          <w:szCs w:val="20"/>
          <w:highlight w:val="none"/>
        </w:rPr>
        <w:t>：</w:t>
      </w:r>
      <w:r>
        <w:rPr>
          <w:rFonts w:hint="eastAsia" w:ascii="宋体" w:hAnsi="宋体" w:eastAsia="宋体" w:cs="宋体"/>
          <w:color w:val="000000"/>
          <w:szCs w:val="20"/>
          <w:highlight w:val="none"/>
          <w:u w:val="single"/>
        </w:rPr>
        <w:t xml:space="preserve">  </w:t>
      </w:r>
      <w:r>
        <w:rPr>
          <w:rFonts w:hint="eastAsia" w:ascii="宋体" w:hAnsi="宋体" w:eastAsia="宋体" w:cs="宋体"/>
          <w:color w:val="000000"/>
          <w:szCs w:val="20"/>
          <w:highlight w:val="none"/>
          <w:u w:val="single"/>
          <w:lang w:val="en-US" w:eastAsia="zh-CN"/>
        </w:rPr>
        <w:t xml:space="preserve">             </w:t>
      </w:r>
      <w:r>
        <w:rPr>
          <w:rFonts w:hint="eastAsia" w:ascii="宋体" w:hAnsi="宋体" w:eastAsia="宋体" w:cs="宋体"/>
          <w:color w:val="000000"/>
          <w:szCs w:val="20"/>
          <w:highlight w:val="none"/>
          <w:u w:val="single"/>
        </w:rPr>
        <w:t xml:space="preserve">    </w:t>
      </w:r>
      <w:r>
        <w:rPr>
          <w:rFonts w:hint="eastAsia" w:ascii="宋体" w:hAnsi="宋体" w:eastAsia="宋体" w:cs="宋体"/>
          <w:color w:val="000000"/>
          <w:szCs w:val="20"/>
          <w:highlight w:val="none"/>
        </w:rPr>
        <w:t>。</w:t>
      </w:r>
    </w:p>
    <w:p w14:paraId="642BBBF4">
      <w:pPr>
        <w:pStyle w:val="294"/>
        <w:spacing w:before="0" w:beforeAutospacing="0" w:after="0" w:afterAutospacing="0" w:line="520" w:lineRule="exact"/>
        <w:rPr>
          <w:rFonts w:hint="eastAsia" w:ascii="宋体" w:hAnsi="宋体" w:eastAsia="宋体" w:cs="宋体"/>
          <w:color w:val="000000"/>
          <w:szCs w:val="20"/>
          <w:highlight w:val="none"/>
        </w:rPr>
      </w:pPr>
      <w:r>
        <w:rPr>
          <w:rFonts w:hint="eastAsia" w:ascii="宋体" w:hAnsi="宋体" w:eastAsia="宋体" w:cs="宋体"/>
          <w:b/>
          <w:bCs/>
          <w:color w:val="000000"/>
          <w:szCs w:val="20"/>
          <w:highlight w:val="none"/>
          <w:lang w:val="en-US" w:eastAsia="zh-CN"/>
        </w:rPr>
        <w:t>五</w:t>
      </w:r>
      <w:r>
        <w:rPr>
          <w:rFonts w:hint="eastAsia" w:ascii="宋体" w:hAnsi="宋体" w:eastAsia="宋体" w:cs="宋体"/>
          <w:b/>
          <w:bCs/>
          <w:color w:val="000000"/>
          <w:szCs w:val="20"/>
          <w:highlight w:val="none"/>
        </w:rPr>
        <w:t>、合同价</w:t>
      </w:r>
    </w:p>
    <w:p w14:paraId="56DF04BF">
      <w:pPr>
        <w:pStyle w:val="294"/>
        <w:spacing w:before="0" w:beforeAutospacing="0" w:after="0" w:afterAutospacing="0" w:line="360" w:lineRule="auto"/>
        <w:ind w:firstLine="480"/>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1、中标折扣率：</w:t>
      </w:r>
      <w:r>
        <w:rPr>
          <w:rFonts w:hint="eastAsia" w:ascii="宋体" w:hAnsi="宋体" w:eastAsia="宋体" w:cs="宋体"/>
          <w:color w:val="000000"/>
          <w:szCs w:val="20"/>
          <w:highlight w:val="none"/>
          <w:u w:val="single"/>
        </w:rPr>
        <w:t xml:space="preserve">    </w:t>
      </w:r>
      <w:r>
        <w:rPr>
          <w:rFonts w:hint="eastAsia" w:ascii="宋体" w:hAnsi="宋体" w:eastAsia="宋体" w:cs="宋体"/>
          <w:color w:val="000000"/>
          <w:szCs w:val="20"/>
          <w:highlight w:val="none"/>
          <w:u w:val="single"/>
          <w:lang w:val="en-US" w:eastAsia="zh-CN"/>
        </w:rPr>
        <w:t xml:space="preserve">         </w:t>
      </w:r>
      <w:r>
        <w:rPr>
          <w:rFonts w:hint="eastAsia" w:ascii="宋体" w:hAnsi="宋体" w:eastAsia="宋体" w:cs="宋体"/>
          <w:color w:val="000000"/>
          <w:szCs w:val="20"/>
          <w:highlight w:val="none"/>
          <w:u w:val="single"/>
        </w:rPr>
        <w:t xml:space="preserve">  </w:t>
      </w:r>
      <w:r>
        <w:rPr>
          <w:rFonts w:hint="eastAsia" w:ascii="宋体" w:hAnsi="宋体" w:eastAsia="宋体" w:cs="宋体"/>
          <w:color w:val="000000"/>
          <w:szCs w:val="20"/>
          <w:highlight w:val="none"/>
        </w:rPr>
        <w:t>。</w:t>
      </w:r>
    </w:p>
    <w:p w14:paraId="5E1B017C">
      <w:pPr>
        <w:spacing w:line="500" w:lineRule="exact"/>
        <w:ind w:firstLine="48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2、根据乙方投标文件，优先按无锡市发展和改革委员会官网专题专栏中民生价费上周第一天公示价格的平均价格*折扣率*实际数量进行结算，如遇网站上没有该食品，则按无锡市天惠商城官网的价格*折扣率*实际数量进行结算。若上述网站均没有采购方需要采购的食品，以无锡市3家同类市场价中的最低价格*折扣率*实际数量结算。</w:t>
      </w:r>
    </w:p>
    <w:p w14:paraId="78D32EF4">
      <w:pPr>
        <w:spacing w:line="500" w:lineRule="exact"/>
        <w:ind w:firstLine="480"/>
        <w:rPr>
          <w:rFonts w:hint="eastAsia" w:ascii="宋体" w:hAnsi="宋体" w:eastAsia="宋体" w:cs="宋体"/>
          <w:bCs/>
          <w:color w:val="000000"/>
          <w:sz w:val="24"/>
          <w:szCs w:val="28"/>
          <w:highlight w:val="none"/>
        </w:rPr>
      </w:pPr>
      <w:r>
        <w:rPr>
          <w:rFonts w:hint="eastAsia" w:ascii="宋体" w:hAnsi="宋体" w:eastAsia="宋体" w:cs="宋体"/>
          <w:color w:val="000000"/>
          <w:sz w:val="24"/>
          <w:szCs w:val="20"/>
          <w:highlight w:val="none"/>
        </w:rPr>
        <w:t>3、配送价格应包含乙方食材物资原料的供货、包装、</w:t>
      </w:r>
      <w:r>
        <w:rPr>
          <w:rFonts w:hint="eastAsia" w:ascii="宋体" w:hAnsi="宋体" w:eastAsia="宋体" w:cs="宋体"/>
          <w:bCs/>
          <w:color w:val="000000"/>
          <w:sz w:val="24"/>
          <w:szCs w:val="28"/>
          <w:highlight w:val="none"/>
        </w:rPr>
        <w:t>仓储、运至最终目的地的运输、装卸、保险、检测验收、售后服务相关劳务支出等工作所发生的全部费用以及报价供应商利润、税金和政策性文件规定及合同包含的所有风险、责任等各项应有费用。</w:t>
      </w:r>
    </w:p>
    <w:p w14:paraId="79B9479F">
      <w:pP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六、</w:t>
      </w:r>
      <w:r>
        <w:rPr>
          <w:rFonts w:hint="eastAsia" w:ascii="宋体" w:hAnsi="宋体" w:eastAsia="宋体" w:cs="宋体"/>
          <w:b/>
          <w:bCs/>
          <w:color w:val="auto"/>
          <w:sz w:val="24"/>
          <w:highlight w:val="none"/>
        </w:rPr>
        <w:t>采购计划</w:t>
      </w:r>
    </w:p>
    <w:p w14:paraId="3958F3FE">
      <w:pPr>
        <w:pStyle w:val="294"/>
        <w:keepNext w:val="0"/>
        <w:keepLines w:val="0"/>
        <w:pageBreakBefore w:val="0"/>
        <w:widowControl w:val="0"/>
        <w:spacing w:before="0" w:beforeAutospacing="0" w:after="0" w:afterAutospacing="0" w:line="360" w:lineRule="auto"/>
        <w:ind w:firstLine="480"/>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1、甲方在每天</w:t>
      </w:r>
      <w:r>
        <w:rPr>
          <w:rFonts w:hint="eastAsia" w:eastAsia="宋体" w:cs="宋体"/>
          <w:color w:val="000000"/>
          <w:szCs w:val="20"/>
          <w:highlight w:val="none"/>
          <w:lang w:eastAsia="zh-CN"/>
        </w:rPr>
        <w:t>16:</w:t>
      </w:r>
      <w:r>
        <w:rPr>
          <w:rFonts w:hint="eastAsia" w:ascii="宋体" w:hAnsi="宋体" w:eastAsia="宋体" w:cs="宋体"/>
          <w:color w:val="000000"/>
          <w:szCs w:val="20"/>
          <w:highlight w:val="none"/>
        </w:rPr>
        <w:t>00前，将第二天的采购计划以书面、电子稿形式通知乙方，订单内容包括名称、种类、规格、数量、运送时间、送达地点、订单联系人等具体要求。</w:t>
      </w:r>
    </w:p>
    <w:p w14:paraId="6CD44541">
      <w:pPr>
        <w:pStyle w:val="294"/>
        <w:keepNext w:val="0"/>
        <w:keepLines w:val="0"/>
        <w:pageBreakBefore w:val="0"/>
        <w:widowControl w:val="0"/>
        <w:spacing w:before="0" w:beforeAutospacing="0" w:after="0" w:afterAutospacing="0" w:line="360" w:lineRule="auto"/>
        <w:ind w:firstLine="480"/>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2、原则上，采购计划与实际下达的订单偏差控制在20％以内。</w:t>
      </w:r>
    </w:p>
    <w:p w14:paraId="3075AFB2">
      <w:pPr>
        <w:pStyle w:val="294"/>
        <w:keepNext w:val="0"/>
        <w:keepLines w:val="0"/>
        <w:pageBreakBefore w:val="0"/>
        <w:widowControl w:val="0"/>
        <w:spacing w:before="0" w:beforeAutospacing="0" w:after="0" w:afterAutospacing="0" w:line="360" w:lineRule="auto"/>
        <w:ind w:firstLine="480"/>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3、采购方有权根据食材生产季节、天气、市场价格情况等协商调整每期采购计划中食材品种和数量。中标供应商必须能保证提供丰富的品种供甲方选择。</w:t>
      </w:r>
    </w:p>
    <w:p w14:paraId="443B0541">
      <w:pPr>
        <w:pStyle w:val="294"/>
        <w:keepNext w:val="0"/>
        <w:keepLines w:val="0"/>
        <w:pageBreakBefore w:val="0"/>
        <w:widowControl w:val="0"/>
        <w:spacing w:before="0" w:beforeAutospacing="0" w:after="0" w:afterAutospacing="0" w:line="360" w:lineRule="auto"/>
        <w:ind w:firstLine="480"/>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4、如有特殊原因,采购方有权取消订单。</w:t>
      </w:r>
    </w:p>
    <w:p w14:paraId="788A95BD">
      <w:pPr>
        <w:pStyle w:val="294"/>
        <w:keepNext w:val="0"/>
        <w:keepLines w:val="0"/>
        <w:pageBreakBefore w:val="0"/>
        <w:widowControl w:val="0"/>
        <w:spacing w:before="0" w:beforeAutospacing="0" w:after="0" w:afterAutospacing="0" w:line="360" w:lineRule="auto"/>
        <w:ind w:firstLine="480"/>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5、本次预算暂估80人，后期如果发生编制人数增减，结算时按照实际编制人数下达预算进行结算；新增外部搭伙人员餐费用于新增预算内。</w:t>
      </w:r>
    </w:p>
    <w:p w14:paraId="6F0548E4">
      <w:pPr>
        <w:numPr>
          <w:ilvl w:val="0"/>
          <w:numId w:val="0"/>
        </w:numPr>
        <w:spacing w:line="500" w:lineRule="exact"/>
        <w:ind w:leftChars="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七、</w:t>
      </w:r>
      <w:r>
        <w:rPr>
          <w:rFonts w:hint="eastAsia" w:ascii="宋体" w:hAnsi="宋体" w:eastAsia="宋体" w:cs="宋体"/>
          <w:b/>
          <w:bCs/>
          <w:color w:val="auto"/>
          <w:sz w:val="24"/>
          <w:highlight w:val="none"/>
        </w:rPr>
        <w:t>交货</w:t>
      </w:r>
    </w:p>
    <w:p w14:paraId="3F567BF7">
      <w:pPr>
        <w:pStyle w:val="294"/>
        <w:keepNext w:val="0"/>
        <w:keepLines w:val="0"/>
        <w:pageBreakBefore w:val="0"/>
        <w:widowControl w:val="0"/>
        <w:spacing w:before="0" w:beforeAutospacing="0" w:after="0" w:afterAutospacing="0" w:line="360" w:lineRule="auto"/>
        <w:ind w:firstLine="480"/>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1、中标供应商每天早上</w:t>
      </w:r>
      <w:r>
        <w:rPr>
          <w:rFonts w:hint="eastAsia" w:ascii="宋体" w:hAnsi="宋体" w:eastAsia="宋体" w:cs="宋体"/>
          <w:color w:val="000000"/>
          <w:szCs w:val="20"/>
          <w:highlight w:val="none"/>
          <w:lang w:val="en-US" w:eastAsia="zh-CN"/>
        </w:rPr>
        <w:t>5</w:t>
      </w:r>
      <w:r>
        <w:rPr>
          <w:rFonts w:hint="eastAsia" w:ascii="宋体" w:hAnsi="宋体" w:eastAsia="宋体" w:cs="宋体"/>
          <w:color w:val="000000"/>
          <w:szCs w:val="20"/>
          <w:highlight w:val="none"/>
        </w:rPr>
        <w:t>：</w:t>
      </w:r>
      <w:r>
        <w:rPr>
          <w:rFonts w:hint="eastAsia" w:ascii="宋体" w:hAnsi="宋体" w:eastAsia="宋体" w:cs="宋体"/>
          <w:color w:val="000000"/>
          <w:szCs w:val="20"/>
          <w:highlight w:val="none"/>
          <w:lang w:val="en-US" w:eastAsia="zh-CN"/>
        </w:rPr>
        <w:t>3</w:t>
      </w:r>
      <w:r>
        <w:rPr>
          <w:rFonts w:hint="eastAsia" w:ascii="宋体" w:hAnsi="宋体" w:eastAsia="宋体" w:cs="宋体"/>
          <w:color w:val="000000"/>
          <w:szCs w:val="20"/>
          <w:highlight w:val="none"/>
        </w:rPr>
        <w:t>0前将订单内所有食材</w:t>
      </w:r>
      <w:r>
        <w:rPr>
          <w:rFonts w:hint="eastAsia" w:ascii="宋体" w:hAnsi="宋体" w:eastAsia="宋体" w:cs="宋体"/>
          <w:color w:val="000000"/>
          <w:szCs w:val="20"/>
          <w:highlight w:val="none"/>
          <w:lang w:val="en-US" w:eastAsia="zh-CN"/>
        </w:rPr>
        <w:t>配</w:t>
      </w:r>
      <w:r>
        <w:rPr>
          <w:rFonts w:hint="eastAsia" w:ascii="宋体" w:hAnsi="宋体" w:eastAsia="宋体" w:cs="宋体"/>
          <w:color w:val="000000"/>
          <w:szCs w:val="20"/>
          <w:highlight w:val="none"/>
        </w:rPr>
        <w:t>送到</w:t>
      </w:r>
      <w:r>
        <w:rPr>
          <w:rFonts w:hint="eastAsia" w:ascii="宋体" w:hAnsi="宋体" w:eastAsia="宋体" w:cs="宋体"/>
          <w:color w:val="000000"/>
          <w:szCs w:val="20"/>
          <w:highlight w:val="none"/>
          <w:lang w:val="en-US" w:eastAsia="zh-CN"/>
        </w:rPr>
        <w:t>甲方指定地点</w:t>
      </w:r>
      <w:r>
        <w:rPr>
          <w:rFonts w:hint="eastAsia" w:ascii="宋体" w:hAnsi="宋体" w:eastAsia="宋体" w:cs="宋体"/>
          <w:color w:val="000000"/>
          <w:szCs w:val="20"/>
          <w:highlight w:val="none"/>
        </w:rPr>
        <w:t>，中标供应商提供《送货清单》一式两份，采购方、中标供应商双方现场过秤并验收签名，作为结算凭证。</w:t>
      </w:r>
    </w:p>
    <w:p w14:paraId="06A506CB">
      <w:pPr>
        <w:pStyle w:val="294"/>
        <w:keepNext w:val="0"/>
        <w:keepLines w:val="0"/>
        <w:pageBreakBefore w:val="0"/>
        <w:widowControl w:val="0"/>
        <w:spacing w:before="0" w:beforeAutospacing="0" w:after="0" w:afterAutospacing="0" w:line="360" w:lineRule="auto"/>
        <w:ind w:firstLine="480"/>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2、所有品种按除箱净重过磅，最终交易重量以双方确认的过磅数为准。</w:t>
      </w:r>
    </w:p>
    <w:p w14:paraId="137DB26C">
      <w:pPr>
        <w:pStyle w:val="294"/>
        <w:keepNext w:val="0"/>
        <w:keepLines w:val="0"/>
        <w:pageBreakBefore w:val="0"/>
        <w:widowControl w:val="0"/>
        <w:spacing w:before="0" w:beforeAutospacing="0" w:after="0" w:afterAutospacing="0" w:line="360" w:lineRule="auto"/>
        <w:ind w:firstLine="480"/>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3、中标供应商送货人员负责将货物从车上搬到</w:t>
      </w:r>
      <w:r>
        <w:rPr>
          <w:rFonts w:hint="eastAsia" w:ascii="宋体" w:hAnsi="宋体" w:eastAsia="宋体" w:cs="宋体"/>
          <w:color w:val="000000"/>
          <w:szCs w:val="20"/>
          <w:highlight w:val="none"/>
          <w:lang w:val="en-US" w:eastAsia="zh-CN"/>
        </w:rPr>
        <w:t>秤</w:t>
      </w:r>
      <w:r>
        <w:rPr>
          <w:rFonts w:hint="eastAsia" w:ascii="宋体" w:hAnsi="宋体" w:eastAsia="宋体" w:cs="宋体"/>
          <w:color w:val="000000"/>
          <w:szCs w:val="20"/>
          <w:highlight w:val="none"/>
        </w:rPr>
        <w:t>上过磅，然后放到平板推车上，并按采购方食堂人员要求由中标供应商工作人员负责拉到最终使用点。</w:t>
      </w:r>
    </w:p>
    <w:p w14:paraId="02744829">
      <w:pPr>
        <w:pStyle w:val="294"/>
        <w:keepNext w:val="0"/>
        <w:keepLines w:val="0"/>
        <w:pageBreakBefore w:val="0"/>
        <w:widowControl w:val="0"/>
        <w:spacing w:before="0" w:beforeAutospacing="0" w:after="0" w:afterAutospacing="0" w:line="360" w:lineRule="auto"/>
        <w:ind w:firstLine="480"/>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4、</w:t>
      </w:r>
      <w:r>
        <w:rPr>
          <w:rFonts w:hint="eastAsia" w:ascii="宋体" w:hAnsi="宋体" w:eastAsia="宋体" w:cs="宋体"/>
          <w:color w:val="000000"/>
          <w:highlight w:val="none"/>
        </w:rPr>
        <w:t>中标供应商在收到采购方订单后，不得随意变更订单内的品种、质量、规格、数量，如因货源不足或</w:t>
      </w:r>
      <w:r>
        <w:rPr>
          <w:rFonts w:hint="eastAsia" w:ascii="宋体" w:hAnsi="宋体" w:eastAsia="宋体" w:cs="宋体"/>
          <w:color w:val="000000"/>
          <w:szCs w:val="20"/>
          <w:highlight w:val="none"/>
        </w:rPr>
        <w:t>个别品种因缺货而无法提供等因素</w:t>
      </w:r>
      <w:r>
        <w:rPr>
          <w:rFonts w:hint="eastAsia" w:ascii="宋体" w:hAnsi="宋体" w:eastAsia="宋体" w:cs="宋体"/>
          <w:color w:val="000000"/>
          <w:highlight w:val="none"/>
        </w:rPr>
        <w:t>，中标供应商不能满足甲方需求，需调换食材品种时，必须于接到订单后三个小时内及时知会采购方，经采购方同意后，按协商后的品种、质量、规格、数量于次日</w:t>
      </w:r>
      <w:r>
        <w:rPr>
          <w:rFonts w:hint="eastAsia" w:ascii="宋体" w:hAnsi="宋体" w:eastAsia="宋体" w:cs="宋体"/>
          <w:color w:val="000000"/>
          <w:highlight w:val="none"/>
          <w:lang w:val="en-US" w:eastAsia="zh-CN"/>
        </w:rPr>
        <w:t>16</w:t>
      </w:r>
      <w:r>
        <w:rPr>
          <w:rFonts w:hint="eastAsia" w:ascii="宋体" w:hAnsi="宋体" w:eastAsia="宋体" w:cs="宋体"/>
          <w:color w:val="000000"/>
          <w:highlight w:val="none"/>
        </w:rPr>
        <w:t>:00前配送至采购方指定的地点，相关费用由中标供应商承担。</w:t>
      </w:r>
      <w:r>
        <w:rPr>
          <w:rFonts w:hint="eastAsia" w:ascii="宋体" w:hAnsi="宋体" w:eastAsia="宋体" w:cs="宋体"/>
          <w:color w:val="000000"/>
          <w:szCs w:val="20"/>
          <w:highlight w:val="none"/>
        </w:rPr>
        <w:t>如中标供应商未及时通知到采购方，导致无法及时供货的，中标供应商须承担当日所有供货食材总金额的两倍罚款，出现三次及以上上述情况的，采购方有权立即终止合同，且中标供应商须向甲方支付5%合同总金额的赔偿金。</w:t>
      </w:r>
    </w:p>
    <w:p w14:paraId="5095968C">
      <w:pPr>
        <w:pStyle w:val="294"/>
        <w:keepNext w:val="0"/>
        <w:keepLines w:val="0"/>
        <w:pageBreakBefore w:val="0"/>
        <w:widowControl w:val="0"/>
        <w:spacing w:before="0" w:beforeAutospacing="0" w:after="0" w:afterAutospacing="0" w:line="360" w:lineRule="auto"/>
        <w:ind w:firstLine="480"/>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5、如遇特殊、紧急情况，采购方当天下单，中标供应商在接到当天的采购需求计划后，于</w:t>
      </w:r>
      <w:r>
        <w:rPr>
          <w:rFonts w:hint="eastAsia" w:ascii="宋体" w:hAnsi="宋体" w:eastAsia="宋体" w:cs="宋体"/>
          <w:color w:val="000000"/>
          <w:szCs w:val="20"/>
          <w:highlight w:val="none"/>
          <w:lang w:val="en-US" w:eastAsia="zh-CN"/>
        </w:rPr>
        <w:t>1</w:t>
      </w:r>
      <w:r>
        <w:rPr>
          <w:rFonts w:hint="eastAsia" w:ascii="宋体" w:hAnsi="宋体" w:eastAsia="宋体" w:cs="宋体"/>
          <w:color w:val="000000"/>
          <w:szCs w:val="20"/>
          <w:highlight w:val="none"/>
        </w:rPr>
        <w:t>小时之内将所需物资配送到位。双方现场对食材数量、品质进行验收登记。除特殊原因（须提前告知采购方并经采购方认可），若中标供应商无法做到，采购方可视作当月一次考核不合格记录。</w:t>
      </w:r>
    </w:p>
    <w:p w14:paraId="05F3E457">
      <w:pPr>
        <w:pStyle w:val="294"/>
        <w:keepNext w:val="0"/>
        <w:keepLines w:val="0"/>
        <w:pageBreakBefore w:val="0"/>
        <w:widowControl w:val="0"/>
        <w:spacing w:before="0" w:beforeAutospacing="0" w:after="0" w:afterAutospacing="0" w:line="360" w:lineRule="auto"/>
        <w:ind w:firstLine="480"/>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6、</w:t>
      </w:r>
      <w:r>
        <w:rPr>
          <w:rFonts w:hint="eastAsia" w:ascii="宋体" w:hAnsi="宋体" w:eastAsia="宋体" w:cs="宋体"/>
          <w:color w:val="000000"/>
          <w:highlight w:val="none"/>
        </w:rPr>
        <w:t>包括非正常工作时间段在内，采购方因特殊情况或任务需要临时增加订单时，中标供应商应提供应急配送服务。中标供应商必须在接到通知</w:t>
      </w:r>
      <w:r>
        <w:rPr>
          <w:rFonts w:hint="eastAsia" w:ascii="宋体" w:hAnsi="宋体" w:eastAsia="宋体" w:cs="宋体"/>
          <w:color w:val="000000"/>
          <w:highlight w:val="none"/>
          <w:lang w:val="en-US" w:eastAsia="zh-CN"/>
        </w:rPr>
        <w:t>1</w:t>
      </w:r>
      <w:r>
        <w:rPr>
          <w:rFonts w:hint="eastAsia" w:ascii="宋体" w:hAnsi="宋体" w:eastAsia="宋体" w:cs="宋体"/>
          <w:color w:val="000000"/>
          <w:highlight w:val="none"/>
        </w:rPr>
        <w:t>小时内将新增的食材保质保量配送至采购方指定的地点。</w:t>
      </w:r>
    </w:p>
    <w:p w14:paraId="35A1A1D8">
      <w:pPr>
        <w:spacing w:line="500" w:lineRule="exact"/>
        <w:ind w:left="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、甲方按照以下分类标准作为验收标准以及退货依据：</w:t>
      </w:r>
    </w:p>
    <w:p w14:paraId="7CC6CCDA">
      <w:pPr>
        <w:pStyle w:val="254"/>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1）蔬菜类：</w:t>
      </w:r>
    </w:p>
    <w:tbl>
      <w:tblPr>
        <w:tblStyle w:val="3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8"/>
        <w:gridCol w:w="1388"/>
        <w:gridCol w:w="5509"/>
        <w:gridCol w:w="2279"/>
      </w:tblGrid>
      <w:tr w14:paraId="1DDFC9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343" w:type="pct"/>
            <w:noWrap/>
            <w:vAlign w:val="center"/>
          </w:tcPr>
          <w:p w14:paraId="057043F2">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704" w:type="pct"/>
            <w:noWrap/>
            <w:vAlign w:val="center"/>
          </w:tcPr>
          <w:p w14:paraId="64711A57">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货物种类</w:t>
            </w:r>
          </w:p>
        </w:tc>
        <w:tc>
          <w:tcPr>
            <w:tcW w:w="2795" w:type="pct"/>
            <w:noWrap/>
            <w:vAlign w:val="center"/>
          </w:tcPr>
          <w:p w14:paraId="6515126B">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b/>
                <w:color w:val="auto"/>
                <w:sz w:val="24"/>
                <w:highlight w:val="none"/>
              </w:rPr>
              <w:t>验收标准</w:t>
            </w:r>
          </w:p>
        </w:tc>
        <w:tc>
          <w:tcPr>
            <w:tcW w:w="1156" w:type="pct"/>
            <w:noWrap/>
            <w:vAlign w:val="center"/>
          </w:tcPr>
          <w:p w14:paraId="1F79ECB9">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b/>
                <w:color w:val="auto"/>
                <w:sz w:val="24"/>
                <w:highlight w:val="none"/>
              </w:rPr>
              <w:t>退货依据</w:t>
            </w:r>
          </w:p>
        </w:tc>
      </w:tr>
      <w:tr w14:paraId="5ED86B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18" w:hRule="atLeast"/>
        </w:trPr>
        <w:tc>
          <w:tcPr>
            <w:tcW w:w="343" w:type="pct"/>
            <w:noWrap/>
            <w:vAlign w:val="center"/>
          </w:tcPr>
          <w:p w14:paraId="020FC8FD">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704" w:type="pct"/>
            <w:noWrap/>
            <w:vAlign w:val="center"/>
          </w:tcPr>
          <w:p w14:paraId="1AFB349E">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叶菜类</w:t>
            </w:r>
          </w:p>
        </w:tc>
        <w:tc>
          <w:tcPr>
            <w:tcW w:w="2795" w:type="pct"/>
            <w:noWrap/>
            <w:vAlign w:val="center"/>
          </w:tcPr>
          <w:p w14:paraId="301D39FD">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外形正常，叶梗光滑幼嫩，不干瘪凋萎，无过多黄叶，色泽正常。去除根须，不含土，无虫害，大白菜、卷心菜切开心不变黑，无腐烂情形，无明显浸水现象；农药残留不超标。</w:t>
            </w:r>
          </w:p>
        </w:tc>
        <w:tc>
          <w:tcPr>
            <w:tcW w:w="1156" w:type="pct"/>
            <w:noWrap/>
            <w:vAlign w:val="center"/>
          </w:tcPr>
          <w:p w14:paraId="34D9B4FC">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味苦，鲜度嫩度明显不佳，含黄叶须根，泥土、虫害严重，</w:t>
            </w:r>
            <w:r>
              <w:rPr>
                <w:rFonts w:hint="eastAsia" w:ascii="宋体" w:hAnsi="宋体" w:cs="宋体"/>
                <w:color w:val="auto"/>
                <w:sz w:val="24"/>
                <w:szCs w:val="24"/>
                <w:highlight w:val="none"/>
                <w:lang w:eastAsia="zh-CN"/>
              </w:rPr>
              <w:t>凋萎</w:t>
            </w:r>
            <w:r>
              <w:rPr>
                <w:rFonts w:hint="eastAsia" w:ascii="宋体" w:hAnsi="宋体" w:eastAsia="宋体" w:cs="宋体"/>
                <w:color w:val="auto"/>
                <w:sz w:val="24"/>
                <w:szCs w:val="24"/>
                <w:highlight w:val="none"/>
              </w:rPr>
              <w:t>严重，浸水后仍不可恢复者；农药残留超标。</w:t>
            </w:r>
          </w:p>
        </w:tc>
      </w:tr>
      <w:tr w14:paraId="34E644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8" w:hRule="atLeast"/>
        </w:trPr>
        <w:tc>
          <w:tcPr>
            <w:tcW w:w="343" w:type="pct"/>
            <w:noWrap/>
            <w:vAlign w:val="center"/>
          </w:tcPr>
          <w:p w14:paraId="0F6537F4">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704" w:type="pct"/>
            <w:noWrap/>
            <w:vAlign w:val="center"/>
          </w:tcPr>
          <w:p w14:paraId="79557517">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根茎类</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如香芋、土豆、莴笋</w:t>
            </w:r>
          </w:p>
        </w:tc>
        <w:tc>
          <w:tcPr>
            <w:tcW w:w="2795" w:type="pct"/>
            <w:noWrap/>
            <w:vAlign w:val="center"/>
          </w:tcPr>
          <w:p w14:paraId="2AA4B7E3">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无虫咬、发芽、发霉现象，新鲜，形态大小与甲方自购标准相当。农药残留不超标。</w:t>
            </w:r>
          </w:p>
        </w:tc>
        <w:tc>
          <w:tcPr>
            <w:tcW w:w="1156" w:type="pct"/>
            <w:noWrap/>
            <w:vAlign w:val="center"/>
          </w:tcPr>
          <w:p w14:paraId="1BB0EEE8">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发芽严重、发霉，新鲜度不佳，形态大小与甲方自购标准存在较大负偏差。农药残留超标。</w:t>
            </w:r>
          </w:p>
        </w:tc>
      </w:tr>
      <w:tr w14:paraId="743AD0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8" w:hRule="atLeast"/>
        </w:trPr>
        <w:tc>
          <w:tcPr>
            <w:tcW w:w="343" w:type="pct"/>
            <w:noWrap/>
            <w:vAlign w:val="center"/>
          </w:tcPr>
          <w:p w14:paraId="1A773E0C">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704" w:type="pct"/>
            <w:noWrap/>
            <w:vAlign w:val="center"/>
          </w:tcPr>
          <w:p w14:paraId="66B4BA8D">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花果类：如西兰花、白菜花</w:t>
            </w:r>
          </w:p>
        </w:tc>
        <w:tc>
          <w:tcPr>
            <w:tcW w:w="2795" w:type="pct"/>
            <w:noWrap/>
            <w:vAlign w:val="center"/>
          </w:tcPr>
          <w:p w14:paraId="5BDDCCDA">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无虫害，成熟度良好，新鲜固有的色泽鲜明，无发霉发黄。农药残留不超标。</w:t>
            </w:r>
          </w:p>
        </w:tc>
        <w:tc>
          <w:tcPr>
            <w:tcW w:w="1156" w:type="pct"/>
            <w:noWrap/>
            <w:vAlign w:val="center"/>
          </w:tcPr>
          <w:p w14:paraId="5F164297">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不新鲜，发霉，虫害过多。农药残留超标。</w:t>
            </w:r>
          </w:p>
        </w:tc>
      </w:tr>
      <w:tr w14:paraId="7FA840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8" w:hRule="atLeast"/>
        </w:trPr>
        <w:tc>
          <w:tcPr>
            <w:tcW w:w="343" w:type="pct"/>
            <w:noWrap/>
            <w:vAlign w:val="center"/>
          </w:tcPr>
          <w:p w14:paraId="2E058B62">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704" w:type="pct"/>
            <w:noWrap/>
            <w:vAlign w:val="center"/>
          </w:tcPr>
          <w:p w14:paraId="63752A9F">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瓜果类</w:t>
            </w:r>
          </w:p>
        </w:tc>
        <w:tc>
          <w:tcPr>
            <w:tcW w:w="2795" w:type="pct"/>
            <w:noWrap/>
            <w:vAlign w:val="center"/>
          </w:tcPr>
          <w:p w14:paraId="242F6C77">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外表光亮无斑点，有新鲜连接的秧，形状正常、大小均匀，无软塌，成熟度适度。无腐烂，无污染，清洁、新鲜，无异味、无病虫损害。农药残留不超标。</w:t>
            </w:r>
          </w:p>
        </w:tc>
        <w:tc>
          <w:tcPr>
            <w:tcW w:w="1156" w:type="pct"/>
            <w:noWrap/>
            <w:vAlign w:val="center"/>
          </w:tcPr>
          <w:p w14:paraId="3317DDCF">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不新鲜，软塌、腐烂、发霉，虫害过多。形态大小与甲方自购标准存在较大负偏差。农药残留超标。</w:t>
            </w:r>
          </w:p>
        </w:tc>
      </w:tr>
    </w:tbl>
    <w:p w14:paraId="73292313">
      <w:pPr>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2)大米必须符合GB1354-86标准，并拥有“QS“食品质量安全认证；</w:t>
      </w:r>
    </w:p>
    <w:p w14:paraId="3638DFB1">
      <w:pPr>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3)食用油必须符合GB1535-2003标准，并拥有“QS“食品质量安全认证；</w:t>
      </w:r>
    </w:p>
    <w:p w14:paraId="50369C80">
      <w:pPr>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4)面粉必须符合GB1355-86标准，并拥有“QS“食品质量安全认证；</w:t>
      </w:r>
    </w:p>
    <w:p w14:paraId="012926D9">
      <w:pPr>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5)猪肉、牛肉、鲜鸡鸭、鸡副产品等必须为新鲜食材，非冻品，具有动物检验检疫合格证明；</w:t>
      </w:r>
    </w:p>
    <w:p w14:paraId="35BF7876">
      <w:pPr>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6)糖、味精、酱油、醋、生粉等必须具有“QS“食品质量认证标志；</w:t>
      </w:r>
    </w:p>
    <w:p w14:paraId="35098565">
      <w:pPr>
        <w:spacing w:line="5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7)豆制品、半成品必须具有“QS“食品质量安全认证；</w:t>
      </w:r>
    </w:p>
    <w:p w14:paraId="3D8745ED">
      <w:pPr>
        <w:spacing w:line="520" w:lineRule="exact"/>
        <w:ind w:firstLine="480" w:firstLineChars="200"/>
        <w:rPr>
          <w:rFonts w:hint="eastAsia" w:ascii="宋体" w:hAnsi="宋体" w:eastAsia="宋体" w:cs="宋体"/>
          <w:b/>
          <w:color w:val="auto"/>
          <w:sz w:val="24"/>
          <w:highlight w:val="none"/>
        </w:rPr>
      </w:pPr>
      <w:r>
        <w:rPr>
          <w:rFonts w:hint="eastAsia" w:ascii="宋体" w:hAnsi="宋体" w:eastAsia="宋体" w:cs="宋体"/>
          <w:color w:val="auto"/>
          <w:sz w:val="24"/>
          <w:highlight w:val="none"/>
        </w:rPr>
        <w:t>8)禽蛋、蔬菜必须保证新鲜，且符合食品卫生安全法要求。</w:t>
      </w:r>
    </w:p>
    <w:p w14:paraId="5DBB15CF">
      <w:pPr>
        <w:pStyle w:val="294"/>
        <w:keepNext w:val="0"/>
        <w:keepLines w:val="0"/>
        <w:pageBreakBefore w:val="0"/>
        <w:widowControl w:val="0"/>
        <w:spacing w:before="0" w:beforeAutospacing="0" w:after="0" w:afterAutospacing="0" w:line="360" w:lineRule="auto"/>
        <w:ind w:firstLine="480"/>
        <w:rPr>
          <w:rFonts w:hint="eastAsia" w:ascii="宋体" w:hAnsi="宋体" w:eastAsia="宋体" w:cs="宋体"/>
          <w:b/>
          <w:bCs/>
          <w:color w:val="000000"/>
          <w:szCs w:val="20"/>
          <w:highlight w:val="none"/>
        </w:rPr>
      </w:pPr>
      <w:r>
        <w:rPr>
          <w:rFonts w:hint="eastAsia" w:ascii="宋体" w:hAnsi="宋体" w:eastAsia="宋体" w:cs="宋体"/>
          <w:b/>
          <w:bCs/>
          <w:color w:val="000000"/>
          <w:szCs w:val="20"/>
          <w:highlight w:val="none"/>
          <w:lang w:val="en-US" w:eastAsia="zh-CN"/>
        </w:rPr>
        <w:t>八</w:t>
      </w:r>
      <w:r>
        <w:rPr>
          <w:rFonts w:hint="eastAsia" w:ascii="宋体" w:hAnsi="宋体" w:eastAsia="宋体" w:cs="宋体"/>
          <w:b/>
          <w:bCs/>
          <w:color w:val="000000"/>
          <w:szCs w:val="20"/>
          <w:highlight w:val="none"/>
        </w:rPr>
        <w:t>、数量、品质保证</w:t>
      </w:r>
    </w:p>
    <w:p w14:paraId="093EFB36">
      <w:pPr>
        <w:pStyle w:val="294"/>
        <w:keepNext w:val="0"/>
        <w:keepLines w:val="0"/>
        <w:pageBreakBefore w:val="0"/>
        <w:widowControl w:val="0"/>
        <w:spacing w:before="0" w:beforeAutospacing="0" w:after="0" w:afterAutospacing="0" w:line="360" w:lineRule="auto"/>
        <w:ind w:firstLine="480"/>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1、品种数量超出规定的部分由乙方带回，不纳入结算，短缺的部分由乙方补足。</w:t>
      </w:r>
    </w:p>
    <w:p w14:paraId="5FE5B1B1">
      <w:pPr>
        <w:pStyle w:val="294"/>
        <w:keepNext w:val="0"/>
        <w:keepLines w:val="0"/>
        <w:pageBreakBefore w:val="0"/>
        <w:widowControl w:val="0"/>
        <w:spacing w:before="0" w:beforeAutospacing="0" w:after="0" w:afterAutospacing="0" w:line="360" w:lineRule="auto"/>
        <w:ind w:firstLine="480"/>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2、每个品种的重量以双方核准的净重过磅数为准，双方签字确认作为结算凭证。</w:t>
      </w:r>
    </w:p>
    <w:p w14:paraId="4DF8BC64">
      <w:pPr>
        <w:pStyle w:val="294"/>
        <w:keepNext w:val="0"/>
        <w:keepLines w:val="0"/>
        <w:pageBreakBefore w:val="0"/>
        <w:widowControl w:val="0"/>
        <w:spacing w:before="0" w:beforeAutospacing="0" w:after="0" w:afterAutospacing="0" w:line="360" w:lineRule="auto"/>
        <w:ind w:firstLine="480"/>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3、质量必须符合国家相关食品安全卫生标准，品质必须达到本合同所列的质量验收要求。</w:t>
      </w:r>
    </w:p>
    <w:p w14:paraId="116B9E0C">
      <w:pPr>
        <w:ind w:firstLine="560"/>
        <w:rPr>
          <w:rFonts w:hint="eastAsia" w:ascii="宋体" w:hAnsi="宋体" w:eastAsia="宋体" w:cs="宋体"/>
          <w:b/>
          <w:bCs/>
          <w:color w:val="000000"/>
          <w:sz w:val="24"/>
          <w:szCs w:val="20"/>
          <w:highlight w:val="none"/>
          <w:lang w:val="en-US" w:eastAsia="zh-CN" w:bidi="ar-SA"/>
        </w:rPr>
      </w:pPr>
      <w:r>
        <w:rPr>
          <w:rFonts w:hint="eastAsia" w:ascii="宋体" w:hAnsi="宋体" w:eastAsia="宋体" w:cs="宋体"/>
          <w:b/>
          <w:bCs/>
          <w:color w:val="000000"/>
          <w:sz w:val="24"/>
          <w:szCs w:val="20"/>
          <w:highlight w:val="none"/>
          <w:lang w:val="en-US" w:eastAsia="zh-CN" w:bidi="ar-SA"/>
        </w:rPr>
        <w:t>九、项目验收</w:t>
      </w:r>
    </w:p>
    <w:p w14:paraId="5AD0293E">
      <w:pPr>
        <w:pStyle w:val="294"/>
        <w:keepNext w:val="0"/>
        <w:keepLines w:val="0"/>
        <w:pageBreakBefore w:val="0"/>
        <w:widowControl w:val="0"/>
        <w:spacing w:before="0" w:beforeAutospacing="0" w:after="0" w:afterAutospacing="0" w:line="360" w:lineRule="auto"/>
        <w:ind w:firstLine="480"/>
        <w:rPr>
          <w:rFonts w:hint="eastAsia" w:ascii="宋体" w:hAnsi="宋体" w:eastAsia="宋体" w:cs="宋体"/>
          <w:color w:val="000000"/>
          <w:szCs w:val="20"/>
          <w:highlight w:val="none"/>
        </w:rPr>
      </w:pPr>
      <w:r>
        <w:rPr>
          <w:rFonts w:hint="eastAsia" w:ascii="宋体" w:hAnsi="宋体" w:eastAsia="宋体" w:cs="宋体"/>
          <w:color w:val="000000"/>
          <w:szCs w:val="20"/>
          <w:highlight w:val="none"/>
          <w:lang w:val="en-US" w:eastAsia="zh-CN"/>
        </w:rPr>
        <w:t>1、</w:t>
      </w:r>
      <w:r>
        <w:rPr>
          <w:rFonts w:hint="eastAsia" w:ascii="宋体" w:hAnsi="宋体" w:eastAsia="宋体" w:cs="宋体"/>
          <w:color w:val="000000"/>
          <w:szCs w:val="20"/>
          <w:highlight w:val="none"/>
        </w:rPr>
        <w:t>甲方依法组织履约验收工作。</w:t>
      </w:r>
    </w:p>
    <w:p w14:paraId="41B1B89B">
      <w:pPr>
        <w:pStyle w:val="294"/>
        <w:keepNext w:val="0"/>
        <w:keepLines w:val="0"/>
        <w:pageBreakBefore w:val="0"/>
        <w:widowControl w:val="0"/>
        <w:spacing w:before="0" w:beforeAutospacing="0" w:after="0" w:afterAutospacing="0" w:line="360" w:lineRule="auto"/>
        <w:ind w:firstLine="480"/>
        <w:rPr>
          <w:rFonts w:hint="eastAsia" w:ascii="宋体" w:hAnsi="宋体" w:eastAsia="宋体" w:cs="宋体"/>
          <w:color w:val="000000"/>
          <w:szCs w:val="20"/>
          <w:highlight w:val="none"/>
        </w:rPr>
      </w:pPr>
      <w:r>
        <w:rPr>
          <w:rFonts w:hint="eastAsia" w:ascii="宋体" w:hAnsi="宋体" w:eastAsia="宋体" w:cs="宋体"/>
          <w:color w:val="000000"/>
          <w:szCs w:val="20"/>
          <w:highlight w:val="none"/>
          <w:lang w:val="en-US" w:eastAsia="zh-CN"/>
        </w:rPr>
        <w:t>2、</w:t>
      </w:r>
      <w:r>
        <w:rPr>
          <w:rFonts w:hint="eastAsia" w:ascii="宋体" w:hAnsi="宋体" w:eastAsia="宋体" w:cs="宋体"/>
          <w:color w:val="000000"/>
          <w:szCs w:val="20"/>
          <w:highlight w:val="none"/>
        </w:rPr>
        <w:t xml:space="preserve"> 甲方在组织履约验收前，将根据项目特点制定验收方案，明确履约验收的时间、方式、程序等内容，并可根据项目特点对服务期内的服务实施情况</w:t>
      </w:r>
      <w:r>
        <w:rPr>
          <w:rFonts w:hint="eastAsia" w:ascii="宋体" w:hAnsi="宋体" w:eastAsia="宋体" w:cs="宋体"/>
          <w:color w:val="000000"/>
          <w:szCs w:val="20"/>
          <w:highlight w:val="none"/>
          <w:lang w:val="en-US" w:eastAsia="zh-CN"/>
        </w:rPr>
        <w:t>进行</w:t>
      </w:r>
      <w:r>
        <w:rPr>
          <w:rFonts w:hint="eastAsia" w:ascii="宋体" w:hAnsi="宋体" w:eastAsia="宋体" w:cs="宋体"/>
          <w:color w:val="000000"/>
          <w:szCs w:val="20"/>
          <w:highlight w:val="none"/>
        </w:rPr>
        <w:t>分期考核，综合考核情况和服务效果进行验收。乙方应根据验收方案内容做好</w:t>
      </w:r>
      <w:r>
        <w:rPr>
          <w:rFonts w:hint="eastAsia" w:ascii="宋体" w:hAnsi="宋体" w:eastAsia="宋体" w:cs="宋体"/>
          <w:color w:val="000000"/>
          <w:szCs w:val="20"/>
          <w:highlight w:val="none"/>
          <w:lang w:val="en-US" w:eastAsia="zh-CN"/>
        </w:rPr>
        <w:t>相应配合工作</w:t>
      </w:r>
      <w:r>
        <w:rPr>
          <w:rFonts w:hint="eastAsia" w:ascii="宋体" w:hAnsi="宋体" w:eastAsia="宋体" w:cs="宋体"/>
          <w:color w:val="000000"/>
          <w:szCs w:val="20"/>
          <w:highlight w:val="none"/>
        </w:rPr>
        <w:t>。</w:t>
      </w:r>
    </w:p>
    <w:p w14:paraId="3C58E1EA">
      <w:pPr>
        <w:pStyle w:val="294"/>
        <w:keepNext w:val="0"/>
        <w:keepLines w:val="0"/>
        <w:pageBreakBefore w:val="0"/>
        <w:widowControl w:val="0"/>
        <w:spacing w:before="0" w:beforeAutospacing="0" w:after="0" w:afterAutospacing="0" w:line="360" w:lineRule="auto"/>
        <w:ind w:firstLine="480"/>
        <w:rPr>
          <w:rFonts w:hint="eastAsia" w:ascii="宋体" w:hAnsi="宋体" w:eastAsia="宋体" w:cs="宋体"/>
          <w:color w:val="000000"/>
          <w:szCs w:val="20"/>
          <w:highlight w:val="none"/>
          <w:lang w:val="en-US" w:eastAsia="zh-CN"/>
        </w:rPr>
      </w:pPr>
      <w:r>
        <w:rPr>
          <w:rFonts w:hint="eastAsia" w:ascii="宋体" w:hAnsi="宋体" w:eastAsia="宋体" w:cs="宋体"/>
          <w:color w:val="000000"/>
          <w:szCs w:val="20"/>
          <w:highlight w:val="none"/>
          <w:lang w:val="en-US" w:eastAsia="zh-CN"/>
        </w:rPr>
        <w:t>3、对于</w:t>
      </w:r>
      <w:r>
        <w:rPr>
          <w:rFonts w:hint="eastAsia" w:ascii="宋体" w:hAnsi="宋体" w:eastAsia="宋体" w:cs="宋体"/>
          <w:color w:val="000000"/>
          <w:szCs w:val="20"/>
          <w:highlight w:val="none"/>
        </w:rPr>
        <w:t>实际</w:t>
      </w:r>
      <w:r>
        <w:rPr>
          <w:rFonts w:hint="eastAsia" w:ascii="宋体" w:hAnsi="宋体" w:eastAsia="宋体" w:cs="宋体"/>
          <w:color w:val="000000"/>
          <w:szCs w:val="20"/>
          <w:highlight w:val="none"/>
          <w:lang w:val="en-US" w:eastAsia="zh-CN"/>
        </w:rPr>
        <w:t>使用</w:t>
      </w:r>
      <w:r>
        <w:rPr>
          <w:rFonts w:hint="eastAsia" w:ascii="宋体" w:hAnsi="宋体" w:eastAsia="宋体" w:cs="宋体"/>
          <w:color w:val="000000"/>
          <w:szCs w:val="20"/>
          <w:highlight w:val="none"/>
        </w:rPr>
        <w:t>人和甲方分离的</w:t>
      </w:r>
      <w:r>
        <w:rPr>
          <w:rFonts w:hint="eastAsia" w:ascii="宋体" w:hAnsi="宋体" w:eastAsia="宋体" w:cs="宋体"/>
          <w:color w:val="000000"/>
          <w:szCs w:val="20"/>
          <w:highlight w:val="none"/>
          <w:lang w:eastAsia="zh-CN"/>
        </w:rPr>
        <w:t>项目</w:t>
      </w:r>
      <w:r>
        <w:rPr>
          <w:rFonts w:hint="eastAsia" w:ascii="宋体" w:hAnsi="宋体" w:eastAsia="宋体" w:cs="宋体"/>
          <w:color w:val="000000"/>
          <w:szCs w:val="20"/>
          <w:highlight w:val="none"/>
        </w:rPr>
        <w:t>，</w:t>
      </w:r>
      <w:r>
        <w:rPr>
          <w:rFonts w:hint="eastAsia" w:ascii="宋体" w:hAnsi="宋体" w:eastAsia="宋体" w:cs="宋体"/>
          <w:color w:val="000000"/>
          <w:szCs w:val="20"/>
          <w:highlight w:val="none"/>
          <w:lang w:val="en-US" w:eastAsia="zh-CN"/>
        </w:rPr>
        <w:t>甲方邀请实际</w:t>
      </w:r>
      <w:r>
        <w:rPr>
          <w:rFonts w:hint="eastAsia" w:ascii="宋体" w:hAnsi="宋体" w:eastAsia="宋体" w:cs="宋体"/>
          <w:color w:val="000000"/>
          <w:szCs w:val="20"/>
          <w:highlight w:val="none"/>
        </w:rPr>
        <w:t>使用人</w:t>
      </w:r>
      <w:r>
        <w:rPr>
          <w:rFonts w:hint="eastAsia" w:ascii="宋体" w:hAnsi="宋体" w:eastAsia="宋体" w:cs="宋体"/>
          <w:color w:val="000000"/>
          <w:szCs w:val="20"/>
          <w:highlight w:val="none"/>
          <w:lang w:val="en-US" w:eastAsia="zh-CN"/>
        </w:rPr>
        <w:t>参</w:t>
      </w:r>
      <w:r>
        <w:rPr>
          <w:rFonts w:hint="eastAsia" w:ascii="宋体" w:hAnsi="宋体" w:eastAsia="宋体" w:cs="宋体"/>
          <w:color w:val="000000"/>
          <w:szCs w:val="20"/>
          <w:highlight w:val="none"/>
        </w:rPr>
        <w:t>与</w:t>
      </w:r>
      <w:r>
        <w:rPr>
          <w:rFonts w:hint="eastAsia" w:ascii="宋体" w:hAnsi="宋体" w:eastAsia="宋体" w:cs="宋体"/>
          <w:color w:val="000000"/>
          <w:szCs w:val="20"/>
          <w:highlight w:val="none"/>
          <w:lang w:val="en-US" w:eastAsia="zh-CN"/>
        </w:rPr>
        <w:t>验收。</w:t>
      </w:r>
    </w:p>
    <w:p w14:paraId="694332C3">
      <w:pPr>
        <w:pStyle w:val="294"/>
        <w:keepNext w:val="0"/>
        <w:keepLines w:val="0"/>
        <w:pageBreakBefore w:val="0"/>
        <w:widowControl w:val="0"/>
        <w:spacing w:before="0" w:beforeAutospacing="0" w:after="0" w:afterAutospacing="0" w:line="360" w:lineRule="auto"/>
        <w:ind w:firstLine="480"/>
        <w:rPr>
          <w:rFonts w:hint="eastAsia" w:ascii="宋体" w:hAnsi="宋体" w:eastAsia="宋体" w:cs="宋体"/>
          <w:color w:val="000000"/>
          <w:szCs w:val="20"/>
          <w:highlight w:val="none"/>
          <w:lang w:val="en-US" w:eastAsia="zh-CN"/>
        </w:rPr>
      </w:pPr>
      <w:r>
        <w:rPr>
          <w:rFonts w:hint="eastAsia" w:ascii="宋体" w:hAnsi="宋体" w:eastAsia="宋体" w:cs="宋体"/>
          <w:color w:val="000000"/>
          <w:szCs w:val="20"/>
          <w:highlight w:val="none"/>
          <w:lang w:val="en-US" w:eastAsia="zh-CN"/>
        </w:rPr>
        <w:t>4、</w:t>
      </w:r>
      <w:r>
        <w:rPr>
          <w:rFonts w:hint="eastAsia" w:ascii="宋体" w:hAnsi="宋体" w:eastAsia="宋体" w:cs="宋体"/>
          <w:color w:val="000000"/>
          <w:szCs w:val="20"/>
          <w:highlight w:val="none"/>
        </w:rPr>
        <w:t>如有必</w:t>
      </w:r>
      <w:r>
        <w:rPr>
          <w:rFonts w:hint="eastAsia" w:ascii="宋体" w:hAnsi="宋体" w:eastAsia="宋体" w:cs="宋体"/>
          <w:color w:val="000000"/>
          <w:szCs w:val="20"/>
          <w:highlight w:val="none"/>
          <w:lang w:val="en-US" w:eastAsia="zh-CN"/>
        </w:rPr>
        <w:t>要</w:t>
      </w:r>
      <w:r>
        <w:rPr>
          <w:rFonts w:hint="eastAsia" w:ascii="宋体" w:hAnsi="宋体" w:eastAsia="宋体" w:cs="宋体"/>
          <w:color w:val="000000"/>
          <w:szCs w:val="20"/>
          <w:highlight w:val="none"/>
        </w:rPr>
        <w:t>，甲方</w:t>
      </w:r>
      <w:r>
        <w:rPr>
          <w:rFonts w:hint="eastAsia" w:ascii="宋体" w:hAnsi="宋体" w:eastAsia="宋体" w:cs="宋体"/>
          <w:color w:val="000000"/>
          <w:szCs w:val="20"/>
          <w:highlight w:val="none"/>
          <w:lang w:val="en-US" w:eastAsia="zh-CN"/>
        </w:rPr>
        <w:t>邀请</w:t>
      </w:r>
      <w:r>
        <w:rPr>
          <w:rFonts w:hint="eastAsia" w:ascii="宋体" w:hAnsi="宋体" w:eastAsia="宋体" w:cs="宋体"/>
          <w:color w:val="000000"/>
          <w:szCs w:val="20"/>
          <w:highlight w:val="none"/>
        </w:rPr>
        <w:t>参加</w:t>
      </w:r>
      <w:r>
        <w:rPr>
          <w:rFonts w:hint="eastAsia" w:ascii="宋体" w:hAnsi="宋体" w:eastAsia="宋体" w:cs="宋体"/>
          <w:color w:val="000000"/>
          <w:szCs w:val="20"/>
          <w:highlight w:val="none"/>
          <w:lang w:val="en-US" w:eastAsia="zh-CN"/>
        </w:rPr>
        <w:t>本项目</w:t>
      </w:r>
      <w:r>
        <w:rPr>
          <w:rFonts w:hint="eastAsia" w:ascii="宋体" w:hAnsi="宋体" w:eastAsia="宋体" w:cs="宋体"/>
          <w:color w:val="000000"/>
          <w:szCs w:val="20"/>
          <w:highlight w:val="none"/>
        </w:rPr>
        <w:t>的其他</w:t>
      </w:r>
      <w:r>
        <w:rPr>
          <w:rFonts w:hint="eastAsia" w:ascii="宋体" w:hAnsi="宋体" w:eastAsia="宋体" w:cs="宋体"/>
          <w:color w:val="000000"/>
          <w:szCs w:val="20"/>
          <w:highlight w:val="none"/>
          <w:lang w:val="en-US" w:eastAsia="zh-CN"/>
        </w:rPr>
        <w:t>供应商</w:t>
      </w:r>
      <w:r>
        <w:rPr>
          <w:rFonts w:hint="eastAsia" w:ascii="宋体" w:hAnsi="宋体" w:eastAsia="宋体" w:cs="宋体"/>
          <w:color w:val="000000"/>
          <w:szCs w:val="20"/>
          <w:highlight w:val="none"/>
        </w:rPr>
        <w:t>或第</w:t>
      </w:r>
      <w:r>
        <w:rPr>
          <w:rFonts w:hint="eastAsia" w:ascii="宋体" w:hAnsi="宋体" w:eastAsia="宋体" w:cs="宋体"/>
          <w:color w:val="000000"/>
          <w:szCs w:val="20"/>
          <w:highlight w:val="none"/>
          <w:lang w:val="en-US" w:eastAsia="zh-CN"/>
        </w:rPr>
        <w:t>三</w:t>
      </w:r>
      <w:r>
        <w:rPr>
          <w:rFonts w:hint="eastAsia" w:ascii="宋体" w:hAnsi="宋体" w:eastAsia="宋体" w:cs="宋体"/>
          <w:color w:val="000000"/>
          <w:szCs w:val="20"/>
          <w:highlight w:val="none"/>
        </w:rPr>
        <w:t>方专业</w:t>
      </w:r>
      <w:r>
        <w:rPr>
          <w:rFonts w:hint="eastAsia" w:ascii="宋体" w:hAnsi="宋体" w:eastAsia="宋体" w:cs="宋体"/>
          <w:color w:val="000000"/>
          <w:szCs w:val="20"/>
          <w:highlight w:val="none"/>
          <w:lang w:val="en-US" w:eastAsia="zh-CN"/>
        </w:rPr>
        <w:t>机构</w:t>
      </w:r>
      <w:r>
        <w:rPr>
          <w:rFonts w:hint="eastAsia" w:ascii="宋体" w:hAnsi="宋体" w:eastAsia="宋体" w:cs="宋体"/>
          <w:color w:val="000000"/>
          <w:szCs w:val="20"/>
          <w:highlight w:val="none"/>
        </w:rPr>
        <w:t>及</w:t>
      </w:r>
      <w:r>
        <w:rPr>
          <w:rFonts w:hint="eastAsia" w:ascii="宋体" w:hAnsi="宋体" w:eastAsia="宋体" w:cs="宋体"/>
          <w:color w:val="000000"/>
          <w:szCs w:val="20"/>
          <w:highlight w:val="none"/>
          <w:lang w:val="en-US" w:eastAsia="zh-CN"/>
        </w:rPr>
        <w:t>专家参与验收</w:t>
      </w:r>
      <w:r>
        <w:rPr>
          <w:rFonts w:hint="eastAsia" w:ascii="宋体" w:hAnsi="宋体" w:eastAsia="宋体" w:cs="宋体"/>
          <w:color w:val="000000"/>
          <w:szCs w:val="20"/>
          <w:highlight w:val="none"/>
        </w:rPr>
        <w:t>，</w:t>
      </w:r>
      <w:r>
        <w:rPr>
          <w:rFonts w:hint="eastAsia" w:ascii="宋体" w:hAnsi="宋体" w:eastAsia="宋体" w:cs="宋体"/>
          <w:color w:val="000000"/>
          <w:szCs w:val="20"/>
          <w:highlight w:val="none"/>
          <w:lang w:val="en-US" w:eastAsia="zh-CN"/>
        </w:rPr>
        <w:t>相关意见将作为验收书的参考资料。</w:t>
      </w:r>
    </w:p>
    <w:p w14:paraId="315DAEB7">
      <w:pPr>
        <w:pStyle w:val="294"/>
        <w:keepNext w:val="0"/>
        <w:keepLines w:val="0"/>
        <w:pageBreakBefore w:val="0"/>
        <w:widowControl w:val="0"/>
        <w:spacing w:before="0" w:beforeAutospacing="0" w:after="0" w:afterAutospacing="0" w:line="360" w:lineRule="auto"/>
        <w:ind w:firstLine="480"/>
        <w:rPr>
          <w:rFonts w:hint="eastAsia" w:ascii="宋体" w:hAnsi="宋体" w:eastAsia="宋体" w:cs="宋体"/>
          <w:color w:val="000000"/>
          <w:szCs w:val="20"/>
          <w:highlight w:val="none"/>
          <w:lang w:val="en-US" w:eastAsia="zh-CN"/>
        </w:rPr>
      </w:pPr>
      <w:r>
        <w:rPr>
          <w:rFonts w:hint="eastAsia" w:ascii="宋体" w:hAnsi="宋体" w:eastAsia="宋体" w:cs="宋体"/>
          <w:color w:val="000000"/>
          <w:szCs w:val="20"/>
          <w:highlight w:val="none"/>
          <w:lang w:val="en-US" w:eastAsia="zh-CN"/>
        </w:rPr>
        <w:t>5、甲方</w:t>
      </w:r>
      <w:r>
        <w:rPr>
          <w:rFonts w:hint="eastAsia" w:ascii="宋体" w:hAnsi="宋体" w:eastAsia="宋体" w:cs="宋体"/>
          <w:color w:val="000000"/>
          <w:szCs w:val="20"/>
          <w:highlight w:val="none"/>
        </w:rPr>
        <w:t>成立验收小组，按照</w:t>
      </w:r>
      <w:r>
        <w:rPr>
          <w:rFonts w:hint="eastAsia" w:ascii="宋体" w:hAnsi="宋体" w:eastAsia="宋体" w:cs="宋体"/>
          <w:color w:val="000000"/>
          <w:szCs w:val="20"/>
          <w:highlight w:val="none"/>
          <w:lang w:eastAsia="zh-CN"/>
        </w:rPr>
        <w:t>采购</w:t>
      </w:r>
      <w:r>
        <w:rPr>
          <w:rFonts w:hint="eastAsia" w:ascii="宋体" w:hAnsi="宋体" w:eastAsia="宋体" w:cs="宋体"/>
          <w:color w:val="000000"/>
          <w:szCs w:val="20"/>
          <w:highlight w:val="none"/>
        </w:rPr>
        <w:t>合同的约定对</w:t>
      </w:r>
      <w:r>
        <w:rPr>
          <w:rFonts w:hint="eastAsia" w:ascii="宋体" w:hAnsi="宋体" w:eastAsia="宋体" w:cs="宋体"/>
          <w:color w:val="000000"/>
          <w:szCs w:val="20"/>
          <w:highlight w:val="none"/>
          <w:lang w:val="en-US" w:eastAsia="zh-CN"/>
        </w:rPr>
        <w:t>乙方的履约</w:t>
      </w:r>
      <w:r>
        <w:rPr>
          <w:rFonts w:hint="eastAsia" w:ascii="宋体" w:hAnsi="宋体" w:eastAsia="宋体" w:cs="宋体"/>
          <w:color w:val="000000"/>
          <w:szCs w:val="20"/>
          <w:highlight w:val="none"/>
        </w:rPr>
        <w:t>情况进行验收</w:t>
      </w:r>
      <w:r>
        <w:rPr>
          <w:rFonts w:hint="eastAsia" w:ascii="宋体" w:hAnsi="宋体" w:eastAsia="宋体" w:cs="宋体"/>
          <w:color w:val="000000"/>
          <w:szCs w:val="20"/>
          <w:highlight w:val="none"/>
          <w:lang w:eastAsia="zh-CN"/>
        </w:rPr>
        <w:t>。</w:t>
      </w:r>
      <w:r>
        <w:rPr>
          <w:rFonts w:hint="eastAsia" w:ascii="宋体" w:hAnsi="宋体" w:eastAsia="宋体" w:cs="宋体"/>
          <w:color w:val="000000"/>
          <w:szCs w:val="20"/>
          <w:highlight w:val="none"/>
        </w:rPr>
        <w:t>验收</w:t>
      </w:r>
      <w:r>
        <w:rPr>
          <w:rFonts w:hint="eastAsia" w:ascii="宋体" w:hAnsi="宋体" w:eastAsia="宋体" w:cs="宋体"/>
          <w:color w:val="000000"/>
          <w:szCs w:val="20"/>
          <w:highlight w:val="none"/>
          <w:lang w:val="en-US" w:eastAsia="zh-CN"/>
        </w:rPr>
        <w:t>时，甲</w:t>
      </w:r>
      <w:r>
        <w:rPr>
          <w:rFonts w:hint="eastAsia" w:ascii="宋体" w:hAnsi="宋体" w:eastAsia="宋体" w:cs="宋体"/>
          <w:color w:val="000000"/>
          <w:szCs w:val="20"/>
          <w:highlight w:val="none"/>
        </w:rPr>
        <w:t>方按照</w:t>
      </w:r>
      <w:r>
        <w:rPr>
          <w:rFonts w:hint="eastAsia" w:ascii="宋体" w:hAnsi="宋体" w:eastAsia="宋体" w:cs="宋体"/>
          <w:color w:val="000000"/>
          <w:szCs w:val="20"/>
          <w:highlight w:val="none"/>
          <w:lang w:val="en-US" w:eastAsia="zh-CN"/>
        </w:rPr>
        <w:t>采购合同</w:t>
      </w:r>
      <w:r>
        <w:rPr>
          <w:rFonts w:hint="eastAsia" w:ascii="宋体" w:hAnsi="宋体" w:eastAsia="宋体" w:cs="宋体"/>
          <w:color w:val="000000"/>
          <w:szCs w:val="20"/>
          <w:highlight w:val="none"/>
        </w:rPr>
        <w:t>的约定对每一项</w:t>
      </w:r>
      <w:r>
        <w:rPr>
          <w:rFonts w:hint="eastAsia" w:ascii="宋体" w:hAnsi="宋体" w:eastAsia="宋体" w:cs="宋体"/>
          <w:color w:val="000000"/>
          <w:szCs w:val="20"/>
          <w:highlight w:val="none"/>
          <w:lang w:val="en-US" w:eastAsia="zh-CN"/>
        </w:rPr>
        <w:t>技术</w:t>
      </w:r>
      <w:r>
        <w:rPr>
          <w:rFonts w:hint="eastAsia" w:ascii="宋体" w:hAnsi="宋体" w:eastAsia="宋体" w:cs="宋体"/>
          <w:color w:val="000000"/>
          <w:szCs w:val="20"/>
          <w:highlight w:val="none"/>
        </w:rPr>
        <w:t>、服务，安全标准的</w:t>
      </w:r>
      <w:r>
        <w:rPr>
          <w:rFonts w:hint="eastAsia" w:ascii="宋体" w:hAnsi="宋体" w:eastAsia="宋体" w:cs="宋体"/>
          <w:color w:val="000000"/>
          <w:szCs w:val="20"/>
          <w:highlight w:val="none"/>
          <w:lang w:val="en-US" w:eastAsia="zh-CN"/>
        </w:rPr>
        <w:t>履约</w:t>
      </w:r>
      <w:r>
        <w:rPr>
          <w:rFonts w:hint="eastAsia" w:ascii="宋体" w:hAnsi="宋体" w:eastAsia="宋体" w:cs="宋体"/>
          <w:color w:val="000000"/>
          <w:szCs w:val="20"/>
          <w:highlight w:val="none"/>
        </w:rPr>
        <w:t>情况进行</w:t>
      </w:r>
      <w:r>
        <w:rPr>
          <w:rFonts w:hint="eastAsia" w:ascii="宋体" w:hAnsi="宋体" w:eastAsia="宋体" w:cs="宋体"/>
          <w:color w:val="000000"/>
          <w:szCs w:val="20"/>
          <w:highlight w:val="none"/>
          <w:lang w:val="en-US" w:eastAsia="zh-CN"/>
        </w:rPr>
        <w:t>确认</w:t>
      </w:r>
      <w:r>
        <w:rPr>
          <w:rFonts w:hint="eastAsia" w:ascii="宋体" w:hAnsi="宋体" w:eastAsia="宋体" w:cs="宋体"/>
          <w:color w:val="000000"/>
          <w:szCs w:val="20"/>
          <w:highlight w:val="none"/>
        </w:rPr>
        <w:t>。验收</w:t>
      </w:r>
      <w:r>
        <w:rPr>
          <w:rFonts w:hint="eastAsia" w:ascii="宋体" w:hAnsi="宋体" w:eastAsia="宋体" w:cs="宋体"/>
          <w:color w:val="000000"/>
          <w:szCs w:val="20"/>
          <w:highlight w:val="none"/>
          <w:lang w:val="en-US" w:eastAsia="zh-CN"/>
        </w:rPr>
        <w:t>结束</w:t>
      </w:r>
      <w:r>
        <w:rPr>
          <w:rFonts w:hint="eastAsia" w:ascii="宋体" w:hAnsi="宋体" w:eastAsia="宋体" w:cs="宋体"/>
          <w:color w:val="000000"/>
          <w:szCs w:val="20"/>
          <w:highlight w:val="none"/>
        </w:rPr>
        <w:t>后</w:t>
      </w:r>
      <w:r>
        <w:rPr>
          <w:rFonts w:hint="eastAsia" w:ascii="宋体" w:hAnsi="宋体" w:eastAsia="宋体" w:cs="宋体"/>
          <w:color w:val="000000"/>
          <w:szCs w:val="20"/>
          <w:highlight w:val="none"/>
          <w:lang w:eastAsia="zh-CN"/>
        </w:rPr>
        <w:t>，</w:t>
      </w:r>
      <w:r>
        <w:rPr>
          <w:rFonts w:hint="eastAsia" w:ascii="宋体" w:hAnsi="宋体" w:eastAsia="宋体" w:cs="宋体"/>
          <w:color w:val="000000"/>
          <w:szCs w:val="20"/>
          <w:highlight w:val="none"/>
          <w:lang w:val="en-US" w:eastAsia="zh-CN"/>
        </w:rPr>
        <w:t>验收</w:t>
      </w:r>
      <w:r>
        <w:rPr>
          <w:rFonts w:hint="eastAsia" w:ascii="宋体" w:hAnsi="宋体" w:eastAsia="宋体" w:cs="宋体"/>
          <w:color w:val="000000"/>
          <w:szCs w:val="20"/>
          <w:highlight w:val="none"/>
        </w:rPr>
        <w:t>小组出</w:t>
      </w:r>
      <w:r>
        <w:rPr>
          <w:rFonts w:hint="eastAsia" w:ascii="宋体" w:hAnsi="宋体" w:eastAsia="宋体" w:cs="宋体"/>
          <w:color w:val="000000"/>
          <w:szCs w:val="20"/>
          <w:highlight w:val="none"/>
          <w:lang w:val="en-US" w:eastAsia="zh-CN"/>
        </w:rPr>
        <w:t>具验收书，</w:t>
      </w:r>
      <w:r>
        <w:rPr>
          <w:rFonts w:hint="eastAsia" w:ascii="宋体" w:hAnsi="宋体" w:eastAsia="宋体" w:cs="宋体"/>
          <w:color w:val="000000"/>
          <w:szCs w:val="20"/>
          <w:highlight w:val="none"/>
        </w:rPr>
        <w:t>列明各项</w:t>
      </w:r>
      <w:r>
        <w:rPr>
          <w:rFonts w:hint="eastAsia" w:ascii="宋体" w:hAnsi="宋体" w:eastAsia="宋体" w:cs="宋体"/>
          <w:color w:val="000000"/>
          <w:szCs w:val="20"/>
          <w:highlight w:val="none"/>
          <w:lang w:val="en-US" w:eastAsia="zh-CN"/>
        </w:rPr>
        <w:t>标准</w:t>
      </w:r>
      <w:r>
        <w:rPr>
          <w:rFonts w:hint="eastAsia" w:ascii="宋体" w:hAnsi="宋体" w:eastAsia="宋体" w:cs="宋体"/>
          <w:color w:val="000000"/>
          <w:szCs w:val="20"/>
          <w:highlight w:val="none"/>
        </w:rPr>
        <w:t>的验收情况及</w:t>
      </w:r>
      <w:r>
        <w:rPr>
          <w:rFonts w:hint="eastAsia" w:ascii="宋体" w:hAnsi="宋体" w:eastAsia="宋体" w:cs="宋体"/>
          <w:color w:val="000000"/>
          <w:szCs w:val="20"/>
          <w:highlight w:val="none"/>
          <w:lang w:val="en-US" w:eastAsia="zh-CN"/>
        </w:rPr>
        <w:t>项目总体评价，由验收双方共同签署。</w:t>
      </w:r>
      <w:r>
        <w:rPr>
          <w:rFonts w:hint="eastAsia" w:ascii="宋体" w:hAnsi="宋体" w:eastAsia="宋体" w:cs="宋体"/>
          <w:color w:val="000000"/>
          <w:szCs w:val="20"/>
          <w:highlight w:val="none"/>
        </w:rPr>
        <w:t>验收结果与</w:t>
      </w:r>
      <w:r>
        <w:rPr>
          <w:rFonts w:hint="eastAsia" w:ascii="宋体" w:hAnsi="宋体" w:eastAsia="宋体" w:cs="宋体"/>
          <w:color w:val="000000"/>
          <w:szCs w:val="20"/>
          <w:highlight w:val="none"/>
          <w:lang w:val="en-US" w:eastAsia="zh-CN"/>
        </w:rPr>
        <w:t>采购</w:t>
      </w:r>
      <w:r>
        <w:rPr>
          <w:rFonts w:hint="eastAsia" w:ascii="宋体" w:hAnsi="宋体" w:eastAsia="宋体" w:cs="宋体"/>
          <w:color w:val="000000"/>
          <w:szCs w:val="20"/>
          <w:highlight w:val="none"/>
        </w:rPr>
        <w:t>合同</w:t>
      </w:r>
      <w:r>
        <w:rPr>
          <w:rFonts w:hint="eastAsia" w:ascii="宋体" w:hAnsi="宋体" w:eastAsia="宋体" w:cs="宋体"/>
          <w:color w:val="000000"/>
          <w:szCs w:val="20"/>
          <w:highlight w:val="none"/>
          <w:lang w:val="en-US" w:eastAsia="zh-CN"/>
        </w:rPr>
        <w:t>约定</w:t>
      </w:r>
      <w:r>
        <w:rPr>
          <w:rFonts w:hint="eastAsia" w:ascii="宋体" w:hAnsi="宋体" w:eastAsia="宋体" w:cs="宋体"/>
          <w:color w:val="000000"/>
          <w:szCs w:val="20"/>
          <w:highlight w:val="none"/>
        </w:rPr>
        <w:t>的</w:t>
      </w:r>
      <w:r>
        <w:rPr>
          <w:rFonts w:hint="eastAsia" w:ascii="宋体" w:hAnsi="宋体" w:eastAsia="宋体" w:cs="宋体"/>
          <w:color w:val="000000"/>
          <w:szCs w:val="20"/>
          <w:highlight w:val="none"/>
          <w:lang w:val="en-US" w:eastAsia="zh-CN"/>
        </w:rPr>
        <w:t>资金支付</w:t>
      </w:r>
      <w:r>
        <w:rPr>
          <w:rFonts w:hint="eastAsia" w:ascii="宋体" w:hAnsi="宋体" w:eastAsia="宋体" w:cs="宋体"/>
          <w:color w:val="000000"/>
          <w:szCs w:val="20"/>
          <w:highlight w:val="none"/>
        </w:rPr>
        <w:t>及</w:t>
      </w:r>
      <w:r>
        <w:rPr>
          <w:rFonts w:hint="eastAsia" w:ascii="宋体" w:hAnsi="宋体" w:eastAsia="宋体" w:cs="宋体"/>
          <w:color w:val="000000"/>
          <w:szCs w:val="20"/>
          <w:highlight w:val="none"/>
          <w:lang w:val="en-US" w:eastAsia="zh-CN"/>
        </w:rPr>
        <w:t>履约保证金返还条件挂钩。</w:t>
      </w:r>
      <w:r>
        <w:rPr>
          <w:rFonts w:hint="eastAsia" w:ascii="宋体" w:hAnsi="宋体" w:eastAsia="宋体" w:cs="宋体"/>
          <w:color w:val="000000"/>
          <w:szCs w:val="20"/>
          <w:highlight w:val="none"/>
        </w:rPr>
        <w:t>履约验收</w:t>
      </w:r>
      <w:r>
        <w:rPr>
          <w:rFonts w:hint="eastAsia" w:ascii="宋体" w:hAnsi="宋体" w:eastAsia="宋体" w:cs="宋体"/>
          <w:color w:val="000000"/>
          <w:szCs w:val="20"/>
          <w:highlight w:val="none"/>
          <w:lang w:eastAsia="zh-CN"/>
        </w:rPr>
        <w:t>的</w:t>
      </w:r>
      <w:r>
        <w:rPr>
          <w:rFonts w:hint="eastAsia" w:ascii="宋体" w:hAnsi="宋体" w:eastAsia="宋体" w:cs="宋体"/>
          <w:color w:val="000000"/>
          <w:szCs w:val="20"/>
          <w:highlight w:val="none"/>
          <w:lang w:val="en-US" w:eastAsia="zh-CN"/>
        </w:rPr>
        <w:t>各项资料存档备查。</w:t>
      </w:r>
    </w:p>
    <w:p w14:paraId="51FA7A96">
      <w:pPr>
        <w:pStyle w:val="294"/>
        <w:keepNext w:val="0"/>
        <w:keepLines w:val="0"/>
        <w:pageBreakBefore w:val="0"/>
        <w:widowControl w:val="0"/>
        <w:spacing w:before="0" w:beforeAutospacing="0" w:after="0" w:afterAutospacing="0" w:line="360" w:lineRule="auto"/>
        <w:ind w:firstLine="480"/>
        <w:rPr>
          <w:rFonts w:hint="eastAsia" w:ascii="宋体" w:hAnsi="宋体" w:eastAsia="宋体" w:cs="宋体"/>
          <w:color w:val="000000"/>
          <w:szCs w:val="20"/>
          <w:highlight w:val="none"/>
        </w:rPr>
      </w:pPr>
      <w:r>
        <w:rPr>
          <w:rFonts w:hint="eastAsia" w:ascii="宋体" w:hAnsi="宋体" w:eastAsia="宋体" w:cs="宋体"/>
          <w:color w:val="000000"/>
          <w:szCs w:val="20"/>
          <w:highlight w:val="none"/>
          <w:lang w:val="en-US" w:eastAsia="zh-CN"/>
        </w:rPr>
        <w:t>6、</w:t>
      </w:r>
      <w:r>
        <w:rPr>
          <w:rFonts w:hint="eastAsia" w:ascii="宋体" w:hAnsi="宋体" w:eastAsia="宋体" w:cs="宋体"/>
          <w:color w:val="000000"/>
          <w:szCs w:val="20"/>
          <w:highlight w:val="none"/>
        </w:rPr>
        <w:t>验收合格的</w:t>
      </w:r>
      <w:r>
        <w:rPr>
          <w:rFonts w:hint="eastAsia" w:ascii="宋体" w:hAnsi="宋体" w:eastAsia="宋体" w:cs="宋体"/>
          <w:color w:val="000000"/>
          <w:szCs w:val="20"/>
          <w:highlight w:val="none"/>
          <w:lang w:eastAsia="zh-CN"/>
        </w:rPr>
        <w:t>项目，</w:t>
      </w:r>
      <w:r>
        <w:rPr>
          <w:rFonts w:hint="eastAsia" w:ascii="宋体" w:hAnsi="宋体" w:eastAsia="宋体" w:cs="宋体"/>
          <w:color w:val="000000"/>
          <w:szCs w:val="20"/>
          <w:highlight w:val="none"/>
          <w:lang w:val="en-US" w:eastAsia="zh-CN"/>
        </w:rPr>
        <w:t>甲</w:t>
      </w:r>
      <w:r>
        <w:rPr>
          <w:rFonts w:hint="eastAsia" w:ascii="宋体" w:hAnsi="宋体" w:eastAsia="宋体" w:cs="宋体"/>
          <w:color w:val="000000"/>
          <w:szCs w:val="20"/>
          <w:highlight w:val="none"/>
        </w:rPr>
        <w:t>方</w:t>
      </w:r>
      <w:r>
        <w:rPr>
          <w:rFonts w:hint="eastAsia" w:ascii="宋体" w:hAnsi="宋体" w:eastAsia="宋体" w:cs="宋体"/>
          <w:color w:val="000000"/>
          <w:szCs w:val="20"/>
          <w:highlight w:val="none"/>
          <w:lang w:val="en-US" w:eastAsia="zh-CN"/>
        </w:rPr>
        <w:t>根据采购合同</w:t>
      </w:r>
      <w:r>
        <w:rPr>
          <w:rFonts w:hint="eastAsia" w:ascii="宋体" w:hAnsi="宋体" w:eastAsia="宋体" w:cs="宋体"/>
          <w:color w:val="000000"/>
          <w:szCs w:val="20"/>
          <w:highlight w:val="none"/>
        </w:rPr>
        <w:t>的约定</w:t>
      </w:r>
      <w:r>
        <w:rPr>
          <w:rFonts w:hint="eastAsia" w:ascii="宋体" w:hAnsi="宋体" w:eastAsia="宋体" w:cs="宋体"/>
          <w:color w:val="000000"/>
          <w:szCs w:val="20"/>
          <w:highlight w:val="none"/>
          <w:lang w:val="en-US" w:eastAsia="zh-CN"/>
        </w:rPr>
        <w:t>及时向乙方支付合同款项、</w:t>
      </w:r>
      <w:r>
        <w:rPr>
          <w:rFonts w:hint="eastAsia" w:ascii="宋体" w:hAnsi="宋体" w:eastAsia="宋体" w:cs="宋体"/>
          <w:color w:val="000000"/>
          <w:szCs w:val="20"/>
          <w:highlight w:val="none"/>
        </w:rPr>
        <w:t>退还</w:t>
      </w:r>
      <w:r>
        <w:rPr>
          <w:rFonts w:hint="eastAsia" w:ascii="宋体" w:hAnsi="宋体" w:eastAsia="宋体" w:cs="宋体"/>
          <w:color w:val="000000"/>
          <w:szCs w:val="20"/>
          <w:highlight w:val="none"/>
          <w:lang w:val="en-US" w:eastAsia="zh-CN"/>
        </w:rPr>
        <w:t>履约</w:t>
      </w:r>
      <w:r>
        <w:rPr>
          <w:rFonts w:hint="eastAsia" w:ascii="宋体" w:hAnsi="宋体" w:eastAsia="宋体" w:cs="宋体"/>
          <w:color w:val="000000"/>
          <w:szCs w:val="20"/>
          <w:highlight w:val="none"/>
        </w:rPr>
        <w:t>保证金</w:t>
      </w:r>
      <w:r>
        <w:rPr>
          <w:rFonts w:hint="eastAsia" w:ascii="宋体" w:hAnsi="宋体" w:eastAsia="宋体" w:cs="宋体"/>
          <w:color w:val="000000"/>
          <w:szCs w:val="20"/>
          <w:highlight w:val="none"/>
          <w:lang w:eastAsia="zh-CN"/>
        </w:rPr>
        <w:t>。</w:t>
      </w:r>
      <w:r>
        <w:rPr>
          <w:rFonts w:hint="eastAsia" w:ascii="宋体" w:hAnsi="宋体" w:eastAsia="宋体" w:cs="宋体"/>
          <w:color w:val="000000"/>
          <w:szCs w:val="20"/>
          <w:highlight w:val="none"/>
        </w:rPr>
        <w:t>验收不</w:t>
      </w:r>
      <w:r>
        <w:rPr>
          <w:rFonts w:hint="eastAsia" w:ascii="宋体" w:hAnsi="宋体" w:eastAsia="宋体" w:cs="宋体"/>
          <w:color w:val="000000"/>
          <w:szCs w:val="20"/>
          <w:highlight w:val="none"/>
          <w:lang w:val="en-US" w:eastAsia="zh-CN"/>
        </w:rPr>
        <w:t>合格的项目</w:t>
      </w:r>
      <w:r>
        <w:rPr>
          <w:rFonts w:hint="eastAsia" w:ascii="宋体" w:hAnsi="宋体" w:eastAsia="宋体" w:cs="宋体"/>
          <w:color w:val="000000"/>
          <w:szCs w:val="20"/>
          <w:highlight w:val="none"/>
        </w:rPr>
        <w:t>，</w:t>
      </w:r>
      <w:r>
        <w:rPr>
          <w:rFonts w:hint="eastAsia" w:ascii="宋体" w:hAnsi="宋体" w:eastAsia="宋体" w:cs="宋体"/>
          <w:color w:val="000000"/>
          <w:szCs w:val="20"/>
          <w:highlight w:val="none"/>
          <w:lang w:val="en-US" w:eastAsia="zh-CN"/>
        </w:rPr>
        <w:t>甲方依法及时处理。采购</w:t>
      </w:r>
      <w:r>
        <w:rPr>
          <w:rFonts w:hint="eastAsia" w:ascii="宋体" w:hAnsi="宋体" w:eastAsia="宋体" w:cs="宋体"/>
          <w:color w:val="000000"/>
          <w:szCs w:val="20"/>
          <w:highlight w:val="none"/>
        </w:rPr>
        <w:t>合同的</w:t>
      </w:r>
      <w:r>
        <w:rPr>
          <w:rFonts w:hint="eastAsia" w:ascii="宋体" w:hAnsi="宋体" w:eastAsia="宋体" w:cs="宋体"/>
          <w:color w:val="000000"/>
          <w:szCs w:val="20"/>
          <w:highlight w:val="none"/>
          <w:lang w:val="en-US" w:eastAsia="zh-CN"/>
        </w:rPr>
        <w:t>履行、违约责任和</w:t>
      </w:r>
      <w:r>
        <w:rPr>
          <w:rFonts w:hint="eastAsia" w:ascii="宋体" w:hAnsi="宋体" w:eastAsia="宋体" w:cs="宋体"/>
          <w:color w:val="000000"/>
          <w:szCs w:val="20"/>
          <w:highlight w:val="none"/>
        </w:rPr>
        <w:t>解决</w:t>
      </w:r>
      <w:r>
        <w:rPr>
          <w:rFonts w:hint="eastAsia" w:ascii="宋体" w:hAnsi="宋体" w:eastAsia="宋体" w:cs="宋体"/>
          <w:color w:val="000000"/>
          <w:szCs w:val="20"/>
          <w:highlight w:val="none"/>
          <w:lang w:val="en-US" w:eastAsia="zh-CN"/>
        </w:rPr>
        <w:t>争议</w:t>
      </w:r>
      <w:r>
        <w:rPr>
          <w:rFonts w:hint="eastAsia" w:ascii="宋体" w:hAnsi="宋体" w:eastAsia="宋体" w:cs="宋体"/>
          <w:color w:val="000000"/>
          <w:szCs w:val="20"/>
          <w:highlight w:val="none"/>
        </w:rPr>
        <w:t>的</w:t>
      </w:r>
      <w:r>
        <w:rPr>
          <w:rFonts w:hint="eastAsia" w:ascii="宋体" w:hAnsi="宋体" w:eastAsia="宋体" w:cs="宋体"/>
          <w:color w:val="000000"/>
          <w:szCs w:val="20"/>
          <w:highlight w:val="none"/>
          <w:lang w:val="en-US" w:eastAsia="zh-CN"/>
        </w:rPr>
        <w:t>方式等适用《中华人民共和国民法典》。乙方在履约过程中</w:t>
      </w:r>
      <w:r>
        <w:rPr>
          <w:rFonts w:hint="eastAsia" w:ascii="宋体" w:hAnsi="宋体" w:eastAsia="宋体" w:cs="宋体"/>
          <w:color w:val="000000"/>
          <w:szCs w:val="20"/>
          <w:highlight w:val="none"/>
        </w:rPr>
        <w:t>有政府采购法律法规规定的</w:t>
      </w:r>
      <w:r>
        <w:rPr>
          <w:rFonts w:hint="eastAsia" w:ascii="宋体" w:hAnsi="宋体" w:eastAsia="宋体" w:cs="宋体"/>
          <w:color w:val="000000"/>
          <w:szCs w:val="20"/>
          <w:highlight w:val="none"/>
          <w:lang w:val="en-US" w:eastAsia="zh-CN"/>
        </w:rPr>
        <w:t>违法违规情形的，甲方将及时报告本级财政部门。</w:t>
      </w:r>
    </w:p>
    <w:p w14:paraId="48E15566">
      <w:pPr>
        <w:pStyle w:val="294"/>
        <w:keepNext w:val="0"/>
        <w:keepLines w:val="0"/>
        <w:pageBreakBefore w:val="0"/>
        <w:widowControl w:val="0"/>
        <w:spacing w:before="0" w:beforeAutospacing="0" w:after="0" w:afterAutospacing="0" w:line="360" w:lineRule="auto"/>
        <w:ind w:firstLine="480"/>
        <w:rPr>
          <w:rFonts w:hint="eastAsia" w:ascii="宋体" w:hAnsi="宋体" w:eastAsia="宋体" w:cs="宋体"/>
          <w:b/>
          <w:bCs/>
          <w:color w:val="000000"/>
          <w:szCs w:val="20"/>
          <w:highlight w:val="none"/>
        </w:rPr>
      </w:pPr>
      <w:r>
        <w:rPr>
          <w:rFonts w:hint="eastAsia" w:ascii="宋体" w:hAnsi="宋体" w:eastAsia="宋体" w:cs="宋体"/>
          <w:b/>
          <w:bCs/>
          <w:color w:val="000000"/>
          <w:szCs w:val="20"/>
          <w:highlight w:val="none"/>
        </w:rPr>
        <w:t>十、试供期</w:t>
      </w:r>
    </w:p>
    <w:p w14:paraId="71D7A03A">
      <w:pPr>
        <w:pStyle w:val="294"/>
        <w:keepNext w:val="0"/>
        <w:keepLines w:val="0"/>
        <w:pageBreakBefore w:val="0"/>
        <w:widowControl w:val="0"/>
        <w:spacing w:before="0" w:beforeAutospacing="0" w:after="0" w:afterAutospacing="0" w:line="360" w:lineRule="auto"/>
        <w:ind w:firstLine="480"/>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1、试供期为15天，即试供期从202</w:t>
      </w:r>
      <w:r>
        <w:rPr>
          <w:rFonts w:hint="eastAsia" w:ascii="宋体" w:hAnsi="宋体" w:eastAsia="宋体" w:cs="宋体"/>
          <w:color w:val="000000"/>
          <w:szCs w:val="20"/>
          <w:highlight w:val="none"/>
          <w:lang w:val="en-US" w:eastAsia="zh-CN"/>
        </w:rPr>
        <w:t>5</w:t>
      </w:r>
      <w:r>
        <w:rPr>
          <w:rFonts w:hint="eastAsia" w:ascii="宋体" w:hAnsi="宋体" w:eastAsia="宋体" w:cs="宋体"/>
          <w:color w:val="000000"/>
          <w:szCs w:val="20"/>
          <w:highlight w:val="none"/>
        </w:rPr>
        <w:t>年    月    日至202</w:t>
      </w:r>
      <w:r>
        <w:rPr>
          <w:rFonts w:hint="eastAsia" w:ascii="宋体" w:hAnsi="宋体" w:eastAsia="宋体" w:cs="宋体"/>
          <w:color w:val="000000"/>
          <w:szCs w:val="20"/>
          <w:highlight w:val="none"/>
          <w:lang w:val="en-US" w:eastAsia="zh-CN"/>
        </w:rPr>
        <w:t>6</w:t>
      </w:r>
      <w:r>
        <w:rPr>
          <w:rFonts w:hint="eastAsia" w:ascii="宋体" w:hAnsi="宋体" w:eastAsia="宋体" w:cs="宋体"/>
          <w:color w:val="000000"/>
          <w:szCs w:val="20"/>
          <w:highlight w:val="none"/>
        </w:rPr>
        <w:t>年   月    日，试供期内甲方主要考察乙方货物质量、服务、信誉等方面。</w:t>
      </w:r>
    </w:p>
    <w:p w14:paraId="3156C746">
      <w:pPr>
        <w:pStyle w:val="294"/>
        <w:keepNext w:val="0"/>
        <w:keepLines w:val="0"/>
        <w:pageBreakBefore w:val="0"/>
        <w:widowControl w:val="0"/>
        <w:spacing w:before="0" w:beforeAutospacing="0" w:after="0" w:afterAutospacing="0" w:line="360" w:lineRule="auto"/>
        <w:ind w:firstLine="480"/>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2、试供期满且经甲方综合考察认为合格的，合同继续执行；若试供期间出现质量、服务等难以磨合的问题的，甲乙双方均可终止合同，甲方有权选择本项目第二中标候选人进行替补</w:t>
      </w:r>
      <w:r>
        <w:rPr>
          <w:rFonts w:hint="eastAsia" w:cs="宋体"/>
          <w:color w:val="000000"/>
          <w:szCs w:val="20"/>
          <w:highlight w:val="none"/>
          <w:lang w:val="en-US" w:eastAsia="zh-CN"/>
        </w:rPr>
        <w:t>或重新招标</w:t>
      </w:r>
      <w:r>
        <w:rPr>
          <w:rFonts w:hint="eastAsia" w:ascii="宋体" w:hAnsi="宋体" w:eastAsia="宋体" w:cs="宋体"/>
          <w:color w:val="000000"/>
          <w:szCs w:val="20"/>
          <w:highlight w:val="none"/>
        </w:rPr>
        <w:t>。</w:t>
      </w:r>
    </w:p>
    <w:p w14:paraId="08DEF284">
      <w:pPr>
        <w:pStyle w:val="294"/>
        <w:keepNext w:val="0"/>
        <w:keepLines w:val="0"/>
        <w:pageBreakBefore w:val="0"/>
        <w:widowControl w:val="0"/>
        <w:spacing w:before="0" w:beforeAutospacing="0" w:after="0" w:afterAutospacing="0" w:line="360" w:lineRule="auto"/>
        <w:ind w:firstLine="480"/>
        <w:rPr>
          <w:rFonts w:hint="eastAsia" w:ascii="宋体" w:hAnsi="宋体" w:eastAsia="宋体" w:cs="宋体"/>
          <w:b/>
          <w:bCs/>
          <w:color w:val="000000"/>
          <w:szCs w:val="20"/>
          <w:highlight w:val="none"/>
        </w:rPr>
      </w:pPr>
      <w:r>
        <w:rPr>
          <w:rFonts w:hint="eastAsia" w:ascii="宋体" w:hAnsi="宋体" w:eastAsia="宋体" w:cs="宋体"/>
          <w:b/>
          <w:bCs/>
          <w:color w:val="000000"/>
          <w:szCs w:val="20"/>
          <w:highlight w:val="none"/>
        </w:rPr>
        <w:t>十</w:t>
      </w:r>
      <w:r>
        <w:rPr>
          <w:rFonts w:hint="eastAsia" w:ascii="宋体" w:hAnsi="宋体" w:eastAsia="宋体" w:cs="宋体"/>
          <w:b/>
          <w:bCs/>
          <w:color w:val="000000"/>
          <w:szCs w:val="20"/>
          <w:highlight w:val="none"/>
          <w:lang w:val="en-US" w:eastAsia="zh-CN"/>
        </w:rPr>
        <w:t>一</w:t>
      </w:r>
      <w:r>
        <w:rPr>
          <w:rFonts w:hint="eastAsia" w:ascii="宋体" w:hAnsi="宋体" w:eastAsia="宋体" w:cs="宋体"/>
          <w:b/>
          <w:bCs/>
          <w:color w:val="000000"/>
          <w:szCs w:val="20"/>
          <w:highlight w:val="none"/>
        </w:rPr>
        <w:t>、合同期</w:t>
      </w:r>
    </w:p>
    <w:p w14:paraId="797C5B6E">
      <w:pPr>
        <w:pStyle w:val="294"/>
        <w:keepNext w:val="0"/>
        <w:keepLines w:val="0"/>
        <w:pageBreakBefore w:val="0"/>
        <w:widowControl w:val="0"/>
        <w:spacing w:before="0" w:beforeAutospacing="0" w:after="0" w:afterAutospacing="0" w:line="360" w:lineRule="auto"/>
        <w:ind w:firstLine="480"/>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1、试供期满且经甲方综合考察认为合格的，合同继续执行，本项目招标的服务期限为2025年</w:t>
      </w:r>
      <w:r>
        <w:rPr>
          <w:rFonts w:hint="eastAsia" w:ascii="宋体" w:hAnsi="宋体" w:eastAsia="宋体" w:cs="宋体"/>
          <w:color w:val="000000"/>
          <w:szCs w:val="20"/>
          <w:highlight w:val="none"/>
          <w:lang w:val="en-US" w:eastAsia="zh-CN"/>
        </w:rPr>
        <w:t xml:space="preserve">   </w:t>
      </w:r>
      <w:r>
        <w:rPr>
          <w:rFonts w:hint="eastAsia" w:ascii="宋体" w:hAnsi="宋体" w:eastAsia="宋体" w:cs="宋体"/>
          <w:color w:val="000000"/>
          <w:szCs w:val="20"/>
          <w:highlight w:val="none"/>
        </w:rPr>
        <w:t>月</w:t>
      </w:r>
      <w:r>
        <w:rPr>
          <w:rFonts w:hint="eastAsia" w:ascii="宋体" w:hAnsi="宋体" w:eastAsia="宋体" w:cs="宋体"/>
          <w:color w:val="000000"/>
          <w:szCs w:val="20"/>
          <w:highlight w:val="none"/>
          <w:lang w:val="en-US" w:eastAsia="zh-CN"/>
        </w:rPr>
        <w:t xml:space="preserve">   </w:t>
      </w:r>
      <w:r>
        <w:rPr>
          <w:rFonts w:hint="eastAsia" w:ascii="宋体" w:hAnsi="宋体" w:eastAsia="宋体" w:cs="宋体"/>
          <w:color w:val="000000"/>
          <w:szCs w:val="20"/>
          <w:highlight w:val="none"/>
        </w:rPr>
        <w:t>日至202</w:t>
      </w:r>
      <w:r>
        <w:rPr>
          <w:rFonts w:hint="eastAsia" w:ascii="宋体" w:hAnsi="宋体" w:eastAsia="宋体" w:cs="宋体"/>
          <w:color w:val="000000"/>
          <w:szCs w:val="20"/>
          <w:highlight w:val="none"/>
          <w:lang w:val="en-US" w:eastAsia="zh-CN"/>
        </w:rPr>
        <w:t>6</w:t>
      </w:r>
      <w:r>
        <w:rPr>
          <w:rFonts w:hint="eastAsia" w:ascii="宋体" w:hAnsi="宋体" w:eastAsia="宋体" w:cs="宋体"/>
          <w:color w:val="000000"/>
          <w:szCs w:val="20"/>
          <w:highlight w:val="none"/>
        </w:rPr>
        <w:t>年</w:t>
      </w:r>
      <w:r>
        <w:rPr>
          <w:rFonts w:hint="eastAsia" w:ascii="宋体" w:hAnsi="宋体" w:eastAsia="宋体" w:cs="宋体"/>
          <w:color w:val="000000"/>
          <w:szCs w:val="20"/>
          <w:highlight w:val="none"/>
          <w:lang w:val="en-US" w:eastAsia="zh-CN"/>
        </w:rPr>
        <w:t xml:space="preserve">    </w:t>
      </w:r>
      <w:r>
        <w:rPr>
          <w:rFonts w:hint="eastAsia" w:ascii="宋体" w:hAnsi="宋体" w:eastAsia="宋体" w:cs="宋体"/>
          <w:color w:val="000000"/>
          <w:szCs w:val="20"/>
          <w:highlight w:val="none"/>
        </w:rPr>
        <w:t>月</w:t>
      </w:r>
      <w:r>
        <w:rPr>
          <w:rFonts w:hint="eastAsia" w:ascii="宋体" w:hAnsi="宋体" w:eastAsia="宋体" w:cs="宋体"/>
          <w:color w:val="000000"/>
          <w:szCs w:val="20"/>
          <w:highlight w:val="none"/>
          <w:lang w:val="en-US" w:eastAsia="zh-CN"/>
        </w:rPr>
        <w:t xml:space="preserve">    </w:t>
      </w:r>
      <w:r>
        <w:rPr>
          <w:rFonts w:hint="eastAsia" w:ascii="宋体" w:hAnsi="宋体" w:eastAsia="宋体" w:cs="宋体"/>
          <w:color w:val="000000"/>
          <w:szCs w:val="20"/>
          <w:highlight w:val="none"/>
        </w:rPr>
        <w:t xml:space="preserve">日（具体以合同约定日期为准，从试供之日起开始计算）。 </w:t>
      </w:r>
    </w:p>
    <w:p w14:paraId="047034B2">
      <w:pPr>
        <w:pStyle w:val="294"/>
        <w:keepNext w:val="0"/>
        <w:keepLines w:val="0"/>
        <w:pageBreakBefore w:val="0"/>
        <w:widowControl w:val="0"/>
        <w:spacing w:before="0" w:beforeAutospacing="0" w:after="0" w:afterAutospacing="0" w:line="360" w:lineRule="auto"/>
        <w:ind w:firstLine="480"/>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2、合同期间，若乙方价格明显高出市场同类品质产品批发价的10％，甲方有权立即单方终止合同，不承担因此造成的乙方的任何损失。</w:t>
      </w:r>
    </w:p>
    <w:p w14:paraId="0ADC645A">
      <w:pPr>
        <w:pStyle w:val="294"/>
        <w:keepNext w:val="0"/>
        <w:keepLines w:val="0"/>
        <w:pageBreakBefore w:val="0"/>
        <w:widowControl w:val="0"/>
        <w:spacing w:before="0" w:beforeAutospacing="0" w:after="0" w:afterAutospacing="0" w:line="360" w:lineRule="auto"/>
        <w:ind w:firstLine="480"/>
        <w:rPr>
          <w:rFonts w:hint="eastAsia" w:ascii="宋体" w:hAnsi="宋体" w:eastAsia="宋体" w:cs="宋体"/>
          <w:b/>
          <w:bCs/>
          <w:color w:val="000000"/>
          <w:szCs w:val="20"/>
          <w:highlight w:val="none"/>
        </w:rPr>
      </w:pPr>
      <w:r>
        <w:rPr>
          <w:rFonts w:hint="eastAsia" w:ascii="宋体" w:hAnsi="宋体" w:eastAsia="宋体" w:cs="宋体"/>
          <w:b/>
          <w:bCs/>
          <w:color w:val="000000"/>
          <w:szCs w:val="20"/>
          <w:highlight w:val="none"/>
        </w:rPr>
        <w:t>十</w:t>
      </w:r>
      <w:r>
        <w:rPr>
          <w:rFonts w:hint="eastAsia" w:ascii="宋体" w:hAnsi="宋体" w:eastAsia="宋体" w:cs="宋体"/>
          <w:b/>
          <w:bCs/>
          <w:color w:val="000000"/>
          <w:szCs w:val="20"/>
          <w:highlight w:val="none"/>
          <w:lang w:val="en-US" w:eastAsia="zh-CN"/>
        </w:rPr>
        <w:t>二</w:t>
      </w:r>
      <w:r>
        <w:rPr>
          <w:rFonts w:hint="eastAsia" w:ascii="宋体" w:hAnsi="宋体" w:eastAsia="宋体" w:cs="宋体"/>
          <w:b/>
          <w:bCs/>
          <w:color w:val="000000"/>
          <w:szCs w:val="20"/>
          <w:highlight w:val="none"/>
        </w:rPr>
        <w:t>、付款方式</w:t>
      </w:r>
    </w:p>
    <w:p w14:paraId="718785B4">
      <w:pPr>
        <w:pStyle w:val="294"/>
        <w:spacing w:before="0" w:beforeAutospacing="0" w:after="0" w:afterAutospacing="0" w:line="360" w:lineRule="auto"/>
        <w:ind w:firstLine="480"/>
        <w:rPr>
          <w:rFonts w:hint="eastAsia" w:ascii="宋体" w:hAnsi="宋体" w:eastAsia="宋体" w:cs="宋体"/>
          <w:b/>
          <w:bCs/>
          <w:color w:val="000000"/>
          <w:szCs w:val="20"/>
          <w:highlight w:val="none"/>
        </w:rPr>
      </w:pPr>
      <w:r>
        <w:rPr>
          <w:rFonts w:hint="eastAsia" w:ascii="宋体" w:hAnsi="宋体" w:eastAsia="宋体" w:cs="宋体"/>
          <w:b/>
          <w:bCs/>
          <w:color w:val="000000"/>
          <w:szCs w:val="20"/>
          <w:highlight w:val="none"/>
        </w:rPr>
        <w:t>每月凭经甲方签字的送货单据及定价单结算一次（节假日顺延），采用转账支付方式结算。乙方需提供与货款等额的正规发票。</w:t>
      </w:r>
    </w:p>
    <w:p w14:paraId="0ED31103">
      <w:pPr>
        <w:pStyle w:val="294"/>
        <w:spacing w:before="0" w:beforeAutospacing="0" w:after="0" w:afterAutospacing="0" w:line="360" w:lineRule="auto"/>
        <w:ind w:firstLine="480"/>
        <w:rPr>
          <w:rFonts w:hint="eastAsia" w:ascii="宋体" w:hAnsi="宋体" w:eastAsia="宋体" w:cs="宋体"/>
          <w:b/>
          <w:bCs/>
          <w:color w:val="000000"/>
          <w:szCs w:val="20"/>
          <w:highlight w:val="none"/>
        </w:rPr>
      </w:pPr>
      <w:r>
        <w:rPr>
          <w:rFonts w:hint="eastAsia" w:ascii="宋体" w:hAnsi="宋体" w:eastAsia="宋体" w:cs="宋体"/>
          <w:b/>
          <w:bCs/>
          <w:color w:val="000000"/>
          <w:szCs w:val="20"/>
          <w:highlight w:val="none"/>
        </w:rPr>
        <w:t>十</w:t>
      </w:r>
      <w:r>
        <w:rPr>
          <w:rFonts w:hint="eastAsia" w:ascii="宋体" w:hAnsi="宋体" w:eastAsia="宋体" w:cs="宋体"/>
          <w:b/>
          <w:bCs/>
          <w:color w:val="000000"/>
          <w:szCs w:val="20"/>
          <w:highlight w:val="none"/>
          <w:lang w:val="en-US" w:eastAsia="zh-CN"/>
        </w:rPr>
        <w:t>三</w:t>
      </w:r>
      <w:r>
        <w:rPr>
          <w:rFonts w:hint="eastAsia" w:ascii="宋体" w:hAnsi="宋体" w:eastAsia="宋体" w:cs="宋体"/>
          <w:b/>
          <w:bCs/>
          <w:color w:val="000000"/>
          <w:szCs w:val="20"/>
          <w:highlight w:val="none"/>
          <w:lang w:eastAsia="zh-CN"/>
        </w:rPr>
        <w:t>、</w:t>
      </w:r>
      <w:r>
        <w:rPr>
          <w:rFonts w:hint="eastAsia" w:ascii="宋体" w:hAnsi="宋体" w:eastAsia="宋体" w:cs="宋体"/>
          <w:b/>
          <w:bCs/>
          <w:color w:val="000000"/>
          <w:szCs w:val="20"/>
          <w:highlight w:val="none"/>
        </w:rPr>
        <w:t>违约责任</w:t>
      </w:r>
    </w:p>
    <w:p w14:paraId="609A33B5">
      <w:pPr>
        <w:pStyle w:val="294"/>
        <w:spacing w:before="0" w:beforeAutospacing="0" w:after="0" w:afterAutospacing="0" w:line="360" w:lineRule="auto"/>
        <w:ind w:firstLine="480"/>
        <w:rPr>
          <w:rFonts w:hint="eastAsia" w:ascii="宋体" w:hAnsi="宋体" w:eastAsia="宋体" w:cs="宋体"/>
          <w:color w:val="000000"/>
          <w:szCs w:val="20"/>
          <w:highlight w:val="none"/>
        </w:rPr>
      </w:pPr>
      <w:bookmarkStart w:id="9" w:name="_Toc245033603"/>
      <w:r>
        <w:rPr>
          <w:rFonts w:hint="eastAsia" w:ascii="宋体" w:hAnsi="宋体" w:eastAsia="宋体" w:cs="宋体"/>
          <w:color w:val="000000"/>
          <w:szCs w:val="20"/>
          <w:highlight w:val="none"/>
        </w:rPr>
        <w:t>1、乙方必须严格按照甲方规定的时间</w:t>
      </w:r>
      <w:r>
        <w:rPr>
          <w:rFonts w:hint="eastAsia" w:ascii="宋体" w:hAnsi="宋体" w:eastAsia="宋体" w:cs="宋体"/>
          <w:color w:val="000000"/>
          <w:szCs w:val="20"/>
          <w:highlight w:val="none"/>
          <w:lang w:val="en-US" w:eastAsia="zh-CN"/>
        </w:rPr>
        <w:t>将</w:t>
      </w:r>
      <w:r>
        <w:rPr>
          <w:rFonts w:hint="eastAsia" w:ascii="宋体" w:hAnsi="宋体" w:eastAsia="宋体" w:cs="宋体"/>
          <w:color w:val="000000"/>
          <w:szCs w:val="20"/>
          <w:highlight w:val="none"/>
        </w:rPr>
        <w:t>食材送达指定食堂。若到货时间因乙方原因延误，迟到30分钟以内的，甲方给予警告处分</w:t>
      </w:r>
      <w:r>
        <w:rPr>
          <w:rFonts w:hint="eastAsia" w:ascii="宋体" w:hAnsi="宋体" w:eastAsia="宋体" w:cs="宋体"/>
          <w:color w:val="000000"/>
          <w:szCs w:val="20"/>
          <w:highlight w:val="none"/>
          <w:lang w:eastAsia="zh-CN"/>
        </w:rPr>
        <w:t>；</w:t>
      </w:r>
      <w:r>
        <w:rPr>
          <w:rFonts w:hint="eastAsia" w:ascii="宋体" w:hAnsi="宋体" w:eastAsia="宋体" w:cs="宋体"/>
          <w:color w:val="000000"/>
          <w:szCs w:val="20"/>
          <w:highlight w:val="none"/>
        </w:rPr>
        <w:t>半个月内</w:t>
      </w:r>
      <w:r>
        <w:rPr>
          <w:rFonts w:hint="eastAsia" w:ascii="宋体" w:hAnsi="宋体" w:eastAsia="宋体" w:cs="宋体"/>
          <w:color w:val="000000"/>
          <w:szCs w:val="20"/>
          <w:highlight w:val="none"/>
          <w:lang w:val="en-US" w:eastAsia="zh-CN"/>
        </w:rPr>
        <w:t>受</w:t>
      </w:r>
      <w:r>
        <w:rPr>
          <w:rFonts w:hint="eastAsia" w:ascii="宋体" w:hAnsi="宋体" w:eastAsia="宋体" w:cs="宋体"/>
          <w:color w:val="000000"/>
          <w:szCs w:val="20"/>
          <w:highlight w:val="none"/>
        </w:rPr>
        <w:t>警告处分3次或以上的，甲方按当期货款的</w:t>
      </w:r>
      <w:r>
        <w:rPr>
          <w:rFonts w:hint="eastAsia" w:ascii="宋体" w:hAnsi="宋体" w:eastAsia="宋体" w:cs="宋体"/>
          <w:color w:val="000000"/>
          <w:szCs w:val="20"/>
          <w:highlight w:val="none"/>
          <w:lang w:val="en-US" w:eastAsia="zh-CN"/>
        </w:rPr>
        <w:t>1</w:t>
      </w:r>
      <w:r>
        <w:rPr>
          <w:rFonts w:hint="eastAsia" w:ascii="宋体" w:hAnsi="宋体" w:eastAsia="宋体" w:cs="宋体"/>
          <w:color w:val="000000"/>
          <w:szCs w:val="20"/>
          <w:highlight w:val="none"/>
        </w:rPr>
        <w:t>％向乙方扣罚；迟到30分钟以上1小时以</w:t>
      </w:r>
      <w:r>
        <w:rPr>
          <w:rFonts w:hint="eastAsia" w:ascii="宋体" w:hAnsi="宋体" w:eastAsia="宋体" w:cs="宋体"/>
          <w:color w:val="000000"/>
          <w:szCs w:val="20"/>
          <w:highlight w:val="none"/>
          <w:lang w:val="en-US" w:eastAsia="zh-CN"/>
        </w:rPr>
        <w:t>内</w:t>
      </w:r>
      <w:r>
        <w:rPr>
          <w:rFonts w:hint="eastAsia" w:ascii="宋体" w:hAnsi="宋体" w:eastAsia="宋体" w:cs="宋体"/>
          <w:color w:val="000000"/>
          <w:szCs w:val="20"/>
          <w:highlight w:val="none"/>
        </w:rPr>
        <w:t>的，甲方按当</w:t>
      </w:r>
      <w:r>
        <w:rPr>
          <w:rFonts w:hint="eastAsia" w:ascii="宋体" w:hAnsi="宋体" w:eastAsia="宋体" w:cs="宋体"/>
          <w:color w:val="000000"/>
          <w:szCs w:val="20"/>
          <w:highlight w:val="none"/>
          <w:lang w:val="en-US" w:eastAsia="zh-CN"/>
        </w:rPr>
        <w:t>批</w:t>
      </w:r>
      <w:r>
        <w:rPr>
          <w:rFonts w:hint="eastAsia" w:ascii="宋体" w:hAnsi="宋体" w:eastAsia="宋体" w:cs="宋体"/>
          <w:color w:val="000000"/>
          <w:szCs w:val="20"/>
          <w:highlight w:val="none"/>
        </w:rPr>
        <w:t>货款的5％向乙方扣罚；迟到超过1小时的，甲方有权拒收乙方货物，并按当天应采购食材的金额的30％向乙方扣罚。</w:t>
      </w:r>
    </w:p>
    <w:p w14:paraId="7680FFE8">
      <w:pPr>
        <w:pStyle w:val="294"/>
        <w:spacing w:before="0" w:beforeAutospacing="0" w:after="0" w:afterAutospacing="0" w:line="360" w:lineRule="auto"/>
        <w:ind w:firstLine="480"/>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2、乙方</w:t>
      </w:r>
      <w:r>
        <w:rPr>
          <w:rFonts w:hint="eastAsia" w:ascii="宋体" w:hAnsi="宋体" w:eastAsia="宋体" w:cs="宋体"/>
          <w:color w:val="000000"/>
          <w:szCs w:val="20"/>
          <w:highlight w:val="none"/>
          <w:lang w:val="en-US" w:eastAsia="zh-CN"/>
        </w:rPr>
        <w:t>配</w:t>
      </w:r>
      <w:r>
        <w:rPr>
          <w:rFonts w:hint="eastAsia" w:ascii="宋体" w:hAnsi="宋体" w:eastAsia="宋体" w:cs="宋体"/>
          <w:color w:val="000000"/>
          <w:szCs w:val="20"/>
          <w:highlight w:val="none"/>
        </w:rPr>
        <w:t>送个别货物品质不符合本合同验收标准的，甲方有权拒收，乙方应保证在甲方指定的时间内增补送到，退货后乙方不在规定时间内送达增补货物的，甲方按该品种当天货款的30％向乙方扣罚；当批不合格货物累计金额</w:t>
      </w:r>
      <w:r>
        <w:rPr>
          <w:rFonts w:hint="eastAsia" w:eastAsia="宋体" w:cs="宋体"/>
          <w:color w:val="000000"/>
          <w:szCs w:val="20"/>
          <w:highlight w:val="none"/>
          <w:lang w:eastAsia="zh-CN"/>
        </w:rPr>
        <w:t>达到</w:t>
      </w:r>
      <w:r>
        <w:rPr>
          <w:rFonts w:hint="eastAsia" w:ascii="宋体" w:hAnsi="宋体" w:eastAsia="宋体" w:cs="宋体"/>
          <w:color w:val="000000"/>
          <w:szCs w:val="20"/>
          <w:highlight w:val="none"/>
        </w:rPr>
        <w:t>当批总金额的20％以上的，甲方除退货外，还按当批货款的20％向乙方扣罚，此情况在</w:t>
      </w:r>
      <w:r>
        <w:rPr>
          <w:rFonts w:hint="eastAsia" w:ascii="宋体" w:hAnsi="宋体" w:eastAsia="宋体" w:cs="宋体"/>
          <w:color w:val="000000"/>
          <w:szCs w:val="20"/>
          <w:highlight w:val="none"/>
          <w:lang w:val="en-US" w:eastAsia="zh-CN"/>
        </w:rPr>
        <w:t>一</w:t>
      </w:r>
      <w:r>
        <w:rPr>
          <w:rFonts w:hint="eastAsia" w:ascii="宋体" w:hAnsi="宋体" w:eastAsia="宋体" w:cs="宋体"/>
          <w:color w:val="000000"/>
          <w:szCs w:val="20"/>
          <w:highlight w:val="none"/>
        </w:rPr>
        <w:t>个月（一个结算周期内）出现3次</w:t>
      </w:r>
      <w:r>
        <w:rPr>
          <w:rFonts w:hint="eastAsia" w:ascii="宋体" w:hAnsi="宋体" w:eastAsia="宋体" w:cs="宋体"/>
          <w:color w:val="000000"/>
          <w:szCs w:val="20"/>
          <w:highlight w:val="none"/>
          <w:lang w:val="en-US" w:eastAsia="zh-CN"/>
        </w:rPr>
        <w:t>及</w:t>
      </w:r>
      <w:r>
        <w:rPr>
          <w:rFonts w:hint="eastAsia" w:ascii="宋体" w:hAnsi="宋体" w:eastAsia="宋体" w:cs="宋体"/>
          <w:color w:val="000000"/>
          <w:szCs w:val="20"/>
          <w:highlight w:val="none"/>
        </w:rPr>
        <w:t>以上的，乙方构成违约，甲方有权取消其供货资格（因恶劣天气等客观原因导致整体质量下降的情况除外）。</w:t>
      </w:r>
    </w:p>
    <w:p w14:paraId="714A9958">
      <w:pPr>
        <w:widowControl/>
        <w:tabs>
          <w:tab w:val="left" w:pos="0"/>
          <w:tab w:val="left" w:pos="1260"/>
        </w:tabs>
        <w:spacing w:line="360" w:lineRule="auto"/>
        <w:ind w:firstLine="480"/>
        <w:jc w:val="left"/>
        <w:rPr>
          <w:rFonts w:hint="eastAsia" w:ascii="宋体" w:hAnsi="宋体" w:eastAsia="宋体" w:cs="宋体"/>
          <w:color w:val="000000"/>
          <w:sz w:val="24"/>
          <w:highlight w:val="none"/>
        </w:rPr>
      </w:pPr>
      <w:r>
        <w:rPr>
          <w:rFonts w:hint="eastAsia" w:ascii="宋体" w:hAnsi="宋体" w:eastAsia="宋体" w:cs="宋体"/>
          <w:color w:val="000000"/>
          <w:szCs w:val="20"/>
          <w:highlight w:val="none"/>
          <w:lang w:val="en-US" w:eastAsia="zh-CN"/>
        </w:rPr>
        <w:t>3、</w:t>
      </w:r>
      <w:r>
        <w:rPr>
          <w:rFonts w:hint="eastAsia" w:ascii="宋体" w:hAnsi="宋体" w:eastAsia="宋体" w:cs="宋体"/>
          <w:color w:val="000000"/>
          <w:sz w:val="24"/>
          <w:highlight w:val="none"/>
        </w:rPr>
        <w:t>乙方在收到甲方订单后，不得随意变更订单内的</w:t>
      </w:r>
      <w:r>
        <w:rPr>
          <w:rFonts w:hint="eastAsia" w:ascii="宋体" w:hAnsi="宋体" w:eastAsia="宋体" w:cs="宋体"/>
          <w:color w:val="000000"/>
          <w:sz w:val="24"/>
          <w:highlight w:val="none"/>
          <w:lang w:val="en-US" w:eastAsia="zh-CN"/>
        </w:rPr>
        <w:t>名称、</w:t>
      </w:r>
      <w:r>
        <w:rPr>
          <w:rFonts w:hint="eastAsia" w:ascii="宋体" w:hAnsi="宋体" w:eastAsia="宋体" w:cs="宋体"/>
          <w:color w:val="000000"/>
          <w:sz w:val="24"/>
          <w:highlight w:val="none"/>
        </w:rPr>
        <w:t>品种、规格、数量，如因货源不足或个别品种缺货而无法提供等因素，乙方不能满足甲方需求，需调换食材品种时，必须于接到订单后三个小时内及时知会甲方，经甲方同意后，按协商后的</w:t>
      </w:r>
      <w:r>
        <w:rPr>
          <w:rFonts w:hint="eastAsia" w:ascii="宋体" w:hAnsi="宋体" w:eastAsia="宋体" w:cs="宋体"/>
          <w:color w:val="000000"/>
          <w:sz w:val="24"/>
          <w:highlight w:val="none"/>
          <w:lang w:val="en-US" w:eastAsia="zh-CN"/>
        </w:rPr>
        <w:t>名称、</w:t>
      </w:r>
      <w:r>
        <w:rPr>
          <w:rFonts w:hint="eastAsia" w:ascii="宋体" w:hAnsi="宋体" w:eastAsia="宋体" w:cs="宋体"/>
          <w:color w:val="000000"/>
          <w:sz w:val="24"/>
          <w:highlight w:val="none"/>
        </w:rPr>
        <w:t>品种、规格、数量将食品于次日</w:t>
      </w:r>
      <w:r>
        <w:rPr>
          <w:rFonts w:hint="eastAsia" w:ascii="宋体" w:hAnsi="宋体" w:eastAsia="宋体" w:cs="宋体"/>
          <w:color w:val="000000"/>
          <w:sz w:val="24"/>
          <w:highlight w:val="none"/>
          <w:lang w:val="en-US" w:eastAsia="zh-CN"/>
        </w:rPr>
        <w:t>5</w:t>
      </w:r>
      <w:r>
        <w:rPr>
          <w:rFonts w:hint="eastAsia" w:ascii="宋体" w:hAnsi="宋体" w:eastAsia="宋体" w:cs="宋体"/>
          <w:color w:val="000000"/>
          <w:sz w:val="24"/>
          <w:highlight w:val="none"/>
        </w:rPr>
        <w:t>:30前配送至甲方指定的地点，相关费用由乙方承担。如乙方未及时通知到甲方，导致无法及时供货的，乙方须承担当日所有供货食材总金额的两倍罚款，上述情况出现三次及以上的，甲方有权立即终止合同，且乙方须向甲方支付合同总金额的5%</w:t>
      </w:r>
      <w:r>
        <w:rPr>
          <w:rFonts w:hint="eastAsia" w:ascii="宋体" w:hAnsi="宋体" w:eastAsia="宋体" w:cs="宋体"/>
          <w:color w:val="000000"/>
          <w:sz w:val="24"/>
          <w:highlight w:val="none"/>
          <w:lang w:val="en-US" w:eastAsia="zh-CN"/>
        </w:rPr>
        <w:t>作为</w:t>
      </w:r>
      <w:r>
        <w:rPr>
          <w:rFonts w:hint="eastAsia" w:ascii="宋体" w:hAnsi="宋体" w:eastAsia="宋体" w:cs="宋体"/>
          <w:color w:val="000000"/>
          <w:sz w:val="24"/>
          <w:highlight w:val="none"/>
        </w:rPr>
        <w:t>赔偿金。</w:t>
      </w:r>
    </w:p>
    <w:p w14:paraId="73A9C5CC">
      <w:pPr>
        <w:pStyle w:val="294"/>
        <w:spacing w:before="0" w:beforeAutospacing="0" w:after="0" w:afterAutospacing="0" w:line="360" w:lineRule="auto"/>
        <w:ind w:firstLine="240"/>
        <w:rPr>
          <w:rFonts w:hint="eastAsia" w:ascii="宋体" w:hAnsi="宋体" w:eastAsia="宋体" w:cs="宋体"/>
          <w:bCs/>
          <w:color w:val="000000"/>
          <w:sz w:val="24"/>
          <w:highlight w:val="none"/>
        </w:rPr>
      </w:pPr>
      <w:r>
        <w:rPr>
          <w:rFonts w:hint="eastAsia" w:ascii="宋体" w:hAnsi="宋体" w:eastAsia="宋体" w:cs="宋体"/>
          <w:color w:val="000000"/>
          <w:szCs w:val="20"/>
          <w:highlight w:val="none"/>
          <w:lang w:val="en-US" w:eastAsia="zh-CN"/>
        </w:rPr>
        <w:t>4</w:t>
      </w:r>
      <w:r>
        <w:rPr>
          <w:rFonts w:hint="eastAsia" w:ascii="宋体" w:hAnsi="宋体" w:eastAsia="宋体" w:cs="宋体"/>
          <w:color w:val="000000"/>
          <w:szCs w:val="20"/>
          <w:highlight w:val="none"/>
        </w:rPr>
        <w:t>、</w:t>
      </w:r>
      <w:r>
        <w:rPr>
          <w:rFonts w:hint="eastAsia" w:ascii="宋体" w:hAnsi="宋体" w:eastAsia="宋体" w:cs="宋体"/>
          <w:bCs/>
          <w:color w:val="000000"/>
          <w:sz w:val="24"/>
          <w:highlight w:val="none"/>
        </w:rPr>
        <w:t>供货食品的定价方法：根据乙方投标文件，优先按无锡市发展和改革委员会官网专题专栏中民生价费上周第一天公示价格的平均价格*折扣率*实际数量进行结算，如遇网站上没有该食品，则按无锡市天惠商城官网的价格*折扣率*实际数量进行结算。若上述网站均没有采购方需要采购的食品，以无锡市3家同类市场价中的最低价格*折扣率*实际数量结算。</w:t>
      </w:r>
    </w:p>
    <w:p w14:paraId="55D45934">
      <w:pPr>
        <w:pStyle w:val="294"/>
        <w:spacing w:before="0" w:beforeAutospacing="0" w:after="0" w:afterAutospacing="0" w:line="360" w:lineRule="auto"/>
        <w:ind w:firstLine="240"/>
        <w:rPr>
          <w:rFonts w:hint="eastAsia" w:ascii="宋体" w:hAnsi="宋体" w:eastAsia="宋体" w:cs="宋体"/>
          <w:color w:val="000000"/>
          <w:szCs w:val="20"/>
          <w:highlight w:val="none"/>
        </w:rPr>
      </w:pPr>
      <w:r>
        <w:rPr>
          <w:rFonts w:hint="eastAsia" w:ascii="宋体" w:hAnsi="宋体" w:eastAsia="宋体" w:cs="宋体"/>
          <w:color w:val="000000"/>
          <w:szCs w:val="20"/>
          <w:highlight w:val="none"/>
          <w:lang w:val="en-US" w:eastAsia="zh-CN"/>
        </w:rPr>
        <w:t>5</w:t>
      </w:r>
      <w:r>
        <w:rPr>
          <w:rFonts w:hint="eastAsia" w:ascii="宋体" w:hAnsi="宋体" w:eastAsia="宋体" w:cs="宋体"/>
          <w:color w:val="000000"/>
          <w:szCs w:val="20"/>
          <w:highlight w:val="none"/>
        </w:rPr>
        <w:t>、由于乙方所供货物的质量问题导致食堂就餐人员发生食物中毒事件时（以防疫部门鉴定为准），除偿付甲方损失外，并追究法律责任，同时，立即终止合同。</w:t>
      </w:r>
    </w:p>
    <w:p w14:paraId="2411A717">
      <w:pPr>
        <w:pStyle w:val="294"/>
        <w:spacing w:before="0" w:beforeAutospacing="0" w:after="0" w:afterAutospacing="0" w:line="360" w:lineRule="auto"/>
        <w:ind w:firstLine="240"/>
        <w:rPr>
          <w:rFonts w:hint="eastAsia" w:ascii="宋体" w:hAnsi="宋体" w:eastAsia="宋体" w:cs="宋体"/>
          <w:color w:val="000000"/>
          <w:szCs w:val="20"/>
          <w:highlight w:val="none"/>
          <w:lang w:val="en-US" w:eastAsia="zh-CN"/>
        </w:rPr>
      </w:pPr>
      <w:r>
        <w:rPr>
          <w:rFonts w:hint="eastAsia" w:ascii="宋体" w:hAnsi="宋体" w:eastAsia="宋体" w:cs="宋体"/>
          <w:color w:val="000000"/>
          <w:szCs w:val="20"/>
          <w:highlight w:val="none"/>
          <w:lang w:val="en-US" w:eastAsia="zh-CN"/>
        </w:rPr>
        <w:t>6、如遇特殊、紧急情况，甲方当天下单，乙方在接到当天的采购需求计划后，于1小时之内将所需物资配送到位。双方现场对食材数量、品质进行验收登记。除特殊原因（须提前告知甲方并经甲方认可）。</w:t>
      </w:r>
    </w:p>
    <w:bookmarkEnd w:id="9"/>
    <w:p w14:paraId="41655FEF">
      <w:pPr>
        <w:pStyle w:val="294"/>
        <w:spacing w:before="0" w:beforeAutospacing="0" w:after="0" w:afterAutospacing="0" w:line="360" w:lineRule="auto"/>
        <w:ind w:firstLine="480"/>
        <w:rPr>
          <w:rFonts w:hint="eastAsia" w:ascii="宋体" w:hAnsi="宋体" w:eastAsia="宋体" w:cs="宋体"/>
          <w:b/>
          <w:bCs/>
          <w:color w:val="000000"/>
          <w:szCs w:val="20"/>
          <w:highlight w:val="none"/>
        </w:rPr>
      </w:pPr>
      <w:r>
        <w:rPr>
          <w:rFonts w:hint="eastAsia" w:ascii="宋体" w:hAnsi="宋体" w:eastAsia="宋体" w:cs="宋体"/>
          <w:b/>
          <w:bCs/>
          <w:color w:val="000000"/>
          <w:szCs w:val="20"/>
          <w:highlight w:val="none"/>
        </w:rPr>
        <w:t>十</w:t>
      </w:r>
      <w:r>
        <w:rPr>
          <w:rFonts w:hint="eastAsia" w:ascii="宋体" w:hAnsi="宋体" w:eastAsia="宋体" w:cs="宋体"/>
          <w:b/>
          <w:bCs/>
          <w:color w:val="000000"/>
          <w:szCs w:val="20"/>
          <w:highlight w:val="none"/>
          <w:lang w:val="en-US" w:eastAsia="zh-CN"/>
        </w:rPr>
        <w:t>四</w:t>
      </w:r>
      <w:r>
        <w:rPr>
          <w:rFonts w:hint="eastAsia" w:ascii="宋体" w:hAnsi="宋体" w:eastAsia="宋体" w:cs="宋体"/>
          <w:b/>
          <w:bCs/>
          <w:color w:val="000000"/>
          <w:szCs w:val="20"/>
          <w:highlight w:val="none"/>
        </w:rPr>
        <w:t>、争端的解决</w:t>
      </w:r>
    </w:p>
    <w:p w14:paraId="3CD8C8E1">
      <w:pPr>
        <w:pStyle w:val="294"/>
        <w:spacing w:before="0" w:beforeAutospacing="0" w:after="0" w:afterAutospacing="0" w:line="360" w:lineRule="auto"/>
        <w:ind w:firstLine="480"/>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1、本协议履行的过程中发生的任何争议，若双方不能通过友好协商的方式加以解决，向本协议签订所在地的有关仲裁机构申请仲裁，或向人民法院提起诉讼。</w:t>
      </w:r>
    </w:p>
    <w:p w14:paraId="5B06D97D">
      <w:pPr>
        <w:pStyle w:val="294"/>
        <w:spacing w:before="0" w:beforeAutospacing="0" w:after="0" w:afterAutospacing="0" w:line="360" w:lineRule="auto"/>
        <w:ind w:firstLine="480"/>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2、在法院审理期间，除提交法院审理的事项外，本协议</w:t>
      </w:r>
      <w:r>
        <w:rPr>
          <w:rFonts w:hint="eastAsia" w:ascii="宋体" w:hAnsi="宋体" w:eastAsia="宋体" w:cs="宋体"/>
          <w:color w:val="000000"/>
          <w:szCs w:val="20"/>
          <w:highlight w:val="none"/>
          <w:lang w:eastAsia="zh-CN"/>
        </w:rPr>
        <w:t>其他</w:t>
      </w:r>
      <w:r>
        <w:rPr>
          <w:rFonts w:hint="eastAsia" w:ascii="宋体" w:hAnsi="宋体" w:eastAsia="宋体" w:cs="宋体"/>
          <w:color w:val="000000"/>
          <w:szCs w:val="20"/>
          <w:highlight w:val="none"/>
        </w:rPr>
        <w:t>事项和条款仍继续执行。</w:t>
      </w:r>
    </w:p>
    <w:p w14:paraId="0B42A1B1">
      <w:pPr>
        <w:pStyle w:val="294"/>
        <w:spacing w:before="0" w:beforeAutospacing="0" w:after="0" w:afterAutospacing="0" w:line="360" w:lineRule="auto"/>
        <w:ind w:firstLine="480"/>
        <w:rPr>
          <w:rFonts w:hint="eastAsia" w:ascii="宋体" w:hAnsi="宋体" w:eastAsia="宋体" w:cs="宋体"/>
          <w:b/>
          <w:bCs/>
          <w:color w:val="000000"/>
          <w:szCs w:val="20"/>
          <w:highlight w:val="none"/>
        </w:rPr>
      </w:pPr>
      <w:r>
        <w:rPr>
          <w:rFonts w:hint="eastAsia" w:ascii="宋体" w:hAnsi="宋体" w:eastAsia="宋体" w:cs="宋体"/>
          <w:b/>
          <w:bCs/>
          <w:color w:val="000000"/>
          <w:szCs w:val="20"/>
          <w:highlight w:val="none"/>
        </w:rPr>
        <w:t>十</w:t>
      </w:r>
      <w:r>
        <w:rPr>
          <w:rFonts w:hint="eastAsia" w:ascii="宋体" w:hAnsi="宋体" w:eastAsia="宋体" w:cs="宋体"/>
          <w:b/>
          <w:bCs/>
          <w:color w:val="000000"/>
          <w:szCs w:val="20"/>
          <w:highlight w:val="none"/>
          <w:lang w:val="en-US" w:eastAsia="zh-CN"/>
        </w:rPr>
        <w:t>五</w:t>
      </w:r>
      <w:r>
        <w:rPr>
          <w:rFonts w:hint="eastAsia" w:ascii="宋体" w:hAnsi="宋体" w:eastAsia="宋体" w:cs="宋体"/>
          <w:b/>
          <w:bCs/>
          <w:color w:val="000000"/>
          <w:szCs w:val="20"/>
          <w:highlight w:val="none"/>
        </w:rPr>
        <w:t>、不可抗力事件处理</w:t>
      </w:r>
    </w:p>
    <w:p w14:paraId="34BBD2C5">
      <w:pPr>
        <w:pStyle w:val="294"/>
        <w:spacing w:before="0" w:beforeAutospacing="0" w:after="0" w:afterAutospacing="0" w:line="360" w:lineRule="auto"/>
        <w:ind w:firstLine="480"/>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任何一方由于不可抗力原因无法履行协议时，应在不可抗力事件发生后立即</w:t>
      </w:r>
      <w:r>
        <w:rPr>
          <w:rFonts w:hint="eastAsia" w:ascii="宋体" w:hAnsi="宋体" w:eastAsia="宋体" w:cs="宋体"/>
          <w:color w:val="000000"/>
          <w:szCs w:val="20"/>
          <w:highlight w:val="none"/>
          <w:lang w:val="en-US" w:eastAsia="zh-CN"/>
        </w:rPr>
        <w:t>通知</w:t>
      </w:r>
      <w:r>
        <w:rPr>
          <w:rFonts w:hint="eastAsia" w:ascii="宋体" w:hAnsi="宋体" w:eastAsia="宋体" w:cs="宋体"/>
          <w:color w:val="000000"/>
          <w:szCs w:val="20"/>
          <w:highlight w:val="none"/>
        </w:rPr>
        <w:t>对方，以减轻可能给对方造成的损失。在取得有关机构的不可抗力证明或者双方谅解确认后，允许延期履行或修订协议，并视情况免于承担部分或全部责任。</w:t>
      </w:r>
    </w:p>
    <w:p w14:paraId="2CE02D2B">
      <w:pPr>
        <w:pStyle w:val="254"/>
        <w:keepNext w:val="0"/>
        <w:keepLines w:val="0"/>
        <w:pageBreakBefore w:val="0"/>
        <w:widowControl/>
        <w:spacing w:before="0" w:beforeAutospacing="0" w:after="0" w:afterAutospacing="0" w:line="360" w:lineRule="auto"/>
        <w:ind w:firstLine="480"/>
        <w:jc w:val="both"/>
        <w:rPr>
          <w:rFonts w:hint="eastAsia" w:ascii="宋体" w:hAnsi="宋体" w:eastAsia="宋体" w:cs="宋体"/>
          <w:b/>
          <w:bCs/>
          <w:color w:val="000000"/>
          <w:highlight w:val="none"/>
        </w:rPr>
      </w:pPr>
      <w:r>
        <w:rPr>
          <w:rFonts w:hint="eastAsia" w:ascii="宋体" w:hAnsi="宋体" w:eastAsia="宋体" w:cs="宋体"/>
          <w:b/>
          <w:bCs/>
          <w:color w:val="000000"/>
          <w:highlight w:val="none"/>
          <w:lang w:val="en-US" w:eastAsia="zh-CN"/>
        </w:rPr>
        <w:t>十六、</w:t>
      </w:r>
      <w:r>
        <w:rPr>
          <w:rFonts w:hint="eastAsia" w:ascii="宋体" w:hAnsi="宋体" w:eastAsia="宋体" w:cs="宋体"/>
          <w:b/>
          <w:bCs/>
          <w:color w:val="000000"/>
          <w:highlight w:val="none"/>
        </w:rPr>
        <w:t>合同生效及其</w:t>
      </w:r>
      <w:r>
        <w:rPr>
          <w:rFonts w:hint="eastAsia" w:cs="宋体"/>
          <w:b/>
          <w:bCs/>
          <w:color w:val="000000"/>
          <w:highlight w:val="none"/>
          <w:lang w:eastAsia="zh-CN"/>
        </w:rPr>
        <w:t>他</w:t>
      </w:r>
    </w:p>
    <w:p w14:paraId="7C23C868">
      <w:pPr>
        <w:pStyle w:val="254"/>
        <w:keepNext w:val="0"/>
        <w:keepLines w:val="0"/>
        <w:pageBreakBefore w:val="0"/>
        <w:widowControl/>
        <w:spacing w:before="0" w:beforeAutospacing="0" w:after="0" w:afterAutospacing="0" w:line="360" w:lineRule="auto"/>
        <w:ind w:firstLine="480"/>
        <w:jc w:val="both"/>
        <w:rPr>
          <w:rFonts w:hint="eastAsia" w:ascii="宋体" w:hAnsi="宋体" w:eastAsia="宋体" w:cs="宋体"/>
          <w:color w:val="000000"/>
          <w:highlight w:val="none"/>
        </w:rPr>
      </w:pPr>
      <w:r>
        <w:rPr>
          <w:rFonts w:hint="eastAsia" w:ascii="宋体" w:hAnsi="宋体" w:eastAsia="宋体" w:cs="宋体"/>
          <w:color w:val="000000"/>
          <w:highlight w:val="none"/>
        </w:rPr>
        <w:t>1</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合同经供需双方代表签字并盖章，且见证后即生效。</w:t>
      </w:r>
    </w:p>
    <w:p w14:paraId="3CF66DA2">
      <w:pPr>
        <w:pStyle w:val="254"/>
        <w:keepNext w:val="0"/>
        <w:keepLines w:val="0"/>
        <w:pageBreakBefore w:val="0"/>
        <w:widowControl/>
        <w:spacing w:before="0" w:beforeAutospacing="0" w:after="0" w:afterAutospacing="0" w:line="360" w:lineRule="auto"/>
        <w:ind w:firstLine="480"/>
        <w:jc w:val="both"/>
        <w:rPr>
          <w:rFonts w:hint="eastAsia" w:ascii="宋体" w:hAnsi="宋体" w:eastAsia="宋体" w:cs="宋体"/>
          <w:color w:val="000000"/>
          <w:highlight w:val="none"/>
        </w:rPr>
      </w:pPr>
      <w:r>
        <w:rPr>
          <w:rFonts w:hint="eastAsia" w:ascii="宋体" w:hAnsi="宋体" w:eastAsia="宋体" w:cs="宋体"/>
          <w:color w:val="000000"/>
          <w:highlight w:val="none"/>
        </w:rPr>
        <w:t>2</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合同在执行过程中出现的未尽事宜，双方在不违背本合同和招标文件的原则下协商解决，协商结果以书面形式签订补充协议，且补充协议与本合同具有同等效力。</w:t>
      </w:r>
    </w:p>
    <w:p w14:paraId="698EBF3F">
      <w:pPr>
        <w:pStyle w:val="254"/>
        <w:keepNext w:val="0"/>
        <w:keepLines w:val="0"/>
        <w:pageBreakBefore w:val="0"/>
        <w:widowControl/>
        <w:spacing w:before="0" w:beforeAutospacing="0" w:after="0" w:afterAutospacing="0" w:line="360" w:lineRule="auto"/>
        <w:ind w:firstLine="480"/>
        <w:jc w:val="both"/>
        <w:rPr>
          <w:rFonts w:hint="eastAsia" w:ascii="宋体" w:hAnsi="宋体" w:eastAsia="宋体" w:cs="宋体"/>
          <w:bCs/>
          <w:color w:val="000000"/>
          <w:sz w:val="24"/>
          <w:highlight w:val="none"/>
        </w:rPr>
      </w:pPr>
      <w:r>
        <w:rPr>
          <w:rFonts w:hint="eastAsia" w:ascii="宋体" w:hAnsi="宋体" w:eastAsia="宋体" w:cs="宋体"/>
          <w:color w:val="000000"/>
          <w:highlight w:val="none"/>
          <w:lang w:val="en-US" w:eastAsia="zh-CN"/>
        </w:rPr>
        <w:t>3</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供需双方确认：对本合同条款及后果均已知悉，一致确认不存在欺诈、胁迫、乘人之危、重大误解、显失公平等任何可能导致合同无效或被撤销的情形。</w:t>
      </w:r>
      <w:r>
        <w:rPr>
          <w:rFonts w:hint="eastAsia" w:ascii="宋体" w:hAnsi="宋体" w:eastAsia="宋体" w:cs="宋体"/>
          <w:bCs/>
          <w:color w:val="000000"/>
          <w:sz w:val="24"/>
          <w:highlight w:val="none"/>
        </w:rPr>
        <w:t xml:space="preserve"> </w:t>
      </w:r>
    </w:p>
    <w:p w14:paraId="4603A272">
      <w:pPr>
        <w:pStyle w:val="45"/>
        <w:rPr>
          <w:rFonts w:ascii="黑体" w:eastAsia="黑体"/>
          <w:bCs/>
          <w:color w:val="000000"/>
          <w:sz w:val="28"/>
          <w:szCs w:val="28"/>
          <w:highlight w:val="none"/>
        </w:rPr>
      </w:pPr>
    </w:p>
    <w:p w14:paraId="6A6033D2">
      <w:pPr>
        <w:jc w:val="center"/>
        <w:outlineLvl w:val="0"/>
        <w:rPr>
          <w:rFonts w:hint="eastAsia" w:ascii="黑体" w:eastAsia="黑体"/>
          <w:bCs/>
          <w:color w:val="000000"/>
          <w:sz w:val="28"/>
          <w:szCs w:val="28"/>
          <w:highlight w:val="none"/>
        </w:rPr>
      </w:pPr>
    </w:p>
    <w:p w14:paraId="44BCD413">
      <w:pPr>
        <w:jc w:val="center"/>
        <w:outlineLvl w:val="0"/>
        <w:rPr>
          <w:rFonts w:hint="eastAsia" w:ascii="黑体" w:eastAsia="黑体"/>
          <w:bCs/>
          <w:color w:val="000000"/>
          <w:sz w:val="28"/>
          <w:szCs w:val="28"/>
          <w:highlight w:val="none"/>
        </w:rPr>
      </w:pPr>
    </w:p>
    <w:p w14:paraId="4BE6EF61">
      <w:pPr>
        <w:jc w:val="center"/>
        <w:outlineLvl w:val="0"/>
        <w:rPr>
          <w:rFonts w:hint="eastAsia" w:ascii="黑体" w:eastAsia="黑体"/>
          <w:bCs/>
          <w:color w:val="000000"/>
          <w:sz w:val="28"/>
          <w:szCs w:val="28"/>
          <w:highlight w:val="none"/>
        </w:rPr>
      </w:pPr>
    </w:p>
    <w:p w14:paraId="62EFED90">
      <w:pPr>
        <w:spacing w:line="360" w:lineRule="exact"/>
        <w:jc w:val="left"/>
        <w:rPr>
          <w:rFonts w:hint="eastAsia" w:ascii="等线" w:hAnsi="等线" w:eastAsia="等线"/>
          <w:b/>
          <w:sz w:val="28"/>
          <w:szCs w:val="28"/>
          <w:highlight w:val="none"/>
        </w:rPr>
      </w:pPr>
    </w:p>
    <w:p w14:paraId="2EAA76E3">
      <w:pPr>
        <w:spacing w:line="360" w:lineRule="exact"/>
        <w:jc w:val="left"/>
        <w:rPr>
          <w:rFonts w:hint="eastAsia" w:ascii="等线" w:hAnsi="等线" w:eastAsia="等线"/>
          <w:b/>
          <w:sz w:val="28"/>
          <w:szCs w:val="28"/>
          <w:highlight w:val="none"/>
        </w:rPr>
      </w:pPr>
    </w:p>
    <w:p w14:paraId="28E079AD">
      <w:pPr>
        <w:spacing w:line="360" w:lineRule="exact"/>
        <w:jc w:val="left"/>
        <w:rPr>
          <w:rFonts w:hint="eastAsia" w:ascii="等线" w:hAnsi="等线" w:eastAsia="等线"/>
          <w:b/>
          <w:sz w:val="28"/>
          <w:szCs w:val="28"/>
          <w:highlight w:val="none"/>
        </w:rPr>
      </w:pPr>
    </w:p>
    <w:p w14:paraId="04D6AFC2">
      <w:pPr>
        <w:spacing w:line="360" w:lineRule="exact"/>
        <w:jc w:val="left"/>
        <w:rPr>
          <w:rFonts w:hint="eastAsia" w:ascii="等线" w:hAnsi="等线" w:eastAsia="等线"/>
          <w:b/>
          <w:sz w:val="28"/>
          <w:szCs w:val="28"/>
          <w:highlight w:val="none"/>
        </w:rPr>
      </w:pPr>
    </w:p>
    <w:p w14:paraId="38E04F85">
      <w:pPr>
        <w:spacing w:line="360" w:lineRule="exact"/>
        <w:jc w:val="left"/>
        <w:rPr>
          <w:rFonts w:hint="eastAsia" w:ascii="等线" w:hAnsi="等线" w:eastAsia="等线"/>
          <w:b/>
          <w:sz w:val="28"/>
          <w:szCs w:val="28"/>
          <w:highlight w:val="none"/>
        </w:rPr>
      </w:pPr>
    </w:p>
    <w:p w14:paraId="1C060C0D">
      <w:pPr>
        <w:spacing w:line="360" w:lineRule="exact"/>
        <w:jc w:val="left"/>
        <w:rPr>
          <w:rFonts w:hint="eastAsia" w:ascii="等线" w:hAnsi="等线" w:eastAsia="等线"/>
          <w:b/>
          <w:sz w:val="28"/>
          <w:szCs w:val="28"/>
          <w:highlight w:val="none"/>
        </w:rPr>
      </w:pPr>
    </w:p>
    <w:p w14:paraId="0A9C0053">
      <w:pPr>
        <w:spacing w:line="360" w:lineRule="exact"/>
        <w:jc w:val="left"/>
        <w:rPr>
          <w:rFonts w:hint="eastAsia" w:ascii="等线" w:hAnsi="等线" w:eastAsia="等线"/>
          <w:b/>
          <w:sz w:val="28"/>
          <w:szCs w:val="28"/>
          <w:highlight w:val="none"/>
        </w:rPr>
      </w:pPr>
    </w:p>
    <w:p w14:paraId="7F149C27">
      <w:pPr>
        <w:spacing w:line="360" w:lineRule="exact"/>
        <w:jc w:val="left"/>
        <w:rPr>
          <w:rFonts w:hint="eastAsia" w:ascii="等线" w:hAnsi="等线" w:eastAsia="等线"/>
          <w:b/>
          <w:sz w:val="28"/>
          <w:szCs w:val="28"/>
          <w:highlight w:val="none"/>
        </w:rPr>
      </w:pPr>
    </w:p>
    <w:p w14:paraId="4D704E9C">
      <w:pPr>
        <w:spacing w:line="360" w:lineRule="exact"/>
        <w:jc w:val="left"/>
        <w:rPr>
          <w:rFonts w:hint="eastAsia" w:ascii="等线" w:hAnsi="等线" w:eastAsia="等线"/>
          <w:b/>
          <w:sz w:val="28"/>
          <w:szCs w:val="28"/>
          <w:highlight w:val="none"/>
        </w:rPr>
      </w:pPr>
    </w:p>
    <w:p w14:paraId="140B3916">
      <w:pPr>
        <w:spacing w:line="360" w:lineRule="exact"/>
        <w:jc w:val="left"/>
        <w:rPr>
          <w:rFonts w:hint="eastAsia" w:ascii="等线" w:hAnsi="等线" w:eastAsia="等线"/>
          <w:b/>
          <w:sz w:val="28"/>
          <w:szCs w:val="28"/>
          <w:highlight w:val="none"/>
        </w:rPr>
      </w:pPr>
    </w:p>
    <w:p w14:paraId="4F1BBDB7">
      <w:pPr>
        <w:spacing w:line="360" w:lineRule="exact"/>
        <w:jc w:val="left"/>
        <w:rPr>
          <w:rFonts w:hint="eastAsia" w:ascii="等线" w:hAnsi="等线" w:eastAsia="等线"/>
          <w:b/>
          <w:sz w:val="28"/>
          <w:szCs w:val="28"/>
          <w:highlight w:val="none"/>
        </w:rPr>
      </w:pPr>
    </w:p>
    <w:p w14:paraId="798F5401">
      <w:pPr>
        <w:spacing w:line="360" w:lineRule="exact"/>
        <w:jc w:val="left"/>
        <w:rPr>
          <w:rFonts w:hint="eastAsia" w:ascii="等线" w:hAnsi="等线" w:eastAsia="等线"/>
          <w:b/>
          <w:sz w:val="28"/>
          <w:szCs w:val="28"/>
          <w:highlight w:val="none"/>
        </w:rPr>
      </w:pPr>
    </w:p>
    <w:p w14:paraId="27E2334A">
      <w:pPr>
        <w:spacing w:line="360" w:lineRule="exact"/>
        <w:jc w:val="left"/>
        <w:rPr>
          <w:rFonts w:hint="eastAsia" w:ascii="等线" w:hAnsi="等线" w:eastAsia="等线"/>
          <w:b/>
          <w:sz w:val="28"/>
          <w:szCs w:val="28"/>
          <w:highlight w:val="none"/>
        </w:rPr>
      </w:pPr>
    </w:p>
    <w:p w14:paraId="4C7CFCC1">
      <w:pPr>
        <w:spacing w:line="360" w:lineRule="exact"/>
        <w:jc w:val="left"/>
        <w:rPr>
          <w:rFonts w:hint="eastAsia" w:ascii="等线" w:hAnsi="等线" w:eastAsia="等线"/>
          <w:b/>
          <w:sz w:val="28"/>
          <w:szCs w:val="28"/>
          <w:highlight w:val="none"/>
        </w:rPr>
      </w:pPr>
    </w:p>
    <w:p w14:paraId="78040009">
      <w:pPr>
        <w:spacing w:line="360" w:lineRule="exact"/>
        <w:jc w:val="left"/>
        <w:rPr>
          <w:rFonts w:hint="eastAsia" w:ascii="等线" w:hAnsi="等线" w:eastAsia="等线"/>
          <w:b/>
          <w:sz w:val="28"/>
          <w:szCs w:val="28"/>
          <w:highlight w:val="none"/>
        </w:rPr>
      </w:pPr>
    </w:p>
    <w:p w14:paraId="36407479">
      <w:pPr>
        <w:spacing w:line="360" w:lineRule="exact"/>
        <w:jc w:val="left"/>
        <w:rPr>
          <w:rFonts w:hint="eastAsia" w:ascii="等线" w:hAnsi="等线" w:eastAsia="等线"/>
          <w:b/>
          <w:sz w:val="28"/>
          <w:szCs w:val="28"/>
          <w:highlight w:val="none"/>
        </w:rPr>
      </w:pPr>
    </w:p>
    <w:p w14:paraId="2D123C9C">
      <w:pPr>
        <w:spacing w:line="360" w:lineRule="exact"/>
        <w:jc w:val="left"/>
        <w:rPr>
          <w:rFonts w:hint="eastAsia" w:ascii="等线" w:hAnsi="等线" w:eastAsia="等线"/>
          <w:b/>
          <w:sz w:val="28"/>
          <w:szCs w:val="28"/>
          <w:highlight w:val="none"/>
        </w:rPr>
      </w:pPr>
    </w:p>
    <w:p w14:paraId="4F5D4DB7">
      <w:pPr>
        <w:spacing w:line="360" w:lineRule="exact"/>
        <w:jc w:val="left"/>
        <w:rPr>
          <w:rFonts w:hint="eastAsia" w:ascii="等线" w:hAnsi="等线" w:eastAsia="等线"/>
          <w:b/>
          <w:sz w:val="28"/>
          <w:szCs w:val="28"/>
          <w:highlight w:val="none"/>
        </w:rPr>
      </w:pPr>
    </w:p>
    <w:p w14:paraId="08A441EB">
      <w:pPr>
        <w:spacing w:line="360" w:lineRule="exact"/>
        <w:jc w:val="left"/>
        <w:rPr>
          <w:rFonts w:hint="eastAsia" w:ascii="等线" w:hAnsi="等线" w:eastAsia="等线"/>
          <w:b/>
          <w:sz w:val="28"/>
          <w:szCs w:val="28"/>
          <w:highlight w:val="none"/>
        </w:rPr>
      </w:pPr>
    </w:p>
    <w:p w14:paraId="2F2C1B4E">
      <w:pPr>
        <w:spacing w:line="360" w:lineRule="exact"/>
        <w:jc w:val="left"/>
        <w:rPr>
          <w:rFonts w:hint="eastAsia" w:ascii="等线" w:hAnsi="等线" w:eastAsia="等线"/>
          <w:b/>
          <w:sz w:val="28"/>
          <w:szCs w:val="28"/>
          <w:highlight w:val="none"/>
        </w:rPr>
      </w:pPr>
    </w:p>
    <w:p w14:paraId="7B826E61">
      <w:pPr>
        <w:spacing w:line="360" w:lineRule="exact"/>
        <w:jc w:val="left"/>
        <w:rPr>
          <w:rFonts w:hint="eastAsia" w:ascii="等线" w:hAnsi="等线" w:eastAsia="等线"/>
          <w:b/>
          <w:sz w:val="28"/>
          <w:szCs w:val="28"/>
          <w:highlight w:val="none"/>
        </w:rPr>
      </w:pPr>
    </w:p>
    <w:p w14:paraId="52777C86">
      <w:pPr>
        <w:spacing w:line="360" w:lineRule="exact"/>
        <w:jc w:val="left"/>
        <w:rPr>
          <w:rFonts w:hint="eastAsia" w:ascii="等线" w:hAnsi="等线" w:eastAsia="等线"/>
          <w:b/>
          <w:sz w:val="28"/>
          <w:szCs w:val="28"/>
          <w:highlight w:val="none"/>
        </w:rPr>
      </w:pPr>
    </w:p>
    <w:p w14:paraId="54AB75AC">
      <w:pPr>
        <w:spacing w:line="360" w:lineRule="exact"/>
        <w:jc w:val="left"/>
        <w:rPr>
          <w:rFonts w:hint="eastAsia" w:ascii="等线" w:hAnsi="等线" w:eastAsia="等线"/>
          <w:b/>
          <w:sz w:val="28"/>
          <w:szCs w:val="28"/>
          <w:highlight w:val="none"/>
        </w:rPr>
      </w:pPr>
    </w:p>
    <w:p w14:paraId="77E1CDCF">
      <w:pPr>
        <w:spacing w:line="360" w:lineRule="exact"/>
        <w:jc w:val="left"/>
        <w:rPr>
          <w:rFonts w:hint="eastAsia" w:ascii="等线" w:hAnsi="等线" w:eastAsia="等线"/>
          <w:b/>
          <w:sz w:val="28"/>
          <w:szCs w:val="28"/>
          <w:highlight w:val="none"/>
        </w:rPr>
      </w:pPr>
    </w:p>
    <w:p w14:paraId="2035AA4E">
      <w:pPr>
        <w:spacing w:line="360" w:lineRule="exact"/>
        <w:jc w:val="left"/>
        <w:rPr>
          <w:rFonts w:hint="eastAsia" w:ascii="等线" w:hAnsi="等线" w:eastAsia="等线"/>
          <w:b/>
          <w:sz w:val="28"/>
          <w:szCs w:val="28"/>
          <w:highlight w:val="none"/>
        </w:rPr>
      </w:pPr>
    </w:p>
    <w:p w14:paraId="4E9C56BA">
      <w:pPr>
        <w:spacing w:line="360" w:lineRule="exact"/>
        <w:jc w:val="left"/>
        <w:rPr>
          <w:rFonts w:hint="eastAsia" w:ascii="等线" w:hAnsi="等线" w:eastAsia="等线"/>
          <w:b/>
          <w:sz w:val="28"/>
          <w:szCs w:val="28"/>
          <w:highlight w:val="none"/>
        </w:rPr>
      </w:pPr>
    </w:p>
    <w:p w14:paraId="35B8508E">
      <w:pPr>
        <w:spacing w:line="360" w:lineRule="exact"/>
        <w:jc w:val="left"/>
        <w:rPr>
          <w:rFonts w:hint="eastAsia" w:ascii="等线" w:hAnsi="等线" w:eastAsia="等线"/>
          <w:b/>
          <w:sz w:val="28"/>
          <w:szCs w:val="28"/>
          <w:highlight w:val="none"/>
        </w:rPr>
      </w:pPr>
    </w:p>
    <w:p w14:paraId="24933656">
      <w:pPr>
        <w:spacing w:line="360" w:lineRule="exact"/>
        <w:jc w:val="left"/>
        <w:rPr>
          <w:rFonts w:hint="eastAsia" w:ascii="等线" w:hAnsi="等线" w:eastAsia="等线"/>
          <w:b/>
          <w:sz w:val="28"/>
          <w:szCs w:val="28"/>
          <w:highlight w:val="none"/>
        </w:rPr>
      </w:pPr>
    </w:p>
    <w:p w14:paraId="5D930752">
      <w:pPr>
        <w:spacing w:line="360" w:lineRule="exact"/>
        <w:jc w:val="left"/>
        <w:rPr>
          <w:rFonts w:hint="eastAsia" w:ascii="等线" w:hAnsi="等线" w:eastAsia="等线"/>
          <w:b/>
          <w:sz w:val="28"/>
          <w:szCs w:val="28"/>
          <w:highlight w:val="none"/>
        </w:rPr>
      </w:pPr>
    </w:p>
    <w:p w14:paraId="1FA8AABD">
      <w:pPr>
        <w:spacing w:line="360" w:lineRule="exact"/>
        <w:jc w:val="left"/>
        <w:rPr>
          <w:rFonts w:hint="eastAsia" w:ascii="等线" w:hAnsi="等线" w:eastAsia="等线"/>
          <w:b/>
          <w:sz w:val="28"/>
          <w:szCs w:val="28"/>
          <w:highlight w:val="none"/>
        </w:rPr>
      </w:pPr>
    </w:p>
    <w:p w14:paraId="08B136A1">
      <w:pPr>
        <w:spacing w:line="360" w:lineRule="exact"/>
        <w:jc w:val="left"/>
        <w:rPr>
          <w:rFonts w:hint="eastAsia" w:ascii="等线" w:hAnsi="等线" w:eastAsia="等线"/>
          <w:b/>
          <w:sz w:val="28"/>
          <w:szCs w:val="28"/>
          <w:highlight w:val="none"/>
        </w:rPr>
      </w:pPr>
    </w:p>
    <w:p w14:paraId="147C76FC">
      <w:pPr>
        <w:spacing w:line="360" w:lineRule="exact"/>
        <w:jc w:val="left"/>
        <w:rPr>
          <w:rFonts w:hint="eastAsia" w:ascii="等线" w:hAnsi="等线" w:eastAsia="等线"/>
          <w:b/>
          <w:sz w:val="28"/>
          <w:szCs w:val="28"/>
          <w:highlight w:val="none"/>
        </w:rPr>
      </w:pPr>
    </w:p>
    <w:p w14:paraId="32B98383">
      <w:pPr>
        <w:spacing w:line="360" w:lineRule="exact"/>
        <w:jc w:val="left"/>
        <w:rPr>
          <w:rFonts w:hint="eastAsia" w:ascii="等线" w:hAnsi="等线" w:eastAsia="等线"/>
          <w:b/>
          <w:sz w:val="28"/>
          <w:szCs w:val="28"/>
          <w:highlight w:val="none"/>
        </w:rPr>
      </w:pPr>
    </w:p>
    <w:p w14:paraId="26C953FD">
      <w:pPr>
        <w:spacing w:line="360" w:lineRule="exact"/>
        <w:jc w:val="left"/>
        <w:rPr>
          <w:rFonts w:ascii="等线" w:hAnsi="等线" w:eastAsia="等线"/>
          <w:b/>
          <w:sz w:val="28"/>
          <w:szCs w:val="28"/>
          <w:highlight w:val="none"/>
        </w:rPr>
      </w:pPr>
      <w:r>
        <w:rPr>
          <w:rFonts w:hint="eastAsia" w:ascii="等线" w:hAnsi="等线" w:eastAsia="等线"/>
          <w:b/>
          <w:sz w:val="28"/>
          <w:szCs w:val="28"/>
          <w:highlight w:val="none"/>
        </w:rPr>
        <w:t>合同附件：</w:t>
      </w:r>
    </w:p>
    <w:p w14:paraId="22F4C236">
      <w:pPr>
        <w:tabs>
          <w:tab w:val="left" w:pos="525"/>
          <w:tab w:val="left" w:pos="945"/>
          <w:tab w:val="left" w:pos="1155"/>
        </w:tabs>
        <w:jc w:val="center"/>
        <w:rPr>
          <w:rFonts w:ascii="宋体" w:hAnsi="宋体" w:eastAsia="等线" w:cs="仿宋"/>
          <w:b/>
          <w:bCs/>
          <w:sz w:val="40"/>
          <w:szCs w:val="40"/>
          <w:highlight w:val="none"/>
        </w:rPr>
      </w:pPr>
      <w:r>
        <w:rPr>
          <w:rFonts w:hint="eastAsia" w:ascii="宋体" w:hAnsi="宋体" w:eastAsia="等线" w:cs="仿宋"/>
          <w:b/>
          <w:bCs/>
          <w:sz w:val="40"/>
          <w:szCs w:val="40"/>
          <w:highlight w:val="none"/>
        </w:rPr>
        <w:t>食堂供应商考核意见表</w:t>
      </w:r>
    </w:p>
    <w:p w14:paraId="4BE9D31C">
      <w:pPr>
        <w:spacing w:line="240" w:lineRule="auto"/>
        <w:rPr>
          <w:rFonts w:ascii="等线" w:hAnsi="等线" w:eastAsia="等线"/>
          <w:szCs w:val="22"/>
          <w:highlight w:val="none"/>
          <w:lang w:bidi="en-US"/>
        </w:rPr>
      </w:pPr>
    </w:p>
    <w:tbl>
      <w:tblPr>
        <w:tblStyle w:val="38"/>
        <w:tblW w:w="94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1134"/>
        <w:gridCol w:w="284"/>
        <w:gridCol w:w="1701"/>
        <w:gridCol w:w="1510"/>
        <w:gridCol w:w="899"/>
        <w:gridCol w:w="67"/>
        <w:gridCol w:w="910"/>
        <w:gridCol w:w="2144"/>
      </w:tblGrid>
      <w:tr w14:paraId="215A8B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1951" w:type="dxa"/>
            <w:gridSpan w:val="2"/>
            <w:noWrap w:val="0"/>
            <w:vAlign w:val="center"/>
          </w:tcPr>
          <w:p w14:paraId="58267E17">
            <w:pPr>
              <w:spacing w:line="240" w:lineRule="auto"/>
              <w:jc w:val="center"/>
              <w:rPr>
                <w:rFonts w:ascii="宋体" w:hAnsi="宋体" w:eastAsia="等线" w:cs="仿宋"/>
                <w:b/>
                <w:bCs/>
                <w:sz w:val="24"/>
                <w:szCs w:val="22"/>
                <w:highlight w:val="none"/>
              </w:rPr>
            </w:pPr>
            <w:r>
              <w:rPr>
                <w:rFonts w:hint="eastAsia" w:ascii="宋体" w:hAnsi="宋体" w:eastAsia="等线" w:cs="仿宋"/>
                <w:b/>
                <w:bCs/>
                <w:sz w:val="24"/>
                <w:szCs w:val="22"/>
                <w:highlight w:val="none"/>
              </w:rPr>
              <w:t>被考核单位：</w:t>
            </w:r>
          </w:p>
        </w:tc>
        <w:tc>
          <w:tcPr>
            <w:tcW w:w="3495" w:type="dxa"/>
            <w:gridSpan w:val="3"/>
            <w:noWrap w:val="0"/>
            <w:vAlign w:val="center"/>
          </w:tcPr>
          <w:p w14:paraId="2A1218D0">
            <w:pPr>
              <w:spacing w:line="240" w:lineRule="auto"/>
              <w:jc w:val="center"/>
              <w:rPr>
                <w:rFonts w:ascii="宋体" w:hAnsi="宋体" w:eastAsia="等线" w:cs="仿宋"/>
                <w:b/>
                <w:bCs/>
                <w:sz w:val="24"/>
                <w:szCs w:val="22"/>
                <w:highlight w:val="none"/>
              </w:rPr>
            </w:pPr>
          </w:p>
        </w:tc>
        <w:tc>
          <w:tcPr>
            <w:tcW w:w="1876" w:type="dxa"/>
            <w:gridSpan w:val="3"/>
            <w:noWrap w:val="0"/>
            <w:vAlign w:val="center"/>
          </w:tcPr>
          <w:p w14:paraId="641C3714">
            <w:pPr>
              <w:spacing w:line="240" w:lineRule="auto"/>
              <w:jc w:val="center"/>
              <w:rPr>
                <w:rFonts w:ascii="宋体" w:hAnsi="宋体" w:eastAsia="等线" w:cs="仿宋"/>
                <w:b/>
                <w:bCs/>
                <w:sz w:val="24"/>
                <w:szCs w:val="22"/>
                <w:highlight w:val="none"/>
              </w:rPr>
            </w:pPr>
            <w:r>
              <w:rPr>
                <w:rFonts w:hint="eastAsia" w:ascii="宋体" w:hAnsi="宋体" w:eastAsia="等线" w:cs="仿宋"/>
                <w:b/>
                <w:bCs/>
                <w:sz w:val="24"/>
                <w:szCs w:val="22"/>
                <w:highlight w:val="none"/>
              </w:rPr>
              <w:t>考核日期：</w:t>
            </w:r>
          </w:p>
        </w:tc>
        <w:tc>
          <w:tcPr>
            <w:tcW w:w="2144" w:type="dxa"/>
            <w:noWrap w:val="0"/>
            <w:vAlign w:val="center"/>
          </w:tcPr>
          <w:p w14:paraId="1EB33C0D">
            <w:pPr>
              <w:spacing w:line="240" w:lineRule="auto"/>
              <w:jc w:val="center"/>
              <w:rPr>
                <w:rFonts w:ascii="宋体" w:hAnsi="宋体" w:eastAsia="等线" w:cs="仿宋"/>
                <w:b/>
                <w:bCs/>
                <w:sz w:val="24"/>
                <w:szCs w:val="22"/>
                <w:highlight w:val="none"/>
              </w:rPr>
            </w:pPr>
          </w:p>
        </w:tc>
      </w:tr>
      <w:tr w14:paraId="32A69B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jc w:val="center"/>
        </w:trPr>
        <w:tc>
          <w:tcPr>
            <w:tcW w:w="817" w:type="dxa"/>
            <w:noWrap w:val="0"/>
            <w:vAlign w:val="center"/>
          </w:tcPr>
          <w:p w14:paraId="6A018997">
            <w:pPr>
              <w:spacing w:line="240" w:lineRule="auto"/>
              <w:jc w:val="center"/>
              <w:rPr>
                <w:rFonts w:ascii="宋体" w:hAnsi="宋体" w:eastAsia="等线" w:cs="仿宋"/>
                <w:b/>
                <w:bCs/>
                <w:sz w:val="24"/>
                <w:szCs w:val="22"/>
                <w:highlight w:val="none"/>
              </w:rPr>
            </w:pPr>
            <w:r>
              <w:rPr>
                <w:rFonts w:hint="eastAsia" w:ascii="宋体" w:hAnsi="宋体" w:eastAsia="等线" w:cs="仿宋"/>
                <w:b/>
                <w:bCs/>
                <w:sz w:val="24"/>
                <w:szCs w:val="22"/>
                <w:highlight w:val="none"/>
              </w:rPr>
              <w:t>序号</w:t>
            </w:r>
          </w:p>
        </w:tc>
        <w:tc>
          <w:tcPr>
            <w:tcW w:w="5595" w:type="dxa"/>
            <w:gridSpan w:val="6"/>
            <w:noWrap w:val="0"/>
            <w:vAlign w:val="center"/>
          </w:tcPr>
          <w:p w14:paraId="191C0E9A">
            <w:pPr>
              <w:spacing w:line="240" w:lineRule="auto"/>
              <w:jc w:val="center"/>
              <w:rPr>
                <w:rFonts w:ascii="宋体" w:hAnsi="宋体" w:eastAsia="等线" w:cs="仿宋"/>
                <w:b/>
                <w:bCs/>
                <w:sz w:val="24"/>
                <w:szCs w:val="22"/>
                <w:highlight w:val="none"/>
              </w:rPr>
            </w:pPr>
            <w:r>
              <w:rPr>
                <w:rFonts w:hint="eastAsia" w:ascii="宋体" w:hAnsi="宋体" w:eastAsia="等线" w:cs="仿宋"/>
                <w:b/>
                <w:bCs/>
                <w:sz w:val="24"/>
                <w:szCs w:val="22"/>
                <w:highlight w:val="none"/>
              </w:rPr>
              <w:t>考核内容</w:t>
            </w:r>
          </w:p>
        </w:tc>
        <w:tc>
          <w:tcPr>
            <w:tcW w:w="910" w:type="dxa"/>
            <w:noWrap w:val="0"/>
            <w:vAlign w:val="center"/>
          </w:tcPr>
          <w:p w14:paraId="60F52F33">
            <w:pPr>
              <w:spacing w:line="240" w:lineRule="auto"/>
              <w:jc w:val="center"/>
              <w:rPr>
                <w:rFonts w:ascii="宋体" w:hAnsi="宋体" w:eastAsia="等线" w:cs="仿宋"/>
                <w:b/>
                <w:bCs/>
                <w:sz w:val="24"/>
                <w:szCs w:val="22"/>
                <w:highlight w:val="none"/>
              </w:rPr>
            </w:pPr>
            <w:r>
              <w:rPr>
                <w:rFonts w:hint="eastAsia" w:ascii="宋体" w:hAnsi="宋体" w:eastAsia="等线" w:cs="仿宋"/>
                <w:b/>
                <w:bCs/>
                <w:sz w:val="24"/>
                <w:szCs w:val="22"/>
                <w:highlight w:val="none"/>
              </w:rPr>
              <w:t>分值</w:t>
            </w:r>
          </w:p>
        </w:tc>
        <w:tc>
          <w:tcPr>
            <w:tcW w:w="2144" w:type="dxa"/>
            <w:noWrap w:val="0"/>
            <w:vAlign w:val="center"/>
          </w:tcPr>
          <w:p w14:paraId="44455BEC">
            <w:pPr>
              <w:spacing w:line="240" w:lineRule="auto"/>
              <w:jc w:val="center"/>
              <w:rPr>
                <w:rFonts w:ascii="宋体" w:hAnsi="宋体" w:eastAsia="等线" w:cs="仿宋"/>
                <w:b/>
                <w:bCs/>
                <w:sz w:val="24"/>
                <w:szCs w:val="22"/>
                <w:highlight w:val="none"/>
              </w:rPr>
            </w:pPr>
            <w:r>
              <w:rPr>
                <w:rFonts w:hint="eastAsia" w:ascii="宋体" w:hAnsi="宋体" w:eastAsia="等线" w:cs="仿宋"/>
                <w:b/>
                <w:bCs/>
                <w:sz w:val="24"/>
                <w:szCs w:val="22"/>
                <w:highlight w:val="none"/>
              </w:rPr>
              <w:t>备注（扣分说明）</w:t>
            </w:r>
          </w:p>
        </w:tc>
      </w:tr>
      <w:tr w14:paraId="77C795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8" w:hRule="atLeast"/>
          <w:jc w:val="center"/>
        </w:trPr>
        <w:tc>
          <w:tcPr>
            <w:tcW w:w="817" w:type="dxa"/>
            <w:noWrap w:val="0"/>
            <w:vAlign w:val="center"/>
          </w:tcPr>
          <w:p w14:paraId="7D6DCD1A">
            <w:pPr>
              <w:spacing w:line="240" w:lineRule="auto"/>
              <w:jc w:val="center"/>
              <w:rPr>
                <w:rFonts w:hint="eastAsia" w:ascii="宋体" w:hAnsi="宋体" w:cs="宋体"/>
                <w:sz w:val="24"/>
                <w:szCs w:val="22"/>
                <w:highlight w:val="none"/>
              </w:rPr>
            </w:pPr>
            <w:r>
              <w:rPr>
                <w:rFonts w:hint="eastAsia" w:ascii="宋体" w:hAnsi="宋体" w:cs="宋体"/>
                <w:sz w:val="24"/>
                <w:szCs w:val="22"/>
                <w:highlight w:val="none"/>
              </w:rPr>
              <w:t>1</w:t>
            </w:r>
          </w:p>
        </w:tc>
        <w:tc>
          <w:tcPr>
            <w:tcW w:w="5595" w:type="dxa"/>
            <w:gridSpan w:val="6"/>
            <w:noWrap w:val="0"/>
            <w:vAlign w:val="center"/>
          </w:tcPr>
          <w:p w14:paraId="0D61AE3E">
            <w:pPr>
              <w:spacing w:line="240" w:lineRule="auto"/>
              <w:rPr>
                <w:rFonts w:hint="eastAsia" w:ascii="宋体" w:hAnsi="宋体" w:cs="宋体"/>
                <w:sz w:val="24"/>
                <w:szCs w:val="22"/>
                <w:highlight w:val="none"/>
              </w:rPr>
            </w:pPr>
            <w:r>
              <w:rPr>
                <w:rFonts w:hint="eastAsia" w:ascii="宋体" w:hAnsi="宋体" w:cs="宋体"/>
                <w:sz w:val="24"/>
                <w:szCs w:val="22"/>
                <w:highlight w:val="none"/>
              </w:rPr>
              <w:t>送货准时，食堂每天所需食材统一送达。</w:t>
            </w:r>
          </w:p>
        </w:tc>
        <w:tc>
          <w:tcPr>
            <w:tcW w:w="910" w:type="dxa"/>
            <w:noWrap w:val="0"/>
            <w:vAlign w:val="center"/>
          </w:tcPr>
          <w:p w14:paraId="462BA063">
            <w:pPr>
              <w:spacing w:line="240" w:lineRule="auto"/>
              <w:jc w:val="center"/>
              <w:rPr>
                <w:rFonts w:hint="eastAsia" w:ascii="宋体" w:hAnsi="宋体" w:cs="宋体"/>
                <w:sz w:val="24"/>
                <w:szCs w:val="22"/>
                <w:highlight w:val="none"/>
              </w:rPr>
            </w:pPr>
            <w:r>
              <w:rPr>
                <w:rFonts w:hint="eastAsia" w:ascii="宋体" w:hAnsi="宋体" w:cs="宋体"/>
                <w:sz w:val="24"/>
                <w:szCs w:val="22"/>
                <w:highlight w:val="none"/>
              </w:rPr>
              <w:t>10</w:t>
            </w:r>
          </w:p>
        </w:tc>
        <w:tc>
          <w:tcPr>
            <w:tcW w:w="2144" w:type="dxa"/>
            <w:noWrap w:val="0"/>
            <w:vAlign w:val="center"/>
          </w:tcPr>
          <w:p w14:paraId="2613EE6E">
            <w:pPr>
              <w:spacing w:line="240" w:lineRule="auto"/>
              <w:rPr>
                <w:rFonts w:hint="eastAsia" w:ascii="宋体" w:hAnsi="宋体" w:cs="宋体"/>
                <w:sz w:val="24"/>
                <w:szCs w:val="22"/>
                <w:highlight w:val="none"/>
              </w:rPr>
            </w:pPr>
          </w:p>
        </w:tc>
      </w:tr>
      <w:tr w14:paraId="617291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atLeast"/>
          <w:jc w:val="center"/>
        </w:trPr>
        <w:tc>
          <w:tcPr>
            <w:tcW w:w="817" w:type="dxa"/>
            <w:noWrap w:val="0"/>
            <w:vAlign w:val="center"/>
          </w:tcPr>
          <w:p w14:paraId="0C4987C8">
            <w:pPr>
              <w:spacing w:line="240" w:lineRule="auto"/>
              <w:jc w:val="center"/>
              <w:rPr>
                <w:rFonts w:hint="eastAsia" w:ascii="宋体" w:hAnsi="宋体" w:cs="宋体"/>
                <w:sz w:val="24"/>
                <w:szCs w:val="22"/>
                <w:highlight w:val="none"/>
              </w:rPr>
            </w:pPr>
            <w:r>
              <w:rPr>
                <w:rFonts w:hint="eastAsia" w:ascii="宋体" w:hAnsi="宋体" w:cs="宋体"/>
                <w:sz w:val="24"/>
                <w:szCs w:val="22"/>
                <w:highlight w:val="none"/>
              </w:rPr>
              <w:t>2</w:t>
            </w:r>
          </w:p>
        </w:tc>
        <w:tc>
          <w:tcPr>
            <w:tcW w:w="5595" w:type="dxa"/>
            <w:gridSpan w:val="6"/>
            <w:noWrap w:val="0"/>
            <w:vAlign w:val="center"/>
          </w:tcPr>
          <w:p w14:paraId="3B0F258A">
            <w:pPr>
              <w:spacing w:line="240" w:lineRule="auto"/>
              <w:rPr>
                <w:rFonts w:hint="eastAsia" w:ascii="宋体" w:hAnsi="宋体" w:cs="宋体"/>
                <w:sz w:val="24"/>
                <w:szCs w:val="22"/>
                <w:highlight w:val="none"/>
              </w:rPr>
            </w:pPr>
            <w:r>
              <w:rPr>
                <w:rFonts w:hint="eastAsia" w:ascii="宋体" w:hAnsi="宋体" w:cs="宋体"/>
                <w:sz w:val="24"/>
                <w:szCs w:val="22"/>
                <w:highlight w:val="none"/>
              </w:rPr>
              <w:t>送货无短斤缺两。</w:t>
            </w:r>
          </w:p>
        </w:tc>
        <w:tc>
          <w:tcPr>
            <w:tcW w:w="910" w:type="dxa"/>
            <w:noWrap w:val="0"/>
            <w:vAlign w:val="center"/>
          </w:tcPr>
          <w:p w14:paraId="5DE0F90E">
            <w:pPr>
              <w:spacing w:line="240" w:lineRule="auto"/>
              <w:jc w:val="center"/>
              <w:rPr>
                <w:rFonts w:hint="eastAsia" w:ascii="宋体" w:hAnsi="宋体" w:cs="宋体"/>
                <w:sz w:val="24"/>
                <w:szCs w:val="22"/>
                <w:highlight w:val="none"/>
              </w:rPr>
            </w:pPr>
            <w:r>
              <w:rPr>
                <w:rFonts w:hint="eastAsia" w:ascii="宋体" w:hAnsi="宋体" w:cs="宋体"/>
                <w:sz w:val="24"/>
                <w:szCs w:val="22"/>
                <w:highlight w:val="none"/>
              </w:rPr>
              <w:t>10</w:t>
            </w:r>
          </w:p>
        </w:tc>
        <w:tc>
          <w:tcPr>
            <w:tcW w:w="2144" w:type="dxa"/>
            <w:noWrap w:val="0"/>
            <w:vAlign w:val="center"/>
          </w:tcPr>
          <w:p w14:paraId="6D5202AD">
            <w:pPr>
              <w:spacing w:line="240" w:lineRule="auto"/>
              <w:rPr>
                <w:rFonts w:hint="eastAsia" w:ascii="宋体" w:hAnsi="宋体" w:cs="宋体"/>
                <w:sz w:val="24"/>
                <w:szCs w:val="22"/>
                <w:highlight w:val="none"/>
              </w:rPr>
            </w:pPr>
          </w:p>
        </w:tc>
      </w:tr>
      <w:tr w14:paraId="3BF89E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817" w:type="dxa"/>
            <w:noWrap w:val="0"/>
            <w:vAlign w:val="center"/>
          </w:tcPr>
          <w:p w14:paraId="14C168D0">
            <w:pPr>
              <w:spacing w:line="240" w:lineRule="auto"/>
              <w:jc w:val="center"/>
              <w:rPr>
                <w:rFonts w:hint="eastAsia" w:ascii="宋体" w:hAnsi="宋体" w:cs="宋体"/>
                <w:sz w:val="24"/>
                <w:szCs w:val="22"/>
                <w:highlight w:val="none"/>
              </w:rPr>
            </w:pPr>
            <w:r>
              <w:rPr>
                <w:rFonts w:hint="eastAsia" w:ascii="宋体" w:hAnsi="宋体" w:cs="宋体"/>
                <w:sz w:val="24"/>
                <w:szCs w:val="22"/>
                <w:highlight w:val="none"/>
              </w:rPr>
              <w:t>3</w:t>
            </w:r>
          </w:p>
        </w:tc>
        <w:tc>
          <w:tcPr>
            <w:tcW w:w="5595" w:type="dxa"/>
            <w:gridSpan w:val="6"/>
            <w:noWrap w:val="0"/>
            <w:vAlign w:val="center"/>
          </w:tcPr>
          <w:p w14:paraId="2EFB2AFC">
            <w:pPr>
              <w:spacing w:line="240" w:lineRule="auto"/>
              <w:rPr>
                <w:rFonts w:hint="eastAsia" w:ascii="宋体" w:hAnsi="宋体" w:cs="宋体"/>
                <w:sz w:val="24"/>
                <w:szCs w:val="22"/>
                <w:highlight w:val="none"/>
              </w:rPr>
            </w:pPr>
            <w:r>
              <w:rPr>
                <w:rFonts w:hint="eastAsia" w:ascii="宋体" w:hAnsi="宋体" w:cs="宋体"/>
                <w:sz w:val="24"/>
                <w:szCs w:val="22"/>
                <w:highlight w:val="none"/>
              </w:rPr>
              <w:t>工作人员工作认真，服务热情周到，运送搬装文明。</w:t>
            </w:r>
          </w:p>
        </w:tc>
        <w:tc>
          <w:tcPr>
            <w:tcW w:w="910" w:type="dxa"/>
            <w:noWrap w:val="0"/>
            <w:vAlign w:val="center"/>
          </w:tcPr>
          <w:p w14:paraId="793D651E">
            <w:pPr>
              <w:spacing w:line="240" w:lineRule="auto"/>
              <w:jc w:val="center"/>
              <w:rPr>
                <w:rFonts w:hint="eastAsia" w:ascii="宋体" w:hAnsi="宋体" w:cs="宋体"/>
                <w:sz w:val="24"/>
                <w:szCs w:val="22"/>
                <w:highlight w:val="none"/>
              </w:rPr>
            </w:pPr>
            <w:r>
              <w:rPr>
                <w:rFonts w:hint="eastAsia" w:ascii="宋体" w:hAnsi="宋体" w:cs="宋体"/>
                <w:sz w:val="24"/>
                <w:szCs w:val="22"/>
                <w:highlight w:val="none"/>
              </w:rPr>
              <w:t>10</w:t>
            </w:r>
          </w:p>
        </w:tc>
        <w:tc>
          <w:tcPr>
            <w:tcW w:w="2144" w:type="dxa"/>
            <w:noWrap w:val="0"/>
            <w:vAlign w:val="center"/>
          </w:tcPr>
          <w:p w14:paraId="1EE03514">
            <w:pPr>
              <w:spacing w:line="240" w:lineRule="auto"/>
              <w:rPr>
                <w:rFonts w:hint="eastAsia" w:ascii="宋体" w:hAnsi="宋体" w:cs="宋体"/>
                <w:sz w:val="24"/>
                <w:szCs w:val="22"/>
                <w:highlight w:val="none"/>
              </w:rPr>
            </w:pPr>
          </w:p>
        </w:tc>
      </w:tr>
      <w:tr w14:paraId="19C3FC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817" w:type="dxa"/>
            <w:noWrap w:val="0"/>
            <w:vAlign w:val="center"/>
          </w:tcPr>
          <w:p w14:paraId="013450AF">
            <w:pPr>
              <w:spacing w:line="240" w:lineRule="auto"/>
              <w:jc w:val="center"/>
              <w:rPr>
                <w:rFonts w:hint="eastAsia" w:ascii="宋体" w:hAnsi="宋体" w:cs="宋体"/>
                <w:sz w:val="24"/>
                <w:szCs w:val="22"/>
                <w:highlight w:val="none"/>
              </w:rPr>
            </w:pPr>
            <w:r>
              <w:rPr>
                <w:rFonts w:hint="eastAsia" w:ascii="宋体" w:hAnsi="宋体" w:cs="宋体"/>
                <w:sz w:val="24"/>
                <w:szCs w:val="22"/>
                <w:highlight w:val="none"/>
              </w:rPr>
              <w:t>4</w:t>
            </w:r>
          </w:p>
        </w:tc>
        <w:tc>
          <w:tcPr>
            <w:tcW w:w="5595" w:type="dxa"/>
            <w:gridSpan w:val="6"/>
            <w:noWrap w:val="0"/>
            <w:vAlign w:val="center"/>
          </w:tcPr>
          <w:p w14:paraId="131C3360">
            <w:pPr>
              <w:spacing w:line="240" w:lineRule="auto"/>
              <w:rPr>
                <w:rFonts w:hint="eastAsia" w:ascii="宋体" w:hAnsi="宋体" w:cs="宋体"/>
                <w:sz w:val="24"/>
                <w:szCs w:val="22"/>
                <w:highlight w:val="none"/>
              </w:rPr>
            </w:pPr>
            <w:r>
              <w:rPr>
                <w:rFonts w:hint="eastAsia" w:ascii="宋体" w:hAnsi="宋体" w:cs="宋体"/>
                <w:sz w:val="24"/>
                <w:szCs w:val="22"/>
                <w:highlight w:val="none"/>
              </w:rPr>
              <w:t>配送物品清单与实际配送无差错。</w:t>
            </w:r>
          </w:p>
        </w:tc>
        <w:tc>
          <w:tcPr>
            <w:tcW w:w="910" w:type="dxa"/>
            <w:noWrap w:val="0"/>
            <w:vAlign w:val="center"/>
          </w:tcPr>
          <w:p w14:paraId="79F2FF6D">
            <w:pPr>
              <w:spacing w:line="240" w:lineRule="auto"/>
              <w:jc w:val="center"/>
              <w:rPr>
                <w:rFonts w:hint="eastAsia" w:ascii="宋体" w:hAnsi="宋体" w:cs="宋体"/>
                <w:sz w:val="24"/>
                <w:szCs w:val="22"/>
                <w:highlight w:val="none"/>
              </w:rPr>
            </w:pPr>
            <w:r>
              <w:rPr>
                <w:rFonts w:hint="eastAsia" w:ascii="宋体" w:hAnsi="宋体" w:cs="宋体"/>
                <w:sz w:val="24"/>
                <w:szCs w:val="22"/>
                <w:highlight w:val="none"/>
              </w:rPr>
              <w:t>10</w:t>
            </w:r>
          </w:p>
        </w:tc>
        <w:tc>
          <w:tcPr>
            <w:tcW w:w="2144" w:type="dxa"/>
            <w:noWrap w:val="0"/>
            <w:vAlign w:val="center"/>
          </w:tcPr>
          <w:p w14:paraId="03897000">
            <w:pPr>
              <w:spacing w:line="240" w:lineRule="auto"/>
              <w:rPr>
                <w:rFonts w:hint="eastAsia" w:ascii="宋体" w:hAnsi="宋体" w:cs="宋体"/>
                <w:sz w:val="24"/>
                <w:szCs w:val="22"/>
                <w:highlight w:val="none"/>
              </w:rPr>
            </w:pPr>
          </w:p>
        </w:tc>
      </w:tr>
      <w:tr w14:paraId="769107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9" w:hRule="atLeast"/>
          <w:jc w:val="center"/>
        </w:trPr>
        <w:tc>
          <w:tcPr>
            <w:tcW w:w="817" w:type="dxa"/>
            <w:noWrap w:val="0"/>
            <w:vAlign w:val="center"/>
          </w:tcPr>
          <w:p w14:paraId="0703D1C6">
            <w:pPr>
              <w:spacing w:line="240" w:lineRule="auto"/>
              <w:jc w:val="center"/>
              <w:rPr>
                <w:rFonts w:hint="eastAsia" w:ascii="宋体" w:hAnsi="宋体" w:cs="宋体"/>
                <w:sz w:val="24"/>
                <w:szCs w:val="22"/>
                <w:highlight w:val="none"/>
              </w:rPr>
            </w:pPr>
            <w:r>
              <w:rPr>
                <w:rFonts w:hint="eastAsia" w:ascii="宋体" w:hAnsi="宋体" w:cs="宋体"/>
                <w:sz w:val="24"/>
                <w:szCs w:val="22"/>
                <w:highlight w:val="none"/>
              </w:rPr>
              <w:t>5</w:t>
            </w:r>
          </w:p>
        </w:tc>
        <w:tc>
          <w:tcPr>
            <w:tcW w:w="5595" w:type="dxa"/>
            <w:gridSpan w:val="6"/>
            <w:noWrap w:val="0"/>
            <w:vAlign w:val="center"/>
          </w:tcPr>
          <w:p w14:paraId="7A9972D9">
            <w:pPr>
              <w:spacing w:line="240" w:lineRule="auto"/>
              <w:rPr>
                <w:rFonts w:hint="eastAsia" w:ascii="宋体" w:hAnsi="宋体" w:cs="宋体"/>
                <w:sz w:val="24"/>
                <w:szCs w:val="22"/>
                <w:highlight w:val="none"/>
              </w:rPr>
            </w:pPr>
            <w:r>
              <w:rPr>
                <w:rFonts w:hint="eastAsia" w:ascii="宋体" w:hAnsi="宋体" w:cs="宋体"/>
                <w:sz w:val="24"/>
                <w:szCs w:val="22"/>
                <w:highlight w:val="none"/>
              </w:rPr>
              <w:t>运输工具、贮物筐箱清洁卫生。</w:t>
            </w:r>
          </w:p>
        </w:tc>
        <w:tc>
          <w:tcPr>
            <w:tcW w:w="910" w:type="dxa"/>
            <w:noWrap w:val="0"/>
            <w:vAlign w:val="center"/>
          </w:tcPr>
          <w:p w14:paraId="18B29733">
            <w:pPr>
              <w:spacing w:line="240" w:lineRule="auto"/>
              <w:jc w:val="center"/>
              <w:rPr>
                <w:rFonts w:hint="eastAsia" w:ascii="宋体" w:hAnsi="宋体" w:cs="宋体"/>
                <w:sz w:val="24"/>
                <w:szCs w:val="22"/>
                <w:highlight w:val="none"/>
              </w:rPr>
            </w:pPr>
            <w:r>
              <w:rPr>
                <w:rFonts w:hint="eastAsia" w:ascii="宋体" w:hAnsi="宋体" w:cs="宋体"/>
                <w:sz w:val="24"/>
                <w:szCs w:val="22"/>
                <w:highlight w:val="none"/>
              </w:rPr>
              <w:t>10</w:t>
            </w:r>
          </w:p>
        </w:tc>
        <w:tc>
          <w:tcPr>
            <w:tcW w:w="2144" w:type="dxa"/>
            <w:noWrap w:val="0"/>
            <w:vAlign w:val="center"/>
          </w:tcPr>
          <w:p w14:paraId="27BBE212">
            <w:pPr>
              <w:spacing w:line="240" w:lineRule="auto"/>
              <w:rPr>
                <w:rFonts w:hint="eastAsia" w:ascii="宋体" w:hAnsi="宋体" w:cs="宋体"/>
                <w:sz w:val="24"/>
                <w:szCs w:val="22"/>
                <w:highlight w:val="none"/>
              </w:rPr>
            </w:pPr>
          </w:p>
        </w:tc>
      </w:tr>
      <w:tr w14:paraId="57830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0" w:hRule="atLeast"/>
          <w:jc w:val="center"/>
        </w:trPr>
        <w:tc>
          <w:tcPr>
            <w:tcW w:w="817" w:type="dxa"/>
            <w:noWrap w:val="0"/>
            <w:vAlign w:val="center"/>
          </w:tcPr>
          <w:p w14:paraId="7A7B5099">
            <w:pPr>
              <w:spacing w:line="240" w:lineRule="auto"/>
              <w:jc w:val="center"/>
              <w:rPr>
                <w:rFonts w:hint="eastAsia" w:ascii="宋体" w:hAnsi="宋体" w:cs="宋体"/>
                <w:sz w:val="24"/>
                <w:szCs w:val="22"/>
                <w:highlight w:val="none"/>
              </w:rPr>
            </w:pPr>
            <w:r>
              <w:rPr>
                <w:rFonts w:hint="eastAsia" w:ascii="宋体" w:hAnsi="宋体" w:cs="宋体"/>
                <w:sz w:val="24"/>
                <w:szCs w:val="22"/>
                <w:highlight w:val="none"/>
              </w:rPr>
              <w:t>6</w:t>
            </w:r>
          </w:p>
        </w:tc>
        <w:tc>
          <w:tcPr>
            <w:tcW w:w="5595" w:type="dxa"/>
            <w:gridSpan w:val="6"/>
            <w:noWrap w:val="0"/>
            <w:vAlign w:val="center"/>
          </w:tcPr>
          <w:p w14:paraId="7C8B87E7">
            <w:pPr>
              <w:spacing w:line="240" w:lineRule="auto"/>
              <w:rPr>
                <w:rFonts w:hint="eastAsia" w:ascii="宋体" w:hAnsi="宋体" w:cs="宋体"/>
                <w:sz w:val="24"/>
                <w:szCs w:val="22"/>
                <w:highlight w:val="none"/>
              </w:rPr>
            </w:pPr>
            <w:r>
              <w:rPr>
                <w:rFonts w:hint="eastAsia" w:ascii="宋体" w:hAnsi="宋体" w:cs="宋体"/>
                <w:sz w:val="24"/>
                <w:szCs w:val="22"/>
                <w:highlight w:val="none"/>
              </w:rPr>
              <w:t>送货单项目、合格证齐全，机器打印清晰。</w:t>
            </w:r>
          </w:p>
        </w:tc>
        <w:tc>
          <w:tcPr>
            <w:tcW w:w="910" w:type="dxa"/>
            <w:noWrap w:val="0"/>
            <w:vAlign w:val="center"/>
          </w:tcPr>
          <w:p w14:paraId="22247F5E">
            <w:pPr>
              <w:spacing w:line="240" w:lineRule="auto"/>
              <w:jc w:val="center"/>
              <w:rPr>
                <w:rFonts w:hint="eastAsia" w:ascii="宋体" w:hAnsi="宋体" w:cs="宋体"/>
                <w:sz w:val="24"/>
                <w:szCs w:val="22"/>
                <w:highlight w:val="none"/>
              </w:rPr>
            </w:pPr>
            <w:r>
              <w:rPr>
                <w:rFonts w:hint="eastAsia" w:ascii="宋体" w:hAnsi="宋体" w:cs="宋体"/>
                <w:sz w:val="24"/>
                <w:szCs w:val="22"/>
                <w:highlight w:val="none"/>
              </w:rPr>
              <w:t>10</w:t>
            </w:r>
          </w:p>
        </w:tc>
        <w:tc>
          <w:tcPr>
            <w:tcW w:w="2144" w:type="dxa"/>
            <w:noWrap w:val="0"/>
            <w:vAlign w:val="center"/>
          </w:tcPr>
          <w:p w14:paraId="343B41EA">
            <w:pPr>
              <w:spacing w:line="240" w:lineRule="auto"/>
              <w:rPr>
                <w:rFonts w:hint="eastAsia" w:ascii="宋体" w:hAnsi="宋体" w:cs="宋体"/>
                <w:sz w:val="24"/>
                <w:szCs w:val="22"/>
                <w:highlight w:val="none"/>
              </w:rPr>
            </w:pPr>
          </w:p>
        </w:tc>
      </w:tr>
      <w:tr w14:paraId="3E049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jc w:val="center"/>
        </w:trPr>
        <w:tc>
          <w:tcPr>
            <w:tcW w:w="817" w:type="dxa"/>
            <w:noWrap w:val="0"/>
            <w:vAlign w:val="center"/>
          </w:tcPr>
          <w:p w14:paraId="3D52975B">
            <w:pPr>
              <w:spacing w:line="240" w:lineRule="auto"/>
              <w:jc w:val="center"/>
              <w:rPr>
                <w:rFonts w:hint="eastAsia" w:ascii="宋体" w:hAnsi="宋体" w:cs="宋体"/>
                <w:sz w:val="24"/>
                <w:szCs w:val="22"/>
                <w:highlight w:val="none"/>
              </w:rPr>
            </w:pPr>
            <w:r>
              <w:rPr>
                <w:rFonts w:hint="eastAsia" w:ascii="宋体" w:hAnsi="宋体" w:cs="宋体"/>
                <w:sz w:val="24"/>
                <w:szCs w:val="22"/>
                <w:highlight w:val="none"/>
              </w:rPr>
              <w:t>7</w:t>
            </w:r>
          </w:p>
        </w:tc>
        <w:tc>
          <w:tcPr>
            <w:tcW w:w="5595" w:type="dxa"/>
            <w:gridSpan w:val="6"/>
            <w:noWrap w:val="0"/>
            <w:vAlign w:val="center"/>
          </w:tcPr>
          <w:p w14:paraId="1E5A72BF">
            <w:pPr>
              <w:spacing w:line="240" w:lineRule="auto"/>
              <w:rPr>
                <w:rFonts w:hint="eastAsia" w:ascii="宋体" w:hAnsi="宋体" w:cs="宋体"/>
                <w:sz w:val="24"/>
                <w:szCs w:val="22"/>
                <w:highlight w:val="none"/>
              </w:rPr>
            </w:pPr>
            <w:r>
              <w:rPr>
                <w:rFonts w:hint="eastAsia" w:ascii="宋体" w:hAnsi="宋体" w:cs="宋体"/>
                <w:sz w:val="24"/>
                <w:szCs w:val="22"/>
                <w:highlight w:val="none"/>
              </w:rPr>
              <w:t>菜品质量有保障，食材新鲜卫生。</w:t>
            </w:r>
          </w:p>
        </w:tc>
        <w:tc>
          <w:tcPr>
            <w:tcW w:w="910" w:type="dxa"/>
            <w:noWrap w:val="0"/>
            <w:vAlign w:val="center"/>
          </w:tcPr>
          <w:p w14:paraId="38E8A884">
            <w:pPr>
              <w:spacing w:line="240" w:lineRule="auto"/>
              <w:jc w:val="center"/>
              <w:rPr>
                <w:rFonts w:hint="eastAsia" w:ascii="宋体" w:hAnsi="宋体" w:cs="宋体"/>
                <w:sz w:val="24"/>
                <w:szCs w:val="22"/>
                <w:highlight w:val="none"/>
              </w:rPr>
            </w:pPr>
            <w:r>
              <w:rPr>
                <w:rFonts w:hint="eastAsia" w:ascii="宋体" w:hAnsi="宋体" w:cs="宋体"/>
                <w:sz w:val="24"/>
                <w:szCs w:val="22"/>
                <w:highlight w:val="none"/>
              </w:rPr>
              <w:t>10</w:t>
            </w:r>
          </w:p>
        </w:tc>
        <w:tc>
          <w:tcPr>
            <w:tcW w:w="2144" w:type="dxa"/>
            <w:noWrap w:val="0"/>
            <w:vAlign w:val="center"/>
          </w:tcPr>
          <w:p w14:paraId="05AE3C10">
            <w:pPr>
              <w:spacing w:line="240" w:lineRule="auto"/>
              <w:rPr>
                <w:rFonts w:hint="eastAsia" w:ascii="宋体" w:hAnsi="宋体" w:cs="宋体"/>
                <w:sz w:val="24"/>
                <w:szCs w:val="22"/>
                <w:highlight w:val="none"/>
              </w:rPr>
            </w:pPr>
          </w:p>
        </w:tc>
      </w:tr>
      <w:tr w14:paraId="0816F3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8" w:hRule="atLeast"/>
          <w:jc w:val="center"/>
        </w:trPr>
        <w:tc>
          <w:tcPr>
            <w:tcW w:w="817" w:type="dxa"/>
            <w:noWrap w:val="0"/>
            <w:vAlign w:val="center"/>
          </w:tcPr>
          <w:p w14:paraId="1ABB6D93">
            <w:pPr>
              <w:spacing w:line="240" w:lineRule="auto"/>
              <w:jc w:val="center"/>
              <w:rPr>
                <w:rFonts w:hint="eastAsia" w:ascii="宋体" w:hAnsi="宋体" w:cs="宋体"/>
                <w:sz w:val="24"/>
                <w:szCs w:val="22"/>
                <w:highlight w:val="none"/>
              </w:rPr>
            </w:pPr>
            <w:r>
              <w:rPr>
                <w:rFonts w:hint="eastAsia" w:ascii="宋体" w:hAnsi="宋体" w:cs="宋体"/>
                <w:sz w:val="24"/>
                <w:szCs w:val="22"/>
                <w:highlight w:val="none"/>
              </w:rPr>
              <w:t>8</w:t>
            </w:r>
          </w:p>
        </w:tc>
        <w:tc>
          <w:tcPr>
            <w:tcW w:w="5595" w:type="dxa"/>
            <w:gridSpan w:val="6"/>
            <w:noWrap w:val="0"/>
            <w:vAlign w:val="center"/>
          </w:tcPr>
          <w:p w14:paraId="2C0CACB5">
            <w:pPr>
              <w:spacing w:line="240" w:lineRule="auto"/>
              <w:rPr>
                <w:rFonts w:hint="eastAsia" w:ascii="宋体" w:hAnsi="宋体" w:cs="宋体"/>
                <w:sz w:val="24"/>
                <w:szCs w:val="22"/>
                <w:highlight w:val="none"/>
              </w:rPr>
            </w:pPr>
            <w:r>
              <w:rPr>
                <w:rFonts w:hint="eastAsia" w:ascii="宋体" w:hAnsi="宋体" w:cs="宋体"/>
                <w:sz w:val="24"/>
                <w:szCs w:val="22"/>
                <w:highlight w:val="none"/>
              </w:rPr>
              <w:t>结算价格与投标承诺一致。</w:t>
            </w:r>
          </w:p>
        </w:tc>
        <w:tc>
          <w:tcPr>
            <w:tcW w:w="910" w:type="dxa"/>
            <w:noWrap w:val="0"/>
            <w:vAlign w:val="center"/>
          </w:tcPr>
          <w:p w14:paraId="3C0DDAD2">
            <w:pPr>
              <w:spacing w:line="240" w:lineRule="auto"/>
              <w:jc w:val="center"/>
              <w:rPr>
                <w:rFonts w:hint="eastAsia" w:ascii="宋体" w:hAnsi="宋体" w:cs="宋体"/>
                <w:sz w:val="24"/>
                <w:szCs w:val="22"/>
                <w:highlight w:val="none"/>
              </w:rPr>
            </w:pPr>
            <w:r>
              <w:rPr>
                <w:rFonts w:hint="eastAsia" w:ascii="宋体" w:hAnsi="宋体" w:cs="宋体"/>
                <w:sz w:val="24"/>
                <w:szCs w:val="22"/>
                <w:highlight w:val="none"/>
              </w:rPr>
              <w:t>10</w:t>
            </w:r>
          </w:p>
        </w:tc>
        <w:tc>
          <w:tcPr>
            <w:tcW w:w="2144" w:type="dxa"/>
            <w:noWrap w:val="0"/>
            <w:vAlign w:val="center"/>
          </w:tcPr>
          <w:p w14:paraId="712AF6C9">
            <w:pPr>
              <w:spacing w:line="240" w:lineRule="auto"/>
              <w:rPr>
                <w:rFonts w:hint="eastAsia" w:ascii="宋体" w:hAnsi="宋体" w:cs="宋体"/>
                <w:sz w:val="24"/>
                <w:szCs w:val="22"/>
                <w:highlight w:val="none"/>
              </w:rPr>
            </w:pPr>
          </w:p>
        </w:tc>
      </w:tr>
      <w:tr w14:paraId="61A3BB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jc w:val="center"/>
        </w:trPr>
        <w:tc>
          <w:tcPr>
            <w:tcW w:w="817" w:type="dxa"/>
            <w:noWrap w:val="0"/>
            <w:vAlign w:val="center"/>
          </w:tcPr>
          <w:p w14:paraId="516DCE91">
            <w:pPr>
              <w:spacing w:line="240" w:lineRule="auto"/>
              <w:jc w:val="center"/>
              <w:rPr>
                <w:rFonts w:hint="eastAsia" w:ascii="宋体" w:hAnsi="宋体" w:cs="宋体"/>
                <w:sz w:val="24"/>
                <w:szCs w:val="22"/>
                <w:highlight w:val="none"/>
              </w:rPr>
            </w:pPr>
            <w:r>
              <w:rPr>
                <w:rFonts w:hint="eastAsia" w:ascii="宋体" w:hAnsi="宋体" w:cs="宋体"/>
                <w:sz w:val="24"/>
                <w:szCs w:val="22"/>
                <w:highlight w:val="none"/>
              </w:rPr>
              <w:t>9</w:t>
            </w:r>
          </w:p>
        </w:tc>
        <w:tc>
          <w:tcPr>
            <w:tcW w:w="5595" w:type="dxa"/>
            <w:gridSpan w:val="6"/>
            <w:noWrap w:val="0"/>
            <w:vAlign w:val="center"/>
          </w:tcPr>
          <w:p w14:paraId="5043EAC3">
            <w:pPr>
              <w:spacing w:line="240" w:lineRule="auto"/>
              <w:rPr>
                <w:rFonts w:hint="eastAsia" w:ascii="宋体" w:hAnsi="宋体" w:cs="宋体"/>
                <w:sz w:val="24"/>
                <w:szCs w:val="22"/>
                <w:highlight w:val="none"/>
              </w:rPr>
            </w:pPr>
            <w:r>
              <w:rPr>
                <w:rFonts w:hint="eastAsia" w:ascii="宋体" w:hAnsi="宋体" w:cs="宋体"/>
                <w:sz w:val="24"/>
                <w:szCs w:val="22"/>
                <w:highlight w:val="none"/>
              </w:rPr>
              <w:t>与甲方沟通渠道畅通。</w:t>
            </w:r>
          </w:p>
        </w:tc>
        <w:tc>
          <w:tcPr>
            <w:tcW w:w="910" w:type="dxa"/>
            <w:noWrap w:val="0"/>
            <w:vAlign w:val="center"/>
          </w:tcPr>
          <w:p w14:paraId="3F3C9E40">
            <w:pPr>
              <w:spacing w:line="240" w:lineRule="auto"/>
              <w:jc w:val="center"/>
              <w:rPr>
                <w:rFonts w:hint="eastAsia" w:ascii="宋体" w:hAnsi="宋体" w:cs="宋体"/>
                <w:sz w:val="24"/>
                <w:szCs w:val="22"/>
                <w:highlight w:val="none"/>
              </w:rPr>
            </w:pPr>
            <w:r>
              <w:rPr>
                <w:rFonts w:hint="eastAsia" w:ascii="宋体" w:hAnsi="宋体" w:cs="宋体"/>
                <w:sz w:val="24"/>
                <w:szCs w:val="22"/>
                <w:highlight w:val="none"/>
              </w:rPr>
              <w:t>10</w:t>
            </w:r>
          </w:p>
        </w:tc>
        <w:tc>
          <w:tcPr>
            <w:tcW w:w="2144" w:type="dxa"/>
            <w:noWrap w:val="0"/>
            <w:vAlign w:val="center"/>
          </w:tcPr>
          <w:p w14:paraId="30E84898">
            <w:pPr>
              <w:spacing w:line="240" w:lineRule="auto"/>
              <w:rPr>
                <w:rFonts w:hint="eastAsia" w:ascii="宋体" w:hAnsi="宋体" w:cs="宋体"/>
                <w:sz w:val="24"/>
                <w:szCs w:val="22"/>
                <w:highlight w:val="none"/>
              </w:rPr>
            </w:pPr>
          </w:p>
        </w:tc>
      </w:tr>
      <w:tr w14:paraId="3349CB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817" w:type="dxa"/>
            <w:noWrap w:val="0"/>
            <w:vAlign w:val="center"/>
          </w:tcPr>
          <w:p w14:paraId="64EEE41E">
            <w:pPr>
              <w:spacing w:line="240" w:lineRule="auto"/>
              <w:jc w:val="center"/>
              <w:rPr>
                <w:rFonts w:hint="eastAsia" w:ascii="宋体" w:hAnsi="宋体" w:cs="宋体"/>
                <w:sz w:val="24"/>
                <w:szCs w:val="22"/>
                <w:highlight w:val="none"/>
              </w:rPr>
            </w:pPr>
            <w:r>
              <w:rPr>
                <w:rFonts w:hint="eastAsia" w:ascii="宋体" w:hAnsi="宋体" w:cs="宋体"/>
                <w:sz w:val="24"/>
                <w:szCs w:val="22"/>
                <w:highlight w:val="none"/>
              </w:rPr>
              <w:t>10</w:t>
            </w:r>
          </w:p>
        </w:tc>
        <w:tc>
          <w:tcPr>
            <w:tcW w:w="5595" w:type="dxa"/>
            <w:gridSpan w:val="6"/>
            <w:noWrap w:val="0"/>
            <w:vAlign w:val="center"/>
          </w:tcPr>
          <w:p w14:paraId="0AC0E2E3">
            <w:pPr>
              <w:spacing w:line="240" w:lineRule="auto"/>
              <w:rPr>
                <w:rFonts w:hint="eastAsia" w:ascii="宋体" w:hAnsi="宋体" w:cs="宋体"/>
                <w:sz w:val="24"/>
                <w:szCs w:val="22"/>
                <w:highlight w:val="none"/>
              </w:rPr>
            </w:pPr>
            <w:r>
              <w:rPr>
                <w:rFonts w:hint="eastAsia" w:ascii="宋体" w:hAnsi="宋体" w:cs="宋体"/>
                <w:sz w:val="24"/>
                <w:szCs w:val="22"/>
                <w:highlight w:val="none"/>
              </w:rPr>
              <w:t>每月按时根据对账金额开票。</w:t>
            </w:r>
          </w:p>
        </w:tc>
        <w:tc>
          <w:tcPr>
            <w:tcW w:w="910" w:type="dxa"/>
            <w:noWrap w:val="0"/>
            <w:vAlign w:val="center"/>
          </w:tcPr>
          <w:p w14:paraId="4FF332C8">
            <w:pPr>
              <w:spacing w:line="240" w:lineRule="auto"/>
              <w:jc w:val="center"/>
              <w:rPr>
                <w:rFonts w:hint="eastAsia" w:ascii="宋体" w:hAnsi="宋体" w:cs="宋体"/>
                <w:sz w:val="24"/>
                <w:szCs w:val="22"/>
                <w:highlight w:val="none"/>
              </w:rPr>
            </w:pPr>
            <w:r>
              <w:rPr>
                <w:rFonts w:hint="eastAsia" w:ascii="宋体" w:hAnsi="宋体" w:cs="宋体"/>
                <w:sz w:val="24"/>
                <w:szCs w:val="22"/>
                <w:highlight w:val="none"/>
              </w:rPr>
              <w:t>10</w:t>
            </w:r>
          </w:p>
        </w:tc>
        <w:tc>
          <w:tcPr>
            <w:tcW w:w="2144" w:type="dxa"/>
            <w:noWrap w:val="0"/>
            <w:vAlign w:val="center"/>
          </w:tcPr>
          <w:p w14:paraId="7CD75CDE">
            <w:pPr>
              <w:spacing w:line="240" w:lineRule="auto"/>
              <w:rPr>
                <w:rFonts w:hint="eastAsia" w:ascii="宋体" w:hAnsi="宋体" w:cs="宋体"/>
                <w:sz w:val="24"/>
                <w:szCs w:val="22"/>
                <w:highlight w:val="none"/>
              </w:rPr>
            </w:pPr>
          </w:p>
        </w:tc>
      </w:tr>
      <w:tr w14:paraId="31AF0B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5" w:hRule="atLeast"/>
          <w:jc w:val="center"/>
        </w:trPr>
        <w:tc>
          <w:tcPr>
            <w:tcW w:w="9466" w:type="dxa"/>
            <w:gridSpan w:val="9"/>
            <w:noWrap w:val="0"/>
            <w:vAlign w:val="top"/>
          </w:tcPr>
          <w:p w14:paraId="624B4E66">
            <w:pPr>
              <w:spacing w:line="240" w:lineRule="auto"/>
              <w:rPr>
                <w:rFonts w:hint="eastAsia" w:ascii="宋体" w:hAnsi="宋体" w:cs="宋体"/>
                <w:sz w:val="24"/>
                <w:szCs w:val="22"/>
                <w:highlight w:val="none"/>
              </w:rPr>
            </w:pPr>
            <w:r>
              <w:rPr>
                <w:rFonts w:hint="eastAsia" w:ascii="宋体" w:hAnsi="宋体" w:cs="宋体"/>
                <w:sz w:val="24"/>
                <w:szCs w:val="22"/>
                <w:highlight w:val="none"/>
              </w:rPr>
              <w:t>每月考核意见：</w:t>
            </w:r>
          </w:p>
        </w:tc>
      </w:tr>
      <w:tr w14:paraId="0225A4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0" w:hRule="atLeast"/>
          <w:jc w:val="center"/>
        </w:trPr>
        <w:tc>
          <w:tcPr>
            <w:tcW w:w="817" w:type="dxa"/>
            <w:noWrap w:val="0"/>
            <w:vAlign w:val="center"/>
          </w:tcPr>
          <w:p w14:paraId="4F80C722">
            <w:pPr>
              <w:spacing w:line="240" w:lineRule="auto"/>
              <w:jc w:val="center"/>
              <w:rPr>
                <w:rFonts w:hint="eastAsia" w:ascii="宋体" w:hAnsi="宋体" w:cs="宋体"/>
                <w:sz w:val="24"/>
                <w:szCs w:val="22"/>
                <w:highlight w:val="none"/>
              </w:rPr>
            </w:pPr>
            <w:r>
              <w:rPr>
                <w:rFonts w:hint="eastAsia" w:ascii="宋体" w:hAnsi="宋体" w:cs="宋体"/>
                <w:sz w:val="24"/>
                <w:szCs w:val="22"/>
                <w:highlight w:val="none"/>
              </w:rPr>
              <w:t>得分</w:t>
            </w:r>
          </w:p>
        </w:tc>
        <w:tc>
          <w:tcPr>
            <w:tcW w:w="3119" w:type="dxa"/>
            <w:gridSpan w:val="3"/>
            <w:noWrap w:val="0"/>
            <w:vAlign w:val="center"/>
          </w:tcPr>
          <w:p w14:paraId="221AB1CF">
            <w:pPr>
              <w:spacing w:line="240" w:lineRule="auto"/>
              <w:jc w:val="center"/>
              <w:rPr>
                <w:rFonts w:hint="eastAsia" w:ascii="宋体" w:hAnsi="宋体" w:cs="宋体"/>
                <w:sz w:val="24"/>
                <w:szCs w:val="22"/>
                <w:highlight w:val="none"/>
              </w:rPr>
            </w:pPr>
          </w:p>
        </w:tc>
        <w:tc>
          <w:tcPr>
            <w:tcW w:w="2409" w:type="dxa"/>
            <w:gridSpan w:val="2"/>
            <w:noWrap w:val="0"/>
            <w:vAlign w:val="center"/>
          </w:tcPr>
          <w:p w14:paraId="5F93B3D3">
            <w:pPr>
              <w:spacing w:line="240" w:lineRule="auto"/>
              <w:jc w:val="center"/>
              <w:rPr>
                <w:rFonts w:hint="eastAsia" w:ascii="宋体" w:hAnsi="宋体" w:cs="宋体"/>
                <w:sz w:val="24"/>
                <w:szCs w:val="22"/>
                <w:highlight w:val="none"/>
              </w:rPr>
            </w:pPr>
            <w:r>
              <w:rPr>
                <w:rFonts w:hint="eastAsia" w:ascii="宋体" w:hAnsi="宋体" w:cs="宋体"/>
                <w:sz w:val="24"/>
                <w:szCs w:val="22"/>
                <w:highlight w:val="none"/>
              </w:rPr>
              <w:t>满意度测评等级</w:t>
            </w:r>
          </w:p>
        </w:tc>
        <w:tc>
          <w:tcPr>
            <w:tcW w:w="3121" w:type="dxa"/>
            <w:gridSpan w:val="3"/>
            <w:noWrap w:val="0"/>
            <w:vAlign w:val="center"/>
          </w:tcPr>
          <w:p w14:paraId="0E9962BF">
            <w:pPr>
              <w:spacing w:line="240" w:lineRule="auto"/>
              <w:jc w:val="center"/>
              <w:rPr>
                <w:rFonts w:hint="eastAsia" w:ascii="宋体" w:hAnsi="宋体" w:cs="宋体"/>
                <w:sz w:val="24"/>
                <w:szCs w:val="22"/>
                <w:highlight w:val="none"/>
              </w:rPr>
            </w:pPr>
          </w:p>
        </w:tc>
      </w:tr>
      <w:tr w14:paraId="0D61FD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1" w:hRule="atLeast"/>
          <w:jc w:val="center"/>
        </w:trPr>
        <w:tc>
          <w:tcPr>
            <w:tcW w:w="2235" w:type="dxa"/>
            <w:gridSpan w:val="3"/>
            <w:noWrap w:val="0"/>
            <w:vAlign w:val="center"/>
          </w:tcPr>
          <w:p w14:paraId="55C7F940">
            <w:pPr>
              <w:spacing w:line="240" w:lineRule="auto"/>
              <w:jc w:val="center"/>
              <w:rPr>
                <w:rFonts w:hint="eastAsia" w:ascii="宋体" w:hAnsi="宋体" w:cs="宋体"/>
                <w:sz w:val="24"/>
                <w:szCs w:val="22"/>
                <w:highlight w:val="none"/>
              </w:rPr>
            </w:pPr>
            <w:r>
              <w:rPr>
                <w:rFonts w:hint="eastAsia" w:ascii="宋体" w:hAnsi="宋体" w:cs="宋体"/>
                <w:sz w:val="24"/>
                <w:szCs w:val="22"/>
                <w:highlight w:val="none"/>
              </w:rPr>
              <w:t>考核人：</w:t>
            </w:r>
          </w:p>
        </w:tc>
        <w:tc>
          <w:tcPr>
            <w:tcW w:w="7231" w:type="dxa"/>
            <w:gridSpan w:val="6"/>
            <w:noWrap w:val="0"/>
            <w:vAlign w:val="center"/>
          </w:tcPr>
          <w:p w14:paraId="23ED8E1A">
            <w:pPr>
              <w:spacing w:line="240" w:lineRule="auto"/>
              <w:jc w:val="center"/>
              <w:rPr>
                <w:rFonts w:hint="eastAsia" w:ascii="宋体" w:hAnsi="宋体" w:cs="宋体"/>
                <w:sz w:val="24"/>
                <w:szCs w:val="22"/>
                <w:highlight w:val="none"/>
              </w:rPr>
            </w:pPr>
          </w:p>
        </w:tc>
      </w:tr>
      <w:tr w14:paraId="0A32C6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26" w:hRule="atLeast"/>
          <w:jc w:val="center"/>
        </w:trPr>
        <w:tc>
          <w:tcPr>
            <w:tcW w:w="9466" w:type="dxa"/>
            <w:gridSpan w:val="9"/>
            <w:noWrap w:val="0"/>
            <w:vAlign w:val="center"/>
          </w:tcPr>
          <w:p w14:paraId="22CE176A">
            <w:pPr>
              <w:spacing w:line="240" w:lineRule="auto"/>
              <w:jc w:val="left"/>
              <w:rPr>
                <w:rFonts w:hint="eastAsia" w:ascii="宋体" w:hAnsi="宋体" w:cs="宋体"/>
                <w:sz w:val="24"/>
                <w:szCs w:val="22"/>
                <w:highlight w:val="none"/>
              </w:rPr>
            </w:pPr>
            <w:r>
              <w:rPr>
                <w:rFonts w:hint="eastAsia" w:ascii="宋体" w:hAnsi="宋体" w:cs="宋体"/>
                <w:sz w:val="24"/>
                <w:szCs w:val="22"/>
                <w:highlight w:val="none"/>
              </w:rPr>
              <w:t>注：1、发现以上各情况每次扣除5分，扣完为止。</w:t>
            </w:r>
          </w:p>
          <w:p w14:paraId="5C3DCE62">
            <w:pPr>
              <w:spacing w:line="240" w:lineRule="auto"/>
              <w:ind w:firstLine="480"/>
              <w:jc w:val="left"/>
              <w:rPr>
                <w:rFonts w:hint="eastAsia" w:ascii="宋体" w:hAnsi="宋体" w:cs="宋体"/>
                <w:sz w:val="24"/>
                <w:szCs w:val="22"/>
                <w:highlight w:val="none"/>
              </w:rPr>
            </w:pPr>
            <w:r>
              <w:rPr>
                <w:rFonts w:hint="eastAsia" w:ascii="宋体" w:hAnsi="宋体" w:cs="宋体"/>
                <w:sz w:val="24"/>
                <w:szCs w:val="22"/>
                <w:highlight w:val="none"/>
              </w:rPr>
              <w:t>2、100-91分为满意、90-85分为合格、85分以下为不合格。</w:t>
            </w:r>
          </w:p>
          <w:p w14:paraId="4315C75E">
            <w:pPr>
              <w:spacing w:line="240" w:lineRule="auto"/>
              <w:ind w:firstLine="480"/>
              <w:jc w:val="left"/>
              <w:rPr>
                <w:rFonts w:hint="eastAsia" w:ascii="宋体" w:hAnsi="宋体" w:cs="宋体"/>
                <w:sz w:val="24"/>
                <w:szCs w:val="22"/>
                <w:highlight w:val="none"/>
              </w:rPr>
            </w:pPr>
            <w:r>
              <w:rPr>
                <w:rFonts w:hint="eastAsia" w:ascii="宋体" w:hAnsi="宋体" w:cs="宋体"/>
                <w:sz w:val="24"/>
                <w:szCs w:val="22"/>
                <w:highlight w:val="none"/>
              </w:rPr>
              <w:t>3、如考核为不合格，甲方将扣除当月供应食品总金额5％，累计满3次不合格，采购人有权终止合同，重新招标确定中标人。</w:t>
            </w:r>
          </w:p>
        </w:tc>
      </w:tr>
    </w:tbl>
    <w:p w14:paraId="72B15BED">
      <w:pPr>
        <w:jc w:val="center"/>
        <w:outlineLvl w:val="0"/>
        <w:rPr>
          <w:rFonts w:hint="eastAsia" w:ascii="黑体" w:eastAsia="黑体"/>
          <w:bCs/>
          <w:color w:val="000000"/>
          <w:sz w:val="28"/>
          <w:szCs w:val="28"/>
          <w:highlight w:val="none"/>
        </w:rPr>
      </w:pPr>
    </w:p>
    <w:p w14:paraId="34979EA7">
      <w:pPr>
        <w:jc w:val="center"/>
        <w:outlineLvl w:val="0"/>
        <w:rPr>
          <w:rFonts w:hint="eastAsia" w:ascii="黑体" w:eastAsia="黑体"/>
          <w:bCs/>
          <w:color w:val="000000"/>
          <w:sz w:val="28"/>
          <w:szCs w:val="28"/>
          <w:highlight w:val="none"/>
        </w:rPr>
      </w:pPr>
    </w:p>
    <w:p w14:paraId="03C950C2">
      <w:pPr>
        <w:jc w:val="center"/>
        <w:outlineLvl w:val="0"/>
        <w:rPr>
          <w:rFonts w:hint="eastAsia" w:ascii="黑体" w:eastAsia="黑体"/>
          <w:bCs/>
          <w:color w:val="000000"/>
          <w:sz w:val="28"/>
          <w:szCs w:val="28"/>
          <w:highlight w:val="none"/>
        </w:rPr>
      </w:pPr>
    </w:p>
    <w:p w14:paraId="1959BFE6">
      <w:pPr>
        <w:jc w:val="center"/>
        <w:outlineLvl w:val="0"/>
        <w:rPr>
          <w:rFonts w:hint="eastAsia" w:ascii="黑体" w:eastAsia="黑体"/>
          <w:bCs/>
          <w:color w:val="000000"/>
          <w:sz w:val="28"/>
          <w:szCs w:val="28"/>
          <w:highlight w:val="none"/>
        </w:rPr>
      </w:pPr>
    </w:p>
    <w:bookmarkEnd w:id="7"/>
    <w:p w14:paraId="43C4562D">
      <w:pPr>
        <w:tabs>
          <w:tab w:val="left" w:pos="525"/>
          <w:tab w:val="left" w:pos="1050"/>
        </w:tabs>
        <w:jc w:val="center"/>
        <w:rPr>
          <w:rFonts w:hint="eastAsia" w:ascii="宋体" w:hAnsi="Courier New"/>
          <w:b/>
          <w:bCs/>
          <w:sz w:val="36"/>
          <w:szCs w:val="36"/>
          <w:highlight w:val="none"/>
        </w:rPr>
      </w:pPr>
    </w:p>
    <w:p w14:paraId="4BCE9269">
      <w:pPr>
        <w:tabs>
          <w:tab w:val="left" w:pos="525"/>
          <w:tab w:val="left" w:pos="1050"/>
        </w:tabs>
        <w:jc w:val="center"/>
        <w:rPr>
          <w:rFonts w:hint="eastAsia" w:ascii="宋体" w:hAnsi="Courier New"/>
          <w:b/>
          <w:bCs/>
          <w:sz w:val="36"/>
          <w:szCs w:val="36"/>
          <w:highlight w:val="none"/>
        </w:rPr>
      </w:pPr>
    </w:p>
    <w:p w14:paraId="31A84413">
      <w:pPr>
        <w:tabs>
          <w:tab w:val="left" w:pos="525"/>
          <w:tab w:val="left" w:pos="1050"/>
        </w:tabs>
        <w:jc w:val="center"/>
        <w:rPr>
          <w:rFonts w:hint="eastAsia" w:ascii="宋体" w:hAnsi="Courier New"/>
          <w:b/>
          <w:bCs/>
          <w:sz w:val="36"/>
          <w:szCs w:val="36"/>
          <w:highlight w:val="none"/>
        </w:rPr>
      </w:pPr>
    </w:p>
    <w:p w14:paraId="651FF2D9">
      <w:pPr>
        <w:tabs>
          <w:tab w:val="left" w:pos="525"/>
          <w:tab w:val="left" w:pos="1050"/>
        </w:tabs>
        <w:jc w:val="center"/>
        <w:rPr>
          <w:rFonts w:hint="eastAsia" w:ascii="宋体" w:hAnsi="Courier New"/>
          <w:b/>
          <w:bCs/>
          <w:sz w:val="36"/>
          <w:szCs w:val="36"/>
          <w:highlight w:val="none"/>
        </w:rPr>
      </w:pPr>
      <w:r>
        <w:rPr>
          <w:rFonts w:hint="eastAsia" w:ascii="宋体" w:hAnsi="Courier New"/>
          <w:b/>
          <w:bCs/>
          <w:sz w:val="36"/>
          <w:szCs w:val="36"/>
          <w:highlight w:val="none"/>
        </w:rPr>
        <w:t>第六章 附件</w:t>
      </w:r>
    </w:p>
    <w:p w14:paraId="09623D03">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cs="宋体"/>
          <w:b/>
          <w:sz w:val="24"/>
          <w:szCs w:val="24"/>
          <w:highlight w:val="none"/>
        </w:rPr>
      </w:pPr>
      <w:r>
        <w:rPr>
          <w:rFonts w:hint="eastAsia" w:ascii="宋体" w:hAnsi="宋体" w:cs="宋体"/>
          <w:b/>
          <w:sz w:val="24"/>
          <w:szCs w:val="24"/>
          <w:highlight w:val="none"/>
        </w:rPr>
        <w:t>附件一：评分标准</w:t>
      </w:r>
    </w:p>
    <w:p w14:paraId="2311D9DE">
      <w:pPr>
        <w:keepNext w:val="0"/>
        <w:keepLines w:val="0"/>
        <w:pageBreakBefore w:val="0"/>
        <w:kinsoku/>
        <w:wordWrap/>
        <w:overflowPunct/>
        <w:topLinePunct w:val="0"/>
        <w:autoSpaceDE/>
        <w:autoSpaceDN/>
        <w:bidi w:val="0"/>
        <w:adjustRightInd/>
        <w:snapToGrid/>
        <w:spacing w:line="360" w:lineRule="auto"/>
        <w:ind w:firstLine="482"/>
        <w:jc w:val="left"/>
        <w:textAlignment w:val="auto"/>
        <w:rPr>
          <w:rFonts w:hint="eastAsia" w:ascii="宋体" w:hAnsi="宋体" w:cs="宋体"/>
          <w:b/>
          <w:bCs/>
          <w:sz w:val="24"/>
          <w:szCs w:val="24"/>
          <w:highlight w:val="none"/>
        </w:rPr>
      </w:pPr>
      <w:r>
        <w:rPr>
          <w:rFonts w:hint="eastAsia" w:ascii="宋体" w:hAnsi="宋体" w:cs="宋体"/>
          <w:b/>
          <w:bCs/>
          <w:sz w:val="24"/>
          <w:szCs w:val="24"/>
          <w:highlight w:val="none"/>
        </w:rPr>
        <w:t>（一）投标报价（</w:t>
      </w:r>
      <w:r>
        <w:rPr>
          <w:rFonts w:hint="eastAsia" w:ascii="宋体" w:hAnsi="宋体" w:cs="宋体"/>
          <w:b/>
          <w:bCs/>
          <w:sz w:val="24"/>
          <w:szCs w:val="24"/>
          <w:highlight w:val="none"/>
          <w:lang w:val="en-US" w:eastAsia="zh-CN"/>
        </w:rPr>
        <w:t>30</w:t>
      </w:r>
      <w:r>
        <w:rPr>
          <w:rFonts w:hint="eastAsia" w:ascii="宋体" w:hAnsi="宋体" w:cs="宋体"/>
          <w:b/>
          <w:bCs/>
          <w:sz w:val="24"/>
          <w:szCs w:val="24"/>
          <w:highlight w:val="none"/>
        </w:rPr>
        <w:t>分）</w:t>
      </w:r>
    </w:p>
    <w:p w14:paraId="136A2825">
      <w:pPr>
        <w:keepNext w:val="0"/>
        <w:keepLines w:val="0"/>
        <w:pageBreakBefore w:val="0"/>
        <w:tabs>
          <w:tab w:val="left" w:pos="945"/>
          <w:tab w:val="left" w:pos="1155"/>
        </w:tabs>
        <w:kinsoku/>
        <w:wordWrap/>
        <w:overflowPunct/>
        <w:topLinePunct w:val="0"/>
        <w:autoSpaceDE/>
        <w:autoSpaceDN/>
        <w:bidi w:val="0"/>
        <w:adjustRightInd/>
        <w:snapToGrid/>
        <w:spacing w:line="360" w:lineRule="auto"/>
        <w:ind w:firstLine="569"/>
        <w:textAlignment w:val="auto"/>
        <w:rPr>
          <w:rFonts w:hint="eastAsia" w:ascii="宋体" w:hAnsi="宋体" w:eastAsia="宋体" w:cs="宋体"/>
          <w:b w:val="0"/>
          <w:bCs/>
          <w:sz w:val="24"/>
          <w:highlight w:val="none"/>
        </w:rPr>
      </w:pPr>
      <w:r>
        <w:rPr>
          <w:rFonts w:hint="eastAsia" w:ascii="宋体" w:hAnsi="宋体" w:eastAsia="宋体" w:cs="宋体"/>
          <w:b w:val="0"/>
          <w:bCs/>
          <w:sz w:val="24"/>
          <w:highlight w:val="none"/>
        </w:rPr>
        <w:t>各投标供应商按照无锡市发展和改革委员会官网专题专栏中民生价费近期公示价格的平均价格的优惠率进行报价，本项目食材采购及配送费用设定最高折扣率：</w:t>
      </w:r>
      <w:r>
        <w:rPr>
          <w:rFonts w:hint="eastAsia" w:ascii="宋体" w:hAnsi="宋体" w:eastAsia="宋体" w:cs="宋体"/>
          <w:b w:val="0"/>
          <w:bCs/>
          <w:sz w:val="24"/>
          <w:highlight w:val="none"/>
          <w:lang w:val="en-US" w:eastAsia="zh-CN"/>
        </w:rPr>
        <w:t>8</w:t>
      </w:r>
      <w:r>
        <w:rPr>
          <w:rFonts w:hint="eastAsia" w:ascii="宋体" w:hAnsi="宋体" w:eastAsia="宋体" w:cs="宋体"/>
          <w:b w:val="0"/>
          <w:bCs/>
          <w:sz w:val="24"/>
          <w:highlight w:val="none"/>
        </w:rPr>
        <w:t>0%（即优惠率不得低于</w:t>
      </w:r>
      <w:r>
        <w:rPr>
          <w:rFonts w:hint="eastAsia" w:ascii="宋体" w:hAnsi="宋体" w:eastAsia="宋体" w:cs="宋体"/>
          <w:b w:val="0"/>
          <w:bCs/>
          <w:sz w:val="24"/>
          <w:highlight w:val="none"/>
          <w:lang w:val="en-US" w:eastAsia="zh-CN"/>
        </w:rPr>
        <w:t>2</w:t>
      </w:r>
      <w:r>
        <w:rPr>
          <w:rFonts w:hint="eastAsia" w:ascii="宋体" w:hAnsi="宋体" w:eastAsia="宋体" w:cs="宋体"/>
          <w:b w:val="0"/>
          <w:bCs/>
          <w:sz w:val="24"/>
          <w:highlight w:val="none"/>
        </w:rPr>
        <w:t>0%），投标折扣率的数值不得高于</w:t>
      </w:r>
      <w:r>
        <w:rPr>
          <w:rFonts w:hint="eastAsia" w:ascii="宋体" w:hAnsi="宋体" w:eastAsia="宋体" w:cs="宋体"/>
          <w:b w:val="0"/>
          <w:bCs/>
          <w:sz w:val="24"/>
          <w:highlight w:val="none"/>
          <w:lang w:val="en-US" w:eastAsia="zh-CN"/>
        </w:rPr>
        <w:t>8</w:t>
      </w:r>
      <w:r>
        <w:rPr>
          <w:rFonts w:hint="eastAsia" w:ascii="宋体" w:hAnsi="宋体" w:eastAsia="宋体" w:cs="宋体"/>
          <w:b w:val="0"/>
          <w:bCs/>
          <w:sz w:val="24"/>
          <w:highlight w:val="none"/>
        </w:rPr>
        <w:t>0（即优惠率的数值不得低于</w:t>
      </w:r>
      <w:r>
        <w:rPr>
          <w:rFonts w:hint="eastAsia" w:ascii="宋体" w:hAnsi="宋体" w:eastAsia="宋体" w:cs="宋体"/>
          <w:b w:val="0"/>
          <w:bCs/>
          <w:sz w:val="24"/>
          <w:highlight w:val="none"/>
          <w:lang w:val="en-US" w:eastAsia="zh-CN"/>
        </w:rPr>
        <w:t>2</w:t>
      </w:r>
      <w:r>
        <w:rPr>
          <w:rFonts w:hint="eastAsia" w:ascii="宋体" w:hAnsi="宋体" w:eastAsia="宋体" w:cs="宋体"/>
          <w:b w:val="0"/>
          <w:bCs/>
          <w:sz w:val="24"/>
          <w:highlight w:val="none"/>
        </w:rPr>
        <w:t>0）（数值越小，让利越少），否则按无效投标处理。</w:t>
      </w:r>
    </w:p>
    <w:p w14:paraId="7D8D4635">
      <w:pPr>
        <w:keepNext w:val="0"/>
        <w:keepLines w:val="0"/>
        <w:pageBreakBefore w:val="0"/>
        <w:tabs>
          <w:tab w:val="left" w:pos="945"/>
          <w:tab w:val="left" w:pos="1155"/>
        </w:tabs>
        <w:kinsoku/>
        <w:wordWrap/>
        <w:overflowPunct/>
        <w:topLinePunct w:val="0"/>
        <w:autoSpaceDE/>
        <w:autoSpaceDN/>
        <w:bidi w:val="0"/>
        <w:adjustRightInd/>
        <w:snapToGrid/>
        <w:spacing w:line="360" w:lineRule="auto"/>
        <w:ind w:firstLine="569"/>
        <w:textAlignment w:val="auto"/>
        <w:rPr>
          <w:rFonts w:hint="eastAsia" w:ascii="宋体" w:hAnsi="宋体" w:eastAsia="宋体" w:cs="宋体"/>
          <w:b w:val="0"/>
          <w:bCs/>
          <w:sz w:val="24"/>
          <w:highlight w:val="none"/>
        </w:rPr>
      </w:pPr>
      <w:r>
        <w:rPr>
          <w:rFonts w:hint="eastAsia" w:ascii="宋体" w:hAnsi="宋体" w:eastAsia="宋体" w:cs="宋体"/>
          <w:b w:val="0"/>
          <w:bCs/>
          <w:sz w:val="24"/>
          <w:highlight w:val="none"/>
        </w:rPr>
        <w:t>商品结算价=商品单价*折扣率（1－优惠率）。假设商品单价为100元，当优惠率为11%（即折扣率89%），则结算时该商品单价为89元；优惠率为12%（即折扣率88%），则结算时该商品单价为88元，以此类推。</w:t>
      </w:r>
    </w:p>
    <w:p w14:paraId="5DEF9BF8">
      <w:pPr>
        <w:keepNext w:val="0"/>
        <w:keepLines w:val="0"/>
        <w:pageBreakBefore w:val="0"/>
        <w:tabs>
          <w:tab w:val="left" w:pos="945"/>
          <w:tab w:val="left" w:pos="1155"/>
        </w:tabs>
        <w:kinsoku/>
        <w:wordWrap/>
        <w:overflowPunct/>
        <w:topLinePunct w:val="0"/>
        <w:autoSpaceDE/>
        <w:autoSpaceDN/>
        <w:bidi w:val="0"/>
        <w:adjustRightInd/>
        <w:snapToGrid/>
        <w:spacing w:line="360" w:lineRule="auto"/>
        <w:ind w:firstLine="569"/>
        <w:textAlignment w:val="auto"/>
        <w:rPr>
          <w:rFonts w:hint="eastAsia" w:ascii="宋体" w:hAnsi="宋体" w:eastAsia="宋体" w:cs="宋体"/>
          <w:b w:val="0"/>
          <w:bCs/>
          <w:sz w:val="24"/>
          <w:highlight w:val="none"/>
        </w:rPr>
      </w:pPr>
      <w:r>
        <w:rPr>
          <w:rFonts w:hint="eastAsia" w:ascii="宋体" w:hAnsi="宋体" w:eastAsia="宋体" w:cs="宋体"/>
          <w:b w:val="0"/>
          <w:bCs/>
          <w:sz w:val="24"/>
          <w:highlight w:val="none"/>
        </w:rPr>
        <w:t>采用低价优先法计算，即满足招标文件要求且（1-报价优惠率）最低的为评标基准价，其价格分为满分。其他投标供应商的价格分统一按照下列公式计算：</w:t>
      </w:r>
    </w:p>
    <w:p w14:paraId="742248DA">
      <w:pPr>
        <w:keepNext w:val="0"/>
        <w:keepLines w:val="0"/>
        <w:pageBreakBefore w:val="0"/>
        <w:tabs>
          <w:tab w:val="left" w:pos="945"/>
          <w:tab w:val="left" w:pos="1155"/>
        </w:tabs>
        <w:kinsoku/>
        <w:wordWrap/>
        <w:overflowPunct/>
        <w:topLinePunct w:val="0"/>
        <w:autoSpaceDE/>
        <w:autoSpaceDN/>
        <w:bidi w:val="0"/>
        <w:adjustRightInd/>
        <w:snapToGrid/>
        <w:spacing w:line="360" w:lineRule="auto"/>
        <w:ind w:firstLine="569"/>
        <w:textAlignment w:val="auto"/>
        <w:rPr>
          <w:rFonts w:hint="eastAsia" w:ascii="宋体" w:hAnsi="宋体" w:eastAsia="宋体" w:cs="宋体"/>
          <w:b w:val="0"/>
          <w:bCs/>
          <w:sz w:val="24"/>
          <w:highlight w:val="none"/>
        </w:rPr>
      </w:pPr>
      <w:r>
        <w:rPr>
          <w:rFonts w:hint="eastAsia" w:ascii="宋体" w:hAnsi="宋体" w:eastAsia="宋体" w:cs="宋体"/>
          <w:b w:val="0"/>
          <w:bCs/>
          <w:sz w:val="24"/>
          <w:highlight w:val="none"/>
        </w:rPr>
        <w:t>投标报价得分=【评标基准价／（1-报价优惠率）】×价格权值×100（保留两位小数）。</w:t>
      </w:r>
    </w:p>
    <w:p w14:paraId="3C5B2510">
      <w:pPr>
        <w:keepNext w:val="0"/>
        <w:keepLines w:val="0"/>
        <w:pageBreakBefore w:val="0"/>
        <w:tabs>
          <w:tab w:val="left" w:pos="945"/>
          <w:tab w:val="left" w:pos="1155"/>
        </w:tabs>
        <w:kinsoku/>
        <w:wordWrap/>
        <w:overflowPunct/>
        <w:topLinePunct w:val="0"/>
        <w:autoSpaceDE/>
        <w:autoSpaceDN/>
        <w:bidi w:val="0"/>
        <w:adjustRightInd/>
        <w:snapToGrid/>
        <w:spacing w:line="360" w:lineRule="auto"/>
        <w:ind w:firstLine="569"/>
        <w:textAlignment w:val="auto"/>
        <w:rPr>
          <w:rFonts w:hint="eastAsia" w:ascii="宋体" w:hAnsi="宋体"/>
          <w:b/>
          <w:bCs/>
          <w:sz w:val="24"/>
          <w:szCs w:val="24"/>
          <w:highlight w:val="none"/>
        </w:rPr>
      </w:pPr>
      <w:r>
        <w:rPr>
          <w:rFonts w:hint="eastAsia" w:ascii="宋体" w:hAnsi="宋体" w:cs="宋体"/>
          <w:b/>
          <w:sz w:val="24"/>
          <w:highlight w:val="none"/>
        </w:rPr>
        <w:t>评标委员会认为投标供应商的报价</w:t>
      </w:r>
      <w:r>
        <w:rPr>
          <w:rFonts w:hint="eastAsia" w:ascii="宋体" w:hAnsi="宋体" w:cs="宋体"/>
          <w:b/>
          <w:sz w:val="24"/>
          <w:highlight w:val="none"/>
          <w:lang w:val="en-US" w:eastAsia="zh-CN"/>
        </w:rPr>
        <w:t>优惠</w:t>
      </w:r>
      <w:r>
        <w:rPr>
          <w:rFonts w:hint="eastAsia" w:ascii="宋体" w:hAnsi="宋体" w:cs="宋体"/>
          <w:b/>
          <w:sz w:val="24"/>
          <w:highlight w:val="none"/>
        </w:rPr>
        <w:t>率明显</w:t>
      </w:r>
      <w:r>
        <w:rPr>
          <w:rFonts w:hint="eastAsia" w:ascii="宋体" w:hAnsi="宋体" w:cs="宋体"/>
          <w:b/>
          <w:sz w:val="24"/>
          <w:highlight w:val="none"/>
          <w:lang w:val="en-US" w:eastAsia="zh-CN"/>
        </w:rPr>
        <w:t>高</w:t>
      </w:r>
      <w:r>
        <w:rPr>
          <w:rFonts w:hint="eastAsia" w:ascii="宋体" w:hAnsi="宋体" w:cs="宋体"/>
          <w:b/>
          <w:sz w:val="24"/>
          <w:highlight w:val="none"/>
        </w:rPr>
        <w:t>于其他通过符合性审</w:t>
      </w:r>
      <w:r>
        <w:rPr>
          <w:rFonts w:hint="eastAsia" w:ascii="宋体" w:hAnsi="宋体" w:cs="宋体"/>
          <w:b/>
          <w:sz w:val="24"/>
          <w:highlight w:val="none"/>
          <w:lang w:eastAsia="zh-CN"/>
        </w:rPr>
        <w:t>查的</w:t>
      </w:r>
      <w:r>
        <w:rPr>
          <w:rFonts w:hint="eastAsia" w:ascii="宋体" w:hAnsi="宋体" w:cs="宋体"/>
          <w:b/>
          <w:sz w:val="24"/>
          <w:highlight w:val="none"/>
        </w:rPr>
        <w:t>投标供应商的报价优惠率，有可能影响产品质量或者不能诚信履约的，将要求其在评标现场合理的时间内提供书面说明，必要时提交相关证明材料；投标供应商不能证明其报价</w:t>
      </w:r>
      <w:r>
        <w:rPr>
          <w:rFonts w:hint="eastAsia" w:ascii="宋体" w:hAnsi="宋体" w:cs="宋体"/>
          <w:b/>
          <w:sz w:val="24"/>
          <w:highlight w:val="none"/>
          <w:lang w:val="en-US" w:eastAsia="zh-CN"/>
        </w:rPr>
        <w:t>优惠</w:t>
      </w:r>
      <w:r>
        <w:rPr>
          <w:rFonts w:hint="eastAsia" w:ascii="宋体" w:hAnsi="宋体" w:cs="宋体"/>
          <w:b/>
          <w:sz w:val="24"/>
          <w:highlight w:val="none"/>
        </w:rPr>
        <w:t>率合理性的，评标委员会将其作为无效投标处理。</w:t>
      </w:r>
    </w:p>
    <w:p w14:paraId="4A8491FC">
      <w:pPr>
        <w:pStyle w:val="295"/>
        <w:keepNext w:val="0"/>
        <w:keepLines w:val="0"/>
        <w:pageBreakBefore w:val="0"/>
        <w:kinsoku/>
        <w:wordWrap/>
        <w:overflowPunct/>
        <w:topLinePunct w:val="0"/>
        <w:autoSpaceDE/>
        <w:autoSpaceDN/>
        <w:bidi w:val="0"/>
        <w:adjustRightInd/>
        <w:snapToGrid/>
        <w:spacing w:line="360" w:lineRule="auto"/>
        <w:ind w:firstLine="482"/>
        <w:jc w:val="left"/>
        <w:textAlignment w:val="auto"/>
        <w:rPr>
          <w:rFonts w:hint="eastAsia" w:ascii="宋体" w:hAnsi="宋体" w:cs="宋体"/>
          <w:b/>
          <w:sz w:val="24"/>
          <w:szCs w:val="24"/>
          <w:highlight w:val="none"/>
        </w:rPr>
      </w:pPr>
      <w:r>
        <w:rPr>
          <w:rFonts w:hint="eastAsia" w:ascii="宋体" w:hAnsi="宋体" w:cs="宋体"/>
          <w:b/>
          <w:sz w:val="24"/>
          <w:szCs w:val="24"/>
          <w:highlight w:val="none"/>
        </w:rPr>
        <w:t>（二）</w:t>
      </w:r>
      <w:r>
        <w:rPr>
          <w:rFonts w:hint="eastAsia" w:ascii="宋体" w:hAnsi="宋体" w:cs="宋体"/>
          <w:b/>
          <w:bCs/>
          <w:sz w:val="24"/>
          <w:szCs w:val="24"/>
          <w:highlight w:val="none"/>
        </w:rPr>
        <w:t>供应商评价</w:t>
      </w:r>
      <w:r>
        <w:rPr>
          <w:rFonts w:hint="eastAsia" w:ascii="宋体" w:hAnsi="宋体" w:cs="宋体"/>
          <w:b/>
          <w:sz w:val="24"/>
          <w:szCs w:val="24"/>
          <w:highlight w:val="none"/>
        </w:rPr>
        <w:t>（</w:t>
      </w:r>
      <w:r>
        <w:rPr>
          <w:rFonts w:hint="eastAsia" w:ascii="宋体" w:hAnsi="宋体" w:cs="宋体"/>
          <w:b/>
          <w:sz w:val="24"/>
          <w:szCs w:val="24"/>
          <w:highlight w:val="none"/>
          <w:lang w:val="en-US" w:eastAsia="zh-CN"/>
        </w:rPr>
        <w:t>20</w:t>
      </w:r>
      <w:r>
        <w:rPr>
          <w:rFonts w:hint="eastAsia" w:ascii="宋体" w:hAnsi="宋体" w:cs="宋体"/>
          <w:b/>
          <w:sz w:val="24"/>
          <w:szCs w:val="24"/>
          <w:highlight w:val="none"/>
        </w:rPr>
        <w:t>分）</w:t>
      </w:r>
    </w:p>
    <w:p w14:paraId="0CEDDF34">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cs="宋体"/>
          <w:b/>
          <w:bCs/>
          <w:sz w:val="24"/>
          <w:szCs w:val="24"/>
          <w:highlight w:val="none"/>
        </w:rPr>
      </w:pPr>
      <w:r>
        <w:rPr>
          <w:rFonts w:hint="eastAsia" w:ascii="宋体" w:hAnsi="宋体" w:cs="宋体"/>
          <w:b/>
          <w:bCs/>
          <w:sz w:val="24"/>
          <w:szCs w:val="24"/>
          <w:highlight w:val="none"/>
        </w:rPr>
        <w:t>1、设备设施（8分）</w:t>
      </w:r>
    </w:p>
    <w:p w14:paraId="381C152E">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cs="宋体"/>
          <w:sz w:val="24"/>
          <w:szCs w:val="24"/>
          <w:highlight w:val="none"/>
        </w:rPr>
      </w:pPr>
      <w:r>
        <w:rPr>
          <w:rFonts w:hint="eastAsia" w:ascii="宋体" w:hAnsi="宋体" w:cs="宋体"/>
          <w:sz w:val="24"/>
          <w:szCs w:val="24"/>
          <w:highlight w:val="none"/>
        </w:rPr>
        <w:t>（1）功能区域（3分）</w:t>
      </w:r>
    </w:p>
    <w:p w14:paraId="254F9326">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cs="宋体"/>
          <w:sz w:val="24"/>
          <w:szCs w:val="24"/>
          <w:highlight w:val="none"/>
        </w:rPr>
      </w:pPr>
      <w:r>
        <w:rPr>
          <w:rFonts w:hint="eastAsia" w:ascii="宋体" w:hAnsi="宋体" w:cs="宋体"/>
          <w:sz w:val="24"/>
          <w:szCs w:val="24"/>
          <w:highlight w:val="none"/>
        </w:rPr>
        <w:t>投标供应商配套设施中包括但不限于洗手更衣区、筐箱清洗及消毒区、蔬菜分拣区、冷藏区、物资分发区、车辆装卸场地、防鼠防蝇及消毒设施等。满足上述任意一项得0.5分，本项最高3分。（提供场地布局图及现场照片扫描件并电子签章上传至投标文件中，不提供或提供不全不得分。）</w:t>
      </w:r>
    </w:p>
    <w:p w14:paraId="1222AA98">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cs="宋体"/>
          <w:sz w:val="24"/>
          <w:szCs w:val="24"/>
          <w:highlight w:val="none"/>
        </w:rPr>
      </w:pPr>
      <w:r>
        <w:rPr>
          <w:rFonts w:hint="eastAsia" w:ascii="宋体" w:hAnsi="宋体" w:cs="宋体"/>
          <w:sz w:val="24"/>
          <w:szCs w:val="24"/>
          <w:highlight w:val="none"/>
        </w:rPr>
        <w:t>（2）运输车辆（3分）</w:t>
      </w:r>
    </w:p>
    <w:p w14:paraId="17AE0841">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cs="宋体"/>
          <w:sz w:val="24"/>
          <w:szCs w:val="24"/>
          <w:highlight w:val="none"/>
        </w:rPr>
      </w:pPr>
      <w:r>
        <w:rPr>
          <w:rFonts w:hint="eastAsia" w:ascii="宋体" w:hAnsi="宋体" w:cs="宋体"/>
          <w:sz w:val="24"/>
          <w:szCs w:val="24"/>
          <w:highlight w:val="none"/>
        </w:rPr>
        <w:t>投标供应商在满足本项目采购需求的基础上，针对本项目所投入的冷链运输车每增加1辆得1分，最高得3分。（提供车辆图片扫描件、车辆行驶证扫描件、购买发票或租赁协议（须在有效期内）扫描件并电子签章上传至投标文件中，不提供或提供不全不得分。）</w:t>
      </w:r>
    </w:p>
    <w:p w14:paraId="48ABA362">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cs="宋体"/>
          <w:sz w:val="24"/>
          <w:szCs w:val="24"/>
          <w:highlight w:val="none"/>
        </w:rPr>
      </w:pPr>
      <w:r>
        <w:rPr>
          <w:rFonts w:hint="eastAsia" w:ascii="宋体" w:hAnsi="宋体" w:cs="宋体"/>
          <w:sz w:val="24"/>
          <w:szCs w:val="24"/>
          <w:highlight w:val="none"/>
        </w:rPr>
        <w:t>（3）农药残留（2分）</w:t>
      </w:r>
    </w:p>
    <w:p w14:paraId="309B2BFD">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cs="宋体"/>
          <w:sz w:val="24"/>
          <w:szCs w:val="24"/>
          <w:highlight w:val="none"/>
        </w:rPr>
      </w:pPr>
      <w:r>
        <w:rPr>
          <w:rFonts w:hint="eastAsia" w:ascii="宋体" w:hAnsi="宋体" w:cs="宋体"/>
          <w:sz w:val="24"/>
          <w:szCs w:val="24"/>
          <w:highlight w:val="none"/>
        </w:rPr>
        <w:t>投标供应商具备蔬菜农残检测室的得2分。（提供检测室相关证明依据扫描件并电子签章上传至投标文件中，不提供或提供不全不得分。）</w:t>
      </w:r>
    </w:p>
    <w:p w14:paraId="12C30738">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cs="宋体"/>
          <w:b/>
          <w:bCs/>
          <w:sz w:val="24"/>
          <w:szCs w:val="24"/>
          <w:highlight w:val="none"/>
        </w:rPr>
      </w:pPr>
      <w:r>
        <w:rPr>
          <w:rFonts w:hint="eastAsia" w:ascii="宋体" w:hAnsi="宋体" w:cs="宋体"/>
          <w:b/>
          <w:bCs/>
          <w:sz w:val="24"/>
          <w:szCs w:val="24"/>
          <w:highlight w:val="none"/>
        </w:rPr>
        <w:t>2、业绩 （</w:t>
      </w:r>
      <w:r>
        <w:rPr>
          <w:rFonts w:hint="eastAsia" w:ascii="宋体" w:hAnsi="宋体" w:cs="宋体"/>
          <w:b/>
          <w:bCs/>
          <w:sz w:val="24"/>
          <w:szCs w:val="24"/>
          <w:highlight w:val="none"/>
          <w:lang w:val="en-US" w:eastAsia="zh-CN"/>
        </w:rPr>
        <w:t>5</w:t>
      </w:r>
      <w:r>
        <w:rPr>
          <w:rFonts w:hint="eastAsia" w:ascii="宋体" w:hAnsi="宋体" w:cs="宋体"/>
          <w:b/>
          <w:bCs/>
          <w:sz w:val="24"/>
          <w:szCs w:val="24"/>
          <w:highlight w:val="none"/>
        </w:rPr>
        <w:t>分）</w:t>
      </w:r>
    </w:p>
    <w:p w14:paraId="5C18E145">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s="宋体"/>
          <w:bCs/>
          <w:sz w:val="24"/>
          <w:szCs w:val="24"/>
          <w:highlight w:val="none"/>
        </w:rPr>
      </w:pPr>
      <w:r>
        <w:rPr>
          <w:rFonts w:hint="eastAsia" w:ascii="宋体" w:hAnsi="宋体" w:cs="宋体"/>
          <w:bCs/>
          <w:sz w:val="24"/>
          <w:szCs w:val="24"/>
          <w:highlight w:val="none"/>
        </w:rPr>
        <w:t>投标供应商202</w:t>
      </w:r>
      <w:r>
        <w:rPr>
          <w:rFonts w:hint="eastAsia" w:ascii="宋体" w:hAnsi="宋体" w:cs="宋体"/>
          <w:bCs/>
          <w:sz w:val="24"/>
          <w:szCs w:val="24"/>
          <w:highlight w:val="none"/>
          <w:lang w:val="en-US" w:eastAsia="zh-CN"/>
        </w:rPr>
        <w:t>2</w:t>
      </w:r>
      <w:r>
        <w:rPr>
          <w:rFonts w:hint="eastAsia" w:ascii="宋体" w:hAnsi="宋体" w:cs="宋体"/>
          <w:bCs/>
          <w:sz w:val="24"/>
          <w:szCs w:val="24"/>
          <w:highlight w:val="none"/>
        </w:rPr>
        <w:t>年1月1日以来完成过与本项目相关内容业绩的，有1个得2</w:t>
      </w:r>
      <w:r>
        <w:rPr>
          <w:rFonts w:hint="eastAsia" w:ascii="宋体" w:hAnsi="宋体" w:cs="宋体"/>
          <w:bCs/>
          <w:sz w:val="24"/>
          <w:szCs w:val="24"/>
          <w:highlight w:val="none"/>
          <w:lang w:val="en-US" w:eastAsia="zh-CN"/>
        </w:rPr>
        <w:t>.5</w:t>
      </w:r>
      <w:r>
        <w:rPr>
          <w:rFonts w:hint="eastAsia" w:ascii="宋体" w:hAnsi="宋体" w:cs="宋体"/>
          <w:bCs/>
          <w:sz w:val="24"/>
          <w:szCs w:val="24"/>
          <w:highlight w:val="none"/>
        </w:rPr>
        <w:t>分，最高得</w:t>
      </w:r>
      <w:r>
        <w:rPr>
          <w:rFonts w:hint="eastAsia" w:ascii="宋体" w:hAnsi="宋体" w:cs="宋体"/>
          <w:bCs/>
          <w:sz w:val="24"/>
          <w:szCs w:val="24"/>
          <w:highlight w:val="none"/>
          <w:lang w:val="en-US" w:eastAsia="zh-CN"/>
        </w:rPr>
        <w:t>5</w:t>
      </w:r>
      <w:r>
        <w:rPr>
          <w:rFonts w:hint="eastAsia" w:ascii="宋体" w:hAnsi="宋体" w:cs="宋体"/>
          <w:bCs/>
          <w:sz w:val="24"/>
          <w:szCs w:val="24"/>
          <w:highlight w:val="none"/>
        </w:rPr>
        <w:t>分。（以合同签订时间为准，提供业绩合同扫描件并电子签章上传至投标文件中，不提供不得分。）</w:t>
      </w:r>
    </w:p>
    <w:p w14:paraId="57045B86">
      <w:pPr>
        <w:keepNext w:val="0"/>
        <w:keepLines w:val="0"/>
        <w:pageBreakBefore w:val="0"/>
        <w:kinsoku/>
        <w:wordWrap/>
        <w:overflowPunct/>
        <w:topLinePunct w:val="0"/>
        <w:autoSpaceDE/>
        <w:autoSpaceDN/>
        <w:bidi w:val="0"/>
        <w:adjustRightInd/>
        <w:snapToGrid/>
        <w:spacing w:line="360" w:lineRule="auto"/>
        <w:ind w:firstLine="422"/>
        <w:textAlignment w:val="auto"/>
        <w:rPr>
          <w:rFonts w:hint="eastAsia" w:ascii="宋体" w:hAnsi="宋体" w:cs="宋体"/>
          <w:b/>
          <w:bCs/>
          <w:sz w:val="24"/>
          <w:szCs w:val="24"/>
          <w:highlight w:val="none"/>
        </w:rPr>
      </w:pPr>
      <w:r>
        <w:rPr>
          <w:rFonts w:hint="eastAsia" w:ascii="宋体" w:hAnsi="宋体" w:cs="宋体"/>
          <w:b/>
          <w:bCs/>
          <w:sz w:val="24"/>
          <w:szCs w:val="24"/>
          <w:highlight w:val="none"/>
        </w:rPr>
        <w:t>3、荣誉奖项（2分）</w:t>
      </w:r>
    </w:p>
    <w:p w14:paraId="6D36BD59">
      <w:pPr>
        <w:pStyle w:val="295"/>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cs="宋体"/>
          <w:sz w:val="24"/>
          <w:szCs w:val="24"/>
          <w:highlight w:val="none"/>
        </w:rPr>
      </w:pPr>
      <w:r>
        <w:rPr>
          <w:rFonts w:hint="eastAsia" w:ascii="宋体" w:hAnsi="宋体" w:cs="宋体"/>
          <w:sz w:val="24"/>
          <w:szCs w:val="24"/>
          <w:highlight w:val="none"/>
        </w:rPr>
        <w:t>投标供应商自2022年1月1日以来获得过与本项目相关内容的省级及以上奖项的，有1个得2分；获得过与本项目相关内容的市级奖项的，有1个得1分；本项最高得2分。（荣誉奖项证明资料扫描件并电子签章上传至投标文件中，不提供不得分。）</w:t>
      </w:r>
    </w:p>
    <w:p w14:paraId="0B612B85">
      <w:pPr>
        <w:pStyle w:val="295"/>
        <w:keepNext w:val="0"/>
        <w:keepLines w:val="0"/>
        <w:pageBreakBefore w:val="0"/>
        <w:kinsoku/>
        <w:wordWrap/>
        <w:overflowPunct/>
        <w:topLinePunct w:val="0"/>
        <w:autoSpaceDE/>
        <w:autoSpaceDN/>
        <w:bidi w:val="0"/>
        <w:adjustRightInd/>
        <w:snapToGrid/>
        <w:spacing w:line="360" w:lineRule="auto"/>
        <w:ind w:firstLine="482"/>
        <w:jc w:val="left"/>
        <w:textAlignment w:val="auto"/>
        <w:rPr>
          <w:rFonts w:hint="eastAsia" w:ascii="宋体" w:hAnsi="宋体" w:cs="宋体"/>
          <w:sz w:val="24"/>
          <w:szCs w:val="24"/>
          <w:highlight w:val="none"/>
        </w:rPr>
      </w:pPr>
      <w:r>
        <w:rPr>
          <w:rFonts w:hint="eastAsia" w:ascii="宋体" w:hAnsi="宋体" w:cs="宋体"/>
          <w:b/>
          <w:bCs/>
          <w:sz w:val="24"/>
          <w:szCs w:val="24"/>
          <w:highlight w:val="none"/>
        </w:rPr>
        <w:t>4、食品安全责任险（2分）</w:t>
      </w:r>
    </w:p>
    <w:p w14:paraId="01FCBF3E">
      <w:pPr>
        <w:pStyle w:val="295"/>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cs="宋体"/>
          <w:sz w:val="24"/>
          <w:szCs w:val="24"/>
          <w:highlight w:val="none"/>
        </w:rPr>
      </w:pPr>
      <w:r>
        <w:rPr>
          <w:rFonts w:hint="eastAsia" w:ascii="宋体" w:hAnsi="宋体" w:cs="宋体"/>
          <w:sz w:val="24"/>
          <w:szCs w:val="24"/>
          <w:highlight w:val="none"/>
        </w:rPr>
        <w:t>投标供应商投保食品安全责任险（有效期内），保险金额＞5000万元的得2分；保险金额≤5000万元的得1分。（提供有效的保单证明材料扫描件并电子签章上传至投标文件中，不提供或提供不全不得分）</w:t>
      </w:r>
    </w:p>
    <w:p w14:paraId="1406A364">
      <w:pPr>
        <w:pStyle w:val="295"/>
        <w:keepNext w:val="0"/>
        <w:keepLines w:val="0"/>
        <w:pageBreakBefore w:val="0"/>
        <w:kinsoku/>
        <w:wordWrap/>
        <w:overflowPunct/>
        <w:topLinePunct w:val="0"/>
        <w:autoSpaceDE/>
        <w:autoSpaceDN/>
        <w:bidi w:val="0"/>
        <w:adjustRightInd/>
        <w:snapToGrid/>
        <w:spacing w:line="360" w:lineRule="auto"/>
        <w:ind w:firstLine="482"/>
        <w:jc w:val="left"/>
        <w:textAlignment w:val="auto"/>
        <w:rPr>
          <w:rFonts w:hint="eastAsia" w:ascii="宋体" w:hAnsi="宋体" w:cs="宋体"/>
          <w:b/>
          <w:bCs/>
          <w:sz w:val="24"/>
          <w:szCs w:val="24"/>
          <w:highlight w:val="none"/>
        </w:rPr>
      </w:pPr>
      <w:r>
        <w:rPr>
          <w:rFonts w:hint="eastAsia" w:ascii="宋体" w:hAnsi="宋体" w:cs="宋体"/>
          <w:b/>
          <w:bCs/>
          <w:sz w:val="24"/>
          <w:szCs w:val="24"/>
          <w:highlight w:val="none"/>
        </w:rPr>
        <w:t>5、认证证书（3分）</w:t>
      </w:r>
    </w:p>
    <w:p w14:paraId="1098FFB1">
      <w:pPr>
        <w:pStyle w:val="295"/>
        <w:keepNext w:val="0"/>
        <w:keepLines w:val="0"/>
        <w:pageBreakBefore w:val="0"/>
        <w:kinsoku/>
        <w:wordWrap/>
        <w:overflowPunct/>
        <w:topLinePunct w:val="0"/>
        <w:autoSpaceDE/>
        <w:autoSpaceDN/>
        <w:bidi w:val="0"/>
        <w:adjustRightInd/>
        <w:snapToGrid/>
        <w:spacing w:line="360" w:lineRule="auto"/>
        <w:ind w:firstLine="480"/>
        <w:jc w:val="left"/>
        <w:textAlignment w:val="auto"/>
        <w:rPr>
          <w:rFonts w:ascii="宋体" w:hAnsi="宋体" w:cs="宋体"/>
          <w:sz w:val="24"/>
          <w:szCs w:val="24"/>
          <w:highlight w:val="none"/>
        </w:rPr>
      </w:pPr>
      <w:r>
        <w:rPr>
          <w:rFonts w:hint="eastAsia" w:ascii="宋体" w:hAnsi="宋体"/>
          <w:bCs/>
          <w:sz w:val="24"/>
          <w:highlight w:val="none"/>
        </w:rPr>
        <w:t>投标供应商具有有效期内的环境管理体系认证证书、职业健康安全管理体系认证证书、</w:t>
      </w:r>
      <w:r>
        <w:rPr>
          <w:rFonts w:hint="eastAsia" w:ascii="宋体" w:hAnsi="宋体" w:cs="Arial"/>
          <w:sz w:val="24"/>
          <w:highlight w:val="none"/>
        </w:rPr>
        <w:t>食品安全管理体系认证证书的，</w:t>
      </w:r>
      <w:r>
        <w:rPr>
          <w:rFonts w:hint="eastAsia" w:ascii="宋体" w:hAnsi="宋体"/>
          <w:bCs/>
          <w:sz w:val="24"/>
          <w:highlight w:val="none"/>
        </w:rPr>
        <w:t>有1个证书得1分，最高得3分。（提供证书扫描件并电子签章上传至投标文件中，不提供不得分）</w:t>
      </w:r>
    </w:p>
    <w:p w14:paraId="28E651DD">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cs="宋体"/>
          <w:b/>
          <w:bCs/>
          <w:sz w:val="24"/>
          <w:szCs w:val="24"/>
          <w:highlight w:val="none"/>
        </w:rPr>
      </w:pPr>
      <w:r>
        <w:rPr>
          <w:rFonts w:hint="eastAsia" w:ascii="宋体" w:hAnsi="宋体" w:cs="宋体"/>
          <w:b/>
          <w:bCs/>
          <w:sz w:val="24"/>
          <w:szCs w:val="24"/>
          <w:highlight w:val="none"/>
        </w:rPr>
        <w:t>（三）服务方案（</w:t>
      </w:r>
      <w:r>
        <w:rPr>
          <w:rFonts w:hint="eastAsia" w:ascii="宋体" w:hAnsi="宋体" w:cs="宋体"/>
          <w:b/>
          <w:bCs/>
          <w:sz w:val="24"/>
          <w:szCs w:val="24"/>
          <w:highlight w:val="none"/>
          <w:lang w:val="en-US" w:eastAsia="zh-CN"/>
        </w:rPr>
        <w:t>50</w:t>
      </w:r>
      <w:r>
        <w:rPr>
          <w:rFonts w:hint="eastAsia" w:ascii="宋体" w:hAnsi="宋体" w:cs="宋体"/>
          <w:b/>
          <w:bCs/>
          <w:sz w:val="24"/>
          <w:szCs w:val="24"/>
          <w:highlight w:val="none"/>
        </w:rPr>
        <w:t>分）</w:t>
      </w:r>
      <w:r>
        <w:rPr>
          <w:rFonts w:hint="eastAsia" w:ascii="宋体" w:hAnsi="宋体" w:cs="宋体"/>
          <w:b/>
          <w:bCs/>
          <w:sz w:val="24"/>
          <w:szCs w:val="24"/>
          <w:highlight w:val="none"/>
        </w:rPr>
        <w:br w:type="textWrapping"/>
      </w:r>
      <w:r>
        <w:rPr>
          <w:rFonts w:hint="eastAsia" w:ascii="宋体" w:hAnsi="宋体" w:cs="宋体"/>
          <w:b/>
          <w:bCs/>
          <w:sz w:val="24"/>
          <w:szCs w:val="24"/>
          <w:highlight w:val="none"/>
          <w:lang w:val="en-US" w:eastAsia="zh-CN"/>
        </w:rPr>
        <w:t>注：</w:t>
      </w:r>
      <w:r>
        <w:rPr>
          <w:rFonts w:hint="eastAsia" w:ascii="宋体" w:hAnsi="宋体" w:cs="宋体"/>
          <w:bCs/>
          <w:sz w:val="24"/>
          <w:szCs w:val="24"/>
          <w:highlight w:val="none"/>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50882E58">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cs="宋体"/>
          <w:bCs/>
          <w:sz w:val="24"/>
          <w:szCs w:val="24"/>
          <w:highlight w:val="none"/>
        </w:rPr>
      </w:pPr>
      <w:r>
        <w:rPr>
          <w:rFonts w:hint="eastAsia" w:ascii="宋体" w:hAnsi="宋体" w:cs="宋体"/>
          <w:bCs/>
          <w:sz w:val="24"/>
          <w:szCs w:val="24"/>
          <w:highlight w:val="none"/>
        </w:rPr>
        <w:t>（1）针对本项目所制定的服务方案、难点分析（8分）：</w:t>
      </w:r>
    </w:p>
    <w:p w14:paraId="4B197B35">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cs="宋体"/>
          <w:bCs/>
          <w:sz w:val="24"/>
          <w:szCs w:val="24"/>
          <w:highlight w:val="none"/>
        </w:rPr>
      </w:pPr>
      <w:r>
        <w:rPr>
          <w:rFonts w:hint="eastAsia" w:ascii="宋体" w:hAnsi="宋体" w:cs="宋体"/>
          <w:bCs/>
          <w:sz w:val="24"/>
          <w:szCs w:val="24"/>
          <w:highlight w:val="none"/>
        </w:rPr>
        <w:t>投标人根据项目需求提供针对本项目所制定的服务方案、难点分析的描述，内容包括但不限于①制定的服务方案、②针对本项目难点分析等内容描述。要求方案阐述清晰、执行力强，难点分析全面。每有一项内容进行了描述且满足采购需求不存在瑕疵的得4分；以上内容存在1处瑕疵则该条得2分；以上内容存在2处瑕疵则该条得1分；未提供描述或不满足采购需求或内容存在3处及以上瑕疵该条得0分。</w:t>
      </w:r>
    </w:p>
    <w:p w14:paraId="773DDA6C">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cs="宋体"/>
          <w:bCs/>
          <w:sz w:val="24"/>
          <w:szCs w:val="24"/>
          <w:highlight w:val="none"/>
        </w:rPr>
      </w:pPr>
      <w:r>
        <w:rPr>
          <w:rFonts w:hint="eastAsia" w:ascii="宋体" w:hAnsi="宋体" w:cs="宋体"/>
          <w:bCs/>
          <w:sz w:val="24"/>
          <w:szCs w:val="24"/>
          <w:highlight w:val="none"/>
        </w:rPr>
        <w:t>（2）经营管理制度、日常管理制度、各岗位职责及配送业务操作流程规范制度（1</w:t>
      </w:r>
      <w:r>
        <w:rPr>
          <w:rFonts w:hint="eastAsia" w:ascii="宋体" w:hAnsi="宋体" w:cs="宋体"/>
          <w:bCs/>
          <w:sz w:val="24"/>
          <w:szCs w:val="24"/>
          <w:highlight w:val="none"/>
          <w:lang w:val="en-US" w:eastAsia="zh-CN"/>
        </w:rPr>
        <w:t>2</w:t>
      </w:r>
      <w:r>
        <w:rPr>
          <w:rFonts w:hint="eastAsia" w:ascii="宋体" w:hAnsi="宋体" w:cs="宋体"/>
          <w:bCs/>
          <w:sz w:val="24"/>
          <w:szCs w:val="24"/>
          <w:highlight w:val="none"/>
        </w:rPr>
        <w:t>分）：</w:t>
      </w:r>
    </w:p>
    <w:p w14:paraId="75B23407">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cs="宋体"/>
          <w:bCs/>
          <w:sz w:val="24"/>
          <w:szCs w:val="24"/>
          <w:highlight w:val="none"/>
        </w:rPr>
      </w:pPr>
      <w:r>
        <w:rPr>
          <w:rFonts w:hint="eastAsia" w:ascii="宋体" w:hAnsi="宋体" w:cs="宋体"/>
          <w:bCs/>
          <w:sz w:val="24"/>
          <w:szCs w:val="24"/>
          <w:highlight w:val="none"/>
        </w:rPr>
        <w:t>投标人根据项目需求提供对经营管理制度、日常管理制度及各岗位职责的描述，内容包括但不限于①经营管理制度、②日常管理制度、③各岗位职责、④配送业务操作流程规范制度。要求描述全面、详细，针对性强、可操作性强。每有一项内容进行了描述且满足采购需求不存在瑕疵的得</w:t>
      </w:r>
      <w:r>
        <w:rPr>
          <w:rFonts w:hint="eastAsia" w:ascii="宋体" w:hAnsi="宋体" w:cs="宋体"/>
          <w:bCs/>
          <w:sz w:val="24"/>
          <w:szCs w:val="24"/>
          <w:highlight w:val="none"/>
          <w:lang w:val="en-US" w:eastAsia="zh-CN"/>
        </w:rPr>
        <w:t>3</w:t>
      </w:r>
      <w:r>
        <w:rPr>
          <w:rFonts w:hint="eastAsia" w:ascii="宋体" w:hAnsi="宋体" w:cs="宋体"/>
          <w:bCs/>
          <w:sz w:val="24"/>
          <w:szCs w:val="24"/>
          <w:highlight w:val="none"/>
        </w:rPr>
        <w:t>分；以上内容存在1处瑕疵则该条得2分；以上内容存在2处瑕疵则该条得1分；未提供描述或不满足采购需求或内容存在3处及以上瑕疵该条得0分。</w:t>
      </w:r>
    </w:p>
    <w:p w14:paraId="1060ED6B">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cs="宋体"/>
          <w:bCs/>
          <w:sz w:val="24"/>
          <w:szCs w:val="24"/>
          <w:highlight w:val="none"/>
        </w:rPr>
      </w:pPr>
      <w:r>
        <w:rPr>
          <w:rFonts w:hint="eastAsia" w:ascii="宋体" w:hAnsi="宋体" w:cs="宋体"/>
          <w:bCs/>
          <w:sz w:val="24"/>
          <w:szCs w:val="24"/>
          <w:highlight w:val="none"/>
        </w:rPr>
        <w:t>（3）食材保障措施（1</w:t>
      </w:r>
      <w:r>
        <w:rPr>
          <w:rFonts w:hint="eastAsia" w:ascii="宋体" w:hAnsi="宋体" w:cs="宋体"/>
          <w:bCs/>
          <w:sz w:val="24"/>
          <w:szCs w:val="24"/>
          <w:highlight w:val="none"/>
          <w:lang w:val="en-US" w:eastAsia="zh-CN"/>
        </w:rPr>
        <w:t>2</w:t>
      </w:r>
      <w:r>
        <w:rPr>
          <w:rFonts w:hint="eastAsia" w:ascii="宋体" w:hAnsi="宋体" w:cs="宋体"/>
          <w:bCs/>
          <w:sz w:val="24"/>
          <w:szCs w:val="24"/>
          <w:highlight w:val="none"/>
        </w:rPr>
        <w:t>分）：</w:t>
      </w:r>
    </w:p>
    <w:p w14:paraId="34067BA0">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cs="宋体"/>
          <w:bCs/>
          <w:sz w:val="24"/>
          <w:szCs w:val="24"/>
          <w:highlight w:val="none"/>
        </w:rPr>
      </w:pPr>
      <w:r>
        <w:rPr>
          <w:rFonts w:hint="eastAsia" w:ascii="宋体" w:hAnsi="宋体" w:cs="宋体"/>
          <w:bCs/>
          <w:sz w:val="24"/>
          <w:szCs w:val="24"/>
          <w:highlight w:val="none"/>
        </w:rPr>
        <w:t>投标人根据项目需求提供对食材保障措施的描述，内容包括但不限于①食材安全保障措施、②食材质量保障措施、③食材配送及时保障措施、④运输安全保障措施等内容描述。要求措施详细、阐述清晰，实施性强。每有一项内容进行了描述且满足采购需求不存在瑕疵的得</w:t>
      </w:r>
      <w:r>
        <w:rPr>
          <w:rFonts w:hint="eastAsia" w:ascii="宋体" w:hAnsi="宋体" w:cs="宋体"/>
          <w:bCs/>
          <w:sz w:val="24"/>
          <w:szCs w:val="24"/>
          <w:highlight w:val="none"/>
          <w:lang w:val="en-US" w:eastAsia="zh-CN"/>
        </w:rPr>
        <w:t>3</w:t>
      </w:r>
      <w:r>
        <w:rPr>
          <w:rFonts w:hint="eastAsia" w:ascii="宋体" w:hAnsi="宋体" w:cs="宋体"/>
          <w:bCs/>
          <w:sz w:val="24"/>
          <w:szCs w:val="24"/>
          <w:highlight w:val="none"/>
        </w:rPr>
        <w:t>分；以上内容存在1处瑕疵则该条得2分；以上内容存在2处瑕疵则该条得1分；未提供描述或不满足采购需求或内容存在3处及以上瑕疵该条得0分。</w:t>
      </w:r>
    </w:p>
    <w:p w14:paraId="541662F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cs="宋体"/>
          <w:bCs/>
          <w:sz w:val="24"/>
          <w:szCs w:val="24"/>
          <w:highlight w:val="none"/>
        </w:rPr>
      </w:pPr>
      <w:r>
        <w:rPr>
          <w:rFonts w:hint="eastAsia" w:ascii="宋体" w:hAnsi="宋体" w:cs="宋体"/>
          <w:bCs/>
          <w:sz w:val="24"/>
          <w:szCs w:val="24"/>
          <w:highlight w:val="none"/>
        </w:rPr>
        <w:t>（4）服务过程中突发事件的应急措施（</w:t>
      </w:r>
      <w:r>
        <w:rPr>
          <w:rFonts w:hint="eastAsia" w:ascii="宋体" w:hAnsi="宋体" w:cs="宋体"/>
          <w:bCs/>
          <w:sz w:val="24"/>
          <w:szCs w:val="24"/>
          <w:highlight w:val="none"/>
          <w:lang w:val="en-US" w:eastAsia="zh-CN"/>
        </w:rPr>
        <w:t>8</w:t>
      </w:r>
      <w:r>
        <w:rPr>
          <w:rFonts w:hint="eastAsia" w:ascii="宋体" w:hAnsi="宋体" w:cs="宋体"/>
          <w:bCs/>
          <w:sz w:val="24"/>
          <w:szCs w:val="24"/>
          <w:highlight w:val="none"/>
        </w:rPr>
        <w:t>分）：</w:t>
      </w:r>
    </w:p>
    <w:p w14:paraId="0ABF8E8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cs="宋体"/>
          <w:bCs/>
          <w:sz w:val="24"/>
          <w:szCs w:val="24"/>
          <w:highlight w:val="none"/>
        </w:rPr>
      </w:pPr>
      <w:r>
        <w:rPr>
          <w:rFonts w:hint="eastAsia" w:ascii="宋体" w:hAnsi="宋体" w:cs="宋体"/>
          <w:bCs/>
          <w:sz w:val="24"/>
          <w:szCs w:val="24"/>
          <w:highlight w:val="none"/>
        </w:rPr>
        <w:t>投标人根据项目需求提供对服务过程中突发事件的应急措施的描述，内容包括但不限于①发生水电气短缺、人员触电、火灾、意外伤害、治安事件、机械人员伤亡、食物中毒等情况的应急措施、②应急情况发生后的整改措施等内容描述。要求理解和分析透彻、针对性强。每有一项内容进行了描述且满足采购需求不存在瑕疵的得4分；以上内容存在1处瑕疵则该条得2分；以上内容存在2处瑕疵则该条得1分；未提供描述或不满足采购需求或内容存在3处及以上瑕疵该条得0分。</w:t>
      </w:r>
    </w:p>
    <w:p w14:paraId="588E0690">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cs="宋体"/>
          <w:bCs/>
          <w:sz w:val="24"/>
          <w:szCs w:val="24"/>
          <w:highlight w:val="none"/>
        </w:rPr>
      </w:pPr>
      <w:r>
        <w:rPr>
          <w:rFonts w:hint="eastAsia" w:ascii="宋体" w:hAnsi="宋体" w:cs="宋体"/>
          <w:bCs/>
          <w:sz w:val="24"/>
          <w:szCs w:val="24"/>
          <w:highlight w:val="none"/>
        </w:rPr>
        <w:t>（5）售后服务方案（1</w:t>
      </w:r>
      <w:r>
        <w:rPr>
          <w:rFonts w:hint="eastAsia" w:ascii="宋体" w:hAnsi="宋体" w:cs="宋体"/>
          <w:bCs/>
          <w:sz w:val="24"/>
          <w:szCs w:val="24"/>
          <w:highlight w:val="none"/>
          <w:lang w:val="en-US" w:eastAsia="zh-CN"/>
        </w:rPr>
        <w:t>0</w:t>
      </w:r>
      <w:r>
        <w:rPr>
          <w:rFonts w:hint="eastAsia" w:ascii="宋体" w:hAnsi="宋体" w:cs="宋体"/>
          <w:bCs/>
          <w:sz w:val="24"/>
          <w:szCs w:val="24"/>
          <w:highlight w:val="none"/>
        </w:rPr>
        <w:t>分）：</w:t>
      </w:r>
    </w:p>
    <w:p w14:paraId="604F3976">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cs="宋体"/>
          <w:bCs/>
          <w:sz w:val="24"/>
          <w:szCs w:val="24"/>
          <w:highlight w:val="none"/>
        </w:rPr>
      </w:pPr>
      <w:r>
        <w:rPr>
          <w:rFonts w:hint="eastAsia" w:ascii="宋体" w:hAnsi="宋体" w:cs="宋体"/>
          <w:bCs/>
          <w:sz w:val="24"/>
          <w:szCs w:val="24"/>
          <w:highlight w:val="none"/>
        </w:rPr>
        <w:t>投标人根据项目需求提供对售后服务方案的描述包括但不限于①售后服务计划、②在货物质量问题退换货的服务计划、措施、③卫生防疫方面服务计划、措施、④其他售后服务计划、措施。每有一项内容进行了描述且满足采购需求不存在瑕疵的得</w:t>
      </w:r>
      <w:r>
        <w:rPr>
          <w:rFonts w:hint="eastAsia" w:ascii="宋体" w:hAnsi="宋体" w:cs="宋体"/>
          <w:bCs/>
          <w:sz w:val="24"/>
          <w:szCs w:val="24"/>
          <w:highlight w:val="none"/>
          <w:lang w:val="en-US" w:eastAsia="zh-CN"/>
        </w:rPr>
        <w:t>2.5</w:t>
      </w:r>
      <w:r>
        <w:rPr>
          <w:rFonts w:hint="eastAsia" w:ascii="宋体" w:hAnsi="宋体" w:cs="宋体"/>
          <w:bCs/>
          <w:sz w:val="24"/>
          <w:szCs w:val="24"/>
          <w:highlight w:val="none"/>
        </w:rPr>
        <w:t>分；以上内容存在1处瑕疵则该条得2分；以上内容存在2处瑕疵则该条得1分；未提供描述或不满足采购需求或内容存在3处及以上瑕疵该条得0分。</w:t>
      </w:r>
    </w:p>
    <w:p w14:paraId="362738B5">
      <w:pPr>
        <w:pStyle w:val="257"/>
        <w:ind w:firstLine="211"/>
        <w:rPr>
          <w:rFonts w:hint="eastAsia"/>
          <w:highlight w:val="none"/>
        </w:rPr>
      </w:pPr>
    </w:p>
    <w:p w14:paraId="1B96244C">
      <w:p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lang w:val="en-US" w:eastAsia="zh-CN"/>
        </w:rPr>
      </w:pPr>
    </w:p>
    <w:p w14:paraId="27F5F726">
      <w:p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lang w:val="en-US" w:eastAsia="zh-CN"/>
        </w:rPr>
      </w:pPr>
    </w:p>
    <w:p w14:paraId="2D33E01A">
      <w:p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lang w:val="en-US" w:eastAsia="zh-CN"/>
        </w:rPr>
      </w:pPr>
    </w:p>
    <w:p w14:paraId="474808AA">
      <w:p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lang w:val="en-US" w:eastAsia="zh-CN"/>
        </w:rPr>
      </w:pPr>
    </w:p>
    <w:p w14:paraId="7687B1E0">
      <w:p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lang w:val="en-US" w:eastAsia="zh-CN"/>
        </w:rPr>
      </w:pPr>
    </w:p>
    <w:p w14:paraId="4DA12EAD">
      <w:p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lang w:val="en-US" w:eastAsia="zh-CN"/>
        </w:rPr>
      </w:pPr>
    </w:p>
    <w:p w14:paraId="3C37D1A0">
      <w:p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lang w:val="en-US" w:eastAsia="zh-CN"/>
        </w:rPr>
      </w:pPr>
    </w:p>
    <w:p w14:paraId="754F9F74">
      <w:p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lang w:val="en-US" w:eastAsia="zh-CN"/>
        </w:rPr>
      </w:pPr>
    </w:p>
    <w:p w14:paraId="271CC81C">
      <w:pPr>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附件二：投标文件格式</w:t>
      </w:r>
    </w:p>
    <w:p w14:paraId="7C96D00C">
      <w:pPr>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32"/>
          <w:highlight w:val="none"/>
        </w:rPr>
      </w:pPr>
    </w:p>
    <w:p w14:paraId="757A53C8">
      <w:pPr>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48"/>
          <w:highlight w:val="none"/>
        </w:rPr>
      </w:pPr>
      <w:r>
        <w:rPr>
          <w:rFonts w:hint="eastAsia" w:ascii="宋体" w:hAnsi="宋体" w:eastAsia="宋体" w:cs="宋体"/>
          <w:b/>
          <w:color w:val="auto"/>
          <w:sz w:val="48"/>
          <w:highlight w:val="none"/>
          <w:u w:val="single"/>
        </w:rPr>
        <w:t xml:space="preserve">       </w:t>
      </w:r>
      <w:r>
        <w:rPr>
          <w:rFonts w:hint="eastAsia" w:ascii="宋体" w:hAnsi="宋体" w:eastAsia="宋体" w:cs="宋体"/>
          <w:b/>
          <w:color w:val="auto"/>
          <w:sz w:val="48"/>
          <w:highlight w:val="none"/>
          <w:u w:val="single"/>
          <w:lang w:val="en-US" w:eastAsia="zh-CN"/>
        </w:rPr>
        <w:t xml:space="preserve">    </w:t>
      </w:r>
      <w:r>
        <w:rPr>
          <w:rFonts w:hint="eastAsia" w:ascii="宋体" w:hAnsi="宋体" w:eastAsia="宋体" w:cs="宋体"/>
          <w:b/>
          <w:color w:val="auto"/>
          <w:sz w:val="48"/>
          <w:highlight w:val="none"/>
          <w:u w:val="single"/>
        </w:rPr>
        <w:t xml:space="preserve">           </w:t>
      </w:r>
      <w:r>
        <w:rPr>
          <w:rFonts w:hint="eastAsia" w:ascii="宋体" w:hAnsi="宋体" w:eastAsia="宋体" w:cs="宋体"/>
          <w:b/>
          <w:color w:val="auto"/>
          <w:sz w:val="48"/>
          <w:highlight w:val="none"/>
        </w:rPr>
        <w:t>项目公开招标</w:t>
      </w:r>
    </w:p>
    <w:p w14:paraId="57CB526A">
      <w:pPr>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72"/>
          <w:highlight w:val="none"/>
        </w:rPr>
      </w:pPr>
    </w:p>
    <w:p w14:paraId="20336E12">
      <w:pPr>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t>投标文件</w:t>
      </w:r>
    </w:p>
    <w:p w14:paraId="1D8F17DE">
      <w:pPr>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32"/>
          <w:szCs w:val="32"/>
          <w:highlight w:val="none"/>
          <w:lang w:eastAsia="zh-CN"/>
        </w:rPr>
      </w:pPr>
      <w:r>
        <w:rPr>
          <w:rFonts w:hint="eastAsia" w:ascii="宋体" w:hAnsi="宋体" w:eastAsia="宋体" w:cs="宋体"/>
          <w:b/>
          <w:color w:val="auto"/>
          <w:sz w:val="32"/>
          <w:szCs w:val="32"/>
          <w:highlight w:val="none"/>
        </w:rPr>
        <w:t>采购项目编号：</w:t>
      </w:r>
    </w:p>
    <w:p w14:paraId="1307246C">
      <w:pPr>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32"/>
          <w:szCs w:val="32"/>
          <w:highlight w:val="none"/>
        </w:rPr>
      </w:pPr>
    </w:p>
    <w:p w14:paraId="45EDBA9A">
      <w:pPr>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lang w:val="en-US" w:eastAsia="zh-CN"/>
        </w:rPr>
        <w:t>采购</w:t>
      </w:r>
      <w:r>
        <w:rPr>
          <w:rFonts w:hint="eastAsia" w:ascii="宋体" w:hAnsi="宋体" w:eastAsia="宋体" w:cs="宋体"/>
          <w:b/>
          <w:color w:val="auto"/>
          <w:sz w:val="32"/>
          <w:szCs w:val="32"/>
          <w:highlight w:val="none"/>
        </w:rPr>
        <w:t>项目名称：</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 xml:space="preserve">                          </w:t>
      </w:r>
    </w:p>
    <w:p w14:paraId="6FEC5129">
      <w:pPr>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32"/>
          <w:szCs w:val="32"/>
          <w:highlight w:val="none"/>
          <w:u w:val="single"/>
        </w:rPr>
      </w:pPr>
    </w:p>
    <w:p w14:paraId="0DE55AF7">
      <w:p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32"/>
          <w:szCs w:val="32"/>
          <w:highlight w:val="none"/>
        </w:rPr>
      </w:pPr>
    </w:p>
    <w:p w14:paraId="5CCBB0E0">
      <w:p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年</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月</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日</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时</w:t>
      </w:r>
      <w:r>
        <w:rPr>
          <w:rFonts w:hint="eastAsia" w:ascii="宋体" w:hAnsi="宋体" w:eastAsia="宋体" w:cs="宋体"/>
          <w:b/>
          <w:bCs/>
          <w:color w:val="auto"/>
          <w:sz w:val="32"/>
          <w:szCs w:val="32"/>
          <w:highlight w:val="none"/>
          <w:u w:val="single"/>
        </w:rPr>
        <w:t xml:space="preserve">     </w:t>
      </w:r>
      <w:r>
        <w:rPr>
          <w:rFonts w:hint="eastAsia" w:ascii="宋体" w:hAnsi="宋体" w:eastAsia="宋体" w:cs="宋体"/>
          <w:b/>
          <w:bCs/>
          <w:color w:val="auto"/>
          <w:sz w:val="32"/>
          <w:szCs w:val="32"/>
          <w:highlight w:val="none"/>
        </w:rPr>
        <w:t>分</w:t>
      </w:r>
      <w:r>
        <w:rPr>
          <w:rFonts w:hint="eastAsia" w:ascii="宋体" w:hAnsi="宋体" w:eastAsia="宋体" w:cs="宋体"/>
          <w:color w:val="auto"/>
          <w:sz w:val="32"/>
          <w:szCs w:val="32"/>
          <w:highlight w:val="none"/>
        </w:rPr>
        <w:t>开标，此时间以前不得开封；</w:t>
      </w:r>
    </w:p>
    <w:p w14:paraId="53C8643A">
      <w:pPr>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32"/>
          <w:szCs w:val="32"/>
          <w:highlight w:val="none"/>
        </w:rPr>
      </w:pPr>
    </w:p>
    <w:p w14:paraId="07A1751D">
      <w:pPr>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32"/>
          <w:szCs w:val="32"/>
          <w:highlight w:val="none"/>
        </w:rPr>
      </w:pPr>
    </w:p>
    <w:p w14:paraId="182286E6">
      <w:pPr>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rPr>
        <w:t>投标供应商：</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 xml:space="preserve">              （盖公章）</w:t>
      </w:r>
    </w:p>
    <w:p w14:paraId="7A82172C">
      <w:pPr>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32"/>
          <w:szCs w:val="32"/>
          <w:highlight w:val="none"/>
          <w:u w:val="single"/>
        </w:rPr>
      </w:pPr>
    </w:p>
    <w:p w14:paraId="76029847">
      <w:pPr>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法定代表人或</w:t>
      </w:r>
    </w:p>
    <w:p w14:paraId="565A72D6">
      <w:pPr>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rPr>
        <w:t>其委托代理人：</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u w:val="single"/>
        </w:rPr>
        <w:tab/>
      </w:r>
      <w:r>
        <w:rPr>
          <w:rFonts w:hint="eastAsia" w:ascii="宋体" w:hAnsi="宋体" w:eastAsia="宋体" w:cs="宋体"/>
          <w:b/>
          <w:color w:val="auto"/>
          <w:sz w:val="32"/>
          <w:szCs w:val="32"/>
          <w:highlight w:val="none"/>
          <w:u w:val="single"/>
        </w:rPr>
        <w:t xml:space="preserve">          （签字或盖章）</w:t>
      </w:r>
    </w:p>
    <w:p w14:paraId="1FBCCECE">
      <w:pPr>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32"/>
          <w:szCs w:val="32"/>
          <w:highlight w:val="none"/>
        </w:rPr>
      </w:pPr>
    </w:p>
    <w:p w14:paraId="7D3CF4CE">
      <w:pPr>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日  期：</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rPr>
        <w:t xml:space="preserve"> 年</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rPr>
        <w:t xml:space="preserve"> 月</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rPr>
        <w:t>日</w:t>
      </w:r>
    </w:p>
    <w:p w14:paraId="234734CB">
      <w:p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val="0"/>
          <w:color w:val="auto"/>
          <w:sz w:val="32"/>
          <w:szCs w:val="32"/>
          <w:highlight w:val="none"/>
        </w:rPr>
      </w:pPr>
    </w:p>
    <w:p w14:paraId="326BA92B">
      <w:p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（一）投标函（格式）：</w:t>
      </w:r>
    </w:p>
    <w:p w14:paraId="11542C68">
      <w:p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投标函</w:t>
      </w:r>
    </w:p>
    <w:p w14:paraId="612A99E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致：</w:t>
      </w:r>
      <w:r>
        <w:rPr>
          <w:rFonts w:hint="eastAsia" w:ascii="宋体" w:hAnsi="宋体" w:eastAsia="宋体" w:cs="宋体"/>
          <w:bCs/>
          <w:color w:val="auto"/>
          <w:sz w:val="24"/>
          <w:szCs w:val="24"/>
          <w:highlight w:val="none"/>
          <w:lang w:val="en-US" w:eastAsia="zh-CN"/>
        </w:rPr>
        <w:t>江苏钧华项目管理有限公司</w:t>
      </w:r>
    </w:p>
    <w:p w14:paraId="776E080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我方收到贵方编号</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招标文件，经仔细阅读和研究，我方决定参加此项目的投标。</w:t>
      </w:r>
    </w:p>
    <w:p w14:paraId="0171B735">
      <w:pPr>
        <w:keepNext w:val="0"/>
        <w:keepLines w:val="0"/>
        <w:pageBreakBefore w:val="0"/>
        <w:widowControl w:val="0"/>
        <w:numPr>
          <w:ilvl w:val="0"/>
          <w:numId w:val="8"/>
        </w:numPr>
        <w:tabs>
          <w:tab w:val="left" w:pos="315"/>
          <w:tab w:val="left" w:pos="840"/>
          <w:tab w:val="left" w:pos="945"/>
          <w:tab w:val="left" w:pos="1050"/>
          <w:tab w:val="left" w:pos="1260"/>
        </w:tabs>
        <w:kinsoku/>
        <w:wordWrap/>
        <w:overflowPunct/>
        <w:topLinePunct w:val="0"/>
        <w:autoSpaceDE/>
        <w:autoSpaceDN/>
        <w:bidi w:val="0"/>
        <w:adjustRightInd/>
        <w:snapToGrid/>
        <w:spacing w:line="360" w:lineRule="auto"/>
        <w:ind w:left="0" w:firstLine="525"/>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我方愿意按照招标文件的一切要求，提供本项目的投标，投标总价见《开标一览表》。</w:t>
      </w:r>
    </w:p>
    <w:p w14:paraId="3E5D247A">
      <w:pPr>
        <w:keepNext w:val="0"/>
        <w:keepLines w:val="0"/>
        <w:pageBreakBefore w:val="0"/>
        <w:widowControl w:val="0"/>
        <w:numPr>
          <w:ilvl w:val="0"/>
          <w:numId w:val="8"/>
        </w:numPr>
        <w:tabs>
          <w:tab w:val="left" w:pos="0"/>
          <w:tab w:val="left" w:pos="315"/>
          <w:tab w:val="left" w:pos="525"/>
          <w:tab w:val="left" w:pos="840"/>
          <w:tab w:val="left" w:pos="945"/>
          <w:tab w:val="left" w:pos="1050"/>
        </w:tabs>
        <w:kinsoku/>
        <w:wordWrap/>
        <w:overflowPunct/>
        <w:topLinePunct w:val="0"/>
        <w:autoSpaceDE/>
        <w:autoSpaceDN/>
        <w:bidi w:val="0"/>
        <w:adjustRightInd/>
        <w:snapToGrid/>
        <w:spacing w:line="360" w:lineRule="auto"/>
        <w:ind w:left="0" w:firstLine="523"/>
        <w:textAlignment w:val="auto"/>
        <w:rPr>
          <w:rStyle w:val="262"/>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我方愿意提供招标文件中要求的文件、资料。</w:t>
      </w:r>
    </w:p>
    <w:p w14:paraId="57B01DDC">
      <w:pPr>
        <w:keepNext w:val="0"/>
        <w:keepLines w:val="0"/>
        <w:pageBreakBefore w:val="0"/>
        <w:widowControl w:val="0"/>
        <w:numPr>
          <w:ilvl w:val="0"/>
          <w:numId w:val="8"/>
        </w:numPr>
        <w:tabs>
          <w:tab w:val="left" w:pos="0"/>
          <w:tab w:val="left" w:pos="315"/>
          <w:tab w:val="left" w:pos="525"/>
          <w:tab w:val="left" w:pos="945"/>
          <w:tab w:val="left" w:pos="1050"/>
        </w:tabs>
        <w:kinsoku/>
        <w:wordWrap/>
        <w:overflowPunct/>
        <w:topLinePunct w:val="0"/>
        <w:autoSpaceDE/>
        <w:autoSpaceDN/>
        <w:bidi w:val="0"/>
        <w:adjustRightInd/>
        <w:snapToGrid/>
        <w:spacing w:line="360" w:lineRule="auto"/>
        <w:ind w:left="0" w:firstLine="523"/>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我方同意按招标文件中的规定，本投标文件投标的有效期限为开标之日起90天。</w:t>
      </w:r>
    </w:p>
    <w:p w14:paraId="53100620">
      <w:pPr>
        <w:keepNext w:val="0"/>
        <w:keepLines w:val="0"/>
        <w:pageBreakBefore w:val="0"/>
        <w:widowControl w:val="0"/>
        <w:numPr>
          <w:ilvl w:val="0"/>
          <w:numId w:val="8"/>
        </w:numPr>
        <w:tabs>
          <w:tab w:val="left" w:pos="0"/>
          <w:tab w:val="left" w:pos="315"/>
          <w:tab w:val="left" w:pos="525"/>
          <w:tab w:val="left" w:pos="945"/>
          <w:tab w:val="left" w:pos="1050"/>
        </w:tabs>
        <w:kinsoku/>
        <w:wordWrap/>
        <w:overflowPunct/>
        <w:topLinePunct w:val="0"/>
        <w:autoSpaceDE/>
        <w:autoSpaceDN/>
        <w:bidi w:val="0"/>
        <w:adjustRightInd/>
        <w:snapToGrid/>
        <w:spacing w:line="360" w:lineRule="auto"/>
        <w:ind w:left="0" w:firstLine="523"/>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如果我方的投标文件被接受，我方将履行招标文件中规定的每一项要求，按期、按质、按量，完成服务任务。</w:t>
      </w:r>
    </w:p>
    <w:p w14:paraId="4D08A5AA">
      <w:pPr>
        <w:keepNext w:val="0"/>
        <w:keepLines w:val="0"/>
        <w:pageBreakBefore w:val="0"/>
        <w:widowControl w:val="0"/>
        <w:numPr>
          <w:ilvl w:val="0"/>
          <w:numId w:val="8"/>
        </w:numPr>
        <w:tabs>
          <w:tab w:val="left" w:pos="0"/>
          <w:tab w:val="left" w:pos="315"/>
          <w:tab w:val="left" w:pos="525"/>
          <w:tab w:val="left" w:pos="945"/>
          <w:tab w:val="left" w:pos="1050"/>
        </w:tabs>
        <w:kinsoku/>
        <w:wordWrap/>
        <w:overflowPunct/>
        <w:topLinePunct w:val="0"/>
        <w:autoSpaceDE/>
        <w:autoSpaceDN/>
        <w:bidi w:val="0"/>
        <w:adjustRightInd/>
        <w:snapToGrid/>
        <w:spacing w:line="360" w:lineRule="auto"/>
        <w:ind w:left="0" w:firstLine="523"/>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我方认为贵中心有权决定中标者。</w:t>
      </w:r>
    </w:p>
    <w:p w14:paraId="11505F0E">
      <w:pPr>
        <w:keepNext w:val="0"/>
        <w:keepLines w:val="0"/>
        <w:pageBreakBefore w:val="0"/>
        <w:widowControl w:val="0"/>
        <w:numPr>
          <w:ilvl w:val="0"/>
          <w:numId w:val="8"/>
        </w:numPr>
        <w:tabs>
          <w:tab w:val="left" w:pos="0"/>
          <w:tab w:val="left" w:pos="315"/>
          <w:tab w:val="left" w:pos="525"/>
          <w:tab w:val="left" w:pos="945"/>
          <w:tab w:val="left" w:pos="1050"/>
        </w:tabs>
        <w:kinsoku/>
        <w:wordWrap/>
        <w:overflowPunct/>
        <w:topLinePunct w:val="0"/>
        <w:autoSpaceDE/>
        <w:autoSpaceDN/>
        <w:bidi w:val="0"/>
        <w:adjustRightInd/>
        <w:snapToGrid/>
        <w:spacing w:line="360" w:lineRule="auto"/>
        <w:ind w:left="0" w:firstLine="523"/>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我方愿意遵守《中华人民共和国政府采购法》，并按《中华人民共和国民法典》、财政部《政府采购货物和服务招标投标管理办法》</w:t>
      </w:r>
      <w:r>
        <w:rPr>
          <w:rFonts w:hint="eastAsia" w:ascii="宋体" w:hAnsi="宋体" w:eastAsia="宋体" w:cs="宋体"/>
          <w:color w:val="auto"/>
          <w:sz w:val="24"/>
          <w:szCs w:val="24"/>
          <w:highlight w:val="none"/>
        </w:rPr>
        <w:t>和</w:t>
      </w:r>
      <w:r>
        <w:rPr>
          <w:rFonts w:hint="eastAsia" w:ascii="宋体" w:hAnsi="宋体" w:eastAsia="宋体" w:cs="宋体"/>
          <w:bCs/>
          <w:color w:val="auto"/>
          <w:sz w:val="24"/>
          <w:szCs w:val="24"/>
          <w:highlight w:val="none"/>
        </w:rPr>
        <w:t>合同条款履行自己的全部责任。</w:t>
      </w:r>
    </w:p>
    <w:p w14:paraId="4D89924E">
      <w:pPr>
        <w:keepNext w:val="0"/>
        <w:keepLines w:val="0"/>
        <w:pageBreakBefore w:val="0"/>
        <w:widowControl w:val="0"/>
        <w:numPr>
          <w:ilvl w:val="0"/>
          <w:numId w:val="8"/>
        </w:numPr>
        <w:tabs>
          <w:tab w:val="left" w:pos="0"/>
          <w:tab w:val="left" w:pos="315"/>
          <w:tab w:val="left" w:pos="525"/>
          <w:tab w:val="left" w:pos="945"/>
          <w:tab w:val="left" w:pos="1050"/>
        </w:tabs>
        <w:kinsoku/>
        <w:wordWrap/>
        <w:overflowPunct/>
        <w:topLinePunct w:val="0"/>
        <w:autoSpaceDE/>
        <w:autoSpaceDN/>
        <w:bidi w:val="0"/>
        <w:adjustRightInd/>
        <w:snapToGrid/>
        <w:spacing w:line="360" w:lineRule="auto"/>
        <w:ind w:left="0" w:firstLine="523"/>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我方认可并遵守招标文件的所有规定，放弃对招标文件提出质疑的权利。</w:t>
      </w:r>
    </w:p>
    <w:p w14:paraId="3CFE92C2">
      <w:pPr>
        <w:keepNext w:val="0"/>
        <w:keepLines w:val="0"/>
        <w:pageBreakBefore w:val="0"/>
        <w:widowControl w:val="0"/>
        <w:numPr>
          <w:ilvl w:val="0"/>
          <w:numId w:val="8"/>
        </w:numPr>
        <w:tabs>
          <w:tab w:val="left" w:pos="0"/>
          <w:tab w:val="left" w:pos="315"/>
          <w:tab w:val="left" w:pos="525"/>
          <w:tab w:val="left" w:pos="945"/>
          <w:tab w:val="left" w:pos="1050"/>
        </w:tabs>
        <w:kinsoku/>
        <w:wordWrap/>
        <w:overflowPunct/>
        <w:topLinePunct w:val="0"/>
        <w:autoSpaceDE/>
        <w:autoSpaceDN/>
        <w:bidi w:val="0"/>
        <w:adjustRightInd/>
        <w:snapToGrid/>
        <w:spacing w:line="360" w:lineRule="auto"/>
        <w:ind w:left="0" w:firstLine="523"/>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我方愿意按招标文件的规定上传《投标（报价）承诺函》。如我方在投标截止期后撤回投标及中标后拒绝遵守投标承诺或拒绝在规定的时间内与采购人签订合同，则接受政府采购监督管理部门的处理。</w:t>
      </w:r>
    </w:p>
    <w:p w14:paraId="42FFA09F">
      <w:pPr>
        <w:keepNext w:val="0"/>
        <w:keepLines w:val="0"/>
        <w:pageBreakBefore w:val="0"/>
        <w:widowControl w:val="0"/>
        <w:numPr>
          <w:ilvl w:val="0"/>
          <w:numId w:val="8"/>
        </w:numPr>
        <w:tabs>
          <w:tab w:val="left" w:pos="0"/>
          <w:tab w:val="left" w:pos="315"/>
          <w:tab w:val="left" w:pos="525"/>
          <w:tab w:val="left" w:pos="945"/>
          <w:tab w:val="left" w:pos="1050"/>
        </w:tabs>
        <w:kinsoku/>
        <w:wordWrap/>
        <w:overflowPunct/>
        <w:topLinePunct w:val="0"/>
        <w:autoSpaceDE/>
        <w:autoSpaceDN/>
        <w:bidi w:val="0"/>
        <w:adjustRightInd/>
        <w:snapToGrid/>
        <w:spacing w:line="360" w:lineRule="auto"/>
        <w:ind w:left="0" w:firstLine="523"/>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如果我方被确定为中标供应商，我方愿意</w:t>
      </w:r>
      <w:r>
        <w:rPr>
          <w:rFonts w:hint="eastAsia" w:ascii="宋体" w:hAnsi="宋体" w:eastAsia="宋体" w:cs="宋体"/>
          <w:color w:val="auto"/>
          <w:sz w:val="24"/>
          <w:szCs w:val="24"/>
          <w:highlight w:val="none"/>
        </w:rPr>
        <w:t>向</w:t>
      </w:r>
      <w:r>
        <w:rPr>
          <w:rFonts w:hint="eastAsia" w:ascii="宋体" w:hAnsi="宋体" w:eastAsia="宋体" w:cs="宋体"/>
          <w:bCs/>
          <w:color w:val="auto"/>
          <w:sz w:val="24"/>
          <w:szCs w:val="24"/>
          <w:highlight w:val="none"/>
        </w:rPr>
        <w:t>采购人</w:t>
      </w:r>
      <w:r>
        <w:rPr>
          <w:rFonts w:hint="eastAsia" w:ascii="宋体" w:hAnsi="宋体" w:eastAsia="宋体" w:cs="宋体"/>
          <w:bCs/>
          <w:color w:val="auto"/>
          <w:sz w:val="24"/>
          <w:szCs w:val="24"/>
          <w:highlight w:val="none"/>
          <w:lang w:eastAsia="zh-CN"/>
        </w:rPr>
        <w:t>缴纳</w:t>
      </w:r>
      <w:r>
        <w:rPr>
          <w:rFonts w:hint="eastAsia" w:ascii="宋体" w:hAnsi="宋体" w:eastAsia="宋体" w:cs="宋体"/>
          <w:bCs/>
          <w:color w:val="auto"/>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41B7FA33">
      <w:pPr>
        <w:keepNext w:val="0"/>
        <w:keepLines w:val="0"/>
        <w:pageBreakBefore w:val="0"/>
        <w:widowControl w:val="0"/>
        <w:numPr>
          <w:ilvl w:val="0"/>
          <w:numId w:val="8"/>
        </w:numPr>
        <w:tabs>
          <w:tab w:val="left" w:pos="0"/>
          <w:tab w:val="left" w:pos="315"/>
          <w:tab w:val="left" w:pos="525"/>
          <w:tab w:val="left" w:pos="945"/>
          <w:tab w:val="left" w:pos="1050"/>
        </w:tabs>
        <w:kinsoku/>
        <w:wordWrap/>
        <w:overflowPunct/>
        <w:topLinePunct w:val="0"/>
        <w:autoSpaceDE/>
        <w:autoSpaceDN/>
        <w:bidi w:val="0"/>
        <w:adjustRightInd/>
        <w:snapToGrid/>
        <w:spacing w:line="360" w:lineRule="auto"/>
        <w:ind w:left="0" w:firstLine="523"/>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我方决不提供虚假材料谋取中标、决不采取不正当手段诋毁、排挤其他供应商、决不与采购人、</w:t>
      </w:r>
      <w:r>
        <w:rPr>
          <w:rFonts w:hint="eastAsia" w:ascii="宋体" w:hAnsi="宋体" w:eastAsia="宋体" w:cs="宋体"/>
          <w:bCs/>
          <w:color w:val="auto"/>
          <w:sz w:val="24"/>
          <w:szCs w:val="24"/>
          <w:highlight w:val="none"/>
          <w:lang w:eastAsia="zh-CN"/>
        </w:rPr>
        <w:t>其他</w:t>
      </w:r>
      <w:r>
        <w:rPr>
          <w:rFonts w:hint="eastAsia" w:ascii="宋体" w:hAnsi="宋体" w:eastAsia="宋体" w:cs="宋体"/>
          <w:bCs/>
          <w:color w:val="auto"/>
          <w:sz w:val="24"/>
          <w:szCs w:val="24"/>
          <w:highlight w:val="none"/>
        </w:rPr>
        <w:t>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1C401D8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 xml:space="preserve">（盖章）：     </w:t>
      </w:r>
    </w:p>
    <w:p w14:paraId="234E453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14:paraId="4DFA188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电话：                              传真：</w:t>
      </w:r>
    </w:p>
    <w:p w14:paraId="175617D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                              邮编：                             </w:t>
      </w:r>
    </w:p>
    <w:p w14:paraId="16E7B3B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开户名称：</w:t>
      </w:r>
    </w:p>
    <w:p w14:paraId="66B4265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                   </w:t>
      </w:r>
    </w:p>
    <w:p w14:paraId="1765125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开户账号：</w:t>
      </w:r>
      <w:bookmarkStart w:id="10" w:name="（报价人）法定代表人授权书（格式）"/>
      <w:bookmarkEnd w:id="10"/>
      <w:bookmarkStart w:id="11" w:name="校园网系统报价和服务承诺表（格式）"/>
      <w:bookmarkEnd w:id="11"/>
    </w:p>
    <w:p w14:paraId="014051B1">
      <w:pPr>
        <w:keepNext w:val="0"/>
        <w:keepLines w:val="0"/>
        <w:pageBreakBefore/>
        <w:widowControl w:val="0"/>
        <w:kinsoku/>
        <w:wordWrap/>
        <w:overflowPunct/>
        <w:topLinePunct w:val="0"/>
        <w:autoSpaceDE/>
        <w:autoSpaceDN/>
        <w:bidi w:val="0"/>
        <w:adjustRightInd/>
        <w:snapToGrid/>
        <w:spacing w:line="360" w:lineRule="auto"/>
        <w:textAlignment w:val="auto"/>
        <w:outlineLvl w:val="2"/>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（二）（</w:t>
      </w:r>
      <w:r>
        <w:rPr>
          <w:rFonts w:hint="eastAsia" w:ascii="宋体" w:hAnsi="宋体" w:eastAsia="宋体" w:cs="宋体"/>
          <w:b/>
          <w:bCs w:val="0"/>
          <w:color w:val="auto"/>
          <w:sz w:val="32"/>
          <w:szCs w:val="32"/>
          <w:highlight w:val="none"/>
          <w:lang w:eastAsia="zh-CN"/>
        </w:rPr>
        <w:t>投标供应商</w:t>
      </w:r>
      <w:r>
        <w:rPr>
          <w:rFonts w:hint="eastAsia" w:ascii="宋体" w:hAnsi="宋体" w:eastAsia="宋体" w:cs="宋体"/>
          <w:b/>
          <w:bCs w:val="0"/>
          <w:color w:val="auto"/>
          <w:sz w:val="32"/>
          <w:szCs w:val="32"/>
          <w:highlight w:val="none"/>
        </w:rPr>
        <w:t>）关于资格的声明函（格式）：</w:t>
      </w:r>
    </w:p>
    <w:p w14:paraId="7B99CA22">
      <w:pPr>
        <w:kinsoku/>
        <w:wordWrap/>
        <w:overflowPunct/>
        <w:topLinePunct w:val="0"/>
        <w:autoSpaceDE/>
        <w:autoSpaceDN/>
        <w:bidi w:val="0"/>
        <w:adjustRightInd/>
        <w:snapToGrid/>
        <w:spacing w:line="360" w:lineRule="auto"/>
        <w:textAlignment w:val="auto"/>
        <w:rPr>
          <w:rFonts w:hint="eastAsia" w:ascii="宋体" w:hAnsi="宋体" w:eastAsia="宋体" w:cs="宋体"/>
          <w:b/>
          <w:bCs w:val="0"/>
          <w:color w:val="auto"/>
          <w:sz w:val="32"/>
          <w:szCs w:val="32"/>
          <w:highlight w:val="none"/>
        </w:rPr>
      </w:pPr>
    </w:p>
    <w:p w14:paraId="67643D13">
      <w:p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val="0"/>
          <w:color w:val="auto"/>
          <w:sz w:val="32"/>
          <w:szCs w:val="32"/>
          <w:highlight w:val="none"/>
        </w:rPr>
      </w:pPr>
      <w:bookmarkStart w:id="12" w:name="报价方关于资格的声明函（格式）"/>
      <w:bookmarkEnd w:id="12"/>
      <w:r>
        <w:rPr>
          <w:rFonts w:hint="eastAsia" w:ascii="宋体" w:hAnsi="宋体" w:eastAsia="宋体" w:cs="宋体"/>
          <w:b/>
          <w:bCs w:val="0"/>
          <w:color w:val="auto"/>
          <w:sz w:val="32"/>
          <w:szCs w:val="32"/>
          <w:highlight w:val="none"/>
        </w:rPr>
        <w:t>关于资格的声明函</w:t>
      </w:r>
    </w:p>
    <w:p w14:paraId="6EC40DD0">
      <w:pPr>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采购项目编号：</w:t>
      </w:r>
      <w:r>
        <w:rPr>
          <w:rFonts w:hint="eastAsia" w:ascii="宋体" w:hAnsi="宋体" w:cs="宋体"/>
          <w:bCs/>
          <w:color w:val="auto"/>
          <w:sz w:val="24"/>
          <w:szCs w:val="24"/>
          <w:highlight w:val="none"/>
          <w:lang w:eastAsia="zh-CN"/>
        </w:rPr>
        <w:t>JSZC-320214-JHCG-G2025-0008</w:t>
      </w:r>
    </w:p>
    <w:p w14:paraId="045C15FE">
      <w:pPr>
        <w:tabs>
          <w:tab w:val="left" w:pos="6300"/>
        </w:tabs>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日期：</w:t>
      </w:r>
    </w:p>
    <w:p w14:paraId="4A6D167B">
      <w:pPr>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auto"/>
          <w:sz w:val="24"/>
          <w:szCs w:val="24"/>
          <w:highlight w:val="none"/>
        </w:rPr>
      </w:pPr>
    </w:p>
    <w:p w14:paraId="4802D7C3">
      <w:pPr>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致：</w:t>
      </w:r>
      <w:r>
        <w:rPr>
          <w:rFonts w:hint="eastAsia" w:ascii="宋体" w:hAnsi="宋体" w:eastAsia="宋体" w:cs="宋体"/>
          <w:bCs/>
          <w:color w:val="auto"/>
          <w:sz w:val="24"/>
          <w:szCs w:val="24"/>
          <w:highlight w:val="none"/>
          <w:lang w:eastAsia="zh-CN"/>
        </w:rPr>
        <w:t>江苏钧华项目管理有限公司</w:t>
      </w:r>
    </w:p>
    <w:p w14:paraId="730C49B3">
      <w:pPr>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p>
    <w:p w14:paraId="3D6C7F84">
      <w:pPr>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我公司（单位）参加本次项目（</w:t>
      </w:r>
      <w:r>
        <w:rPr>
          <w:rFonts w:hint="eastAsia" w:ascii="宋体" w:hAnsi="宋体" w:cs="宋体"/>
          <w:bCs/>
          <w:color w:val="auto"/>
          <w:sz w:val="24"/>
          <w:szCs w:val="24"/>
          <w:highlight w:val="none"/>
          <w:lang w:val="en-US" w:eastAsia="zh-CN"/>
        </w:rPr>
        <w:t>JSZC-320214-JHCG-G2025-0008</w:t>
      </w:r>
      <w:r>
        <w:rPr>
          <w:rFonts w:hint="eastAsia" w:ascii="宋体" w:hAnsi="宋体" w:eastAsia="宋体" w:cs="宋体"/>
          <w:bCs/>
          <w:color w:val="auto"/>
          <w:sz w:val="24"/>
          <w:szCs w:val="24"/>
          <w:highlight w:val="none"/>
        </w:rPr>
        <w:t>）政府采购活动前三年内，在经营活动中没有重大违法记录，我公司（单位）愿针对本次项目（</w:t>
      </w:r>
      <w:r>
        <w:rPr>
          <w:rFonts w:hint="eastAsia" w:ascii="宋体" w:hAnsi="宋体" w:cs="宋体"/>
          <w:bCs/>
          <w:color w:val="auto"/>
          <w:sz w:val="24"/>
          <w:szCs w:val="24"/>
          <w:highlight w:val="none"/>
          <w:lang w:eastAsia="zh-CN"/>
        </w:rPr>
        <w:t>JSZC-320214-JHCG-G2025-0008</w:t>
      </w:r>
      <w:r>
        <w:rPr>
          <w:rFonts w:hint="eastAsia" w:ascii="宋体" w:hAnsi="宋体" w:eastAsia="宋体" w:cs="宋体"/>
          <w:bCs/>
          <w:color w:val="auto"/>
          <w:sz w:val="24"/>
          <w:szCs w:val="24"/>
          <w:highlight w:val="none"/>
        </w:rPr>
        <w:t>）进行投标，投标文件中所有关于投标资格的文件、证明、陈述均是真实的、准确的。若有违背，我公司（单位）愿意承担由此而产生的一切后果。</w:t>
      </w:r>
    </w:p>
    <w:p w14:paraId="5B4BDC2F">
      <w:pPr>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4"/>
          <w:szCs w:val="24"/>
          <w:highlight w:val="none"/>
        </w:rPr>
      </w:pPr>
    </w:p>
    <w:p w14:paraId="15D2D66F">
      <w:pPr>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（盖章）：</w:t>
      </w:r>
    </w:p>
    <w:p w14:paraId="4ABC3D41">
      <w:pPr>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法定代表人或法定代表人授权代表（签字或盖章）：</w:t>
      </w:r>
    </w:p>
    <w:p w14:paraId="4B9C9CB0">
      <w:p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39669C09">
      <w:p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0715CEB5">
      <w:pPr>
        <w:kinsoku/>
        <w:wordWrap/>
        <w:overflowPunct/>
        <w:topLinePunct w:val="0"/>
        <w:autoSpaceDE/>
        <w:autoSpaceDN/>
        <w:bidi w:val="0"/>
        <w:adjustRightInd/>
        <w:snapToGrid/>
        <w:spacing w:line="360" w:lineRule="auto"/>
        <w:textAlignment w:val="auto"/>
        <w:rPr>
          <w:rFonts w:hint="eastAsia" w:ascii="宋体" w:hAnsi="宋体" w:eastAsia="宋体" w:cs="宋体"/>
          <w:b/>
          <w:bCs w:val="0"/>
          <w:color w:val="auto"/>
          <w:sz w:val="32"/>
          <w:szCs w:val="32"/>
          <w:highlight w:val="none"/>
        </w:rPr>
      </w:pPr>
      <w:r>
        <w:rPr>
          <w:rFonts w:hint="eastAsia" w:ascii="宋体" w:hAnsi="宋体" w:eastAsia="宋体" w:cs="宋体"/>
          <w:color w:val="auto"/>
          <w:sz w:val="24"/>
          <w:szCs w:val="24"/>
          <w:highlight w:val="none"/>
        </w:rPr>
        <w:t>备注：上述所称 “重大违法记录”，是指</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因违法经营受到刑事处罚或者责令停产停业、吊销许可证或者执照、较大数额罚款等行政处罚，（根据财政部关于 《中华人民共和国政府采购法实施条例》第十九条第一款“较大数额罚款〞具体适用问题的意见 财库</w:t>
      </w:r>
      <w:r>
        <w:rPr>
          <w:rFonts w:hint="eastAsia" w:ascii="宋体" w:hAnsi="宋体" w:eastAsia="宋体" w:cs="宋体"/>
          <w:color w:val="auto"/>
          <w:sz w:val="24"/>
          <w:szCs w:val="24"/>
          <w:highlight w:val="none"/>
          <w:lang w:eastAsia="zh-CN"/>
        </w:rPr>
        <w:t>〔2022〕3号</w:t>
      </w:r>
      <w:r>
        <w:rPr>
          <w:rFonts w:hint="eastAsia" w:ascii="宋体" w:hAnsi="宋体" w:eastAsia="宋体" w:cs="宋体"/>
          <w:color w:val="auto"/>
          <w:sz w:val="24"/>
          <w:szCs w:val="24"/>
          <w:highlight w:val="none"/>
        </w:rPr>
        <w:t>文规定，“较大数额罚款”认定为 200 万元以上的罚款，法律、行政法规以及国务院有关部门明确规定相关领域“较大数额罚款”标准高于 200 万元的，从其规定。</w:t>
      </w:r>
      <w:r>
        <w:rPr>
          <w:rFonts w:hint="eastAsia" w:ascii="宋体" w:hAnsi="宋体" w:eastAsia="宋体" w:cs="宋体"/>
          <w:color w:val="auto"/>
          <w:highlight w:val="none"/>
        </w:rPr>
        <w:br w:type="page" w:clear="all"/>
      </w:r>
      <w:r>
        <w:rPr>
          <w:rFonts w:hint="eastAsia" w:ascii="宋体" w:hAnsi="宋体" w:eastAsia="宋体" w:cs="宋体"/>
          <w:b/>
          <w:bCs w:val="0"/>
          <w:color w:val="auto"/>
          <w:sz w:val="32"/>
          <w:szCs w:val="32"/>
          <w:highlight w:val="none"/>
          <w:lang w:eastAsia="zh-CN"/>
        </w:rPr>
        <w:t>（三）（投标供应商）法定代表人授权委托书（格式）：</w:t>
      </w:r>
    </w:p>
    <w:p w14:paraId="5E150628">
      <w:pPr>
        <w:kinsoku/>
        <w:wordWrap/>
        <w:overflowPunct/>
        <w:topLinePunct w:val="0"/>
        <w:autoSpaceDE/>
        <w:autoSpaceDN/>
        <w:bidi w:val="0"/>
        <w:adjustRightInd/>
        <w:snapToGrid/>
        <w:spacing w:line="360" w:lineRule="auto"/>
        <w:textAlignment w:val="auto"/>
        <w:rPr>
          <w:rFonts w:hint="eastAsia" w:ascii="宋体" w:hAnsi="宋体" w:eastAsia="宋体" w:cs="宋体"/>
          <w:b/>
          <w:bCs w:val="0"/>
          <w:color w:val="auto"/>
          <w:sz w:val="32"/>
          <w:szCs w:val="32"/>
          <w:highlight w:val="none"/>
        </w:rPr>
      </w:pPr>
    </w:p>
    <w:p w14:paraId="4AC1D2BF">
      <w:p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法定代表人授权委托书</w:t>
      </w:r>
    </w:p>
    <w:p w14:paraId="2B0C5FDB">
      <w:pPr>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auto"/>
          <w:sz w:val="36"/>
          <w:highlight w:val="none"/>
        </w:rPr>
      </w:pPr>
    </w:p>
    <w:p w14:paraId="6514A124">
      <w:pPr>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采购项目编号：</w:t>
      </w:r>
      <w:r>
        <w:rPr>
          <w:rFonts w:hint="eastAsia" w:ascii="宋体" w:hAnsi="宋体" w:cs="宋体"/>
          <w:bCs/>
          <w:color w:val="auto"/>
          <w:sz w:val="24"/>
          <w:szCs w:val="24"/>
          <w:highlight w:val="none"/>
          <w:lang w:eastAsia="zh-CN"/>
        </w:rPr>
        <w:t>JSZC-320214-JHCG-G2025-0008</w:t>
      </w:r>
    </w:p>
    <w:p w14:paraId="44E3EAEF">
      <w:pPr>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p>
    <w:p w14:paraId="57F4E911">
      <w:p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lang w:eastAsia="zh-CN"/>
        </w:rPr>
        <w:t>江苏钧华项目管理有限公司</w:t>
      </w:r>
      <w:r>
        <w:rPr>
          <w:rFonts w:hint="eastAsia" w:ascii="宋体" w:hAnsi="宋体" w:eastAsia="宋体" w:cs="宋体"/>
          <w:color w:val="auto"/>
          <w:sz w:val="24"/>
          <w:highlight w:val="none"/>
          <w:u w:val="single"/>
        </w:rPr>
        <w:t xml:space="preserve"> ：</w:t>
      </w:r>
    </w:p>
    <w:p w14:paraId="6A740806">
      <w:p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（投标供应商名称）       </w:t>
      </w:r>
      <w:r>
        <w:rPr>
          <w:rFonts w:hint="eastAsia" w:ascii="宋体" w:hAnsi="宋体" w:eastAsia="宋体" w:cs="宋体"/>
          <w:color w:val="auto"/>
          <w:sz w:val="24"/>
          <w:highlight w:val="none"/>
        </w:rPr>
        <w:t>系中华人民共和国合法企业</w:t>
      </w:r>
    </w:p>
    <w:p w14:paraId="01596B9B">
      <w:p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特授权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代表我公司（单位）全权办理针对本项目（采购编号：</w:t>
      </w:r>
      <w:r>
        <w:rPr>
          <w:rFonts w:hint="eastAsia" w:ascii="宋体" w:hAnsi="宋体" w:cs="宋体"/>
          <w:color w:val="auto"/>
          <w:sz w:val="24"/>
          <w:highlight w:val="none"/>
          <w:u w:val="single"/>
          <w:lang w:eastAsia="zh-CN"/>
        </w:rPr>
        <w:t>JSZC-320214-JHCG-G2025-0008</w:t>
      </w:r>
      <w:r>
        <w:rPr>
          <w:rFonts w:hint="eastAsia" w:ascii="宋体" w:hAnsi="宋体" w:eastAsia="宋体" w:cs="宋体"/>
          <w:color w:val="auto"/>
          <w:sz w:val="24"/>
          <w:highlight w:val="none"/>
        </w:rPr>
        <w:t>）的报价等具体工作，并签署全部有关文件、协议及合同。</w:t>
      </w:r>
    </w:p>
    <w:p w14:paraId="3E737DB7">
      <w:p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我公司（单位）对被授权人的签名负全部责任。</w:t>
      </w:r>
    </w:p>
    <w:p w14:paraId="54E30FBF">
      <w:p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在撤销授权的书面通知送达你处以前，本授权书一直有效，被授权人签署的所有文件（在授权书有效期内签署的）不因授权的撤销而失效。被授权人有（无）转委托权。</w:t>
      </w:r>
    </w:p>
    <w:p w14:paraId="4991DD00">
      <w:p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被授权人情况：</w:t>
      </w:r>
    </w:p>
    <w:p w14:paraId="08A68BD0">
      <w:p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姓名：          性别：         年龄：          职务：</w:t>
      </w:r>
    </w:p>
    <w:p w14:paraId="06810117">
      <w:p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身份证号码：                   电话：</w:t>
      </w:r>
    </w:p>
    <w:p w14:paraId="082AB02D">
      <w:p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通讯地址：</w:t>
      </w:r>
    </w:p>
    <w:p w14:paraId="53D917A2">
      <w:p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被授权人签名：                  单位名称（盖章）：</w:t>
      </w:r>
    </w:p>
    <w:p w14:paraId="0F7E7C44">
      <w:pPr>
        <w:kinsoku/>
        <w:wordWrap/>
        <w:overflowPunct/>
        <w:topLinePunct w:val="0"/>
        <w:autoSpaceDE/>
        <w:autoSpaceDN/>
        <w:bidi w:val="0"/>
        <w:adjustRightInd/>
        <w:snapToGrid/>
        <w:spacing w:line="360" w:lineRule="auto"/>
        <w:ind w:firstLine="432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法定代表人（签字或盖章）：</w:t>
      </w:r>
    </w:p>
    <w:p w14:paraId="02483DDB">
      <w:pPr>
        <w:kinsoku/>
        <w:wordWrap/>
        <w:overflowPunct/>
        <w:topLinePunct w:val="0"/>
        <w:autoSpaceDE/>
        <w:autoSpaceDN/>
        <w:bidi w:val="0"/>
        <w:adjustRightInd/>
        <w:snapToGrid/>
        <w:spacing w:line="360" w:lineRule="auto"/>
        <w:ind w:firstLine="576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2309E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20" w:hRule="atLeast"/>
          <w:jc w:val="center"/>
        </w:trPr>
        <w:tc>
          <w:tcPr>
            <w:tcW w:w="4680" w:type="dxa"/>
            <w:noWrap w:val="0"/>
            <w:vAlign w:val="top"/>
          </w:tcPr>
          <w:p w14:paraId="71E7B6B8">
            <w:pPr>
              <w:widowControl/>
              <w:kinsoku/>
              <w:wordWrap/>
              <w:overflowPunct/>
              <w:topLinePunct w:val="0"/>
              <w:autoSpaceDE/>
              <w:autoSpaceDN/>
              <w:bidi w:val="0"/>
              <w:adjustRightInd/>
              <w:snapToGrid/>
              <w:spacing w:before="4" w:line="360" w:lineRule="auto"/>
              <w:textAlignment w:val="auto"/>
              <w:rPr>
                <w:rFonts w:hint="eastAsia" w:ascii="宋体" w:hAnsi="宋体" w:eastAsia="宋体" w:cs="宋体"/>
                <w:color w:val="auto"/>
                <w:sz w:val="24"/>
                <w:highlight w:val="none"/>
              </w:rPr>
            </w:pPr>
          </w:p>
          <w:p w14:paraId="1BEFDD54">
            <w:pPr>
              <w:widowControl/>
              <w:kinsoku/>
              <w:wordWrap/>
              <w:overflowPunct/>
              <w:topLinePunct w:val="0"/>
              <w:autoSpaceDE/>
              <w:autoSpaceDN/>
              <w:bidi w:val="0"/>
              <w:adjustRightInd/>
              <w:snapToGrid/>
              <w:spacing w:before="4" w:line="360" w:lineRule="auto"/>
              <w:textAlignment w:val="auto"/>
              <w:rPr>
                <w:rFonts w:hint="eastAsia" w:ascii="宋体" w:hAnsi="宋体" w:eastAsia="宋体" w:cs="宋体"/>
                <w:color w:val="auto"/>
                <w:sz w:val="24"/>
                <w:highlight w:val="none"/>
              </w:rPr>
            </w:pPr>
          </w:p>
          <w:p w14:paraId="72234263">
            <w:pPr>
              <w:widowControl/>
              <w:kinsoku/>
              <w:wordWrap/>
              <w:overflowPunct/>
              <w:topLinePunct w:val="0"/>
              <w:autoSpaceDE/>
              <w:autoSpaceDN/>
              <w:bidi w:val="0"/>
              <w:adjustRightInd/>
              <w:snapToGrid/>
              <w:spacing w:before="4"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法定代表人身份证</w:t>
            </w:r>
            <w:r>
              <w:rPr>
                <w:rFonts w:hint="eastAsia" w:ascii="宋体" w:hAnsi="宋体" w:eastAsia="宋体" w:cs="宋体"/>
                <w:color w:val="auto"/>
                <w:sz w:val="24"/>
                <w:highlight w:val="none"/>
                <w:lang w:val="en-US" w:eastAsia="zh-CN"/>
              </w:rPr>
              <w:t>扫描</w:t>
            </w:r>
            <w:r>
              <w:rPr>
                <w:rFonts w:hint="eastAsia" w:ascii="宋体" w:hAnsi="宋体" w:eastAsia="宋体" w:cs="宋体"/>
                <w:color w:val="auto"/>
                <w:sz w:val="24"/>
                <w:highlight w:val="none"/>
              </w:rPr>
              <w:t>件</w:t>
            </w:r>
          </w:p>
        </w:tc>
        <w:tc>
          <w:tcPr>
            <w:tcW w:w="720" w:type="dxa"/>
            <w:tcBorders>
              <w:top w:val="nil"/>
              <w:bottom w:val="nil"/>
            </w:tcBorders>
            <w:noWrap w:val="0"/>
            <w:vAlign w:val="top"/>
          </w:tcPr>
          <w:p w14:paraId="2AD66E32">
            <w:pPr>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highlight w:val="none"/>
              </w:rPr>
            </w:pPr>
          </w:p>
        </w:tc>
        <w:tc>
          <w:tcPr>
            <w:tcW w:w="5040" w:type="dxa"/>
            <w:noWrap w:val="0"/>
            <w:vAlign w:val="top"/>
          </w:tcPr>
          <w:p w14:paraId="59C1E9D3">
            <w:pPr>
              <w:widowControl/>
              <w:kinsoku/>
              <w:wordWrap/>
              <w:overflowPunct/>
              <w:topLinePunct w:val="0"/>
              <w:autoSpaceDE/>
              <w:autoSpaceDN/>
              <w:bidi w:val="0"/>
              <w:adjustRightInd/>
              <w:snapToGrid/>
              <w:spacing w:before="4" w:line="360" w:lineRule="auto"/>
              <w:textAlignment w:val="auto"/>
              <w:rPr>
                <w:rFonts w:hint="eastAsia" w:ascii="宋体" w:hAnsi="宋体" w:eastAsia="宋体" w:cs="宋体"/>
                <w:color w:val="auto"/>
                <w:sz w:val="24"/>
                <w:highlight w:val="none"/>
              </w:rPr>
            </w:pPr>
          </w:p>
          <w:p w14:paraId="3D1E31B1">
            <w:pPr>
              <w:widowControl/>
              <w:kinsoku/>
              <w:wordWrap/>
              <w:overflowPunct/>
              <w:topLinePunct w:val="0"/>
              <w:autoSpaceDE/>
              <w:autoSpaceDN/>
              <w:bidi w:val="0"/>
              <w:adjustRightInd/>
              <w:snapToGrid/>
              <w:spacing w:before="4" w:line="360" w:lineRule="auto"/>
              <w:textAlignment w:val="auto"/>
              <w:rPr>
                <w:rFonts w:hint="eastAsia" w:ascii="宋体" w:hAnsi="宋体" w:eastAsia="宋体" w:cs="宋体"/>
                <w:color w:val="auto"/>
                <w:sz w:val="24"/>
                <w:highlight w:val="none"/>
              </w:rPr>
            </w:pPr>
          </w:p>
          <w:p w14:paraId="41010215">
            <w:pPr>
              <w:widowControl/>
              <w:kinsoku/>
              <w:wordWrap/>
              <w:overflowPunct/>
              <w:topLinePunct w:val="0"/>
              <w:autoSpaceDE/>
              <w:autoSpaceDN/>
              <w:bidi w:val="0"/>
              <w:adjustRightInd/>
              <w:snapToGrid/>
              <w:spacing w:before="4" w:line="36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授权代表身份证</w:t>
            </w:r>
            <w:r>
              <w:rPr>
                <w:rFonts w:hint="eastAsia" w:ascii="宋体" w:hAnsi="宋体" w:eastAsia="宋体" w:cs="宋体"/>
                <w:color w:val="auto"/>
                <w:sz w:val="24"/>
                <w:highlight w:val="none"/>
                <w:lang w:val="en-US" w:eastAsia="zh-CN"/>
              </w:rPr>
              <w:t>扫描</w:t>
            </w:r>
            <w:r>
              <w:rPr>
                <w:rFonts w:hint="eastAsia" w:ascii="宋体" w:hAnsi="宋体" w:eastAsia="宋体" w:cs="宋体"/>
                <w:color w:val="auto"/>
                <w:sz w:val="24"/>
                <w:highlight w:val="none"/>
              </w:rPr>
              <w:t>件</w:t>
            </w:r>
          </w:p>
        </w:tc>
      </w:tr>
    </w:tbl>
    <w:p w14:paraId="18EDA215">
      <w:pPr>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rPr>
      </w:pPr>
    </w:p>
    <w:p w14:paraId="0B6A5A88">
      <w:p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p>
    <w:p w14:paraId="47ED7B5A">
      <w:pPr>
        <w:keepNext/>
        <w:keepLines/>
        <w:kinsoku/>
        <w:wordWrap/>
        <w:overflowPunct/>
        <w:topLinePunct w:val="0"/>
        <w:autoSpaceDE/>
        <w:autoSpaceDN/>
        <w:bidi w:val="0"/>
        <w:adjustRightInd/>
        <w:snapToGrid/>
        <w:spacing w:before="100" w:line="360" w:lineRule="auto"/>
        <w:jc w:val="both"/>
        <w:textAlignment w:val="auto"/>
        <w:outlineLvl w:val="1"/>
        <w:rPr>
          <w:rFonts w:hint="eastAsia" w:ascii="宋体" w:hAnsi="宋体" w:eastAsia="宋体" w:cs="宋体"/>
          <w:b/>
          <w:bCs w:val="0"/>
          <w:color w:val="auto"/>
          <w:sz w:val="30"/>
          <w:szCs w:val="30"/>
          <w:highlight w:val="none"/>
        </w:rPr>
      </w:pPr>
    </w:p>
    <w:p w14:paraId="572DE5BC">
      <w:pPr>
        <w:keepNext/>
        <w:keepLines/>
        <w:kinsoku/>
        <w:wordWrap/>
        <w:overflowPunct/>
        <w:topLinePunct w:val="0"/>
        <w:autoSpaceDE/>
        <w:autoSpaceDN/>
        <w:bidi w:val="0"/>
        <w:adjustRightInd/>
        <w:snapToGrid/>
        <w:spacing w:before="100" w:line="360" w:lineRule="auto"/>
        <w:jc w:val="both"/>
        <w:textAlignment w:val="auto"/>
        <w:outlineLvl w:val="1"/>
        <w:rPr>
          <w:rFonts w:hint="eastAsia" w:ascii="宋体" w:hAnsi="宋体" w:eastAsia="宋体" w:cs="宋体"/>
          <w:b/>
          <w:bCs w:val="0"/>
          <w:color w:val="auto"/>
          <w:sz w:val="30"/>
          <w:szCs w:val="30"/>
          <w:highlight w:val="none"/>
        </w:rPr>
      </w:pPr>
    </w:p>
    <w:p w14:paraId="309E660C">
      <w:pPr>
        <w:keepNext/>
        <w:keepLines/>
        <w:kinsoku/>
        <w:wordWrap/>
        <w:overflowPunct/>
        <w:topLinePunct w:val="0"/>
        <w:autoSpaceDE/>
        <w:autoSpaceDN/>
        <w:bidi w:val="0"/>
        <w:adjustRightInd/>
        <w:snapToGrid/>
        <w:spacing w:before="100" w:line="360" w:lineRule="auto"/>
        <w:jc w:val="both"/>
        <w:textAlignment w:val="auto"/>
        <w:outlineLvl w:val="1"/>
        <w:rPr>
          <w:rFonts w:hint="eastAsia" w:ascii="宋体" w:hAnsi="宋体" w:eastAsia="宋体" w:cs="宋体"/>
          <w:b/>
          <w:bCs w:val="0"/>
          <w:color w:val="auto"/>
          <w:sz w:val="30"/>
          <w:szCs w:val="30"/>
          <w:highlight w:val="none"/>
          <w:lang w:eastAsia="zh-CN"/>
        </w:rPr>
      </w:pPr>
      <w:r>
        <w:rPr>
          <w:rFonts w:hint="eastAsia" w:ascii="宋体" w:hAnsi="宋体" w:eastAsia="宋体" w:cs="宋体"/>
          <w:b/>
          <w:bCs w:val="0"/>
          <w:color w:val="auto"/>
          <w:sz w:val="30"/>
          <w:szCs w:val="30"/>
          <w:highlight w:val="none"/>
        </w:rPr>
        <w:t>法定代表人</w:t>
      </w:r>
      <w:r>
        <w:rPr>
          <w:rFonts w:hint="eastAsia" w:ascii="宋体" w:hAnsi="宋体" w:eastAsia="宋体" w:cs="宋体"/>
          <w:b/>
          <w:bCs w:val="0"/>
          <w:color w:val="auto"/>
          <w:sz w:val="30"/>
          <w:szCs w:val="30"/>
          <w:highlight w:val="none"/>
          <w:lang w:val="en-US" w:eastAsia="zh-CN"/>
        </w:rPr>
        <w:t>身份证明书</w:t>
      </w:r>
      <w:r>
        <w:rPr>
          <w:rFonts w:hint="eastAsia" w:ascii="宋体" w:hAnsi="宋体" w:eastAsia="宋体" w:cs="宋体"/>
          <w:b/>
          <w:bCs w:val="0"/>
          <w:color w:val="auto"/>
          <w:sz w:val="30"/>
          <w:szCs w:val="30"/>
          <w:highlight w:val="none"/>
        </w:rPr>
        <w:t>（格式）</w:t>
      </w:r>
      <w:r>
        <w:rPr>
          <w:rFonts w:hint="eastAsia" w:ascii="宋体" w:hAnsi="宋体" w:eastAsia="宋体" w:cs="宋体"/>
          <w:b/>
          <w:bCs w:val="0"/>
          <w:color w:val="auto"/>
          <w:sz w:val="30"/>
          <w:szCs w:val="30"/>
          <w:highlight w:val="none"/>
          <w:lang w:eastAsia="zh-CN"/>
        </w:rPr>
        <w:t>（</w:t>
      </w:r>
      <w:r>
        <w:rPr>
          <w:rFonts w:hint="eastAsia" w:ascii="宋体" w:hAnsi="宋体" w:eastAsia="宋体" w:cs="宋体"/>
          <w:b/>
          <w:bCs w:val="0"/>
          <w:color w:val="auto"/>
          <w:sz w:val="30"/>
          <w:szCs w:val="30"/>
          <w:highlight w:val="none"/>
          <w:lang w:val="en-US" w:eastAsia="zh-CN"/>
        </w:rPr>
        <w:t>适用于无委托代理人的情况</w:t>
      </w:r>
      <w:r>
        <w:rPr>
          <w:rFonts w:hint="eastAsia" w:ascii="宋体" w:hAnsi="宋体" w:eastAsia="宋体" w:cs="宋体"/>
          <w:b/>
          <w:bCs w:val="0"/>
          <w:color w:val="auto"/>
          <w:sz w:val="30"/>
          <w:szCs w:val="30"/>
          <w:highlight w:val="none"/>
          <w:lang w:eastAsia="zh-CN"/>
        </w:rPr>
        <w:t>）</w:t>
      </w:r>
    </w:p>
    <w:p w14:paraId="6B6AD3B6">
      <w:pPr>
        <w:keepNext/>
        <w:keepLines/>
        <w:kinsoku/>
        <w:wordWrap/>
        <w:overflowPunct/>
        <w:topLinePunct w:val="0"/>
        <w:autoSpaceDE/>
        <w:autoSpaceDN/>
        <w:bidi w:val="0"/>
        <w:adjustRightInd/>
        <w:snapToGrid/>
        <w:spacing w:before="100" w:line="360" w:lineRule="auto"/>
        <w:jc w:val="center"/>
        <w:textAlignment w:val="auto"/>
        <w:outlineLvl w:val="1"/>
        <w:rPr>
          <w:rFonts w:hint="eastAsia" w:ascii="宋体" w:hAnsi="宋体" w:eastAsia="宋体" w:cs="宋体"/>
          <w:color w:val="auto"/>
          <w:sz w:val="30"/>
          <w:szCs w:val="30"/>
          <w:highlight w:val="none"/>
        </w:rPr>
      </w:pPr>
    </w:p>
    <w:p w14:paraId="377BBF47">
      <w:pPr>
        <w:keepNext/>
        <w:keepLines/>
        <w:kinsoku/>
        <w:wordWrap/>
        <w:overflowPunct/>
        <w:topLinePunct w:val="0"/>
        <w:autoSpaceDE/>
        <w:autoSpaceDN/>
        <w:bidi w:val="0"/>
        <w:adjustRightInd/>
        <w:snapToGrid/>
        <w:spacing w:before="100" w:line="360" w:lineRule="auto"/>
        <w:jc w:val="center"/>
        <w:textAlignment w:val="auto"/>
        <w:outlineLvl w:val="1"/>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法定代表人身份证明</w:t>
      </w:r>
    </w:p>
    <w:p w14:paraId="663B4BC6">
      <w:pPr>
        <w:pStyle w:val="16"/>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rPr>
      </w:pPr>
    </w:p>
    <w:p w14:paraId="49662EDC">
      <w:pPr>
        <w:pStyle w:val="16"/>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rPr>
      </w:pPr>
    </w:p>
    <w:p w14:paraId="63DDF391">
      <w:pPr>
        <w:kinsoku/>
        <w:wordWrap/>
        <w:overflowPunct/>
        <w:topLinePunct w:val="0"/>
        <w:autoSpaceDE/>
        <w:autoSpaceDN/>
        <w:bidi w:val="0"/>
        <w:adjustRightInd/>
        <w:snapToGrid/>
        <w:spacing w:line="360" w:lineRule="auto"/>
        <w:ind w:firstLine="6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 标 人：</w:t>
      </w:r>
      <w:r>
        <w:rPr>
          <w:rFonts w:hint="eastAsia" w:ascii="宋体" w:hAnsi="宋体" w:eastAsia="宋体" w:cs="宋体"/>
          <w:color w:val="auto"/>
          <w:sz w:val="24"/>
          <w:szCs w:val="24"/>
          <w:highlight w:val="none"/>
          <w:u w:val="single"/>
        </w:rPr>
        <w:t xml:space="preserve">                                                        </w:t>
      </w:r>
    </w:p>
    <w:p w14:paraId="38491BCC">
      <w:pPr>
        <w:kinsoku/>
        <w:wordWrap/>
        <w:overflowPunct/>
        <w:topLinePunct w:val="0"/>
        <w:autoSpaceDE/>
        <w:autoSpaceDN/>
        <w:bidi w:val="0"/>
        <w:adjustRightInd/>
        <w:snapToGrid/>
        <w:spacing w:line="360" w:lineRule="auto"/>
        <w:ind w:firstLine="6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单位性质：</w:t>
      </w:r>
      <w:r>
        <w:rPr>
          <w:rFonts w:hint="eastAsia" w:ascii="宋体" w:hAnsi="宋体" w:eastAsia="宋体" w:cs="宋体"/>
          <w:color w:val="auto"/>
          <w:sz w:val="24"/>
          <w:szCs w:val="24"/>
          <w:highlight w:val="none"/>
          <w:u w:val="single"/>
        </w:rPr>
        <w:t xml:space="preserve">                                                        </w:t>
      </w:r>
    </w:p>
    <w:p w14:paraId="2F0D1FFD">
      <w:pPr>
        <w:kinsoku/>
        <w:wordWrap/>
        <w:overflowPunct/>
        <w:topLinePunct w:val="0"/>
        <w:autoSpaceDE/>
        <w:autoSpaceDN/>
        <w:bidi w:val="0"/>
        <w:adjustRightInd/>
        <w:snapToGrid/>
        <w:spacing w:line="360" w:lineRule="auto"/>
        <w:ind w:firstLine="6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w:t>
      </w:r>
    </w:p>
    <w:p w14:paraId="10826E2A">
      <w:pPr>
        <w:kinsoku/>
        <w:wordWrap/>
        <w:overflowPunct/>
        <w:topLinePunct w:val="0"/>
        <w:autoSpaceDE/>
        <w:autoSpaceDN/>
        <w:bidi w:val="0"/>
        <w:adjustRightInd/>
        <w:snapToGrid/>
        <w:spacing w:line="360" w:lineRule="auto"/>
        <w:ind w:firstLine="6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64C32192">
      <w:pPr>
        <w:kinsoku/>
        <w:wordWrap/>
        <w:overflowPunct/>
        <w:topLinePunct w:val="0"/>
        <w:autoSpaceDE/>
        <w:autoSpaceDN/>
        <w:bidi w:val="0"/>
        <w:adjustRightInd/>
        <w:snapToGrid/>
        <w:spacing w:line="360" w:lineRule="auto"/>
        <w:ind w:firstLine="6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经营期限：</w:t>
      </w:r>
      <w:r>
        <w:rPr>
          <w:rFonts w:hint="eastAsia" w:ascii="宋体" w:hAnsi="宋体" w:eastAsia="宋体" w:cs="宋体"/>
          <w:color w:val="auto"/>
          <w:sz w:val="24"/>
          <w:szCs w:val="24"/>
          <w:highlight w:val="none"/>
          <w:u w:val="single"/>
        </w:rPr>
        <w:t xml:space="preserve">                                                        </w:t>
      </w:r>
    </w:p>
    <w:p w14:paraId="317150F3">
      <w:pPr>
        <w:kinsoku/>
        <w:wordWrap/>
        <w:overflowPunct/>
        <w:topLinePunct w:val="0"/>
        <w:autoSpaceDE/>
        <w:autoSpaceDN/>
        <w:bidi w:val="0"/>
        <w:adjustRightInd/>
        <w:snapToGrid/>
        <w:spacing w:line="360" w:lineRule="auto"/>
        <w:ind w:firstLine="6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性     别：</w:t>
      </w:r>
      <w:r>
        <w:rPr>
          <w:rFonts w:hint="eastAsia" w:ascii="宋体" w:hAnsi="宋体" w:eastAsia="宋体" w:cs="宋体"/>
          <w:color w:val="auto"/>
          <w:sz w:val="24"/>
          <w:szCs w:val="24"/>
          <w:highlight w:val="none"/>
          <w:u w:val="single"/>
        </w:rPr>
        <w:t xml:space="preserve">                   </w:t>
      </w:r>
    </w:p>
    <w:p w14:paraId="4254A6CD">
      <w:pPr>
        <w:kinsoku/>
        <w:wordWrap/>
        <w:overflowPunct/>
        <w:topLinePunct w:val="0"/>
        <w:autoSpaceDE/>
        <w:autoSpaceDN/>
        <w:bidi w:val="0"/>
        <w:adjustRightInd/>
        <w:snapToGrid/>
        <w:spacing w:line="360" w:lineRule="auto"/>
        <w:ind w:firstLine="6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职     务：</w:t>
      </w:r>
      <w:r>
        <w:rPr>
          <w:rFonts w:hint="eastAsia" w:ascii="宋体" w:hAnsi="宋体" w:eastAsia="宋体" w:cs="宋体"/>
          <w:color w:val="auto"/>
          <w:sz w:val="24"/>
          <w:szCs w:val="24"/>
          <w:highlight w:val="none"/>
          <w:u w:val="single"/>
        </w:rPr>
        <w:t xml:space="preserve">                   </w:t>
      </w:r>
    </w:p>
    <w:p w14:paraId="7DB8A62F">
      <w:pPr>
        <w:kinsoku/>
        <w:wordWrap/>
        <w:overflowPunct/>
        <w:topLinePunct w:val="0"/>
        <w:autoSpaceDE/>
        <w:autoSpaceDN/>
        <w:bidi w:val="0"/>
        <w:adjustRightInd/>
        <w:snapToGrid/>
        <w:spacing w:line="360" w:lineRule="auto"/>
        <w:ind w:firstLine="6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（投标人名称）的法定代表人。</w:t>
      </w:r>
    </w:p>
    <w:p w14:paraId="7BF54459">
      <w:pPr>
        <w:kinsoku/>
        <w:wordWrap/>
        <w:overflowPunct/>
        <w:topLinePunct w:val="0"/>
        <w:autoSpaceDE/>
        <w:autoSpaceDN/>
        <w:bidi w:val="0"/>
        <w:adjustRightInd/>
        <w:snapToGrid/>
        <w:spacing w:line="360" w:lineRule="auto"/>
        <w:ind w:firstLine="6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特此证明。</w:t>
      </w:r>
    </w:p>
    <w:p w14:paraId="6CC1F8E0">
      <w:p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1C1C9C55">
      <w:p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附：法定代表人身份证扫描件。</w:t>
      </w:r>
    </w:p>
    <w:p w14:paraId="32FA2546">
      <w:p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注：本身份证明需由投标人加盖单位公章。</w:t>
      </w:r>
    </w:p>
    <w:p w14:paraId="5318A698">
      <w:p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1FF05B38">
      <w:p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2538A946">
      <w:pPr>
        <w:kinsoku/>
        <w:wordWrap/>
        <w:overflowPunct/>
        <w:topLinePunct w:val="0"/>
        <w:autoSpaceDE/>
        <w:autoSpaceDN/>
        <w:bidi w:val="0"/>
        <w:adjustRightInd/>
        <w:snapToGrid/>
        <w:spacing w:line="360" w:lineRule="auto"/>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w:t>
      </w:r>
    </w:p>
    <w:p w14:paraId="451172DF">
      <w:pPr>
        <w:kinsoku/>
        <w:wordWrap/>
        <w:overflowPunct/>
        <w:topLinePunct w:val="0"/>
        <w:autoSpaceDE/>
        <w:autoSpaceDN/>
        <w:bidi w:val="0"/>
        <w:adjustRightInd/>
        <w:snapToGrid/>
        <w:spacing w:line="360" w:lineRule="auto"/>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8180B65">
      <w:pPr>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8"/>
          <w:szCs w:val="28"/>
          <w:highlight w:val="none"/>
        </w:rPr>
      </w:pPr>
    </w:p>
    <w:p w14:paraId="54F6F857">
      <w:pPr>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8"/>
          <w:szCs w:val="28"/>
          <w:highlight w:val="none"/>
        </w:rPr>
      </w:pPr>
    </w:p>
    <w:p w14:paraId="02D0D8F3">
      <w:pPr>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8"/>
          <w:szCs w:val="28"/>
          <w:highlight w:val="none"/>
        </w:rPr>
      </w:pPr>
    </w:p>
    <w:p w14:paraId="218D0B93">
      <w:pPr>
        <w:pStyle w:val="16"/>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rPr>
      </w:pPr>
    </w:p>
    <w:p w14:paraId="10AE9E13">
      <w:pPr>
        <w:keepNext w:val="0"/>
        <w:keepLines w:val="0"/>
        <w:pageBreakBefore/>
        <w:widowControl w:val="0"/>
        <w:kinsoku/>
        <w:wordWrap/>
        <w:overflowPunct/>
        <w:topLinePunct w:val="0"/>
        <w:autoSpaceDE/>
        <w:autoSpaceDN/>
        <w:bidi w:val="0"/>
        <w:adjustRightInd/>
        <w:snapToGrid/>
        <w:spacing w:line="360" w:lineRule="auto"/>
        <w:textAlignment w:val="auto"/>
        <w:outlineLvl w:val="2"/>
        <w:rPr>
          <w:rFonts w:hint="eastAsia" w:ascii="宋体" w:hAnsi="宋体" w:eastAsia="宋体" w:cs="宋体"/>
          <w:b/>
          <w:bCs/>
          <w:color w:val="auto"/>
          <w:sz w:val="32"/>
          <w:szCs w:val="32"/>
          <w:highlight w:val="none"/>
        </w:rPr>
      </w:pPr>
      <w:r>
        <w:rPr>
          <w:rFonts w:hint="eastAsia" w:ascii="宋体" w:hAnsi="宋体" w:eastAsia="宋体" w:cs="宋体"/>
          <w:b/>
          <w:bCs w:val="0"/>
          <w:color w:val="auto"/>
          <w:sz w:val="32"/>
          <w:szCs w:val="32"/>
          <w:highlight w:val="none"/>
        </w:rPr>
        <w:t>（四）（</w:t>
      </w:r>
      <w:r>
        <w:rPr>
          <w:rFonts w:hint="eastAsia" w:ascii="宋体" w:hAnsi="宋体" w:eastAsia="宋体" w:cs="宋体"/>
          <w:b/>
          <w:bCs w:val="0"/>
          <w:color w:val="auto"/>
          <w:sz w:val="32"/>
          <w:szCs w:val="32"/>
          <w:highlight w:val="none"/>
          <w:lang w:eastAsia="zh-CN"/>
        </w:rPr>
        <w:t>投标供应商</w:t>
      </w:r>
      <w:r>
        <w:rPr>
          <w:rFonts w:hint="eastAsia" w:ascii="宋体" w:hAnsi="宋体" w:eastAsia="宋体" w:cs="宋体"/>
          <w:b/>
          <w:bCs w:val="0"/>
          <w:color w:val="auto"/>
          <w:sz w:val="32"/>
          <w:szCs w:val="32"/>
          <w:highlight w:val="none"/>
        </w:rPr>
        <w:t>）中小企业声明函（格式）：</w:t>
      </w:r>
    </w:p>
    <w:p w14:paraId="3A880612">
      <w:pPr>
        <w:jc w:val="center"/>
        <w:rPr>
          <w:rFonts w:ascii="黑体" w:eastAsia="黑体"/>
          <w:bCs/>
          <w:color w:val="000000"/>
          <w:sz w:val="28"/>
          <w:szCs w:val="28"/>
        </w:rPr>
      </w:pPr>
      <w:r>
        <w:rPr>
          <w:rFonts w:ascii="黑体" w:eastAsia="黑体"/>
          <w:bCs/>
          <w:color w:val="000000"/>
          <w:sz w:val="28"/>
          <w:szCs w:val="28"/>
        </w:rPr>
        <w:t>中小企业声明函（服务）</w:t>
      </w:r>
    </w:p>
    <w:p w14:paraId="560B68A6">
      <w:pPr>
        <w:spacing w:line="580" w:lineRule="exact"/>
        <w:ind w:firstLine="480"/>
        <w:rPr>
          <w:rFonts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w:t>
      </w:r>
      <w:r>
        <w:rPr>
          <w:rFonts w:ascii="宋体" w:hAnsi="宋体"/>
          <w:bCs/>
          <w:color w:val="000000"/>
          <w:sz w:val="24"/>
          <w:szCs w:val="24"/>
          <w:u w:val="single"/>
        </w:rPr>
        <w:t>（联合体）</w:t>
      </w:r>
      <w:r>
        <w:rPr>
          <w:rFonts w:ascii="宋体" w:hAnsi="宋体"/>
          <w:bCs/>
          <w:color w:val="000000"/>
          <w:sz w:val="24"/>
          <w:szCs w:val="24"/>
        </w:rPr>
        <w:t>参加</w:t>
      </w:r>
      <w:r>
        <w:rPr>
          <w:rFonts w:ascii="宋体" w:hAnsi="宋体"/>
          <w:bCs/>
          <w:color w:val="000000"/>
          <w:sz w:val="24"/>
          <w:szCs w:val="24"/>
          <w:u w:val="single"/>
        </w:rPr>
        <w:t>（单位名称）</w:t>
      </w:r>
      <w:r>
        <w:rPr>
          <w:rFonts w:ascii="宋体" w:hAnsi="宋体"/>
          <w:bCs/>
          <w:color w:val="000000"/>
          <w:sz w:val="24"/>
          <w:szCs w:val="24"/>
        </w:rPr>
        <w:t>的</w:t>
      </w:r>
      <w:r>
        <w:rPr>
          <w:rFonts w:ascii="宋体" w:hAnsi="宋体"/>
          <w:bCs/>
          <w:color w:val="000000"/>
          <w:sz w:val="24"/>
          <w:szCs w:val="24"/>
          <w:u w:val="single"/>
        </w:rPr>
        <w:t>（项目名称）</w:t>
      </w:r>
      <w:r>
        <w:rPr>
          <w:rFonts w:ascii="宋体" w:hAnsi="宋体"/>
          <w:bCs/>
          <w:color w:val="000000"/>
          <w:sz w:val="24"/>
          <w:szCs w:val="24"/>
        </w:rPr>
        <w:t>采购活动，服务全部由符合政策要求的中小企业承接。相关企业（含联合体中的中小企业、签订分包意向协议的中小企业）的具体情况如下：</w:t>
      </w:r>
    </w:p>
    <w:p w14:paraId="41F607A8">
      <w:pPr>
        <w:spacing w:line="580" w:lineRule="exact"/>
        <w:ind w:firstLine="480"/>
        <w:rPr>
          <w:rFonts w:ascii="宋体" w:hAnsi="宋体"/>
          <w:bCs/>
          <w:color w:val="000000"/>
          <w:sz w:val="24"/>
          <w:szCs w:val="24"/>
        </w:rPr>
      </w:pPr>
      <w:r>
        <w:rPr>
          <w:rFonts w:ascii="宋体" w:hAnsi="宋体"/>
          <w:bCs/>
          <w:color w:val="000000"/>
          <w:sz w:val="24"/>
          <w:szCs w:val="24"/>
        </w:rPr>
        <w:t>1.</w:t>
      </w:r>
      <w:r>
        <w:rPr>
          <w:rFonts w:ascii="宋体" w:hAnsi="宋体"/>
          <w:bCs/>
          <w:color w:val="000000"/>
          <w:sz w:val="24"/>
          <w:szCs w:val="24"/>
          <w:u w:val="single"/>
        </w:rPr>
        <w:t xml:space="preserve"> （标的名称） </w:t>
      </w:r>
      <w:r>
        <w:rPr>
          <w:rFonts w:ascii="宋体" w:hAnsi="宋体"/>
          <w:bCs/>
          <w:color w:val="000000"/>
          <w:sz w:val="24"/>
          <w:szCs w:val="24"/>
        </w:rPr>
        <w:t>，属于</w:t>
      </w:r>
      <w:r>
        <w:rPr>
          <w:rFonts w:ascii="宋体" w:hAnsi="宋体"/>
          <w:bCs/>
          <w:color w:val="000000"/>
          <w:sz w:val="24"/>
          <w:szCs w:val="24"/>
          <w:u w:val="single"/>
        </w:rPr>
        <w:t>（采购文件中明确的所属行业）</w:t>
      </w:r>
      <w:r>
        <w:rPr>
          <w:rFonts w:ascii="宋体" w:hAnsi="宋体"/>
          <w:bCs/>
          <w:color w:val="000000"/>
          <w:sz w:val="24"/>
          <w:szCs w:val="24"/>
        </w:rPr>
        <w:t>； 承建（承接）企业为</w:t>
      </w:r>
      <w:r>
        <w:rPr>
          <w:rFonts w:ascii="宋体" w:hAnsi="宋体"/>
          <w:bCs/>
          <w:color w:val="000000"/>
          <w:sz w:val="24"/>
          <w:szCs w:val="24"/>
          <w:u w:val="single"/>
        </w:rPr>
        <w:t>（企业名称）</w:t>
      </w:r>
      <w:r>
        <w:rPr>
          <w:rFonts w:ascii="宋体" w:hAnsi="宋体"/>
          <w:bCs/>
          <w:color w:val="000000"/>
          <w:sz w:val="24"/>
          <w:szCs w:val="24"/>
        </w:rPr>
        <w:t>，从业人员</w:t>
      </w:r>
      <w:r>
        <w:rPr>
          <w:rFonts w:hint="eastAsia" w:ascii="宋体" w:hAnsi="宋体"/>
          <w:bCs/>
          <w:color w:val="000000"/>
          <w:sz w:val="24"/>
          <w:szCs w:val="24"/>
        </w:rPr>
        <w:t xml:space="preserve">   人</w:t>
      </w:r>
      <w:r>
        <w:rPr>
          <w:rFonts w:ascii="宋体" w:hAnsi="宋体"/>
          <w:bCs/>
          <w:color w:val="000000"/>
          <w:sz w:val="24"/>
          <w:szCs w:val="24"/>
        </w:rPr>
        <w:t>，营业收入为万元，资产总额为万元，属于</w:t>
      </w:r>
      <w:r>
        <w:rPr>
          <w:rFonts w:ascii="宋体" w:hAnsi="宋体"/>
          <w:bCs/>
          <w:color w:val="000000"/>
          <w:sz w:val="24"/>
          <w:szCs w:val="24"/>
          <w:u w:val="single"/>
        </w:rPr>
        <w:t>（中型企业、 小型企业、微型企业）</w:t>
      </w:r>
      <w:r>
        <w:rPr>
          <w:rFonts w:ascii="宋体" w:hAnsi="宋体"/>
          <w:bCs/>
          <w:color w:val="000000"/>
          <w:sz w:val="24"/>
          <w:szCs w:val="24"/>
        </w:rPr>
        <w:t>；</w:t>
      </w:r>
    </w:p>
    <w:p w14:paraId="68B408F5">
      <w:pPr>
        <w:spacing w:line="580" w:lineRule="exact"/>
        <w:ind w:firstLine="480"/>
        <w:rPr>
          <w:rFonts w:ascii="宋体" w:hAnsi="宋体"/>
          <w:bCs/>
          <w:color w:val="000000"/>
          <w:sz w:val="24"/>
          <w:szCs w:val="24"/>
        </w:rPr>
      </w:pPr>
      <w:r>
        <w:rPr>
          <w:rFonts w:hint="eastAsia" w:ascii="宋体" w:hAnsi="宋体"/>
          <w:bCs/>
          <w:color w:val="000000"/>
          <w:sz w:val="24"/>
          <w:szCs w:val="24"/>
        </w:rPr>
        <w:t>2.</w:t>
      </w:r>
      <w:r>
        <w:rPr>
          <w:rFonts w:ascii="宋体" w:hAnsi="宋体"/>
          <w:bCs/>
          <w:color w:val="000000"/>
          <w:sz w:val="24"/>
          <w:szCs w:val="24"/>
          <w:u w:val="single"/>
        </w:rPr>
        <w:t xml:space="preserve"> （标的名称） </w:t>
      </w:r>
      <w:r>
        <w:rPr>
          <w:rFonts w:ascii="宋体" w:hAnsi="宋体"/>
          <w:bCs/>
          <w:color w:val="000000"/>
          <w:sz w:val="24"/>
          <w:szCs w:val="24"/>
        </w:rPr>
        <w:t>，属于</w:t>
      </w:r>
      <w:r>
        <w:rPr>
          <w:rFonts w:ascii="宋体" w:hAnsi="宋体"/>
          <w:bCs/>
          <w:color w:val="000000"/>
          <w:sz w:val="24"/>
          <w:szCs w:val="24"/>
          <w:u w:val="single"/>
        </w:rPr>
        <w:t>（采购文件中明确的所属行业）</w:t>
      </w:r>
      <w:r>
        <w:rPr>
          <w:rFonts w:ascii="宋体" w:hAnsi="宋体"/>
          <w:bCs/>
          <w:color w:val="000000"/>
          <w:sz w:val="24"/>
          <w:szCs w:val="24"/>
        </w:rPr>
        <w:t>； 承建（承接）企业为</w:t>
      </w:r>
      <w:r>
        <w:rPr>
          <w:rFonts w:ascii="宋体" w:hAnsi="宋体"/>
          <w:bCs/>
          <w:color w:val="000000"/>
          <w:sz w:val="24"/>
          <w:szCs w:val="24"/>
          <w:u w:val="single"/>
        </w:rPr>
        <w:t>（企业名称）</w:t>
      </w:r>
      <w:r>
        <w:rPr>
          <w:rFonts w:ascii="宋体" w:hAnsi="宋体"/>
          <w:bCs/>
          <w:color w:val="000000"/>
          <w:sz w:val="24"/>
          <w:szCs w:val="24"/>
        </w:rPr>
        <w:t>，从业人员人，营业收入为万元，资产总额为万元，属于</w:t>
      </w:r>
      <w:r>
        <w:rPr>
          <w:rFonts w:ascii="宋体" w:hAnsi="宋体"/>
          <w:bCs/>
          <w:color w:val="000000"/>
          <w:sz w:val="24"/>
          <w:szCs w:val="24"/>
          <w:u w:val="single"/>
        </w:rPr>
        <w:t>（中型企业、 小型企业、微型企业）</w:t>
      </w:r>
      <w:r>
        <w:rPr>
          <w:rFonts w:ascii="宋体" w:hAnsi="宋体"/>
          <w:bCs/>
          <w:color w:val="000000"/>
          <w:sz w:val="24"/>
          <w:szCs w:val="24"/>
        </w:rPr>
        <w:t>；</w:t>
      </w:r>
    </w:p>
    <w:p w14:paraId="6960E871">
      <w:pPr>
        <w:spacing w:line="580" w:lineRule="exact"/>
        <w:ind w:firstLine="480"/>
        <w:rPr>
          <w:rFonts w:ascii="宋体" w:hAnsi="宋体"/>
          <w:bCs/>
          <w:color w:val="000000"/>
          <w:sz w:val="24"/>
          <w:szCs w:val="24"/>
        </w:rPr>
      </w:pPr>
      <w:r>
        <w:rPr>
          <w:rFonts w:ascii="宋体" w:hAnsi="宋体"/>
          <w:bCs/>
          <w:color w:val="000000"/>
          <w:sz w:val="24"/>
          <w:szCs w:val="24"/>
        </w:rPr>
        <w:t>……</w:t>
      </w:r>
    </w:p>
    <w:p w14:paraId="7173D03D">
      <w:pPr>
        <w:spacing w:line="580" w:lineRule="exact"/>
        <w:ind w:firstLine="480"/>
        <w:rPr>
          <w:rFonts w:ascii="宋体" w:hAnsi="宋体"/>
          <w:bCs/>
          <w:color w:val="000000"/>
          <w:sz w:val="24"/>
          <w:szCs w:val="24"/>
        </w:rPr>
      </w:pPr>
      <w:r>
        <w:rPr>
          <w:rFonts w:ascii="宋体" w:hAnsi="宋体"/>
          <w:bCs/>
          <w:color w:val="000000"/>
          <w:sz w:val="24"/>
          <w:szCs w:val="24"/>
        </w:rPr>
        <w:t>以上企业，不属于大企业的分支机构，不存在控股股东为大企业的情形，也不存在与大企业的负责人为同一人的情形。 本企业对上述声明内容的真实性负责。如有虚假，将依 法承担相应责任。</w:t>
      </w:r>
    </w:p>
    <w:p w14:paraId="551FE53F">
      <w:pPr>
        <w:rPr>
          <w:rFonts w:ascii="黑体" w:hAnsi="宋体" w:eastAsia="黑体"/>
          <w:bCs/>
          <w:color w:val="000000"/>
          <w:sz w:val="24"/>
          <w:szCs w:val="24"/>
        </w:rPr>
      </w:pPr>
    </w:p>
    <w:p w14:paraId="380379CD">
      <w:pPr>
        <w:rPr>
          <w:rFonts w:ascii="黑体" w:hAnsi="宋体" w:eastAsia="黑体"/>
          <w:bCs/>
          <w:color w:val="000000"/>
          <w:sz w:val="24"/>
          <w:szCs w:val="24"/>
        </w:rPr>
      </w:pPr>
    </w:p>
    <w:p w14:paraId="3ED2F79B">
      <w:pPr>
        <w:rPr>
          <w:rFonts w:ascii="黑体" w:hAnsi="宋体" w:eastAsia="黑体"/>
          <w:bCs/>
          <w:color w:val="000000"/>
          <w:sz w:val="24"/>
          <w:szCs w:val="24"/>
        </w:rPr>
      </w:pPr>
    </w:p>
    <w:p w14:paraId="75C49295">
      <w:pPr>
        <w:spacing w:line="360" w:lineRule="auto"/>
        <w:ind w:firstLine="4800"/>
        <w:rPr>
          <w:rFonts w:ascii="宋体" w:hAnsi="宋体"/>
          <w:bCs/>
          <w:color w:val="000000"/>
          <w:sz w:val="24"/>
          <w:szCs w:val="24"/>
        </w:rPr>
      </w:pPr>
      <w:r>
        <w:rPr>
          <w:rFonts w:hint="eastAsia" w:ascii="宋体" w:hAnsi="宋体"/>
          <w:bCs/>
          <w:color w:val="000000"/>
          <w:sz w:val="24"/>
          <w:szCs w:val="24"/>
        </w:rPr>
        <w:t>企业名称（盖章）：</w:t>
      </w:r>
    </w:p>
    <w:p w14:paraId="23378B7B">
      <w:pPr>
        <w:spacing w:line="360" w:lineRule="auto"/>
        <w:ind w:firstLine="4800"/>
        <w:rPr>
          <w:rFonts w:ascii="宋体" w:hAnsi="宋体"/>
          <w:bCs/>
          <w:color w:val="000000"/>
          <w:sz w:val="24"/>
          <w:szCs w:val="24"/>
        </w:rPr>
      </w:pPr>
    </w:p>
    <w:p w14:paraId="65274B81">
      <w:pPr>
        <w:spacing w:line="360" w:lineRule="auto"/>
        <w:ind w:firstLine="4800"/>
        <w:rPr>
          <w:rFonts w:ascii="宋体" w:hAnsi="宋体"/>
          <w:bCs/>
          <w:color w:val="000000"/>
          <w:sz w:val="24"/>
          <w:szCs w:val="24"/>
        </w:rPr>
      </w:pPr>
      <w:r>
        <w:rPr>
          <w:rFonts w:hint="eastAsia" w:ascii="宋体" w:hAnsi="宋体"/>
          <w:bCs/>
          <w:color w:val="000000"/>
          <w:sz w:val="24"/>
          <w:szCs w:val="24"/>
        </w:rPr>
        <w:t>日　　　　　　期：</w:t>
      </w:r>
    </w:p>
    <w:p w14:paraId="6BD70484">
      <w:pPr>
        <w:spacing w:line="360" w:lineRule="auto"/>
        <w:rPr>
          <w:rFonts w:ascii="宋体" w:hAnsi="宋体"/>
          <w:bCs/>
          <w:color w:val="000000"/>
          <w:sz w:val="24"/>
          <w:szCs w:val="24"/>
        </w:rPr>
      </w:pPr>
    </w:p>
    <w:p w14:paraId="78C13C76">
      <w:pPr>
        <w:ind w:firstLine="420"/>
        <w:rPr>
          <w:color w:val="000000"/>
        </w:rPr>
      </w:pPr>
      <w:r>
        <w:rPr>
          <w:rFonts w:hint="eastAsia"/>
          <w:color w:val="000000"/>
        </w:rPr>
        <w:t>注：1.</w:t>
      </w:r>
      <w:r>
        <w:rPr>
          <w:color w:val="000000"/>
        </w:rPr>
        <w:t>从业人员、营业收入、资产总额填报上一年度数据，无上一年度数据的新成立企业可不填报。</w:t>
      </w:r>
    </w:p>
    <w:p w14:paraId="322811EA">
      <w:pPr>
        <w:ind w:firstLine="840"/>
        <w:rPr>
          <w:color w:val="000000"/>
        </w:rPr>
      </w:pPr>
      <w:r>
        <w:rPr>
          <w:rFonts w:hint="eastAsia"/>
          <w:color w:val="000000"/>
        </w:rPr>
        <w:t>2.中标供应商的《</w:t>
      </w:r>
      <w:r>
        <w:rPr>
          <w:color w:val="000000"/>
        </w:rPr>
        <w:t>中小企业声明函</w:t>
      </w:r>
      <w:r>
        <w:rPr>
          <w:rFonts w:hint="eastAsia"/>
          <w:color w:val="000000"/>
        </w:rPr>
        <w:t>》将随中标公告进行公示。供应商按照本办法规定提供声明函内容不实的，属于提供虚假材料谋取中标、成交，依照《中华人民共和国政府采购法》等国家有关规定追究相应责任。</w:t>
      </w:r>
    </w:p>
    <w:p w14:paraId="17B91D13">
      <w:pPr>
        <w:ind w:firstLine="840"/>
        <w:rPr>
          <w:color w:val="000000"/>
        </w:rPr>
      </w:pPr>
      <w:r>
        <w:rPr>
          <w:rFonts w:hint="eastAsia"/>
          <w:color w:val="000000"/>
        </w:rPr>
        <w:t>3.投标时本表附在《开标一览表》之后（如有）</w:t>
      </w:r>
    </w:p>
    <w:p w14:paraId="09CD362B">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宋体" w:hAnsi="宋体" w:eastAsia="宋体" w:cs="宋体"/>
          <w:b/>
          <w:bCs w:val="0"/>
          <w:color w:val="auto"/>
          <w:sz w:val="32"/>
          <w:szCs w:val="32"/>
          <w:highlight w:val="none"/>
        </w:rPr>
      </w:pPr>
    </w:p>
    <w:p w14:paraId="71B77BC9">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宋体" w:hAnsi="宋体" w:eastAsia="宋体" w:cs="宋体"/>
          <w:b/>
          <w:bCs w:val="0"/>
          <w:color w:val="auto"/>
          <w:sz w:val="32"/>
          <w:szCs w:val="32"/>
          <w:highlight w:val="none"/>
        </w:rPr>
      </w:pPr>
    </w:p>
    <w:p w14:paraId="6A92F110">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（五）（</w:t>
      </w:r>
      <w:r>
        <w:rPr>
          <w:rFonts w:hint="eastAsia" w:ascii="宋体" w:hAnsi="宋体" w:eastAsia="宋体" w:cs="宋体"/>
          <w:b/>
          <w:bCs w:val="0"/>
          <w:color w:val="auto"/>
          <w:sz w:val="32"/>
          <w:szCs w:val="32"/>
          <w:highlight w:val="none"/>
          <w:lang w:eastAsia="zh-CN"/>
        </w:rPr>
        <w:t>投标供应商</w:t>
      </w:r>
      <w:r>
        <w:rPr>
          <w:rFonts w:hint="eastAsia" w:ascii="宋体" w:hAnsi="宋体" w:eastAsia="宋体" w:cs="宋体"/>
          <w:b/>
          <w:bCs w:val="0"/>
          <w:color w:val="auto"/>
          <w:sz w:val="32"/>
          <w:szCs w:val="32"/>
          <w:highlight w:val="none"/>
        </w:rPr>
        <w:t>）残疾人福利性单位声明函（格式）：</w:t>
      </w:r>
    </w:p>
    <w:p w14:paraId="3016AD56">
      <w:pPr>
        <w:kinsoku/>
        <w:wordWrap/>
        <w:overflowPunct/>
        <w:topLinePunct w:val="0"/>
        <w:autoSpaceDE/>
        <w:autoSpaceDN/>
        <w:bidi w:val="0"/>
        <w:adjustRightInd/>
        <w:snapToGrid/>
        <w:spacing w:line="360" w:lineRule="auto"/>
        <w:textAlignment w:val="auto"/>
        <w:rPr>
          <w:rFonts w:hint="eastAsia" w:ascii="宋体" w:hAnsi="宋体" w:eastAsia="宋体" w:cs="宋体"/>
          <w:b/>
          <w:bCs w:val="0"/>
          <w:color w:val="auto"/>
          <w:sz w:val="24"/>
          <w:szCs w:val="24"/>
          <w:highlight w:val="none"/>
        </w:rPr>
      </w:pPr>
    </w:p>
    <w:p w14:paraId="551D9D4A">
      <w:p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残疾人福利性单位声明函</w:t>
      </w:r>
    </w:p>
    <w:p w14:paraId="2E745F98">
      <w:pPr>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auto"/>
          <w:sz w:val="28"/>
          <w:szCs w:val="28"/>
          <w:highlight w:val="none"/>
        </w:rPr>
      </w:pPr>
    </w:p>
    <w:p w14:paraId="20F9FD3E">
      <w:pPr>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本单位郑重声明，根据《财政部 民政部 中国残疾人联合会关于促进残疾人就业政府采购政策的通知》（财库</w:t>
      </w:r>
      <w:r>
        <w:rPr>
          <w:rFonts w:hint="eastAsia" w:ascii="宋体" w:hAnsi="宋体" w:eastAsia="宋体" w:cs="宋体"/>
          <w:bCs/>
          <w:color w:val="auto"/>
          <w:sz w:val="24"/>
          <w:szCs w:val="24"/>
          <w:highlight w:val="none"/>
          <w:lang w:eastAsia="zh-CN"/>
        </w:rPr>
        <w:t>〔2017〕141号</w:t>
      </w:r>
      <w:r>
        <w:rPr>
          <w:rFonts w:hint="eastAsia" w:ascii="宋体" w:hAnsi="宋体" w:eastAsia="宋体" w:cs="宋体"/>
          <w:bCs/>
          <w:color w:val="auto"/>
          <w:sz w:val="24"/>
          <w:szCs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F26F727">
      <w:pPr>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本单位对上述声明的真实性负责。如有虚假，将依法承担相应责任。</w:t>
      </w:r>
    </w:p>
    <w:p w14:paraId="0F6AEE6F">
      <w:pPr>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p>
    <w:p w14:paraId="7A78AA20">
      <w:pPr>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p>
    <w:p w14:paraId="30B8C96F">
      <w:pPr>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单位名称（盖章）：</w:t>
      </w:r>
    </w:p>
    <w:p w14:paraId="6BAA1078">
      <w:pPr>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  期：</w:t>
      </w:r>
    </w:p>
    <w:p w14:paraId="12C2139C">
      <w:pPr>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p>
    <w:p w14:paraId="08614F40">
      <w:pPr>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p>
    <w:p w14:paraId="77A5619E">
      <w:pPr>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p>
    <w:p w14:paraId="4B74DBA6">
      <w:pPr>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p>
    <w:p w14:paraId="67C882FC">
      <w:pPr>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p>
    <w:p w14:paraId="107150B9">
      <w:pPr>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p>
    <w:p w14:paraId="0B1973D8">
      <w:pPr>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p>
    <w:p w14:paraId="523FBBD8">
      <w:pPr>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p>
    <w:p w14:paraId="51A7FE47">
      <w:pPr>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p>
    <w:p w14:paraId="74B6051D">
      <w:pPr>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p>
    <w:p w14:paraId="511E17C7">
      <w:pPr>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p>
    <w:p w14:paraId="075AB2C4">
      <w:pPr>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p>
    <w:p w14:paraId="5C2BFC35">
      <w:pPr>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p>
    <w:p w14:paraId="74DFE02D">
      <w:pPr>
        <w:kinsoku/>
        <w:wordWrap/>
        <w:overflowPunct/>
        <w:topLinePunct w:val="0"/>
        <w:autoSpaceDE/>
        <w:autoSpaceDN/>
        <w:bidi w:val="0"/>
        <w:adjustRightInd/>
        <w:snapToGrid/>
        <w:spacing w:line="360" w:lineRule="auto"/>
        <w:textAlignment w:val="auto"/>
        <w:outlineLvl w:val="2"/>
        <w:rPr>
          <w:rFonts w:hint="eastAsia" w:ascii="宋体" w:hAnsi="宋体" w:eastAsia="宋体" w:cs="宋体"/>
          <w:b/>
          <w:bCs w:val="0"/>
          <w:color w:val="auto"/>
          <w:sz w:val="32"/>
          <w:szCs w:val="32"/>
          <w:highlight w:val="none"/>
        </w:rPr>
      </w:pPr>
    </w:p>
    <w:p w14:paraId="1007989C">
      <w:pPr>
        <w:kinsoku/>
        <w:wordWrap/>
        <w:overflowPunct/>
        <w:topLinePunct w:val="0"/>
        <w:autoSpaceDE/>
        <w:autoSpaceDN/>
        <w:bidi w:val="0"/>
        <w:adjustRightInd/>
        <w:snapToGrid/>
        <w:spacing w:line="360" w:lineRule="auto"/>
        <w:textAlignment w:val="auto"/>
        <w:outlineLvl w:val="2"/>
        <w:rPr>
          <w:rFonts w:hint="eastAsia" w:ascii="宋体" w:hAnsi="宋体" w:eastAsia="宋体" w:cs="宋体"/>
          <w:b/>
          <w:bCs w:val="0"/>
          <w:color w:val="auto"/>
          <w:sz w:val="32"/>
          <w:szCs w:val="32"/>
          <w:highlight w:val="none"/>
        </w:rPr>
      </w:pPr>
    </w:p>
    <w:p w14:paraId="39F83B2F">
      <w:pPr>
        <w:kinsoku/>
        <w:wordWrap/>
        <w:overflowPunct/>
        <w:topLinePunct w:val="0"/>
        <w:autoSpaceDE/>
        <w:autoSpaceDN/>
        <w:bidi w:val="0"/>
        <w:adjustRightInd/>
        <w:snapToGrid/>
        <w:spacing w:line="360" w:lineRule="auto"/>
        <w:textAlignment w:val="auto"/>
        <w:outlineLvl w:val="2"/>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（六）承诺书</w:t>
      </w:r>
      <w:r>
        <w:rPr>
          <w:rFonts w:hint="eastAsia" w:ascii="宋体" w:hAnsi="宋体" w:eastAsia="宋体" w:cs="宋体"/>
          <w:b/>
          <w:bCs w:val="0"/>
          <w:color w:val="auto"/>
          <w:sz w:val="32"/>
          <w:szCs w:val="32"/>
          <w:highlight w:val="none"/>
          <w:lang w:val="en-US" w:eastAsia="zh-CN"/>
        </w:rPr>
        <w:t>一</w:t>
      </w:r>
      <w:r>
        <w:rPr>
          <w:rFonts w:hint="eastAsia" w:ascii="宋体" w:hAnsi="宋体" w:eastAsia="宋体" w:cs="宋体"/>
          <w:b/>
          <w:bCs w:val="0"/>
          <w:color w:val="auto"/>
          <w:sz w:val="32"/>
          <w:szCs w:val="32"/>
          <w:highlight w:val="none"/>
        </w:rPr>
        <w:t>（格式）：</w:t>
      </w:r>
    </w:p>
    <w:p w14:paraId="28283C55">
      <w:p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承诺书</w:t>
      </w:r>
    </w:p>
    <w:p w14:paraId="7FF0EB8B">
      <w:pPr>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auto"/>
          <w:sz w:val="28"/>
          <w:szCs w:val="28"/>
          <w:highlight w:val="none"/>
        </w:rPr>
      </w:pPr>
    </w:p>
    <w:p w14:paraId="2EEA4225">
      <w:p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名称）针</w:t>
      </w:r>
      <w:r>
        <w:rPr>
          <w:rFonts w:hint="eastAsia" w:ascii="宋体" w:hAnsi="宋体" w:eastAsia="宋体" w:cs="宋体"/>
          <w:bCs/>
          <w:color w:val="auto"/>
          <w:sz w:val="24"/>
          <w:szCs w:val="24"/>
          <w:highlight w:val="none"/>
        </w:rPr>
        <w:t>对本项目（</w:t>
      </w:r>
      <w:r>
        <w:rPr>
          <w:rFonts w:hint="eastAsia" w:ascii="宋体" w:hAnsi="宋体" w:cs="宋体"/>
          <w:bCs/>
          <w:color w:val="auto"/>
          <w:sz w:val="24"/>
          <w:szCs w:val="24"/>
          <w:highlight w:val="none"/>
          <w:lang w:eastAsia="zh-CN"/>
        </w:rPr>
        <w:t>JSZC-320214-JHCG-G2025-0008</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在此承诺：</w:t>
      </w:r>
    </w:p>
    <w:p w14:paraId="3DB57C5A">
      <w:p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3B3A7966">
      <w:p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1、本公司（单位）</w:t>
      </w:r>
      <w:r>
        <w:rPr>
          <w:rFonts w:hint="eastAsia" w:ascii="宋体" w:hAnsi="宋体" w:eastAsia="宋体" w:cs="宋体"/>
          <w:bCs/>
          <w:color w:val="auto"/>
          <w:sz w:val="24"/>
          <w:szCs w:val="24"/>
          <w:highlight w:val="none"/>
        </w:rPr>
        <w:t>对本项目（</w:t>
      </w:r>
      <w:r>
        <w:rPr>
          <w:rFonts w:hint="eastAsia" w:ascii="宋体" w:hAnsi="宋体" w:cs="宋体"/>
          <w:bCs/>
          <w:color w:val="auto"/>
          <w:sz w:val="24"/>
          <w:szCs w:val="24"/>
          <w:highlight w:val="none"/>
          <w:lang w:eastAsia="zh-CN"/>
        </w:rPr>
        <w:t>JSZC-320214-JHCG-G2025-0008</w:t>
      </w:r>
      <w:r>
        <w:rPr>
          <w:rFonts w:hint="eastAsia" w:ascii="宋体" w:hAnsi="宋体" w:eastAsia="宋体" w:cs="宋体"/>
          <w:bCs/>
          <w:color w:val="auto"/>
          <w:sz w:val="24"/>
          <w:szCs w:val="24"/>
          <w:highlight w:val="none"/>
        </w:rPr>
        <w:t>）所提供的</w:t>
      </w:r>
      <w:r>
        <w:rPr>
          <w:rFonts w:hint="eastAsia" w:ascii="宋体" w:hAnsi="宋体" w:cs="宋体"/>
          <w:bCs/>
          <w:color w:val="auto"/>
          <w:sz w:val="24"/>
          <w:szCs w:val="24"/>
          <w:highlight w:val="none"/>
          <w:lang w:eastAsia="zh-CN"/>
        </w:rPr>
        <w:t>江溪街道治超站食堂食材配送服务（第二次）</w:t>
      </w:r>
      <w:r>
        <w:rPr>
          <w:rFonts w:hint="eastAsia" w:ascii="宋体" w:hAnsi="宋体" w:eastAsia="宋体" w:cs="宋体"/>
          <w:bCs/>
          <w:color w:val="auto"/>
          <w:sz w:val="24"/>
          <w:szCs w:val="24"/>
          <w:highlight w:val="none"/>
        </w:rPr>
        <w:t>符合采购文件要求；</w:t>
      </w:r>
    </w:p>
    <w:p w14:paraId="7570D409">
      <w:pPr>
        <w:tabs>
          <w:tab w:val="left" w:pos="945"/>
        </w:tabs>
        <w:kinsoku/>
        <w:wordWrap/>
        <w:overflowPunct/>
        <w:topLinePunct w:val="0"/>
        <w:autoSpaceDE/>
        <w:autoSpaceDN/>
        <w:bidi w:val="0"/>
        <w:adjustRightInd/>
        <w:snapToGrid/>
        <w:spacing w:line="360" w:lineRule="auto"/>
        <w:ind w:firstLine="465"/>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2、本公司（单位）具备履行合同所必需的设备和专业技术能力；</w:t>
      </w:r>
    </w:p>
    <w:p w14:paraId="4BD40AFB">
      <w:p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3、本公司未被“</w:t>
      </w:r>
      <w:r>
        <w:rPr>
          <w:rFonts w:hint="eastAsia" w:ascii="宋体" w:hAnsi="宋体" w:eastAsia="宋体" w:cs="宋体"/>
          <w:bCs/>
          <w:color w:val="auto"/>
          <w:sz w:val="24"/>
          <w:szCs w:val="24"/>
          <w:highlight w:val="none"/>
        </w:rPr>
        <w:t>信用中国</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"http://www.creditchina.gov.cn"</w:instrText>
      </w:r>
      <w:r>
        <w:rPr>
          <w:rFonts w:hint="eastAsia" w:ascii="宋体" w:hAnsi="宋体" w:eastAsia="宋体" w:cs="宋体"/>
          <w:color w:val="auto"/>
          <w:highlight w:val="none"/>
        </w:rPr>
        <w:fldChar w:fldCharType="separate"/>
      </w:r>
      <w:r>
        <w:rPr>
          <w:rStyle w:val="263"/>
          <w:rFonts w:hint="eastAsia" w:ascii="宋体" w:hAnsi="宋体" w:eastAsia="宋体" w:cs="宋体"/>
          <w:bCs/>
          <w:color w:val="auto"/>
          <w:sz w:val="24"/>
          <w:szCs w:val="24"/>
          <w:highlight w:val="none"/>
        </w:rPr>
        <w:t>www.creditchina.gov.cn</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中国政府采购网(www.ccgp.gov.cn)列入失信被执行人、重大税收违法案件当事人名单、政府采购严重违法失信行为记录名单</w:t>
      </w:r>
      <w:r>
        <w:rPr>
          <w:rFonts w:hint="eastAsia" w:ascii="宋体" w:hAnsi="宋体" w:eastAsia="宋体" w:cs="宋体"/>
          <w:bCs/>
          <w:color w:val="auto"/>
          <w:sz w:val="24"/>
          <w:szCs w:val="24"/>
          <w:highlight w:val="none"/>
        </w:rPr>
        <w:t>；</w:t>
      </w:r>
    </w:p>
    <w:p w14:paraId="47AF03C3">
      <w:p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p w14:paraId="3B5A45D9">
      <w:p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p w14:paraId="76B99E8B">
      <w:p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p w14:paraId="4CF00A3B">
      <w:p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p w14:paraId="35BC16C1">
      <w:pPr>
        <w:tabs>
          <w:tab w:val="left" w:pos="945"/>
        </w:tabs>
        <w:kinsoku/>
        <w:wordWrap/>
        <w:overflowPunct/>
        <w:topLinePunct w:val="0"/>
        <w:autoSpaceDE/>
        <w:autoSpaceDN/>
        <w:bidi w:val="0"/>
        <w:adjustRightInd/>
        <w:snapToGrid/>
        <w:spacing w:line="360" w:lineRule="auto"/>
        <w:ind w:firstLine="46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p w14:paraId="03DAF2AD">
      <w:pPr>
        <w:kinsoku/>
        <w:wordWrap/>
        <w:overflowPunct/>
        <w:topLinePunct w:val="0"/>
        <w:autoSpaceDE/>
        <w:autoSpaceDN/>
        <w:bidi w:val="0"/>
        <w:adjustRightInd/>
        <w:snapToGrid/>
        <w:spacing w:line="360" w:lineRule="auto"/>
        <w:ind w:firstLine="96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p w14:paraId="68146E12">
      <w:pPr>
        <w:kinsoku/>
        <w:wordWrap/>
        <w:overflowPunct/>
        <w:topLinePunct w:val="0"/>
        <w:autoSpaceDE/>
        <w:autoSpaceDN/>
        <w:bidi w:val="0"/>
        <w:adjustRightInd/>
        <w:snapToGrid/>
        <w:spacing w:line="360" w:lineRule="auto"/>
        <w:ind w:firstLine="96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如违背上述承诺，本公司</w:t>
      </w:r>
      <w:r>
        <w:rPr>
          <w:rFonts w:hint="eastAsia" w:ascii="宋体" w:hAnsi="宋体" w:eastAsia="宋体" w:cs="宋体"/>
          <w:color w:val="auto"/>
          <w:sz w:val="24"/>
          <w:szCs w:val="24"/>
          <w:highlight w:val="none"/>
        </w:rPr>
        <w:t>（单位）</w:t>
      </w:r>
      <w:r>
        <w:rPr>
          <w:rFonts w:hint="eastAsia" w:ascii="宋体" w:hAnsi="宋体" w:eastAsia="宋体" w:cs="宋体"/>
          <w:bCs/>
          <w:color w:val="auto"/>
          <w:sz w:val="24"/>
          <w:szCs w:val="24"/>
          <w:highlight w:val="none"/>
        </w:rPr>
        <w:t>将承担一切法律责任。</w:t>
      </w:r>
    </w:p>
    <w:p w14:paraId="481729C6">
      <w:pPr>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4"/>
          <w:szCs w:val="24"/>
          <w:highlight w:val="none"/>
        </w:rPr>
      </w:pPr>
    </w:p>
    <w:p w14:paraId="5A52F5C6">
      <w:pPr>
        <w:kinsoku/>
        <w:wordWrap/>
        <w:overflowPunct/>
        <w:topLinePunct w:val="0"/>
        <w:autoSpaceDE/>
        <w:autoSpaceDN/>
        <w:bidi w:val="0"/>
        <w:adjustRightInd/>
        <w:snapToGrid/>
        <w:spacing w:line="360" w:lineRule="auto"/>
        <w:ind w:firstLine="372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投标供应商</w:t>
      </w:r>
      <w:r>
        <w:rPr>
          <w:rFonts w:hint="eastAsia" w:ascii="宋体" w:hAnsi="宋体" w:eastAsia="宋体" w:cs="宋体"/>
          <w:bCs/>
          <w:color w:val="auto"/>
          <w:sz w:val="24"/>
          <w:szCs w:val="24"/>
          <w:highlight w:val="none"/>
        </w:rPr>
        <w:t>（盖章）：</w:t>
      </w:r>
    </w:p>
    <w:p w14:paraId="7FE43A3F">
      <w:pPr>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14:paraId="6C419FD1">
      <w:pPr>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p>
    <w:p w14:paraId="0D10D867">
      <w:pPr>
        <w:kinsoku/>
        <w:wordWrap/>
        <w:overflowPunct/>
        <w:topLinePunct w:val="0"/>
        <w:autoSpaceDE/>
        <w:autoSpaceDN/>
        <w:bidi w:val="0"/>
        <w:adjustRightInd/>
        <w:snapToGrid/>
        <w:spacing w:line="360" w:lineRule="auto"/>
        <w:ind w:firstLine="42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Cs w:val="21"/>
          <w:highlight w:val="none"/>
        </w:rPr>
        <w:t>注：以上内容由投标单位根据采购要求可自行完善。</w:t>
      </w:r>
    </w:p>
    <w:p w14:paraId="598517FB">
      <w:pPr>
        <w:keepNext w:val="0"/>
        <w:keepLines w:val="0"/>
        <w:pageBreakBefore/>
        <w:widowControl w:val="0"/>
        <w:kinsoku/>
        <w:wordWrap/>
        <w:overflowPunct/>
        <w:topLinePunct w:val="0"/>
        <w:autoSpaceDE/>
        <w:autoSpaceDN/>
        <w:bidi w:val="0"/>
        <w:adjustRightInd/>
        <w:snapToGrid/>
        <w:spacing w:line="360" w:lineRule="auto"/>
        <w:textAlignment w:val="auto"/>
        <w:outlineLvl w:val="2"/>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（七）开标一览表（格式）：</w:t>
      </w:r>
    </w:p>
    <w:p w14:paraId="710EC2F7">
      <w:pPr>
        <w:jc w:val="center"/>
        <w:outlineLvl w:val="0"/>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开标一览表 </w:t>
      </w:r>
    </w:p>
    <w:p w14:paraId="3CC6FFC7">
      <w:pPr>
        <w:spacing w:line="360" w:lineRule="auto"/>
        <w:rPr>
          <w:rFonts w:hint="eastAsia" w:ascii="宋体" w:hAnsi="宋体" w:eastAsia="宋体" w:cs="宋体"/>
          <w:b/>
          <w:bCs w:val="0"/>
          <w:color w:val="auto"/>
          <w:sz w:val="24"/>
          <w:szCs w:val="24"/>
          <w:highlight w:val="none"/>
        </w:rPr>
      </w:pPr>
    </w:p>
    <w:p w14:paraId="24E78EB3">
      <w:pPr>
        <w:spacing w:line="360" w:lineRule="auto"/>
        <w:ind w:firstLine="480" w:firstLineChars="200"/>
        <w:rPr>
          <w:rFonts w:hint="eastAsia" w:ascii="宋体" w:hAnsi="宋体" w:eastAsia="宋体" w:cs="宋体"/>
          <w:color w:val="auto"/>
          <w:highlight w:val="none"/>
          <w:lang w:eastAsia="zh-CN"/>
        </w:rPr>
      </w:pPr>
      <w:r>
        <w:rPr>
          <w:rFonts w:hint="eastAsia" w:ascii="宋体" w:hAnsi="宋体" w:eastAsia="宋体" w:cs="宋体"/>
          <w:bCs/>
          <w:color w:val="auto"/>
          <w:sz w:val="24"/>
          <w:szCs w:val="24"/>
          <w:highlight w:val="none"/>
        </w:rPr>
        <w:t xml:space="preserve">投标供应商名称（盖章）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采购项目编号：</w:t>
      </w:r>
      <w:r>
        <w:rPr>
          <w:rFonts w:hint="eastAsia" w:ascii="宋体" w:hAnsi="宋体" w:cs="宋体"/>
          <w:bCs/>
          <w:color w:val="auto"/>
          <w:sz w:val="24"/>
          <w:szCs w:val="24"/>
          <w:highlight w:val="none"/>
          <w:lang w:eastAsia="zh-CN"/>
        </w:rPr>
        <w:t>JSZC-320214-JHCG-G2025-0008</w:t>
      </w:r>
    </w:p>
    <w:tbl>
      <w:tblPr>
        <w:tblStyle w:val="38"/>
        <w:tblW w:w="9800" w:type="dxa"/>
        <w:tblInd w:w="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2115"/>
        <w:gridCol w:w="6973"/>
      </w:tblGrid>
      <w:tr w14:paraId="7DD98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91" w:hRule="atLeast"/>
        </w:trPr>
        <w:tc>
          <w:tcPr>
            <w:tcW w:w="712" w:type="dxa"/>
            <w:tcBorders>
              <w:top w:val="single" w:color="auto" w:sz="4" w:space="0"/>
              <w:left w:val="single" w:color="auto" w:sz="4" w:space="0"/>
              <w:bottom w:val="single" w:color="auto" w:sz="4" w:space="0"/>
              <w:right w:val="single" w:color="auto" w:sz="4" w:space="0"/>
            </w:tcBorders>
            <w:noWrap w:val="0"/>
            <w:vAlign w:val="center"/>
          </w:tcPr>
          <w:p w14:paraId="2D555FAD">
            <w:pPr>
              <w:spacing w:line="400" w:lineRule="exact"/>
              <w:jc w:val="center"/>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bidi="ar"/>
              </w:rPr>
              <w:t>序号</w:t>
            </w:r>
          </w:p>
        </w:tc>
        <w:tc>
          <w:tcPr>
            <w:tcW w:w="2115" w:type="dxa"/>
            <w:tcBorders>
              <w:top w:val="single" w:color="auto" w:sz="4" w:space="0"/>
              <w:left w:val="nil"/>
              <w:bottom w:val="single" w:color="auto" w:sz="4" w:space="0"/>
              <w:right w:val="single" w:color="auto" w:sz="4" w:space="0"/>
            </w:tcBorders>
            <w:noWrap w:val="0"/>
            <w:vAlign w:val="center"/>
          </w:tcPr>
          <w:p w14:paraId="28D066D2">
            <w:pPr>
              <w:spacing w:line="400" w:lineRule="exact"/>
              <w:jc w:val="center"/>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bidi="ar"/>
              </w:rPr>
              <w:t>名称</w:t>
            </w:r>
          </w:p>
        </w:tc>
        <w:tc>
          <w:tcPr>
            <w:tcW w:w="6973" w:type="dxa"/>
            <w:tcBorders>
              <w:top w:val="single" w:color="auto" w:sz="4" w:space="0"/>
              <w:left w:val="nil"/>
              <w:bottom w:val="single" w:color="auto" w:sz="4" w:space="0"/>
              <w:right w:val="single" w:color="auto" w:sz="4" w:space="0"/>
            </w:tcBorders>
            <w:noWrap w:val="0"/>
            <w:vAlign w:val="center"/>
          </w:tcPr>
          <w:p w14:paraId="66688D20">
            <w:pPr>
              <w:spacing w:line="400" w:lineRule="exact"/>
              <w:jc w:val="center"/>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bidi="ar"/>
              </w:rPr>
              <w:t>承诺内容</w:t>
            </w:r>
          </w:p>
        </w:tc>
      </w:tr>
      <w:tr w14:paraId="13309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8" w:hRule="atLeast"/>
        </w:trPr>
        <w:tc>
          <w:tcPr>
            <w:tcW w:w="712" w:type="dxa"/>
            <w:vMerge w:val="restart"/>
            <w:tcBorders>
              <w:top w:val="nil"/>
              <w:left w:val="single" w:color="auto" w:sz="4" w:space="0"/>
              <w:bottom w:val="single" w:color="auto" w:sz="4" w:space="0"/>
              <w:right w:val="single" w:color="auto" w:sz="4" w:space="0"/>
            </w:tcBorders>
            <w:noWrap w:val="0"/>
            <w:vAlign w:val="center"/>
          </w:tcPr>
          <w:p w14:paraId="62EE6708">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1</w:t>
            </w:r>
          </w:p>
        </w:tc>
        <w:tc>
          <w:tcPr>
            <w:tcW w:w="2115" w:type="dxa"/>
            <w:vMerge w:val="restart"/>
            <w:tcBorders>
              <w:top w:val="nil"/>
              <w:left w:val="nil"/>
              <w:bottom w:val="single" w:color="auto" w:sz="4" w:space="0"/>
              <w:right w:val="single" w:color="auto" w:sz="4" w:space="0"/>
            </w:tcBorders>
            <w:noWrap w:val="0"/>
            <w:vAlign w:val="center"/>
          </w:tcPr>
          <w:p w14:paraId="4D26FC82">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投标报价</w:t>
            </w:r>
          </w:p>
        </w:tc>
        <w:tc>
          <w:tcPr>
            <w:tcW w:w="6973" w:type="dxa"/>
            <w:tcBorders>
              <w:top w:val="single" w:color="auto" w:sz="4" w:space="0"/>
              <w:left w:val="nil"/>
              <w:bottom w:val="single" w:color="auto" w:sz="4" w:space="0"/>
              <w:right w:val="single" w:color="auto" w:sz="4" w:space="0"/>
            </w:tcBorders>
            <w:noWrap w:val="0"/>
            <w:vAlign w:val="center"/>
          </w:tcPr>
          <w:p w14:paraId="41612157">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优惠率：</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u w:val="single"/>
                <w:lang w:val="en-US" w:eastAsia="zh-CN" w:bidi="ar"/>
              </w:rPr>
              <w:t xml:space="preserve">     </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w:t>
            </w:r>
          </w:p>
        </w:tc>
      </w:tr>
      <w:tr w14:paraId="00701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3" w:hRule="atLeast"/>
        </w:trPr>
        <w:tc>
          <w:tcPr>
            <w:tcW w:w="712" w:type="dxa"/>
            <w:vMerge w:val="continue"/>
            <w:tcBorders>
              <w:top w:val="nil"/>
              <w:left w:val="single" w:color="auto" w:sz="4" w:space="0"/>
              <w:bottom w:val="single" w:color="auto" w:sz="4" w:space="0"/>
              <w:right w:val="single" w:color="auto" w:sz="4" w:space="0"/>
            </w:tcBorders>
            <w:noWrap w:val="0"/>
            <w:vAlign w:val="center"/>
          </w:tcPr>
          <w:p w14:paraId="2B495AAF">
            <w:pPr>
              <w:rPr>
                <w:rFonts w:hint="eastAsia" w:ascii="宋体" w:hAnsi="宋体" w:eastAsia="宋体" w:cs="宋体"/>
                <w:color w:val="auto"/>
                <w:sz w:val="20"/>
                <w:szCs w:val="20"/>
                <w:highlight w:val="none"/>
              </w:rPr>
            </w:pPr>
          </w:p>
        </w:tc>
        <w:tc>
          <w:tcPr>
            <w:tcW w:w="2115" w:type="dxa"/>
            <w:vMerge w:val="continue"/>
            <w:tcBorders>
              <w:top w:val="nil"/>
              <w:left w:val="nil"/>
              <w:bottom w:val="single" w:color="auto" w:sz="4" w:space="0"/>
              <w:right w:val="single" w:color="auto" w:sz="4" w:space="0"/>
            </w:tcBorders>
            <w:noWrap w:val="0"/>
            <w:vAlign w:val="center"/>
          </w:tcPr>
          <w:p w14:paraId="258492C8">
            <w:pPr>
              <w:rPr>
                <w:rFonts w:hint="eastAsia" w:ascii="宋体" w:hAnsi="宋体" w:eastAsia="宋体" w:cs="宋体"/>
                <w:color w:val="auto"/>
                <w:sz w:val="20"/>
                <w:szCs w:val="20"/>
                <w:highlight w:val="none"/>
              </w:rPr>
            </w:pPr>
          </w:p>
        </w:tc>
        <w:tc>
          <w:tcPr>
            <w:tcW w:w="6973" w:type="dxa"/>
            <w:tcBorders>
              <w:top w:val="single" w:color="auto" w:sz="4" w:space="0"/>
              <w:left w:val="nil"/>
              <w:bottom w:val="single" w:color="auto" w:sz="4" w:space="0"/>
              <w:right w:val="single" w:color="auto" w:sz="4" w:space="0"/>
            </w:tcBorders>
            <w:noWrap w:val="0"/>
            <w:vAlign w:val="center"/>
          </w:tcPr>
          <w:p w14:paraId="5DDD556A">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投标折扣率：</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u w:val="single"/>
                <w:lang w:val="en-US" w:eastAsia="zh-CN" w:bidi="ar"/>
              </w:rPr>
              <w:t xml:space="preserve">     </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%（1－优惠率）</w:t>
            </w:r>
          </w:p>
        </w:tc>
      </w:tr>
      <w:tr w14:paraId="0C0B4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trPr>
        <w:tc>
          <w:tcPr>
            <w:tcW w:w="712" w:type="dxa"/>
            <w:tcBorders>
              <w:top w:val="single" w:color="auto" w:sz="4" w:space="0"/>
              <w:left w:val="single" w:color="auto" w:sz="4" w:space="0"/>
              <w:bottom w:val="single" w:color="auto" w:sz="4" w:space="0"/>
              <w:right w:val="single" w:color="auto" w:sz="4" w:space="0"/>
            </w:tcBorders>
            <w:noWrap w:val="0"/>
            <w:vAlign w:val="center"/>
          </w:tcPr>
          <w:p w14:paraId="7DE5E43E">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2</w:t>
            </w:r>
          </w:p>
        </w:tc>
        <w:tc>
          <w:tcPr>
            <w:tcW w:w="2115" w:type="dxa"/>
            <w:tcBorders>
              <w:top w:val="single" w:color="auto" w:sz="4" w:space="0"/>
              <w:left w:val="nil"/>
              <w:bottom w:val="single" w:color="auto" w:sz="4" w:space="0"/>
              <w:right w:val="single" w:color="auto" w:sz="4" w:space="0"/>
            </w:tcBorders>
            <w:noWrap w:val="0"/>
            <w:vAlign w:val="center"/>
          </w:tcPr>
          <w:p w14:paraId="5DE745C9">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服务期限</w:t>
            </w:r>
          </w:p>
        </w:tc>
        <w:tc>
          <w:tcPr>
            <w:tcW w:w="6973" w:type="dxa"/>
            <w:tcBorders>
              <w:top w:val="single" w:color="auto" w:sz="4" w:space="0"/>
              <w:left w:val="nil"/>
              <w:bottom w:val="single" w:color="auto" w:sz="4" w:space="0"/>
              <w:right w:val="single" w:color="auto" w:sz="4" w:space="0"/>
            </w:tcBorders>
            <w:noWrap w:val="0"/>
            <w:vAlign w:val="center"/>
          </w:tcPr>
          <w:p w14:paraId="125E72D5">
            <w:pPr>
              <w:widowControl/>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eastAsia="zh-CN"/>
              </w:rPr>
              <w:t>一年（以合同签订日期为准）</w:t>
            </w:r>
          </w:p>
        </w:tc>
      </w:tr>
      <w:tr w14:paraId="47DFA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2" w:hRule="atLeast"/>
        </w:trPr>
        <w:tc>
          <w:tcPr>
            <w:tcW w:w="712" w:type="dxa"/>
            <w:tcBorders>
              <w:top w:val="single" w:color="auto" w:sz="4" w:space="0"/>
              <w:left w:val="single" w:color="auto" w:sz="4" w:space="0"/>
              <w:bottom w:val="single" w:color="auto" w:sz="4" w:space="0"/>
              <w:right w:val="single" w:color="auto" w:sz="4" w:space="0"/>
            </w:tcBorders>
            <w:noWrap w:val="0"/>
            <w:vAlign w:val="center"/>
          </w:tcPr>
          <w:p w14:paraId="5AD67DE8">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3</w:t>
            </w:r>
          </w:p>
        </w:tc>
        <w:tc>
          <w:tcPr>
            <w:tcW w:w="2115" w:type="dxa"/>
            <w:tcBorders>
              <w:top w:val="single" w:color="auto" w:sz="4" w:space="0"/>
              <w:left w:val="nil"/>
              <w:bottom w:val="single" w:color="auto" w:sz="4" w:space="0"/>
              <w:right w:val="single" w:color="auto" w:sz="4" w:space="0"/>
            </w:tcBorders>
            <w:noWrap w:val="0"/>
            <w:vAlign w:val="center"/>
          </w:tcPr>
          <w:p w14:paraId="50AE61CD">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质量标准</w:t>
            </w:r>
          </w:p>
        </w:tc>
        <w:tc>
          <w:tcPr>
            <w:tcW w:w="6973" w:type="dxa"/>
            <w:tcBorders>
              <w:top w:val="single" w:color="auto" w:sz="4" w:space="0"/>
              <w:left w:val="nil"/>
              <w:bottom w:val="single" w:color="auto" w:sz="4" w:space="0"/>
              <w:right w:val="single" w:color="auto" w:sz="4" w:space="0"/>
            </w:tcBorders>
            <w:noWrap w:val="0"/>
            <w:vAlign w:val="center"/>
          </w:tcPr>
          <w:p w14:paraId="77FEE5C7">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合格产品，符合国家相关安全卫生标准且满足采购人需求。</w:t>
            </w:r>
          </w:p>
        </w:tc>
      </w:tr>
      <w:tr w14:paraId="583D9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2" w:hRule="atLeast"/>
        </w:trPr>
        <w:tc>
          <w:tcPr>
            <w:tcW w:w="712" w:type="dxa"/>
            <w:tcBorders>
              <w:top w:val="single" w:color="auto" w:sz="4" w:space="0"/>
              <w:left w:val="single" w:color="auto" w:sz="4" w:space="0"/>
              <w:bottom w:val="single" w:color="auto" w:sz="4" w:space="0"/>
              <w:right w:val="single" w:color="auto" w:sz="4" w:space="0"/>
            </w:tcBorders>
            <w:noWrap w:val="0"/>
            <w:vAlign w:val="center"/>
          </w:tcPr>
          <w:p w14:paraId="4E7C25FC">
            <w:pPr>
              <w:jc w:val="center"/>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bidi="ar"/>
              </w:rPr>
              <w:t>4</w:t>
            </w:r>
          </w:p>
        </w:tc>
        <w:tc>
          <w:tcPr>
            <w:tcW w:w="2115" w:type="dxa"/>
            <w:tcBorders>
              <w:top w:val="single" w:color="auto" w:sz="4" w:space="0"/>
              <w:left w:val="nil"/>
              <w:bottom w:val="single" w:color="auto" w:sz="4" w:space="0"/>
              <w:right w:val="single" w:color="auto" w:sz="4" w:space="0"/>
            </w:tcBorders>
            <w:noWrap w:val="0"/>
            <w:vAlign w:val="center"/>
          </w:tcPr>
          <w:p w14:paraId="0A8D4B55">
            <w:pPr>
              <w:widowControl/>
              <w:jc w:val="center"/>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安全要求</w:t>
            </w:r>
          </w:p>
        </w:tc>
        <w:tc>
          <w:tcPr>
            <w:tcW w:w="6973" w:type="dxa"/>
            <w:tcBorders>
              <w:top w:val="single" w:color="auto" w:sz="4" w:space="0"/>
              <w:left w:val="nil"/>
              <w:bottom w:val="single" w:color="auto" w:sz="4" w:space="0"/>
              <w:right w:val="single" w:color="auto" w:sz="4" w:space="0"/>
            </w:tcBorders>
            <w:noWrap w:val="0"/>
            <w:vAlign w:val="center"/>
          </w:tcPr>
          <w:p w14:paraId="77BBDD25">
            <w:pPr>
              <w:widowControl/>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rPr>
              <w:t>食材必须符合《中华人民共和国食品安全法》标准。</w:t>
            </w:r>
          </w:p>
        </w:tc>
      </w:tr>
      <w:tr w14:paraId="3DD73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45" w:hRule="atLeast"/>
        </w:trPr>
        <w:tc>
          <w:tcPr>
            <w:tcW w:w="712" w:type="dxa"/>
            <w:tcBorders>
              <w:top w:val="single" w:color="auto" w:sz="4" w:space="0"/>
              <w:left w:val="single" w:color="auto" w:sz="4" w:space="0"/>
              <w:bottom w:val="single" w:color="auto" w:sz="4" w:space="0"/>
              <w:right w:val="single" w:color="auto" w:sz="4" w:space="0"/>
            </w:tcBorders>
            <w:noWrap w:val="0"/>
            <w:vAlign w:val="center"/>
          </w:tcPr>
          <w:p w14:paraId="524D1EF6">
            <w:pPr>
              <w:jc w:val="center"/>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bidi="ar"/>
              </w:rPr>
              <w:t>5</w:t>
            </w:r>
          </w:p>
        </w:tc>
        <w:tc>
          <w:tcPr>
            <w:tcW w:w="2115" w:type="dxa"/>
            <w:tcBorders>
              <w:top w:val="single" w:color="auto" w:sz="4" w:space="0"/>
              <w:left w:val="nil"/>
              <w:bottom w:val="single" w:color="auto" w:sz="4" w:space="0"/>
              <w:right w:val="single" w:color="auto" w:sz="4" w:space="0"/>
            </w:tcBorders>
            <w:noWrap w:val="0"/>
            <w:vAlign w:val="center"/>
          </w:tcPr>
          <w:p w14:paraId="0E01AA27">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项目负责人</w:t>
            </w:r>
          </w:p>
        </w:tc>
        <w:tc>
          <w:tcPr>
            <w:tcW w:w="6973" w:type="dxa"/>
            <w:tcBorders>
              <w:top w:val="single" w:color="auto" w:sz="4" w:space="0"/>
              <w:left w:val="nil"/>
              <w:bottom w:val="single" w:color="auto" w:sz="4" w:space="0"/>
              <w:right w:val="single" w:color="auto" w:sz="4" w:space="0"/>
            </w:tcBorders>
            <w:noWrap w:val="0"/>
            <w:vAlign w:val="center"/>
          </w:tcPr>
          <w:p w14:paraId="4D0370EB">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姓名：</w:t>
            </w:r>
          </w:p>
          <w:p w14:paraId="7B3E8BD9">
            <w:pPr>
              <w:widowControl/>
              <w:jc w:val="left"/>
              <w:rPr>
                <w:rFonts w:hint="eastAsia" w:ascii="宋体" w:hAnsi="宋体" w:eastAsia="宋体" w:cs="宋体"/>
                <w:color w:val="auto"/>
                <w:sz w:val="24"/>
                <w:highlight w:val="none"/>
                <w:lang w:bidi="ar"/>
              </w:rPr>
            </w:pPr>
          </w:p>
          <w:p w14:paraId="29C587BB">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联系方式：</w:t>
            </w:r>
          </w:p>
        </w:tc>
      </w:tr>
      <w:tr w14:paraId="72C61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trPr>
        <w:tc>
          <w:tcPr>
            <w:tcW w:w="712" w:type="dxa"/>
            <w:tcBorders>
              <w:top w:val="single" w:color="auto" w:sz="4" w:space="0"/>
              <w:left w:val="single" w:color="auto" w:sz="4" w:space="0"/>
              <w:bottom w:val="single" w:color="auto" w:sz="4" w:space="0"/>
              <w:right w:val="single" w:color="auto" w:sz="4" w:space="0"/>
            </w:tcBorders>
            <w:noWrap w:val="0"/>
            <w:vAlign w:val="center"/>
          </w:tcPr>
          <w:p w14:paraId="0978D959">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w:t>
            </w:r>
          </w:p>
        </w:tc>
        <w:tc>
          <w:tcPr>
            <w:tcW w:w="2115" w:type="dxa"/>
            <w:tcBorders>
              <w:top w:val="single" w:color="auto" w:sz="4" w:space="0"/>
              <w:left w:val="nil"/>
              <w:bottom w:val="single" w:color="auto" w:sz="4" w:space="0"/>
              <w:right w:val="single" w:color="auto" w:sz="4" w:space="0"/>
            </w:tcBorders>
            <w:noWrap w:val="0"/>
            <w:vAlign w:val="center"/>
          </w:tcPr>
          <w:p w14:paraId="761AFA45">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是否属于小、微型企业/监狱企业/残疾人福利性单位</w:t>
            </w:r>
          </w:p>
        </w:tc>
        <w:tc>
          <w:tcPr>
            <w:tcW w:w="6973" w:type="dxa"/>
            <w:tcBorders>
              <w:top w:val="single" w:color="auto" w:sz="4" w:space="0"/>
              <w:left w:val="nil"/>
              <w:bottom w:val="single" w:color="auto" w:sz="4" w:space="0"/>
              <w:right w:val="single" w:color="auto" w:sz="4" w:space="0"/>
            </w:tcBorders>
            <w:noWrap w:val="0"/>
            <w:vAlign w:val="center"/>
          </w:tcPr>
          <w:p w14:paraId="6739B8C7">
            <w:pPr>
              <w:widowControl/>
              <w:jc w:val="left"/>
              <w:rPr>
                <w:rFonts w:hint="eastAsia" w:ascii="宋体" w:hAnsi="宋体" w:eastAsia="宋体" w:cs="宋体"/>
                <w:color w:val="auto"/>
                <w:sz w:val="24"/>
                <w:highlight w:val="none"/>
              </w:rPr>
            </w:pPr>
          </w:p>
        </w:tc>
      </w:tr>
    </w:tbl>
    <w:p w14:paraId="32890CEA">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注：</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评审时，投标报价一律按1－优惠率计算。</w:t>
      </w:r>
    </w:p>
    <w:p w14:paraId="6C40B55F">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例如：投标供应商投标报价（优惠率）为</w:t>
      </w:r>
      <w:r>
        <w:rPr>
          <w:rFonts w:hint="eastAsia" w:ascii="宋体" w:hAnsi="宋体" w:eastAsia="宋体" w:cs="宋体"/>
          <w:bCs/>
          <w:color w:val="auto"/>
          <w:sz w:val="24"/>
          <w:highlight w:val="none"/>
          <w:lang w:val="en-US" w:eastAsia="zh-CN"/>
        </w:rPr>
        <w:t>25</w:t>
      </w:r>
      <w:r>
        <w:rPr>
          <w:rFonts w:hint="eastAsia" w:ascii="宋体" w:hAnsi="宋体" w:eastAsia="宋体" w:cs="宋体"/>
          <w:bCs/>
          <w:color w:val="auto"/>
          <w:sz w:val="24"/>
          <w:highlight w:val="none"/>
        </w:rPr>
        <w:t>%，计算报价得分时，按1－优惠率=1－</w:t>
      </w:r>
      <w:r>
        <w:rPr>
          <w:rFonts w:hint="eastAsia" w:ascii="宋体" w:hAnsi="宋体" w:eastAsia="宋体" w:cs="宋体"/>
          <w:bCs/>
          <w:color w:val="auto"/>
          <w:sz w:val="24"/>
          <w:highlight w:val="none"/>
          <w:lang w:val="en-US" w:eastAsia="zh-CN"/>
        </w:rPr>
        <w:t>25</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75</w:t>
      </w:r>
      <w:r>
        <w:rPr>
          <w:rFonts w:hint="eastAsia" w:ascii="宋体" w:hAnsi="宋体" w:eastAsia="宋体" w:cs="宋体"/>
          <w:bCs/>
          <w:color w:val="auto"/>
          <w:sz w:val="24"/>
          <w:highlight w:val="none"/>
        </w:rPr>
        <w:t>%计算。</w:t>
      </w:r>
    </w:p>
    <w:p w14:paraId="0E98930B">
      <w:pPr>
        <w:spacing w:line="360" w:lineRule="auto"/>
        <w:ind w:firstLine="480"/>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lang w:val="en-US" w:eastAsia="zh-CN"/>
        </w:rPr>
        <w:t>2、优惠率精确到小数点后2位。</w:t>
      </w:r>
    </w:p>
    <w:p w14:paraId="760F9EF0">
      <w:pPr>
        <w:keepLines w:val="0"/>
        <w:pageBreakBefore w:val="0"/>
        <w:spacing w:line="360" w:lineRule="auto"/>
        <w:rPr>
          <w:rFonts w:hint="eastAsia" w:ascii="宋体" w:hAnsi="宋体" w:eastAsia="宋体" w:cs="宋体"/>
          <w:bCs/>
          <w:color w:val="auto"/>
          <w:sz w:val="32"/>
          <w:highlight w:val="none"/>
        </w:rPr>
      </w:pPr>
      <w:r>
        <w:rPr>
          <w:rFonts w:hint="eastAsia" w:ascii="宋体" w:hAnsi="宋体" w:eastAsia="宋体" w:cs="宋体"/>
          <w:b/>
          <w:bCs/>
          <w:color w:val="auto"/>
          <w:sz w:val="24"/>
          <w:highlight w:val="none"/>
        </w:rPr>
        <w:t>法定代表人或法定代表人授权代表签字或盖章：</w:t>
      </w:r>
    </w:p>
    <w:p w14:paraId="37B143C2">
      <w:pPr>
        <w:pStyle w:val="213"/>
        <w:keepLines w:val="0"/>
        <w:pageBreakBefore w:val="0"/>
        <w:spacing w:line="360" w:lineRule="auto"/>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授 权 代 表（签字）：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1D0100E6">
      <w:pPr>
        <w:pStyle w:val="213"/>
        <w:keepLines w:val="0"/>
        <w:pageBreakBefore w:val="0"/>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年    月    日</w:t>
      </w:r>
    </w:p>
    <w:p w14:paraId="23503650">
      <w:pPr>
        <w:keepLines w:val="0"/>
        <w:pageBreakBefore w:val="0"/>
        <w:spacing w:before="15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填写说明：</w:t>
      </w:r>
    </w:p>
    <w:p w14:paraId="68D62FF8">
      <w:pPr>
        <w:keepLines w:val="0"/>
        <w:pageBreakBefore w:val="0"/>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开标一览表中的内容应与投标函内容一致，否则评标时一律按开标一览表中内容为准，开标一览表中必须盖章和签字。</w:t>
      </w:r>
    </w:p>
    <w:p w14:paraId="285A6CD0">
      <w:pPr>
        <w:spacing w:line="400" w:lineRule="exact"/>
        <w:rPr>
          <w:rFonts w:hint="eastAsia" w:ascii="宋体" w:hAnsi="宋体" w:eastAsia="宋体" w:cs="宋体"/>
          <w:bCs/>
          <w:color w:val="auto"/>
          <w:sz w:val="32"/>
          <w:highlight w:val="none"/>
        </w:rPr>
      </w:pPr>
    </w:p>
    <w:p w14:paraId="2A7B2B3F">
      <w:pPr>
        <w:outlineLvl w:val="2"/>
        <w:rPr>
          <w:rFonts w:hint="eastAsia" w:ascii="宋体" w:hAnsi="宋体" w:eastAsia="宋体" w:cs="宋体"/>
          <w:b/>
          <w:bCs w:val="0"/>
          <w:color w:val="auto"/>
          <w:sz w:val="32"/>
          <w:szCs w:val="32"/>
          <w:highlight w:val="none"/>
        </w:rPr>
      </w:pPr>
    </w:p>
    <w:p w14:paraId="7A433E1D">
      <w:pPr>
        <w:rPr>
          <w:rFonts w:hint="eastAsia" w:ascii="宋体" w:hAnsi="宋体" w:eastAsia="宋体" w:cs="宋体"/>
          <w:b/>
          <w:bCs w:val="0"/>
          <w:sz w:val="32"/>
          <w:szCs w:val="32"/>
          <w:highlight w:val="none"/>
        </w:rPr>
      </w:pPr>
      <w:r>
        <w:rPr>
          <w:rFonts w:hint="eastAsia" w:ascii="宋体" w:hAnsi="宋体" w:eastAsia="宋体" w:cs="宋体"/>
          <w:b/>
          <w:bCs w:val="0"/>
          <w:sz w:val="32"/>
          <w:szCs w:val="32"/>
          <w:highlight w:val="none"/>
          <w:lang w:eastAsia="zh-CN"/>
        </w:rPr>
        <w:t>（</w:t>
      </w:r>
      <w:r>
        <w:rPr>
          <w:rFonts w:hint="eastAsia" w:ascii="宋体" w:hAnsi="宋体" w:eastAsia="宋体" w:cs="宋体"/>
          <w:b/>
          <w:bCs w:val="0"/>
          <w:sz w:val="32"/>
          <w:szCs w:val="32"/>
          <w:highlight w:val="none"/>
          <w:lang w:val="en-US" w:eastAsia="zh-CN"/>
        </w:rPr>
        <w:t>八</w:t>
      </w:r>
      <w:r>
        <w:rPr>
          <w:rFonts w:hint="eastAsia" w:ascii="宋体" w:hAnsi="宋体" w:eastAsia="宋体" w:cs="宋体"/>
          <w:b/>
          <w:bCs w:val="0"/>
          <w:sz w:val="32"/>
          <w:szCs w:val="32"/>
          <w:highlight w:val="none"/>
          <w:lang w:eastAsia="zh-CN"/>
        </w:rPr>
        <w:t>）</w:t>
      </w:r>
      <w:r>
        <w:rPr>
          <w:rFonts w:hint="eastAsia" w:ascii="宋体" w:hAnsi="宋体" w:eastAsia="宋体" w:cs="宋体"/>
          <w:b/>
          <w:bCs w:val="0"/>
          <w:sz w:val="32"/>
          <w:szCs w:val="32"/>
          <w:highlight w:val="none"/>
        </w:rPr>
        <w:t xml:space="preserve">明细报价表 </w:t>
      </w:r>
      <w:r>
        <w:rPr>
          <w:rFonts w:hint="eastAsia" w:ascii="宋体" w:hAnsi="宋体" w:eastAsia="宋体" w:cs="宋体"/>
          <w:b/>
          <w:bCs w:val="0"/>
          <w:sz w:val="32"/>
          <w:szCs w:val="32"/>
          <w:highlight w:val="none"/>
          <w:lang w:eastAsia="zh-CN"/>
        </w:rPr>
        <w:t>（</w:t>
      </w:r>
      <w:r>
        <w:rPr>
          <w:rFonts w:hint="eastAsia" w:ascii="宋体" w:hAnsi="宋体" w:eastAsia="宋体" w:cs="宋体"/>
          <w:b/>
          <w:bCs w:val="0"/>
          <w:sz w:val="32"/>
          <w:szCs w:val="32"/>
          <w:highlight w:val="none"/>
          <w:lang w:val="en-US" w:eastAsia="zh-CN"/>
        </w:rPr>
        <w:t>如有</w:t>
      </w:r>
      <w:r>
        <w:rPr>
          <w:rFonts w:hint="eastAsia" w:ascii="宋体" w:hAnsi="宋体" w:eastAsia="宋体" w:cs="宋体"/>
          <w:b/>
          <w:bCs w:val="0"/>
          <w:sz w:val="32"/>
          <w:szCs w:val="32"/>
          <w:highlight w:val="none"/>
          <w:lang w:eastAsia="zh-CN"/>
        </w:rPr>
        <w:t>）</w:t>
      </w:r>
      <w:r>
        <w:rPr>
          <w:rFonts w:hint="eastAsia" w:ascii="宋体" w:hAnsi="宋体" w:eastAsia="宋体" w:cs="宋体"/>
          <w:b/>
          <w:bCs w:val="0"/>
          <w:sz w:val="32"/>
          <w:szCs w:val="32"/>
          <w:highlight w:val="none"/>
        </w:rPr>
        <w:t>：</w:t>
      </w:r>
    </w:p>
    <w:p w14:paraId="4DD5DEB0">
      <w:pPr>
        <w:jc w:val="center"/>
        <w:rPr>
          <w:rFonts w:hint="eastAsia" w:eastAsia="黑体"/>
          <w:bCs/>
          <w:sz w:val="28"/>
          <w:szCs w:val="28"/>
          <w:highlight w:val="none"/>
        </w:rPr>
      </w:pPr>
    </w:p>
    <w:p w14:paraId="05DA7B63">
      <w:pPr>
        <w:jc w:val="center"/>
        <w:outlineLvl w:val="0"/>
        <w:rPr>
          <w:rFonts w:hint="eastAsia" w:ascii="宋体" w:hAnsi="宋体" w:eastAsia="宋体" w:cs="宋体"/>
          <w:b/>
          <w:bCs w:val="0"/>
          <w:sz w:val="32"/>
          <w:szCs w:val="32"/>
          <w:highlight w:val="none"/>
        </w:rPr>
      </w:pPr>
      <w:r>
        <w:rPr>
          <w:rFonts w:hint="eastAsia" w:ascii="宋体" w:hAnsi="宋体" w:eastAsia="宋体" w:cs="宋体"/>
          <w:b/>
          <w:bCs w:val="0"/>
          <w:sz w:val="32"/>
          <w:szCs w:val="32"/>
          <w:highlight w:val="none"/>
        </w:rPr>
        <w:t>明细报价表</w:t>
      </w:r>
    </w:p>
    <w:p w14:paraId="0797CBFF">
      <w:pPr>
        <w:rPr>
          <w:rFonts w:hint="eastAsia" w:ascii="黑体" w:eastAsia="黑体"/>
          <w:bCs/>
          <w:sz w:val="24"/>
          <w:szCs w:val="24"/>
          <w:highlight w:val="none"/>
        </w:rPr>
      </w:pPr>
    </w:p>
    <w:p w14:paraId="3F149C7B">
      <w:pPr>
        <w:rPr>
          <w:rFonts w:hint="eastAsia" w:ascii="黑体" w:eastAsia="黑体"/>
          <w:bCs/>
          <w:sz w:val="24"/>
          <w:szCs w:val="24"/>
          <w:highlight w:val="none"/>
        </w:rPr>
      </w:pPr>
    </w:p>
    <w:p w14:paraId="1C27B10E">
      <w:pPr>
        <w:rPr>
          <w:rFonts w:hint="eastAsia" w:ascii="黑体" w:eastAsia="黑体"/>
          <w:bCs/>
          <w:sz w:val="24"/>
          <w:szCs w:val="24"/>
          <w:highlight w:val="none"/>
        </w:rPr>
      </w:pPr>
    </w:p>
    <w:p w14:paraId="63DE59C6">
      <w:pPr>
        <w:rPr>
          <w:rFonts w:hint="eastAsia" w:ascii="黑体" w:eastAsia="黑体"/>
          <w:bCs/>
          <w:sz w:val="24"/>
          <w:szCs w:val="24"/>
          <w:highlight w:val="none"/>
        </w:rPr>
      </w:pPr>
    </w:p>
    <w:p w14:paraId="52305117">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t>格式及内容自拟。</w:t>
      </w:r>
    </w:p>
    <w:p w14:paraId="59AD87F1">
      <w:pPr>
        <w:rPr>
          <w:rFonts w:hint="eastAsia" w:ascii="宋体" w:hAnsi="宋体" w:eastAsia="宋体" w:cs="宋体"/>
          <w:bCs/>
          <w:sz w:val="24"/>
          <w:szCs w:val="24"/>
          <w:highlight w:val="none"/>
        </w:rPr>
      </w:pPr>
      <w:bookmarkStart w:id="13" w:name="_Hlk52217825"/>
    </w:p>
    <w:p w14:paraId="72DF84D4">
      <w:pPr>
        <w:rPr>
          <w:rFonts w:hint="eastAsia" w:ascii="宋体" w:hAnsi="宋体" w:eastAsia="宋体" w:cs="宋体"/>
          <w:bCs/>
          <w:sz w:val="24"/>
          <w:szCs w:val="24"/>
          <w:highlight w:val="none"/>
        </w:rPr>
      </w:pPr>
    </w:p>
    <w:p w14:paraId="49C9271D">
      <w:pPr>
        <w:rPr>
          <w:rFonts w:hint="eastAsia" w:ascii="宋体" w:hAnsi="宋体" w:eastAsia="宋体" w:cs="宋体"/>
          <w:bCs/>
          <w:sz w:val="24"/>
          <w:szCs w:val="24"/>
          <w:highlight w:val="none"/>
        </w:rPr>
      </w:pPr>
    </w:p>
    <w:p w14:paraId="09ABCACB">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t>投标人（盖章）：</w:t>
      </w:r>
    </w:p>
    <w:p w14:paraId="3AD0574A">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t>法定代表人或法定代表人授权代表签字或盖章：</w:t>
      </w:r>
    </w:p>
    <w:bookmarkEnd w:id="13"/>
    <w:p w14:paraId="6D450939">
      <w:pPr>
        <w:rPr>
          <w:rFonts w:hint="eastAsia" w:ascii="宋体" w:hAnsi="宋体" w:eastAsia="宋体" w:cs="宋体"/>
          <w:bCs/>
          <w:sz w:val="24"/>
          <w:szCs w:val="24"/>
          <w:highlight w:val="none"/>
        </w:rPr>
      </w:pPr>
    </w:p>
    <w:p w14:paraId="35097067">
      <w:pPr>
        <w:keepLines w:val="0"/>
        <w:pageBreakBefore w:val="0"/>
        <w:spacing w:line="360" w:lineRule="auto"/>
        <w:jc w:val="left"/>
        <w:rPr>
          <w:rFonts w:hint="eastAsia" w:ascii="宋体" w:hAnsi="宋体" w:eastAsia="宋体" w:cs="宋体"/>
          <w:b/>
          <w:bCs/>
          <w:color w:val="auto"/>
          <w:sz w:val="24"/>
          <w:szCs w:val="24"/>
          <w:highlight w:val="none"/>
          <w:lang w:eastAsia="zh-CN"/>
        </w:rPr>
      </w:pPr>
    </w:p>
    <w:p w14:paraId="241D7421">
      <w:pPr>
        <w:keepLines w:val="0"/>
        <w:pageBreakBefore w:val="0"/>
        <w:spacing w:line="360" w:lineRule="auto"/>
        <w:jc w:val="left"/>
        <w:rPr>
          <w:rFonts w:hint="eastAsia" w:ascii="宋体" w:hAnsi="宋体" w:eastAsia="宋体" w:cs="宋体"/>
          <w:b/>
          <w:bCs w:val="0"/>
          <w:color w:val="auto"/>
          <w:sz w:val="24"/>
          <w:szCs w:val="24"/>
          <w:highlight w:val="none"/>
        </w:rPr>
      </w:pPr>
    </w:p>
    <w:p w14:paraId="2B8A2D83">
      <w:pPr>
        <w:keepLines w:val="0"/>
        <w:pageBreakBefore w:val="0"/>
        <w:spacing w:line="360" w:lineRule="auto"/>
        <w:jc w:val="left"/>
        <w:rPr>
          <w:rFonts w:hint="eastAsia" w:ascii="宋体" w:hAnsi="宋体" w:eastAsia="宋体" w:cs="宋体"/>
          <w:b/>
          <w:bCs w:val="0"/>
          <w:color w:val="auto"/>
          <w:sz w:val="32"/>
          <w:szCs w:val="32"/>
          <w:highlight w:val="none"/>
        </w:rPr>
      </w:pPr>
    </w:p>
    <w:p w14:paraId="18EBF802">
      <w:pPr>
        <w:keepLines w:val="0"/>
        <w:pageBreakBefore w:val="0"/>
        <w:spacing w:line="360" w:lineRule="auto"/>
        <w:jc w:val="left"/>
        <w:rPr>
          <w:rFonts w:hint="eastAsia" w:ascii="宋体" w:hAnsi="宋体" w:eastAsia="宋体" w:cs="宋体"/>
          <w:b/>
          <w:bCs w:val="0"/>
          <w:color w:val="auto"/>
          <w:sz w:val="32"/>
          <w:szCs w:val="32"/>
          <w:highlight w:val="none"/>
        </w:rPr>
      </w:pPr>
    </w:p>
    <w:p w14:paraId="2E99C900">
      <w:pPr>
        <w:keepLines w:val="0"/>
        <w:pageBreakBefore w:val="0"/>
        <w:spacing w:line="360" w:lineRule="auto"/>
        <w:jc w:val="left"/>
        <w:rPr>
          <w:rFonts w:hint="eastAsia" w:ascii="宋体" w:hAnsi="宋体" w:eastAsia="宋体" w:cs="宋体"/>
          <w:b/>
          <w:bCs w:val="0"/>
          <w:color w:val="auto"/>
          <w:sz w:val="32"/>
          <w:szCs w:val="32"/>
          <w:highlight w:val="none"/>
        </w:rPr>
      </w:pPr>
    </w:p>
    <w:p w14:paraId="1766704E">
      <w:pPr>
        <w:keepLines w:val="0"/>
        <w:pageBreakBefore w:val="0"/>
        <w:spacing w:line="360" w:lineRule="auto"/>
        <w:jc w:val="left"/>
        <w:rPr>
          <w:rFonts w:hint="eastAsia" w:ascii="宋体" w:hAnsi="宋体" w:eastAsia="宋体" w:cs="宋体"/>
          <w:b/>
          <w:bCs w:val="0"/>
          <w:color w:val="auto"/>
          <w:sz w:val="32"/>
          <w:szCs w:val="32"/>
          <w:highlight w:val="none"/>
        </w:rPr>
      </w:pPr>
    </w:p>
    <w:p w14:paraId="3F8C8500">
      <w:pPr>
        <w:keepLines w:val="0"/>
        <w:pageBreakBefore w:val="0"/>
        <w:spacing w:line="360" w:lineRule="auto"/>
        <w:jc w:val="left"/>
        <w:rPr>
          <w:rFonts w:hint="eastAsia" w:ascii="宋体" w:hAnsi="宋体" w:eastAsia="宋体" w:cs="宋体"/>
          <w:b/>
          <w:bCs w:val="0"/>
          <w:color w:val="auto"/>
          <w:sz w:val="32"/>
          <w:szCs w:val="32"/>
          <w:highlight w:val="none"/>
        </w:rPr>
      </w:pPr>
    </w:p>
    <w:p w14:paraId="2AA469CC">
      <w:pPr>
        <w:keepLines w:val="0"/>
        <w:pageBreakBefore w:val="0"/>
        <w:spacing w:line="360" w:lineRule="auto"/>
        <w:jc w:val="left"/>
        <w:rPr>
          <w:rFonts w:hint="eastAsia" w:ascii="宋体" w:hAnsi="宋体" w:eastAsia="宋体" w:cs="宋体"/>
          <w:b/>
          <w:bCs w:val="0"/>
          <w:color w:val="auto"/>
          <w:sz w:val="32"/>
          <w:szCs w:val="32"/>
          <w:highlight w:val="none"/>
        </w:rPr>
      </w:pPr>
    </w:p>
    <w:p w14:paraId="22D53EDA">
      <w:pPr>
        <w:keepLines w:val="0"/>
        <w:pageBreakBefore w:val="0"/>
        <w:spacing w:line="360" w:lineRule="auto"/>
        <w:jc w:val="left"/>
        <w:rPr>
          <w:rFonts w:hint="eastAsia" w:ascii="宋体" w:hAnsi="宋体" w:eastAsia="宋体" w:cs="宋体"/>
          <w:b/>
          <w:bCs w:val="0"/>
          <w:color w:val="auto"/>
          <w:sz w:val="32"/>
          <w:szCs w:val="32"/>
          <w:highlight w:val="none"/>
        </w:rPr>
      </w:pPr>
    </w:p>
    <w:p w14:paraId="7C07D3CA">
      <w:pPr>
        <w:keepLines w:val="0"/>
        <w:pageBreakBefore w:val="0"/>
        <w:spacing w:line="360" w:lineRule="auto"/>
        <w:jc w:val="left"/>
        <w:rPr>
          <w:rFonts w:hint="eastAsia" w:ascii="宋体" w:hAnsi="宋体" w:eastAsia="宋体" w:cs="宋体"/>
          <w:b/>
          <w:bCs w:val="0"/>
          <w:color w:val="auto"/>
          <w:sz w:val="32"/>
          <w:szCs w:val="32"/>
          <w:highlight w:val="none"/>
        </w:rPr>
      </w:pPr>
    </w:p>
    <w:p w14:paraId="2DE8D627">
      <w:pPr>
        <w:keepLines w:val="0"/>
        <w:pageBreakBefore w:val="0"/>
        <w:spacing w:line="360" w:lineRule="auto"/>
        <w:jc w:val="left"/>
        <w:rPr>
          <w:rFonts w:hint="eastAsia" w:ascii="宋体" w:hAnsi="宋体" w:eastAsia="宋体" w:cs="宋体"/>
          <w:b/>
          <w:bCs w:val="0"/>
          <w:color w:val="auto"/>
          <w:sz w:val="32"/>
          <w:szCs w:val="32"/>
          <w:highlight w:val="none"/>
        </w:rPr>
      </w:pPr>
    </w:p>
    <w:p w14:paraId="7B23E0F9">
      <w:pPr>
        <w:keepLines w:val="0"/>
        <w:pageBreakBefore w:val="0"/>
        <w:spacing w:line="360" w:lineRule="auto"/>
        <w:jc w:val="left"/>
        <w:rPr>
          <w:rFonts w:hint="eastAsia" w:ascii="宋体" w:hAnsi="宋体" w:eastAsia="宋体" w:cs="宋体"/>
          <w:b/>
          <w:bCs w:val="0"/>
          <w:color w:val="auto"/>
          <w:sz w:val="32"/>
          <w:szCs w:val="32"/>
          <w:highlight w:val="none"/>
        </w:rPr>
      </w:pPr>
    </w:p>
    <w:p w14:paraId="7655730C">
      <w:pPr>
        <w:keepLines w:val="0"/>
        <w:pageBreakBefore w:val="0"/>
        <w:spacing w:line="360" w:lineRule="auto"/>
        <w:jc w:val="left"/>
        <w:rPr>
          <w:rFonts w:hint="eastAsia" w:ascii="宋体" w:hAnsi="宋体" w:eastAsia="宋体" w:cs="宋体"/>
          <w:b/>
          <w:bCs w:val="0"/>
          <w:color w:val="auto"/>
          <w:sz w:val="32"/>
          <w:szCs w:val="32"/>
          <w:highlight w:val="none"/>
        </w:rPr>
      </w:pPr>
    </w:p>
    <w:p w14:paraId="4EBF65C2">
      <w:pPr>
        <w:keepLines w:val="0"/>
        <w:pageBreakBefore w:val="0"/>
        <w:spacing w:line="360" w:lineRule="auto"/>
        <w:jc w:val="left"/>
        <w:rPr>
          <w:rFonts w:hint="eastAsia" w:ascii="宋体" w:hAnsi="宋体" w:eastAsia="宋体" w:cs="宋体"/>
          <w:b/>
          <w:bCs w:val="0"/>
          <w:color w:val="auto"/>
          <w:sz w:val="32"/>
          <w:szCs w:val="32"/>
          <w:highlight w:val="none"/>
        </w:rPr>
      </w:pPr>
    </w:p>
    <w:p w14:paraId="3B7C5305">
      <w:pPr>
        <w:keepLines w:val="0"/>
        <w:pageBreakBefore w:val="0"/>
        <w:spacing w:line="360" w:lineRule="auto"/>
        <w:jc w:val="left"/>
        <w:rPr>
          <w:rFonts w:hint="eastAsia" w:ascii="宋体" w:hAnsi="宋体" w:eastAsia="宋体" w:cs="宋体"/>
          <w:b/>
          <w:bCs w:val="0"/>
          <w:color w:val="auto"/>
          <w:sz w:val="32"/>
          <w:szCs w:val="32"/>
          <w:highlight w:val="none"/>
        </w:rPr>
      </w:pPr>
    </w:p>
    <w:p w14:paraId="71AEE60C">
      <w:pPr>
        <w:keepLines w:val="0"/>
        <w:pageBreakBefore w:val="0"/>
        <w:spacing w:line="360" w:lineRule="auto"/>
        <w:jc w:val="left"/>
        <w:rPr>
          <w:rFonts w:hint="eastAsia" w:ascii="宋体" w:hAnsi="宋体" w:eastAsia="宋体" w:cs="宋体"/>
          <w:b/>
          <w:bCs w:val="0"/>
          <w:color w:val="auto"/>
          <w:sz w:val="32"/>
          <w:szCs w:val="32"/>
          <w:highlight w:val="none"/>
        </w:rPr>
      </w:pPr>
    </w:p>
    <w:p w14:paraId="1D459840">
      <w:pPr>
        <w:keepLines w:val="0"/>
        <w:pageBreakBefore w:val="0"/>
        <w:spacing w:line="360" w:lineRule="auto"/>
        <w:jc w:val="left"/>
        <w:rPr>
          <w:rFonts w:hint="eastAsia" w:ascii="宋体" w:hAnsi="宋体" w:eastAsia="宋体" w:cs="宋体"/>
          <w:b/>
          <w:bCs w:val="0"/>
          <w:color w:val="auto"/>
          <w:sz w:val="32"/>
          <w:szCs w:val="32"/>
          <w:highlight w:val="none"/>
        </w:rPr>
      </w:pPr>
    </w:p>
    <w:p w14:paraId="54A86C66">
      <w:pPr>
        <w:keepLines w:val="0"/>
        <w:pageBreakBefore w:val="0"/>
        <w:spacing w:line="360" w:lineRule="auto"/>
        <w:jc w:val="left"/>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w:t>
      </w:r>
      <w:r>
        <w:rPr>
          <w:rFonts w:hint="eastAsia" w:ascii="宋体" w:hAnsi="宋体" w:eastAsia="宋体" w:cs="宋体"/>
          <w:b/>
          <w:bCs w:val="0"/>
          <w:color w:val="auto"/>
          <w:sz w:val="32"/>
          <w:szCs w:val="32"/>
          <w:highlight w:val="none"/>
          <w:lang w:val="en-US" w:eastAsia="zh-CN"/>
        </w:rPr>
        <w:t>九</w:t>
      </w:r>
      <w:r>
        <w:rPr>
          <w:rFonts w:hint="eastAsia" w:ascii="宋体" w:hAnsi="宋体" w:eastAsia="宋体" w:cs="宋体"/>
          <w:b/>
          <w:bCs w:val="0"/>
          <w:color w:val="auto"/>
          <w:sz w:val="32"/>
          <w:szCs w:val="32"/>
          <w:highlight w:val="none"/>
        </w:rPr>
        <w:t>）投标偏离表（格式）：</w:t>
      </w:r>
    </w:p>
    <w:p w14:paraId="146C25B5">
      <w:pPr>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投标偏离表</w:t>
      </w:r>
    </w:p>
    <w:p w14:paraId="3EA91489">
      <w:pPr>
        <w:spacing w:line="400" w:lineRule="exact"/>
        <w:jc w:val="center"/>
        <w:rPr>
          <w:rFonts w:hint="eastAsia" w:ascii="宋体" w:hAnsi="宋体" w:eastAsia="宋体" w:cs="宋体"/>
          <w:bCs/>
          <w:color w:val="auto"/>
          <w:sz w:val="28"/>
          <w:szCs w:val="28"/>
          <w:highlight w:val="none"/>
        </w:rPr>
      </w:pPr>
    </w:p>
    <w:p w14:paraId="7B5F221F">
      <w:pPr>
        <w:spacing w:line="400" w:lineRule="exact"/>
        <w:jc w:val="center"/>
        <w:rPr>
          <w:rFonts w:hint="eastAsia" w:ascii="宋体" w:hAnsi="宋体" w:eastAsia="宋体" w:cs="宋体"/>
          <w:bCs/>
          <w:color w:val="auto"/>
          <w:sz w:val="28"/>
          <w:szCs w:val="28"/>
          <w:highlight w:val="none"/>
        </w:rPr>
      </w:pPr>
    </w:p>
    <w:p w14:paraId="55CD817A">
      <w:pP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 xml:space="preserve">名称（盖章）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采购项目编号：</w:t>
      </w:r>
      <w:r>
        <w:rPr>
          <w:rFonts w:hint="eastAsia" w:ascii="宋体" w:hAnsi="宋体" w:cs="宋体"/>
          <w:bCs/>
          <w:color w:val="auto"/>
          <w:sz w:val="24"/>
          <w:szCs w:val="24"/>
          <w:highlight w:val="none"/>
          <w:lang w:eastAsia="zh-CN"/>
        </w:rPr>
        <w:t>JSZC-320214-JHCG-G2025-0008</w:t>
      </w:r>
    </w:p>
    <w:tbl>
      <w:tblPr>
        <w:tblStyle w:val="38"/>
        <w:tblW w:w="9885" w:type="dxa"/>
        <w:jc w:val="center"/>
        <w:tblLayout w:type="fixed"/>
        <w:tblCellMar>
          <w:top w:w="15" w:type="dxa"/>
          <w:left w:w="15" w:type="dxa"/>
          <w:bottom w:w="0" w:type="dxa"/>
          <w:right w:w="15" w:type="dxa"/>
        </w:tblCellMar>
      </w:tblPr>
      <w:tblGrid>
        <w:gridCol w:w="1905"/>
        <w:gridCol w:w="2835"/>
        <w:gridCol w:w="2835"/>
        <w:gridCol w:w="2310"/>
      </w:tblGrid>
      <w:tr w14:paraId="0CEED366">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E66ADB6">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3C410D2">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729BD2A">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409C3994">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偏离说明</w:t>
            </w:r>
          </w:p>
        </w:tc>
      </w:tr>
      <w:tr w14:paraId="54778741">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67C95A5">
            <w:pPr>
              <w:jc w:val="cente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63FE811C">
            <w:pP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D8BB6C3">
            <w:pPr>
              <w:jc w:val="center"/>
              <w:rPr>
                <w:rFonts w:hint="eastAsia" w:ascii="宋体" w:hAnsi="宋体" w:eastAsia="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6CEE5182">
            <w:pPr>
              <w:jc w:val="center"/>
              <w:rPr>
                <w:rFonts w:hint="eastAsia" w:ascii="宋体" w:hAnsi="宋体" w:eastAsia="宋体" w:cs="宋体"/>
                <w:bCs/>
                <w:color w:val="auto"/>
                <w:highlight w:val="none"/>
              </w:rPr>
            </w:pPr>
          </w:p>
        </w:tc>
      </w:tr>
      <w:tr w14:paraId="519FECA3">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838616F">
            <w:pPr>
              <w:jc w:val="cente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1687452">
            <w:pP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C529EC3">
            <w:pPr>
              <w:jc w:val="center"/>
              <w:rPr>
                <w:rFonts w:hint="eastAsia" w:ascii="宋体" w:hAnsi="宋体" w:eastAsia="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7F015567">
            <w:pPr>
              <w:jc w:val="center"/>
              <w:rPr>
                <w:rFonts w:hint="eastAsia" w:ascii="宋体" w:hAnsi="宋体" w:eastAsia="宋体" w:cs="宋体"/>
                <w:bCs/>
                <w:color w:val="auto"/>
                <w:highlight w:val="none"/>
              </w:rPr>
            </w:pPr>
          </w:p>
        </w:tc>
      </w:tr>
      <w:tr w14:paraId="07A461E1">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FCD8EE1">
            <w:pPr>
              <w:jc w:val="cente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980D7FE">
            <w:pP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4560F63">
            <w:pPr>
              <w:jc w:val="center"/>
              <w:rPr>
                <w:rFonts w:hint="eastAsia" w:ascii="宋体" w:hAnsi="宋体" w:eastAsia="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22EFBF54">
            <w:pPr>
              <w:jc w:val="center"/>
              <w:rPr>
                <w:rFonts w:hint="eastAsia" w:ascii="宋体" w:hAnsi="宋体" w:eastAsia="宋体" w:cs="宋体"/>
                <w:bCs/>
                <w:color w:val="auto"/>
                <w:highlight w:val="none"/>
              </w:rPr>
            </w:pPr>
          </w:p>
        </w:tc>
      </w:tr>
      <w:tr w14:paraId="68BD753A">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81E1DD4">
            <w:pPr>
              <w:jc w:val="cente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05EFEFF">
            <w:pP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78BBACC">
            <w:pPr>
              <w:jc w:val="center"/>
              <w:rPr>
                <w:rFonts w:hint="eastAsia" w:ascii="宋体" w:hAnsi="宋体" w:eastAsia="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372C56D6">
            <w:pPr>
              <w:jc w:val="center"/>
              <w:rPr>
                <w:rFonts w:hint="eastAsia" w:ascii="宋体" w:hAnsi="宋体" w:eastAsia="宋体" w:cs="宋体"/>
                <w:bCs/>
                <w:color w:val="auto"/>
                <w:highlight w:val="none"/>
              </w:rPr>
            </w:pPr>
          </w:p>
        </w:tc>
      </w:tr>
    </w:tbl>
    <w:p w14:paraId="188B6837">
      <w:pPr>
        <w:rPr>
          <w:rFonts w:hint="eastAsia" w:ascii="宋体" w:hAnsi="宋体" w:eastAsia="宋体" w:cs="宋体"/>
          <w:b/>
          <w:color w:val="auto"/>
          <w:sz w:val="24"/>
          <w:szCs w:val="24"/>
          <w:highlight w:val="none"/>
        </w:rPr>
      </w:pPr>
    </w:p>
    <w:p w14:paraId="51D30297">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法定代表人或法定代表人授权代表签字或盖章：</w:t>
      </w:r>
    </w:p>
    <w:p w14:paraId="259589DF">
      <w:pPr>
        <w:rPr>
          <w:rFonts w:hint="eastAsia" w:ascii="宋体" w:hAnsi="宋体" w:eastAsia="宋体" w:cs="宋体"/>
          <w:bCs/>
          <w:color w:val="auto"/>
          <w:sz w:val="30"/>
          <w:highlight w:val="none"/>
        </w:rPr>
      </w:pPr>
    </w:p>
    <w:p w14:paraId="566E89FE">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注：（1）本表不得删除；</w:t>
      </w:r>
    </w:p>
    <w:p w14:paraId="40D8A8C3">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（2）如无任何服务偏离，请于本表 “偏离说明”中注明“无偏离”；</w:t>
      </w:r>
    </w:p>
    <w:p w14:paraId="4FA43A90">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（3）如有服务偏离项，请于本表中列明偏离内容，如需要可自行延长，其余无偏离内容不须赘述。</w:t>
      </w:r>
    </w:p>
    <w:p w14:paraId="1489DF16">
      <w:pPr>
        <w:pStyle w:val="235"/>
        <w:ind w:left="1260"/>
        <w:rPr>
          <w:rFonts w:hint="eastAsia" w:ascii="宋体" w:hAnsi="宋体" w:eastAsia="宋体" w:cs="宋体"/>
          <w:bCs/>
          <w:color w:val="auto"/>
          <w:sz w:val="24"/>
          <w:highlight w:val="none"/>
        </w:rPr>
      </w:pPr>
    </w:p>
    <w:p w14:paraId="36653F30">
      <w:pPr>
        <w:spacing w:line="400" w:lineRule="exact"/>
        <w:outlineLvl w:val="2"/>
        <w:rPr>
          <w:rFonts w:hint="eastAsia" w:ascii="宋体" w:hAnsi="宋体" w:eastAsia="宋体" w:cs="宋体"/>
          <w:bCs/>
          <w:color w:val="auto"/>
          <w:sz w:val="24"/>
          <w:szCs w:val="24"/>
          <w:highlight w:val="none"/>
        </w:rPr>
      </w:pPr>
    </w:p>
    <w:p w14:paraId="551E01D7">
      <w:pPr>
        <w:pStyle w:val="44"/>
        <w:rPr>
          <w:rFonts w:hint="eastAsia" w:ascii="宋体" w:hAnsi="宋体" w:eastAsia="宋体" w:cs="宋体"/>
          <w:bCs/>
          <w:color w:val="auto"/>
          <w:sz w:val="24"/>
          <w:szCs w:val="24"/>
          <w:highlight w:val="none"/>
        </w:rPr>
      </w:pPr>
    </w:p>
    <w:p w14:paraId="53D69BCD">
      <w:pPr>
        <w:pStyle w:val="44"/>
        <w:rPr>
          <w:rFonts w:hint="eastAsia" w:ascii="宋体" w:hAnsi="宋体" w:eastAsia="宋体" w:cs="宋体"/>
          <w:bCs/>
          <w:color w:val="auto"/>
          <w:sz w:val="24"/>
          <w:szCs w:val="24"/>
          <w:highlight w:val="none"/>
        </w:rPr>
      </w:pPr>
    </w:p>
    <w:p w14:paraId="629CBE19">
      <w:pPr>
        <w:pStyle w:val="44"/>
        <w:rPr>
          <w:rFonts w:hint="eastAsia" w:ascii="宋体" w:hAnsi="宋体" w:eastAsia="宋体" w:cs="宋体"/>
          <w:bCs/>
          <w:color w:val="auto"/>
          <w:sz w:val="24"/>
          <w:szCs w:val="24"/>
          <w:highlight w:val="none"/>
        </w:rPr>
      </w:pPr>
    </w:p>
    <w:p w14:paraId="4363615F">
      <w:pPr>
        <w:pStyle w:val="44"/>
        <w:rPr>
          <w:rFonts w:hint="eastAsia" w:ascii="宋体" w:hAnsi="宋体" w:eastAsia="宋体" w:cs="宋体"/>
          <w:bCs/>
          <w:color w:val="auto"/>
          <w:sz w:val="24"/>
          <w:szCs w:val="24"/>
          <w:highlight w:val="none"/>
        </w:rPr>
      </w:pPr>
    </w:p>
    <w:p w14:paraId="486F4D83">
      <w:pPr>
        <w:pStyle w:val="44"/>
        <w:rPr>
          <w:rFonts w:hint="eastAsia" w:ascii="宋体" w:hAnsi="宋体" w:eastAsia="宋体" w:cs="宋体"/>
          <w:bCs/>
          <w:color w:val="auto"/>
          <w:sz w:val="24"/>
          <w:szCs w:val="24"/>
          <w:highlight w:val="none"/>
        </w:rPr>
      </w:pPr>
    </w:p>
    <w:p w14:paraId="1186331D">
      <w:pPr>
        <w:pStyle w:val="44"/>
        <w:rPr>
          <w:rFonts w:hint="eastAsia" w:ascii="宋体" w:hAnsi="宋体" w:eastAsia="宋体" w:cs="宋体"/>
          <w:bCs/>
          <w:color w:val="auto"/>
          <w:sz w:val="24"/>
          <w:szCs w:val="24"/>
          <w:highlight w:val="none"/>
        </w:rPr>
      </w:pPr>
    </w:p>
    <w:p w14:paraId="3C4DC16A">
      <w:pPr>
        <w:pStyle w:val="44"/>
        <w:rPr>
          <w:rFonts w:hint="eastAsia" w:ascii="宋体" w:hAnsi="宋体" w:eastAsia="宋体" w:cs="宋体"/>
          <w:bCs/>
          <w:color w:val="auto"/>
          <w:sz w:val="24"/>
          <w:szCs w:val="24"/>
          <w:highlight w:val="none"/>
        </w:rPr>
      </w:pPr>
    </w:p>
    <w:p w14:paraId="0A3408B0">
      <w:pPr>
        <w:pStyle w:val="44"/>
        <w:rPr>
          <w:rFonts w:hint="eastAsia" w:ascii="宋体" w:hAnsi="宋体" w:eastAsia="宋体" w:cs="宋体"/>
          <w:bCs/>
          <w:color w:val="auto"/>
          <w:sz w:val="24"/>
          <w:szCs w:val="24"/>
          <w:highlight w:val="none"/>
        </w:rPr>
      </w:pPr>
    </w:p>
    <w:p w14:paraId="1DC406EE">
      <w:pPr>
        <w:pStyle w:val="44"/>
        <w:rPr>
          <w:rFonts w:hint="eastAsia" w:ascii="宋体" w:hAnsi="宋体" w:eastAsia="宋体" w:cs="宋体"/>
          <w:bCs/>
          <w:color w:val="auto"/>
          <w:sz w:val="24"/>
          <w:szCs w:val="24"/>
          <w:highlight w:val="none"/>
        </w:rPr>
      </w:pPr>
    </w:p>
    <w:p w14:paraId="1A10F65D">
      <w:pPr>
        <w:pStyle w:val="44"/>
        <w:rPr>
          <w:rFonts w:hint="eastAsia" w:ascii="宋体" w:hAnsi="宋体" w:eastAsia="宋体" w:cs="宋体"/>
          <w:bCs/>
          <w:color w:val="auto"/>
          <w:sz w:val="24"/>
          <w:szCs w:val="24"/>
          <w:highlight w:val="none"/>
        </w:rPr>
      </w:pPr>
    </w:p>
    <w:p w14:paraId="3A9F343C">
      <w:pPr>
        <w:pStyle w:val="44"/>
        <w:rPr>
          <w:rFonts w:hint="eastAsia" w:ascii="宋体" w:hAnsi="宋体" w:eastAsia="宋体" w:cs="宋体"/>
          <w:bCs/>
          <w:color w:val="auto"/>
          <w:sz w:val="24"/>
          <w:szCs w:val="24"/>
          <w:highlight w:val="none"/>
        </w:rPr>
      </w:pPr>
    </w:p>
    <w:p w14:paraId="59A0559F">
      <w:pPr>
        <w:pStyle w:val="44"/>
        <w:rPr>
          <w:rFonts w:hint="eastAsia" w:ascii="宋体" w:hAnsi="宋体" w:eastAsia="宋体" w:cs="宋体"/>
          <w:bCs/>
          <w:color w:val="auto"/>
          <w:sz w:val="24"/>
          <w:szCs w:val="24"/>
          <w:highlight w:val="none"/>
        </w:rPr>
      </w:pPr>
    </w:p>
    <w:p w14:paraId="0FC1009C">
      <w:pPr>
        <w:pStyle w:val="44"/>
        <w:rPr>
          <w:rFonts w:hint="eastAsia" w:ascii="宋体" w:hAnsi="宋体" w:eastAsia="宋体" w:cs="宋体"/>
          <w:bCs/>
          <w:color w:val="auto"/>
          <w:sz w:val="24"/>
          <w:szCs w:val="24"/>
          <w:highlight w:val="none"/>
        </w:rPr>
      </w:pPr>
    </w:p>
    <w:p w14:paraId="31E326CC">
      <w:pPr>
        <w:pStyle w:val="44"/>
        <w:rPr>
          <w:rFonts w:hint="eastAsia" w:ascii="宋体" w:hAnsi="宋体" w:eastAsia="宋体" w:cs="宋体"/>
          <w:bCs/>
          <w:color w:val="auto"/>
          <w:sz w:val="24"/>
          <w:szCs w:val="24"/>
          <w:highlight w:val="none"/>
        </w:rPr>
      </w:pPr>
    </w:p>
    <w:p w14:paraId="6F385420">
      <w:pPr>
        <w:pStyle w:val="44"/>
        <w:rPr>
          <w:rFonts w:hint="eastAsia" w:ascii="宋体" w:hAnsi="宋体" w:eastAsia="宋体" w:cs="宋体"/>
          <w:bCs/>
          <w:color w:val="auto"/>
          <w:sz w:val="24"/>
          <w:szCs w:val="24"/>
          <w:highlight w:val="none"/>
        </w:rPr>
      </w:pPr>
    </w:p>
    <w:p w14:paraId="3D4F2CFB">
      <w:pPr>
        <w:pStyle w:val="44"/>
        <w:rPr>
          <w:rFonts w:hint="eastAsia" w:ascii="宋体" w:hAnsi="宋体" w:eastAsia="宋体" w:cs="宋体"/>
          <w:bCs/>
          <w:color w:val="auto"/>
          <w:sz w:val="24"/>
          <w:szCs w:val="24"/>
          <w:highlight w:val="none"/>
        </w:rPr>
      </w:pPr>
    </w:p>
    <w:p w14:paraId="0163C307">
      <w:pPr>
        <w:pStyle w:val="44"/>
        <w:rPr>
          <w:rFonts w:hint="eastAsia" w:ascii="宋体" w:hAnsi="宋体" w:eastAsia="宋体" w:cs="宋体"/>
          <w:bCs/>
          <w:color w:val="auto"/>
          <w:sz w:val="24"/>
          <w:szCs w:val="24"/>
          <w:highlight w:val="none"/>
        </w:rPr>
      </w:pPr>
    </w:p>
    <w:p w14:paraId="7E88A4F0">
      <w:pPr>
        <w:pStyle w:val="44"/>
        <w:rPr>
          <w:rFonts w:hint="eastAsia" w:ascii="宋体" w:hAnsi="宋体" w:eastAsia="宋体" w:cs="宋体"/>
          <w:bCs/>
          <w:color w:val="auto"/>
          <w:sz w:val="24"/>
          <w:szCs w:val="24"/>
          <w:highlight w:val="none"/>
        </w:rPr>
      </w:pPr>
    </w:p>
    <w:p w14:paraId="028446A4">
      <w:pPr>
        <w:pStyle w:val="44"/>
        <w:rPr>
          <w:rFonts w:hint="eastAsia" w:ascii="宋体" w:hAnsi="宋体" w:eastAsia="宋体" w:cs="宋体"/>
          <w:bCs/>
          <w:color w:val="auto"/>
          <w:sz w:val="24"/>
          <w:szCs w:val="24"/>
          <w:highlight w:val="none"/>
        </w:rPr>
      </w:pPr>
    </w:p>
    <w:p w14:paraId="78DF2C33">
      <w:pPr>
        <w:spacing w:line="400" w:lineRule="exact"/>
        <w:outlineLvl w:val="2"/>
        <w:rPr>
          <w:rFonts w:hint="eastAsia" w:ascii="宋体" w:hAnsi="宋体" w:eastAsia="宋体" w:cs="宋体"/>
          <w:bCs/>
          <w:color w:val="auto"/>
          <w:sz w:val="24"/>
          <w:szCs w:val="24"/>
          <w:highlight w:val="none"/>
        </w:rPr>
      </w:pPr>
    </w:p>
    <w:p w14:paraId="41426A59">
      <w:pPr>
        <w:pStyle w:val="235"/>
        <w:ind w:left="0"/>
        <w:outlineLvl w:val="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w:t>
      </w:r>
      <w:r>
        <w:rPr>
          <w:rFonts w:hint="eastAsia" w:ascii="宋体" w:hAnsi="宋体" w:eastAsia="宋体" w:cs="宋体"/>
          <w:b/>
          <w:bCs/>
          <w:color w:val="auto"/>
          <w:sz w:val="32"/>
          <w:szCs w:val="32"/>
          <w:highlight w:val="none"/>
          <w:lang w:val="en-US" w:eastAsia="zh-CN"/>
        </w:rPr>
        <w:t>十</w:t>
      </w:r>
      <w:r>
        <w:rPr>
          <w:rFonts w:hint="eastAsia" w:ascii="宋体" w:hAnsi="宋体" w:eastAsia="宋体" w:cs="宋体"/>
          <w:b/>
          <w:bCs/>
          <w:color w:val="auto"/>
          <w:sz w:val="32"/>
          <w:szCs w:val="32"/>
          <w:highlight w:val="none"/>
        </w:rPr>
        <w:t>）人员配置表（格式）：</w:t>
      </w:r>
    </w:p>
    <w:p w14:paraId="4121CB8D">
      <w:pPr>
        <w:rPr>
          <w:rFonts w:hint="eastAsia" w:ascii="宋体" w:hAnsi="宋体" w:eastAsia="宋体" w:cs="宋体"/>
          <w:color w:val="auto"/>
          <w:szCs w:val="21"/>
          <w:highlight w:val="none"/>
        </w:rPr>
      </w:pPr>
    </w:p>
    <w:p w14:paraId="761E58C2">
      <w:pPr>
        <w:spacing w:line="400" w:lineRule="exact"/>
        <w:jc w:val="center"/>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8"/>
          <w:szCs w:val="28"/>
          <w:highlight w:val="none"/>
        </w:rPr>
        <w:t>人员配置表</w:t>
      </w:r>
      <w:r>
        <w:rPr>
          <w:rFonts w:hint="eastAsia" w:ascii="宋体" w:hAnsi="宋体" w:eastAsia="宋体" w:cs="宋体"/>
          <w:b/>
          <w:bCs w:val="0"/>
          <w:color w:val="auto"/>
          <w:sz w:val="24"/>
          <w:highlight w:val="none"/>
        </w:rPr>
        <w:t xml:space="preserve"> </w:t>
      </w:r>
      <w:r>
        <w:rPr>
          <w:rFonts w:hint="eastAsia" w:ascii="宋体" w:hAnsi="宋体" w:cs="宋体"/>
          <w:b/>
          <w:bCs w:val="0"/>
          <w:color w:val="auto"/>
          <w:sz w:val="24"/>
          <w:highlight w:val="none"/>
          <w:lang w:val="en-US" w:eastAsia="zh-CN"/>
        </w:rPr>
        <w:tab/>
      </w:r>
    </w:p>
    <w:p w14:paraId="336769D1">
      <w:pPr>
        <w:spacing w:line="400" w:lineRule="exact"/>
        <w:jc w:val="center"/>
        <w:rPr>
          <w:rFonts w:hint="eastAsia" w:ascii="宋体" w:hAnsi="宋体" w:eastAsia="宋体" w:cs="宋体"/>
          <w:bCs/>
          <w:color w:val="auto"/>
          <w:sz w:val="24"/>
          <w:highlight w:val="none"/>
        </w:rPr>
      </w:pPr>
    </w:p>
    <w:p w14:paraId="370513B6">
      <w:pPr>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 w:val="24"/>
          <w:highlight w:val="none"/>
          <w:lang w:eastAsia="zh-CN"/>
        </w:rPr>
        <w:t>投标供应商</w:t>
      </w:r>
      <w:r>
        <w:rPr>
          <w:rFonts w:hint="eastAsia" w:ascii="宋体" w:hAnsi="宋体" w:eastAsia="宋体" w:cs="宋体"/>
          <w:bCs/>
          <w:color w:val="auto"/>
          <w:sz w:val="24"/>
          <w:highlight w:val="none"/>
        </w:rPr>
        <w:t>名称（盖章）                 政府采购编号：</w:t>
      </w:r>
      <w:r>
        <w:rPr>
          <w:rFonts w:hint="eastAsia" w:ascii="宋体" w:hAnsi="宋体" w:cs="宋体"/>
          <w:bCs/>
          <w:color w:val="auto"/>
          <w:sz w:val="24"/>
          <w:highlight w:val="none"/>
          <w:lang w:eastAsia="zh-CN"/>
        </w:rPr>
        <w:t>JSZC-320214-JHCG-G2025-0008</w:t>
      </w:r>
      <w:r>
        <w:rPr>
          <w:rFonts w:hint="eastAsia" w:ascii="宋体" w:hAnsi="宋体" w:eastAsia="宋体" w:cs="宋体"/>
          <w:bCs/>
          <w:color w:val="auto"/>
          <w:sz w:val="24"/>
          <w:highlight w:val="none"/>
        </w:rPr>
        <w:t xml:space="preserve"> </w:t>
      </w:r>
    </w:p>
    <w:tbl>
      <w:tblPr>
        <w:tblStyle w:val="38"/>
        <w:tblW w:w="9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109"/>
        <w:gridCol w:w="992"/>
        <w:gridCol w:w="993"/>
        <w:gridCol w:w="850"/>
        <w:gridCol w:w="1134"/>
        <w:gridCol w:w="1302"/>
        <w:gridCol w:w="1276"/>
        <w:gridCol w:w="1276"/>
      </w:tblGrid>
      <w:tr w14:paraId="5C266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41" w:type="dxa"/>
            <w:noWrap w:val="0"/>
            <w:vAlign w:val="center"/>
          </w:tcPr>
          <w:p w14:paraId="676EB2C2">
            <w:pPr>
              <w:jc w:val="center"/>
              <w:rPr>
                <w:rFonts w:hint="eastAsia" w:ascii="宋体" w:hAnsi="宋体" w:eastAsia="宋体" w:cs="宋体"/>
                <w:b/>
                <w:color w:val="auto"/>
                <w:highlight w:val="none"/>
              </w:rPr>
            </w:pPr>
            <w:r>
              <w:rPr>
                <w:rFonts w:hint="eastAsia" w:ascii="宋体" w:hAnsi="宋体" w:eastAsia="宋体" w:cs="宋体"/>
                <w:b/>
                <w:color w:val="auto"/>
                <w:highlight w:val="none"/>
              </w:rPr>
              <w:t>序号</w:t>
            </w:r>
          </w:p>
        </w:tc>
        <w:tc>
          <w:tcPr>
            <w:tcW w:w="1109" w:type="dxa"/>
            <w:noWrap w:val="0"/>
            <w:vAlign w:val="center"/>
          </w:tcPr>
          <w:p w14:paraId="4673DB64">
            <w:pPr>
              <w:jc w:val="center"/>
              <w:rPr>
                <w:rFonts w:hint="eastAsia" w:ascii="宋体" w:hAnsi="宋体" w:eastAsia="宋体" w:cs="宋体"/>
                <w:b/>
                <w:color w:val="auto"/>
                <w:highlight w:val="none"/>
              </w:rPr>
            </w:pPr>
            <w:r>
              <w:rPr>
                <w:rFonts w:hint="eastAsia" w:ascii="宋体" w:hAnsi="宋体" w:eastAsia="宋体" w:cs="宋体"/>
                <w:b/>
                <w:color w:val="auto"/>
                <w:highlight w:val="none"/>
              </w:rPr>
              <w:t>岗位名称</w:t>
            </w:r>
          </w:p>
        </w:tc>
        <w:tc>
          <w:tcPr>
            <w:tcW w:w="992" w:type="dxa"/>
            <w:noWrap w:val="0"/>
            <w:vAlign w:val="center"/>
          </w:tcPr>
          <w:p w14:paraId="28C9BD3E">
            <w:pPr>
              <w:jc w:val="center"/>
              <w:rPr>
                <w:rFonts w:hint="eastAsia" w:ascii="宋体" w:hAnsi="宋体" w:eastAsia="宋体" w:cs="宋体"/>
                <w:b/>
                <w:color w:val="auto"/>
                <w:highlight w:val="none"/>
              </w:rPr>
            </w:pPr>
            <w:r>
              <w:rPr>
                <w:rFonts w:hint="eastAsia" w:ascii="宋体" w:hAnsi="宋体" w:eastAsia="宋体" w:cs="宋体"/>
                <w:b/>
                <w:color w:val="auto"/>
                <w:highlight w:val="none"/>
              </w:rPr>
              <w:t>姓名</w:t>
            </w:r>
          </w:p>
        </w:tc>
        <w:tc>
          <w:tcPr>
            <w:tcW w:w="993" w:type="dxa"/>
            <w:noWrap w:val="0"/>
            <w:vAlign w:val="center"/>
          </w:tcPr>
          <w:p w14:paraId="4F305B79">
            <w:pPr>
              <w:jc w:val="center"/>
              <w:rPr>
                <w:rFonts w:hint="eastAsia" w:ascii="宋体" w:hAnsi="宋体" w:eastAsia="宋体" w:cs="宋体"/>
                <w:b/>
                <w:color w:val="auto"/>
                <w:highlight w:val="none"/>
              </w:rPr>
            </w:pPr>
            <w:r>
              <w:rPr>
                <w:rFonts w:hint="eastAsia" w:ascii="宋体" w:hAnsi="宋体" w:eastAsia="宋体" w:cs="宋体"/>
                <w:b/>
                <w:color w:val="auto"/>
                <w:highlight w:val="none"/>
              </w:rPr>
              <w:t>性别</w:t>
            </w:r>
          </w:p>
        </w:tc>
        <w:tc>
          <w:tcPr>
            <w:tcW w:w="850" w:type="dxa"/>
            <w:noWrap w:val="0"/>
            <w:vAlign w:val="center"/>
          </w:tcPr>
          <w:p w14:paraId="29BB8E4D">
            <w:pPr>
              <w:jc w:val="center"/>
              <w:rPr>
                <w:rFonts w:hint="eastAsia" w:ascii="宋体" w:hAnsi="宋体" w:eastAsia="宋体" w:cs="宋体"/>
                <w:b/>
                <w:color w:val="auto"/>
                <w:highlight w:val="none"/>
              </w:rPr>
            </w:pPr>
            <w:r>
              <w:rPr>
                <w:rFonts w:hint="eastAsia" w:ascii="宋体" w:hAnsi="宋体" w:eastAsia="宋体" w:cs="宋体"/>
                <w:b/>
                <w:color w:val="auto"/>
                <w:highlight w:val="none"/>
              </w:rPr>
              <w:t>年龄</w:t>
            </w:r>
          </w:p>
        </w:tc>
        <w:tc>
          <w:tcPr>
            <w:tcW w:w="1134" w:type="dxa"/>
            <w:noWrap w:val="0"/>
            <w:vAlign w:val="center"/>
          </w:tcPr>
          <w:p w14:paraId="79EA5013">
            <w:pPr>
              <w:jc w:val="center"/>
              <w:rPr>
                <w:rFonts w:hint="eastAsia" w:ascii="宋体" w:hAnsi="宋体" w:eastAsia="宋体" w:cs="宋体"/>
                <w:b/>
                <w:color w:val="auto"/>
                <w:highlight w:val="none"/>
              </w:rPr>
            </w:pPr>
            <w:r>
              <w:rPr>
                <w:rFonts w:hint="eastAsia" w:ascii="宋体" w:hAnsi="宋体" w:eastAsia="宋体" w:cs="宋体"/>
                <w:b/>
                <w:color w:val="auto"/>
                <w:highlight w:val="none"/>
              </w:rPr>
              <w:t>学历</w:t>
            </w:r>
          </w:p>
        </w:tc>
        <w:tc>
          <w:tcPr>
            <w:tcW w:w="1302" w:type="dxa"/>
            <w:noWrap w:val="0"/>
            <w:vAlign w:val="center"/>
          </w:tcPr>
          <w:p w14:paraId="73825555">
            <w:pPr>
              <w:jc w:val="center"/>
              <w:rPr>
                <w:rFonts w:hint="eastAsia" w:ascii="宋体" w:hAnsi="宋体" w:eastAsia="宋体" w:cs="宋体"/>
                <w:b/>
                <w:color w:val="auto"/>
                <w:highlight w:val="none"/>
              </w:rPr>
            </w:pPr>
            <w:r>
              <w:rPr>
                <w:rFonts w:hint="eastAsia" w:ascii="宋体" w:hAnsi="宋体" w:eastAsia="宋体" w:cs="宋体"/>
                <w:b/>
                <w:color w:val="auto"/>
                <w:highlight w:val="none"/>
              </w:rPr>
              <w:t>持证证书名称、证号</w:t>
            </w:r>
          </w:p>
        </w:tc>
        <w:tc>
          <w:tcPr>
            <w:tcW w:w="1276" w:type="dxa"/>
            <w:noWrap w:val="0"/>
            <w:vAlign w:val="center"/>
          </w:tcPr>
          <w:p w14:paraId="2C6550A4">
            <w:pPr>
              <w:jc w:val="center"/>
              <w:rPr>
                <w:rFonts w:hint="eastAsia" w:ascii="宋体" w:hAnsi="宋体" w:eastAsia="宋体" w:cs="宋体"/>
                <w:b/>
                <w:color w:val="auto"/>
                <w:highlight w:val="none"/>
              </w:rPr>
            </w:pPr>
            <w:r>
              <w:rPr>
                <w:rFonts w:hint="eastAsia" w:ascii="宋体" w:hAnsi="宋体" w:eastAsia="宋体" w:cs="宋体"/>
                <w:b/>
                <w:color w:val="auto"/>
                <w:highlight w:val="none"/>
              </w:rPr>
              <w:t>从事技术</w:t>
            </w:r>
          </w:p>
          <w:p w14:paraId="0011B57E">
            <w:pPr>
              <w:jc w:val="center"/>
              <w:rPr>
                <w:rFonts w:hint="eastAsia" w:ascii="宋体" w:hAnsi="宋体" w:eastAsia="宋体" w:cs="宋体"/>
                <w:b/>
                <w:color w:val="auto"/>
                <w:highlight w:val="none"/>
              </w:rPr>
            </w:pPr>
            <w:r>
              <w:rPr>
                <w:rFonts w:hint="eastAsia" w:ascii="宋体" w:hAnsi="宋体" w:eastAsia="宋体" w:cs="宋体"/>
                <w:b/>
                <w:color w:val="auto"/>
                <w:highlight w:val="none"/>
              </w:rPr>
              <w:t>领域年限</w:t>
            </w:r>
          </w:p>
        </w:tc>
        <w:tc>
          <w:tcPr>
            <w:tcW w:w="1276" w:type="dxa"/>
            <w:noWrap w:val="0"/>
            <w:vAlign w:val="center"/>
          </w:tcPr>
          <w:p w14:paraId="5C450FD6">
            <w:pPr>
              <w:jc w:val="center"/>
              <w:rPr>
                <w:rFonts w:hint="eastAsia" w:ascii="宋体" w:hAnsi="宋体" w:eastAsia="宋体" w:cs="宋体"/>
                <w:b/>
                <w:color w:val="auto"/>
                <w:highlight w:val="none"/>
              </w:rPr>
            </w:pPr>
            <w:r>
              <w:rPr>
                <w:rFonts w:hint="eastAsia" w:ascii="宋体" w:hAnsi="宋体" w:eastAsia="宋体" w:cs="宋体"/>
                <w:b/>
                <w:color w:val="auto"/>
                <w:highlight w:val="none"/>
              </w:rPr>
              <w:t>备注</w:t>
            </w:r>
          </w:p>
        </w:tc>
      </w:tr>
      <w:tr w14:paraId="16E9E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741" w:type="dxa"/>
            <w:noWrap w:val="0"/>
            <w:vAlign w:val="center"/>
          </w:tcPr>
          <w:p w14:paraId="3A7DBBA8">
            <w:pPr>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109" w:type="dxa"/>
            <w:noWrap w:val="0"/>
            <w:vAlign w:val="center"/>
          </w:tcPr>
          <w:p w14:paraId="205AAD28">
            <w:pPr>
              <w:jc w:val="center"/>
              <w:rPr>
                <w:rFonts w:hint="eastAsia" w:ascii="宋体" w:hAnsi="宋体" w:eastAsia="宋体" w:cs="宋体"/>
                <w:color w:val="auto"/>
                <w:highlight w:val="none"/>
              </w:rPr>
            </w:pPr>
          </w:p>
        </w:tc>
        <w:tc>
          <w:tcPr>
            <w:tcW w:w="992" w:type="dxa"/>
            <w:noWrap w:val="0"/>
            <w:vAlign w:val="center"/>
          </w:tcPr>
          <w:p w14:paraId="28C8CDC7">
            <w:pPr>
              <w:jc w:val="center"/>
              <w:rPr>
                <w:rFonts w:hint="eastAsia" w:ascii="宋体" w:hAnsi="宋体" w:eastAsia="宋体" w:cs="宋体"/>
                <w:color w:val="auto"/>
                <w:highlight w:val="none"/>
              </w:rPr>
            </w:pPr>
          </w:p>
        </w:tc>
        <w:tc>
          <w:tcPr>
            <w:tcW w:w="993" w:type="dxa"/>
            <w:noWrap w:val="0"/>
            <w:vAlign w:val="center"/>
          </w:tcPr>
          <w:p w14:paraId="40F274EC">
            <w:pPr>
              <w:jc w:val="center"/>
              <w:rPr>
                <w:rFonts w:hint="eastAsia" w:ascii="宋体" w:hAnsi="宋体" w:eastAsia="宋体" w:cs="宋体"/>
                <w:b/>
                <w:color w:val="auto"/>
                <w:highlight w:val="none"/>
              </w:rPr>
            </w:pPr>
          </w:p>
        </w:tc>
        <w:tc>
          <w:tcPr>
            <w:tcW w:w="850" w:type="dxa"/>
            <w:noWrap w:val="0"/>
            <w:vAlign w:val="center"/>
          </w:tcPr>
          <w:p w14:paraId="1509FE18">
            <w:pPr>
              <w:jc w:val="center"/>
              <w:rPr>
                <w:rFonts w:hint="eastAsia" w:ascii="宋体" w:hAnsi="宋体" w:eastAsia="宋体" w:cs="宋体"/>
                <w:b/>
                <w:color w:val="auto"/>
                <w:highlight w:val="none"/>
              </w:rPr>
            </w:pPr>
          </w:p>
        </w:tc>
        <w:tc>
          <w:tcPr>
            <w:tcW w:w="1134" w:type="dxa"/>
            <w:noWrap w:val="0"/>
            <w:vAlign w:val="center"/>
          </w:tcPr>
          <w:p w14:paraId="5BA781EB">
            <w:pPr>
              <w:jc w:val="center"/>
              <w:rPr>
                <w:rFonts w:hint="eastAsia" w:ascii="宋体" w:hAnsi="宋体" w:eastAsia="宋体" w:cs="宋体"/>
                <w:color w:val="auto"/>
                <w:highlight w:val="none"/>
              </w:rPr>
            </w:pPr>
          </w:p>
        </w:tc>
        <w:tc>
          <w:tcPr>
            <w:tcW w:w="1302" w:type="dxa"/>
            <w:noWrap w:val="0"/>
            <w:vAlign w:val="center"/>
          </w:tcPr>
          <w:p w14:paraId="6644D721">
            <w:pPr>
              <w:jc w:val="center"/>
              <w:rPr>
                <w:rFonts w:hint="eastAsia" w:ascii="宋体" w:hAnsi="宋体" w:eastAsia="宋体" w:cs="宋体"/>
                <w:color w:val="auto"/>
                <w:highlight w:val="none"/>
              </w:rPr>
            </w:pPr>
          </w:p>
        </w:tc>
        <w:tc>
          <w:tcPr>
            <w:tcW w:w="1276" w:type="dxa"/>
            <w:noWrap w:val="0"/>
            <w:vAlign w:val="center"/>
          </w:tcPr>
          <w:p w14:paraId="07C19F86">
            <w:pPr>
              <w:jc w:val="center"/>
              <w:rPr>
                <w:rFonts w:hint="eastAsia" w:ascii="宋体" w:hAnsi="宋体" w:eastAsia="宋体" w:cs="宋体"/>
                <w:color w:val="auto"/>
                <w:highlight w:val="none"/>
              </w:rPr>
            </w:pPr>
          </w:p>
        </w:tc>
        <w:tc>
          <w:tcPr>
            <w:tcW w:w="1276" w:type="dxa"/>
            <w:noWrap w:val="0"/>
            <w:vAlign w:val="center"/>
          </w:tcPr>
          <w:p w14:paraId="30AEB1D9">
            <w:pPr>
              <w:jc w:val="center"/>
              <w:rPr>
                <w:rFonts w:hint="eastAsia" w:ascii="宋体" w:hAnsi="宋体" w:eastAsia="宋体" w:cs="宋体"/>
                <w:color w:val="auto"/>
                <w:highlight w:val="none"/>
              </w:rPr>
            </w:pPr>
          </w:p>
        </w:tc>
      </w:tr>
      <w:tr w14:paraId="4A723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741" w:type="dxa"/>
            <w:noWrap w:val="0"/>
            <w:vAlign w:val="center"/>
          </w:tcPr>
          <w:p w14:paraId="04C29757">
            <w:pPr>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1109" w:type="dxa"/>
            <w:noWrap w:val="0"/>
            <w:vAlign w:val="center"/>
          </w:tcPr>
          <w:p w14:paraId="745552C8">
            <w:pPr>
              <w:jc w:val="center"/>
              <w:rPr>
                <w:rFonts w:hint="eastAsia" w:ascii="宋体" w:hAnsi="宋体" w:eastAsia="宋体" w:cs="宋体"/>
                <w:color w:val="auto"/>
                <w:highlight w:val="none"/>
              </w:rPr>
            </w:pPr>
          </w:p>
        </w:tc>
        <w:tc>
          <w:tcPr>
            <w:tcW w:w="992" w:type="dxa"/>
            <w:noWrap w:val="0"/>
            <w:vAlign w:val="center"/>
          </w:tcPr>
          <w:p w14:paraId="0F6F966F">
            <w:pPr>
              <w:jc w:val="center"/>
              <w:rPr>
                <w:rFonts w:hint="eastAsia" w:ascii="宋体" w:hAnsi="宋体" w:eastAsia="宋体" w:cs="宋体"/>
                <w:color w:val="auto"/>
                <w:highlight w:val="none"/>
              </w:rPr>
            </w:pPr>
          </w:p>
        </w:tc>
        <w:tc>
          <w:tcPr>
            <w:tcW w:w="993" w:type="dxa"/>
            <w:noWrap w:val="0"/>
            <w:vAlign w:val="center"/>
          </w:tcPr>
          <w:p w14:paraId="61B8DAE8">
            <w:pPr>
              <w:jc w:val="center"/>
              <w:rPr>
                <w:rFonts w:hint="eastAsia" w:ascii="宋体" w:hAnsi="宋体" w:eastAsia="宋体" w:cs="宋体"/>
                <w:color w:val="auto"/>
                <w:highlight w:val="none"/>
              </w:rPr>
            </w:pPr>
          </w:p>
        </w:tc>
        <w:tc>
          <w:tcPr>
            <w:tcW w:w="850" w:type="dxa"/>
            <w:noWrap w:val="0"/>
            <w:vAlign w:val="center"/>
          </w:tcPr>
          <w:p w14:paraId="1EC4BD9C">
            <w:pPr>
              <w:jc w:val="center"/>
              <w:rPr>
                <w:rFonts w:hint="eastAsia" w:ascii="宋体" w:hAnsi="宋体" w:eastAsia="宋体" w:cs="宋体"/>
                <w:color w:val="auto"/>
                <w:highlight w:val="none"/>
              </w:rPr>
            </w:pPr>
          </w:p>
        </w:tc>
        <w:tc>
          <w:tcPr>
            <w:tcW w:w="1134" w:type="dxa"/>
            <w:noWrap w:val="0"/>
            <w:vAlign w:val="center"/>
          </w:tcPr>
          <w:p w14:paraId="4CFDEED1">
            <w:pPr>
              <w:jc w:val="center"/>
              <w:rPr>
                <w:rFonts w:hint="eastAsia" w:ascii="宋体" w:hAnsi="宋体" w:eastAsia="宋体" w:cs="宋体"/>
                <w:color w:val="auto"/>
                <w:highlight w:val="none"/>
              </w:rPr>
            </w:pPr>
          </w:p>
        </w:tc>
        <w:tc>
          <w:tcPr>
            <w:tcW w:w="1302" w:type="dxa"/>
            <w:noWrap w:val="0"/>
            <w:vAlign w:val="center"/>
          </w:tcPr>
          <w:p w14:paraId="4E311CD0">
            <w:pPr>
              <w:jc w:val="center"/>
              <w:rPr>
                <w:rFonts w:hint="eastAsia" w:ascii="宋体" w:hAnsi="宋体" w:eastAsia="宋体" w:cs="宋体"/>
                <w:color w:val="auto"/>
                <w:highlight w:val="none"/>
              </w:rPr>
            </w:pPr>
          </w:p>
        </w:tc>
        <w:tc>
          <w:tcPr>
            <w:tcW w:w="1276" w:type="dxa"/>
            <w:noWrap w:val="0"/>
            <w:vAlign w:val="center"/>
          </w:tcPr>
          <w:p w14:paraId="0C9A1656">
            <w:pPr>
              <w:jc w:val="center"/>
              <w:rPr>
                <w:rFonts w:hint="eastAsia" w:ascii="宋体" w:hAnsi="宋体" w:eastAsia="宋体" w:cs="宋体"/>
                <w:color w:val="auto"/>
                <w:highlight w:val="none"/>
              </w:rPr>
            </w:pPr>
          </w:p>
        </w:tc>
        <w:tc>
          <w:tcPr>
            <w:tcW w:w="1276" w:type="dxa"/>
            <w:noWrap w:val="0"/>
            <w:vAlign w:val="center"/>
          </w:tcPr>
          <w:p w14:paraId="6825D86E">
            <w:pPr>
              <w:jc w:val="center"/>
              <w:rPr>
                <w:rFonts w:hint="eastAsia" w:ascii="宋体" w:hAnsi="宋体" w:eastAsia="宋体" w:cs="宋体"/>
                <w:color w:val="auto"/>
                <w:highlight w:val="none"/>
              </w:rPr>
            </w:pPr>
          </w:p>
        </w:tc>
      </w:tr>
      <w:tr w14:paraId="26EAD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7B46AAF7">
            <w:pPr>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1109" w:type="dxa"/>
            <w:noWrap w:val="0"/>
            <w:vAlign w:val="center"/>
          </w:tcPr>
          <w:p w14:paraId="39D84DCD">
            <w:pPr>
              <w:jc w:val="center"/>
              <w:rPr>
                <w:rFonts w:hint="eastAsia" w:ascii="宋体" w:hAnsi="宋体" w:eastAsia="宋体" w:cs="宋体"/>
                <w:color w:val="auto"/>
                <w:highlight w:val="none"/>
              </w:rPr>
            </w:pPr>
          </w:p>
        </w:tc>
        <w:tc>
          <w:tcPr>
            <w:tcW w:w="992" w:type="dxa"/>
            <w:noWrap w:val="0"/>
            <w:vAlign w:val="center"/>
          </w:tcPr>
          <w:p w14:paraId="45683CEC">
            <w:pPr>
              <w:jc w:val="center"/>
              <w:rPr>
                <w:rFonts w:hint="eastAsia" w:ascii="宋体" w:hAnsi="宋体" w:eastAsia="宋体" w:cs="宋体"/>
                <w:color w:val="auto"/>
                <w:highlight w:val="none"/>
              </w:rPr>
            </w:pPr>
          </w:p>
        </w:tc>
        <w:tc>
          <w:tcPr>
            <w:tcW w:w="993" w:type="dxa"/>
            <w:noWrap w:val="0"/>
            <w:vAlign w:val="center"/>
          </w:tcPr>
          <w:p w14:paraId="4F3E22C0">
            <w:pPr>
              <w:jc w:val="center"/>
              <w:rPr>
                <w:rFonts w:hint="eastAsia" w:ascii="宋体" w:hAnsi="宋体" w:eastAsia="宋体" w:cs="宋体"/>
                <w:color w:val="auto"/>
                <w:highlight w:val="none"/>
              </w:rPr>
            </w:pPr>
          </w:p>
        </w:tc>
        <w:tc>
          <w:tcPr>
            <w:tcW w:w="850" w:type="dxa"/>
            <w:noWrap w:val="0"/>
            <w:vAlign w:val="center"/>
          </w:tcPr>
          <w:p w14:paraId="0342002E">
            <w:pPr>
              <w:jc w:val="center"/>
              <w:rPr>
                <w:rFonts w:hint="eastAsia" w:ascii="宋体" w:hAnsi="宋体" w:eastAsia="宋体" w:cs="宋体"/>
                <w:color w:val="auto"/>
                <w:highlight w:val="none"/>
              </w:rPr>
            </w:pPr>
          </w:p>
        </w:tc>
        <w:tc>
          <w:tcPr>
            <w:tcW w:w="1134" w:type="dxa"/>
            <w:noWrap w:val="0"/>
            <w:vAlign w:val="center"/>
          </w:tcPr>
          <w:p w14:paraId="76782DD7">
            <w:pPr>
              <w:jc w:val="center"/>
              <w:rPr>
                <w:rFonts w:hint="eastAsia" w:ascii="宋体" w:hAnsi="宋体" w:eastAsia="宋体" w:cs="宋体"/>
                <w:color w:val="auto"/>
                <w:highlight w:val="none"/>
              </w:rPr>
            </w:pPr>
          </w:p>
        </w:tc>
        <w:tc>
          <w:tcPr>
            <w:tcW w:w="1302" w:type="dxa"/>
            <w:noWrap w:val="0"/>
            <w:vAlign w:val="center"/>
          </w:tcPr>
          <w:p w14:paraId="3D72D5AF">
            <w:pPr>
              <w:jc w:val="center"/>
              <w:rPr>
                <w:rFonts w:hint="eastAsia" w:ascii="宋体" w:hAnsi="宋体" w:eastAsia="宋体" w:cs="宋体"/>
                <w:color w:val="auto"/>
                <w:highlight w:val="none"/>
              </w:rPr>
            </w:pPr>
          </w:p>
        </w:tc>
        <w:tc>
          <w:tcPr>
            <w:tcW w:w="1276" w:type="dxa"/>
            <w:noWrap w:val="0"/>
            <w:vAlign w:val="center"/>
          </w:tcPr>
          <w:p w14:paraId="123C7918">
            <w:pPr>
              <w:jc w:val="center"/>
              <w:rPr>
                <w:rFonts w:hint="eastAsia" w:ascii="宋体" w:hAnsi="宋体" w:eastAsia="宋体" w:cs="宋体"/>
                <w:color w:val="auto"/>
                <w:highlight w:val="none"/>
              </w:rPr>
            </w:pPr>
          </w:p>
        </w:tc>
        <w:tc>
          <w:tcPr>
            <w:tcW w:w="1276" w:type="dxa"/>
            <w:noWrap w:val="0"/>
            <w:vAlign w:val="center"/>
          </w:tcPr>
          <w:p w14:paraId="3F66B0C0">
            <w:pPr>
              <w:jc w:val="center"/>
              <w:rPr>
                <w:rFonts w:hint="eastAsia" w:ascii="宋体" w:hAnsi="宋体" w:eastAsia="宋体" w:cs="宋体"/>
                <w:color w:val="auto"/>
                <w:highlight w:val="none"/>
              </w:rPr>
            </w:pPr>
          </w:p>
        </w:tc>
      </w:tr>
      <w:tr w14:paraId="362C8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41" w:type="dxa"/>
            <w:noWrap w:val="0"/>
            <w:vAlign w:val="center"/>
          </w:tcPr>
          <w:p w14:paraId="00D59D6E">
            <w:pP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9" w:type="dxa"/>
            <w:noWrap w:val="0"/>
            <w:vAlign w:val="top"/>
          </w:tcPr>
          <w:p w14:paraId="7EBDE080">
            <w:pPr>
              <w:jc w:val="center"/>
              <w:rPr>
                <w:rFonts w:hint="eastAsia" w:ascii="宋体" w:hAnsi="宋体" w:eastAsia="宋体" w:cs="宋体"/>
                <w:color w:val="auto"/>
                <w:highlight w:val="none"/>
              </w:rPr>
            </w:pPr>
          </w:p>
        </w:tc>
        <w:tc>
          <w:tcPr>
            <w:tcW w:w="992" w:type="dxa"/>
            <w:noWrap w:val="0"/>
            <w:vAlign w:val="center"/>
          </w:tcPr>
          <w:p w14:paraId="099CF796">
            <w:pPr>
              <w:jc w:val="center"/>
              <w:rPr>
                <w:rFonts w:hint="eastAsia" w:ascii="宋体" w:hAnsi="宋体" w:eastAsia="宋体" w:cs="宋体"/>
                <w:color w:val="auto"/>
                <w:highlight w:val="none"/>
              </w:rPr>
            </w:pPr>
          </w:p>
        </w:tc>
        <w:tc>
          <w:tcPr>
            <w:tcW w:w="993" w:type="dxa"/>
            <w:noWrap w:val="0"/>
            <w:vAlign w:val="center"/>
          </w:tcPr>
          <w:p w14:paraId="711A7FA6">
            <w:pPr>
              <w:jc w:val="center"/>
              <w:rPr>
                <w:rFonts w:hint="eastAsia" w:ascii="宋体" w:hAnsi="宋体" w:eastAsia="宋体" w:cs="宋体"/>
                <w:color w:val="auto"/>
                <w:highlight w:val="none"/>
              </w:rPr>
            </w:pPr>
          </w:p>
        </w:tc>
        <w:tc>
          <w:tcPr>
            <w:tcW w:w="850" w:type="dxa"/>
            <w:noWrap w:val="0"/>
            <w:vAlign w:val="center"/>
          </w:tcPr>
          <w:p w14:paraId="41C39F41">
            <w:pPr>
              <w:jc w:val="center"/>
              <w:rPr>
                <w:rFonts w:hint="eastAsia" w:ascii="宋体" w:hAnsi="宋体" w:eastAsia="宋体" w:cs="宋体"/>
                <w:color w:val="auto"/>
                <w:highlight w:val="none"/>
              </w:rPr>
            </w:pPr>
          </w:p>
        </w:tc>
        <w:tc>
          <w:tcPr>
            <w:tcW w:w="1134" w:type="dxa"/>
            <w:noWrap w:val="0"/>
            <w:vAlign w:val="center"/>
          </w:tcPr>
          <w:p w14:paraId="6B7AAE1D">
            <w:pPr>
              <w:jc w:val="center"/>
              <w:rPr>
                <w:rFonts w:hint="eastAsia" w:ascii="宋体" w:hAnsi="宋体" w:eastAsia="宋体" w:cs="宋体"/>
                <w:color w:val="auto"/>
                <w:highlight w:val="none"/>
              </w:rPr>
            </w:pPr>
          </w:p>
        </w:tc>
        <w:tc>
          <w:tcPr>
            <w:tcW w:w="1302" w:type="dxa"/>
            <w:noWrap w:val="0"/>
            <w:vAlign w:val="center"/>
          </w:tcPr>
          <w:p w14:paraId="528AE25F">
            <w:pPr>
              <w:jc w:val="center"/>
              <w:rPr>
                <w:rFonts w:hint="eastAsia" w:ascii="宋体" w:hAnsi="宋体" w:eastAsia="宋体" w:cs="宋体"/>
                <w:color w:val="auto"/>
                <w:highlight w:val="none"/>
              </w:rPr>
            </w:pPr>
          </w:p>
        </w:tc>
        <w:tc>
          <w:tcPr>
            <w:tcW w:w="1276" w:type="dxa"/>
            <w:noWrap w:val="0"/>
            <w:vAlign w:val="center"/>
          </w:tcPr>
          <w:p w14:paraId="0A6A8290">
            <w:pPr>
              <w:jc w:val="center"/>
              <w:rPr>
                <w:rFonts w:hint="eastAsia" w:ascii="宋体" w:hAnsi="宋体" w:eastAsia="宋体" w:cs="宋体"/>
                <w:color w:val="auto"/>
                <w:highlight w:val="none"/>
              </w:rPr>
            </w:pPr>
          </w:p>
        </w:tc>
        <w:tc>
          <w:tcPr>
            <w:tcW w:w="1276" w:type="dxa"/>
            <w:noWrap w:val="0"/>
            <w:vAlign w:val="center"/>
          </w:tcPr>
          <w:p w14:paraId="45BF80E5">
            <w:pPr>
              <w:jc w:val="center"/>
              <w:rPr>
                <w:rFonts w:hint="eastAsia" w:ascii="宋体" w:hAnsi="宋体" w:eastAsia="宋体" w:cs="宋体"/>
                <w:color w:val="auto"/>
                <w:highlight w:val="none"/>
              </w:rPr>
            </w:pPr>
          </w:p>
        </w:tc>
      </w:tr>
      <w:tr w14:paraId="5D6D3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741" w:type="dxa"/>
            <w:noWrap w:val="0"/>
            <w:vAlign w:val="center"/>
          </w:tcPr>
          <w:p w14:paraId="036882E0">
            <w:pPr>
              <w:jc w:val="center"/>
              <w:rPr>
                <w:rFonts w:hint="eastAsia" w:ascii="宋体" w:hAnsi="宋体" w:eastAsia="宋体" w:cs="宋体"/>
                <w:color w:val="auto"/>
                <w:highlight w:val="none"/>
              </w:rPr>
            </w:pPr>
          </w:p>
        </w:tc>
        <w:tc>
          <w:tcPr>
            <w:tcW w:w="1109" w:type="dxa"/>
            <w:noWrap w:val="0"/>
            <w:vAlign w:val="center"/>
          </w:tcPr>
          <w:p w14:paraId="7606FBB5">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c>
          <w:tcPr>
            <w:tcW w:w="992" w:type="dxa"/>
            <w:noWrap w:val="0"/>
            <w:vAlign w:val="center"/>
          </w:tcPr>
          <w:p w14:paraId="2E6F9371">
            <w:pPr>
              <w:jc w:val="center"/>
              <w:rPr>
                <w:rFonts w:hint="eastAsia" w:ascii="宋体" w:hAnsi="宋体" w:eastAsia="宋体" w:cs="宋体"/>
                <w:color w:val="auto"/>
                <w:highlight w:val="none"/>
              </w:rPr>
            </w:pPr>
          </w:p>
        </w:tc>
        <w:tc>
          <w:tcPr>
            <w:tcW w:w="993" w:type="dxa"/>
            <w:noWrap w:val="0"/>
            <w:vAlign w:val="center"/>
          </w:tcPr>
          <w:p w14:paraId="32BD141C">
            <w:pPr>
              <w:jc w:val="center"/>
              <w:rPr>
                <w:rFonts w:hint="eastAsia" w:ascii="宋体" w:hAnsi="宋体" w:eastAsia="宋体" w:cs="宋体"/>
                <w:color w:val="auto"/>
                <w:highlight w:val="none"/>
              </w:rPr>
            </w:pPr>
          </w:p>
        </w:tc>
        <w:tc>
          <w:tcPr>
            <w:tcW w:w="850" w:type="dxa"/>
            <w:noWrap w:val="0"/>
            <w:vAlign w:val="center"/>
          </w:tcPr>
          <w:p w14:paraId="6E321083">
            <w:pPr>
              <w:jc w:val="center"/>
              <w:rPr>
                <w:rFonts w:hint="eastAsia" w:ascii="宋体" w:hAnsi="宋体" w:eastAsia="宋体" w:cs="宋体"/>
                <w:color w:val="auto"/>
                <w:highlight w:val="none"/>
              </w:rPr>
            </w:pPr>
          </w:p>
        </w:tc>
        <w:tc>
          <w:tcPr>
            <w:tcW w:w="1134" w:type="dxa"/>
            <w:noWrap w:val="0"/>
            <w:vAlign w:val="center"/>
          </w:tcPr>
          <w:p w14:paraId="333070FA">
            <w:pPr>
              <w:jc w:val="center"/>
              <w:rPr>
                <w:rFonts w:hint="eastAsia" w:ascii="宋体" w:hAnsi="宋体" w:eastAsia="宋体" w:cs="宋体"/>
                <w:color w:val="auto"/>
                <w:highlight w:val="none"/>
              </w:rPr>
            </w:pPr>
          </w:p>
        </w:tc>
        <w:tc>
          <w:tcPr>
            <w:tcW w:w="1302" w:type="dxa"/>
            <w:noWrap w:val="0"/>
            <w:vAlign w:val="center"/>
          </w:tcPr>
          <w:p w14:paraId="41551731">
            <w:pPr>
              <w:jc w:val="center"/>
              <w:rPr>
                <w:rFonts w:hint="eastAsia" w:ascii="宋体" w:hAnsi="宋体" w:eastAsia="宋体" w:cs="宋体"/>
                <w:color w:val="auto"/>
                <w:highlight w:val="none"/>
              </w:rPr>
            </w:pPr>
          </w:p>
        </w:tc>
        <w:tc>
          <w:tcPr>
            <w:tcW w:w="1276" w:type="dxa"/>
            <w:noWrap w:val="0"/>
            <w:vAlign w:val="center"/>
          </w:tcPr>
          <w:p w14:paraId="7DDB958F">
            <w:pPr>
              <w:jc w:val="center"/>
              <w:rPr>
                <w:rFonts w:hint="eastAsia" w:ascii="宋体" w:hAnsi="宋体" w:eastAsia="宋体" w:cs="宋体"/>
                <w:color w:val="auto"/>
                <w:highlight w:val="none"/>
              </w:rPr>
            </w:pPr>
          </w:p>
        </w:tc>
        <w:tc>
          <w:tcPr>
            <w:tcW w:w="1276" w:type="dxa"/>
            <w:noWrap w:val="0"/>
            <w:vAlign w:val="center"/>
          </w:tcPr>
          <w:p w14:paraId="14CBD85F">
            <w:pPr>
              <w:jc w:val="center"/>
              <w:rPr>
                <w:rFonts w:hint="eastAsia" w:ascii="宋体" w:hAnsi="宋体" w:eastAsia="宋体" w:cs="宋体"/>
                <w:color w:val="auto"/>
                <w:highlight w:val="none"/>
              </w:rPr>
            </w:pPr>
          </w:p>
        </w:tc>
      </w:tr>
      <w:tr w14:paraId="6BD16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41" w:type="dxa"/>
            <w:noWrap w:val="0"/>
            <w:vAlign w:val="center"/>
          </w:tcPr>
          <w:p w14:paraId="57529581">
            <w:pPr>
              <w:jc w:val="center"/>
              <w:rPr>
                <w:rFonts w:hint="eastAsia" w:ascii="宋体" w:hAnsi="宋体" w:eastAsia="宋体" w:cs="宋体"/>
                <w:color w:val="auto"/>
                <w:highlight w:val="none"/>
              </w:rPr>
            </w:pPr>
          </w:p>
        </w:tc>
        <w:tc>
          <w:tcPr>
            <w:tcW w:w="1109" w:type="dxa"/>
            <w:noWrap w:val="0"/>
            <w:vAlign w:val="center"/>
          </w:tcPr>
          <w:p w14:paraId="7B8C41A3">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c>
          <w:tcPr>
            <w:tcW w:w="992" w:type="dxa"/>
            <w:noWrap w:val="0"/>
            <w:vAlign w:val="center"/>
          </w:tcPr>
          <w:p w14:paraId="368008D9">
            <w:pPr>
              <w:jc w:val="center"/>
              <w:rPr>
                <w:rFonts w:hint="eastAsia" w:ascii="宋体" w:hAnsi="宋体" w:eastAsia="宋体" w:cs="宋体"/>
                <w:color w:val="auto"/>
                <w:highlight w:val="none"/>
              </w:rPr>
            </w:pPr>
          </w:p>
        </w:tc>
        <w:tc>
          <w:tcPr>
            <w:tcW w:w="993" w:type="dxa"/>
            <w:noWrap w:val="0"/>
            <w:vAlign w:val="center"/>
          </w:tcPr>
          <w:p w14:paraId="505B6C8D">
            <w:pPr>
              <w:jc w:val="center"/>
              <w:rPr>
                <w:rFonts w:hint="eastAsia" w:ascii="宋体" w:hAnsi="宋体" w:eastAsia="宋体" w:cs="宋体"/>
                <w:color w:val="auto"/>
                <w:highlight w:val="none"/>
              </w:rPr>
            </w:pPr>
          </w:p>
        </w:tc>
        <w:tc>
          <w:tcPr>
            <w:tcW w:w="850" w:type="dxa"/>
            <w:noWrap w:val="0"/>
            <w:vAlign w:val="center"/>
          </w:tcPr>
          <w:p w14:paraId="5218B1D0">
            <w:pPr>
              <w:jc w:val="center"/>
              <w:rPr>
                <w:rFonts w:hint="eastAsia" w:ascii="宋体" w:hAnsi="宋体" w:eastAsia="宋体" w:cs="宋体"/>
                <w:color w:val="auto"/>
                <w:highlight w:val="none"/>
              </w:rPr>
            </w:pPr>
          </w:p>
        </w:tc>
        <w:tc>
          <w:tcPr>
            <w:tcW w:w="1134" w:type="dxa"/>
            <w:noWrap w:val="0"/>
            <w:vAlign w:val="center"/>
          </w:tcPr>
          <w:p w14:paraId="0615230F">
            <w:pPr>
              <w:jc w:val="center"/>
              <w:rPr>
                <w:rFonts w:hint="eastAsia" w:ascii="宋体" w:hAnsi="宋体" w:eastAsia="宋体" w:cs="宋体"/>
                <w:color w:val="auto"/>
                <w:highlight w:val="none"/>
              </w:rPr>
            </w:pPr>
          </w:p>
        </w:tc>
        <w:tc>
          <w:tcPr>
            <w:tcW w:w="1302" w:type="dxa"/>
            <w:noWrap w:val="0"/>
            <w:vAlign w:val="center"/>
          </w:tcPr>
          <w:p w14:paraId="4A8406DD">
            <w:pPr>
              <w:jc w:val="center"/>
              <w:rPr>
                <w:rFonts w:hint="eastAsia" w:ascii="宋体" w:hAnsi="宋体" w:eastAsia="宋体" w:cs="宋体"/>
                <w:color w:val="auto"/>
                <w:highlight w:val="none"/>
              </w:rPr>
            </w:pPr>
          </w:p>
        </w:tc>
        <w:tc>
          <w:tcPr>
            <w:tcW w:w="1276" w:type="dxa"/>
            <w:noWrap w:val="0"/>
            <w:vAlign w:val="center"/>
          </w:tcPr>
          <w:p w14:paraId="06D9C313">
            <w:pPr>
              <w:jc w:val="center"/>
              <w:rPr>
                <w:rFonts w:hint="eastAsia" w:ascii="宋体" w:hAnsi="宋体" w:eastAsia="宋体" w:cs="宋体"/>
                <w:color w:val="auto"/>
                <w:highlight w:val="none"/>
              </w:rPr>
            </w:pPr>
          </w:p>
        </w:tc>
        <w:tc>
          <w:tcPr>
            <w:tcW w:w="1276" w:type="dxa"/>
            <w:noWrap w:val="0"/>
            <w:vAlign w:val="center"/>
          </w:tcPr>
          <w:p w14:paraId="1D88EFD2">
            <w:pPr>
              <w:jc w:val="center"/>
              <w:rPr>
                <w:rFonts w:hint="eastAsia" w:ascii="宋体" w:hAnsi="宋体" w:eastAsia="宋体" w:cs="宋体"/>
                <w:color w:val="auto"/>
                <w:highlight w:val="none"/>
              </w:rPr>
            </w:pPr>
          </w:p>
        </w:tc>
      </w:tr>
      <w:tr w14:paraId="15EF4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41" w:type="dxa"/>
            <w:noWrap w:val="0"/>
            <w:vAlign w:val="center"/>
          </w:tcPr>
          <w:p w14:paraId="1081622D">
            <w:pPr>
              <w:jc w:val="center"/>
              <w:rPr>
                <w:rFonts w:hint="eastAsia" w:ascii="宋体" w:hAnsi="宋体" w:eastAsia="宋体" w:cs="宋体"/>
                <w:color w:val="auto"/>
                <w:highlight w:val="none"/>
              </w:rPr>
            </w:pPr>
          </w:p>
        </w:tc>
        <w:tc>
          <w:tcPr>
            <w:tcW w:w="1109" w:type="dxa"/>
            <w:noWrap w:val="0"/>
            <w:vAlign w:val="center"/>
          </w:tcPr>
          <w:p w14:paraId="53021E3F">
            <w:pPr>
              <w:jc w:val="center"/>
              <w:rPr>
                <w:rFonts w:hint="eastAsia" w:ascii="宋体" w:hAnsi="宋体" w:eastAsia="宋体" w:cs="宋体"/>
                <w:color w:val="auto"/>
                <w:highlight w:val="none"/>
              </w:rPr>
            </w:pPr>
          </w:p>
        </w:tc>
        <w:tc>
          <w:tcPr>
            <w:tcW w:w="992" w:type="dxa"/>
            <w:noWrap w:val="0"/>
            <w:vAlign w:val="center"/>
          </w:tcPr>
          <w:p w14:paraId="45388E57">
            <w:pPr>
              <w:jc w:val="center"/>
              <w:rPr>
                <w:rFonts w:hint="eastAsia" w:ascii="宋体" w:hAnsi="宋体" w:eastAsia="宋体" w:cs="宋体"/>
                <w:color w:val="auto"/>
                <w:highlight w:val="none"/>
              </w:rPr>
            </w:pPr>
          </w:p>
        </w:tc>
        <w:tc>
          <w:tcPr>
            <w:tcW w:w="993" w:type="dxa"/>
            <w:noWrap w:val="0"/>
            <w:vAlign w:val="center"/>
          </w:tcPr>
          <w:p w14:paraId="1E35BF0B">
            <w:pPr>
              <w:jc w:val="center"/>
              <w:rPr>
                <w:rFonts w:hint="eastAsia" w:ascii="宋体" w:hAnsi="宋体" w:eastAsia="宋体" w:cs="宋体"/>
                <w:color w:val="auto"/>
                <w:highlight w:val="none"/>
              </w:rPr>
            </w:pPr>
          </w:p>
        </w:tc>
        <w:tc>
          <w:tcPr>
            <w:tcW w:w="850" w:type="dxa"/>
            <w:noWrap w:val="0"/>
            <w:vAlign w:val="center"/>
          </w:tcPr>
          <w:p w14:paraId="566C21BA">
            <w:pPr>
              <w:jc w:val="center"/>
              <w:rPr>
                <w:rFonts w:hint="eastAsia" w:ascii="宋体" w:hAnsi="宋体" w:eastAsia="宋体" w:cs="宋体"/>
                <w:color w:val="auto"/>
                <w:highlight w:val="none"/>
              </w:rPr>
            </w:pPr>
          </w:p>
        </w:tc>
        <w:tc>
          <w:tcPr>
            <w:tcW w:w="1134" w:type="dxa"/>
            <w:noWrap w:val="0"/>
            <w:vAlign w:val="center"/>
          </w:tcPr>
          <w:p w14:paraId="554AC82F">
            <w:pPr>
              <w:jc w:val="center"/>
              <w:rPr>
                <w:rFonts w:hint="eastAsia" w:ascii="宋体" w:hAnsi="宋体" w:eastAsia="宋体" w:cs="宋体"/>
                <w:color w:val="auto"/>
                <w:highlight w:val="none"/>
              </w:rPr>
            </w:pPr>
          </w:p>
        </w:tc>
        <w:tc>
          <w:tcPr>
            <w:tcW w:w="1302" w:type="dxa"/>
            <w:noWrap w:val="0"/>
            <w:vAlign w:val="center"/>
          </w:tcPr>
          <w:p w14:paraId="3B37C292">
            <w:pPr>
              <w:jc w:val="center"/>
              <w:rPr>
                <w:rFonts w:hint="eastAsia" w:ascii="宋体" w:hAnsi="宋体" w:eastAsia="宋体" w:cs="宋体"/>
                <w:color w:val="auto"/>
                <w:highlight w:val="none"/>
              </w:rPr>
            </w:pPr>
          </w:p>
        </w:tc>
        <w:tc>
          <w:tcPr>
            <w:tcW w:w="1276" w:type="dxa"/>
            <w:noWrap w:val="0"/>
            <w:vAlign w:val="center"/>
          </w:tcPr>
          <w:p w14:paraId="74019C66">
            <w:pPr>
              <w:jc w:val="center"/>
              <w:rPr>
                <w:rFonts w:hint="eastAsia" w:ascii="宋体" w:hAnsi="宋体" w:eastAsia="宋体" w:cs="宋体"/>
                <w:color w:val="auto"/>
                <w:highlight w:val="none"/>
              </w:rPr>
            </w:pPr>
          </w:p>
        </w:tc>
        <w:tc>
          <w:tcPr>
            <w:tcW w:w="1276" w:type="dxa"/>
            <w:noWrap w:val="0"/>
            <w:vAlign w:val="center"/>
          </w:tcPr>
          <w:p w14:paraId="609C0858">
            <w:pPr>
              <w:jc w:val="center"/>
              <w:rPr>
                <w:rFonts w:hint="eastAsia" w:ascii="宋体" w:hAnsi="宋体" w:eastAsia="宋体" w:cs="宋体"/>
                <w:color w:val="auto"/>
                <w:highlight w:val="none"/>
              </w:rPr>
            </w:pPr>
          </w:p>
        </w:tc>
      </w:tr>
      <w:tr w14:paraId="1DD8E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41" w:type="dxa"/>
            <w:noWrap w:val="0"/>
            <w:vAlign w:val="center"/>
          </w:tcPr>
          <w:p w14:paraId="0352380B">
            <w:pPr>
              <w:jc w:val="center"/>
              <w:rPr>
                <w:rFonts w:hint="eastAsia" w:ascii="宋体" w:hAnsi="宋体" w:eastAsia="宋体" w:cs="宋体"/>
                <w:color w:val="auto"/>
                <w:highlight w:val="none"/>
              </w:rPr>
            </w:pPr>
          </w:p>
        </w:tc>
        <w:tc>
          <w:tcPr>
            <w:tcW w:w="1109" w:type="dxa"/>
            <w:noWrap w:val="0"/>
            <w:vAlign w:val="center"/>
          </w:tcPr>
          <w:p w14:paraId="74BF63C4">
            <w:pPr>
              <w:ind w:firstLine="315"/>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c>
          <w:tcPr>
            <w:tcW w:w="992" w:type="dxa"/>
            <w:noWrap w:val="0"/>
            <w:vAlign w:val="center"/>
          </w:tcPr>
          <w:p w14:paraId="0D722A07">
            <w:pPr>
              <w:jc w:val="center"/>
              <w:rPr>
                <w:rFonts w:hint="eastAsia" w:ascii="宋体" w:hAnsi="宋体" w:eastAsia="宋体" w:cs="宋体"/>
                <w:color w:val="auto"/>
                <w:highlight w:val="none"/>
              </w:rPr>
            </w:pPr>
          </w:p>
        </w:tc>
        <w:tc>
          <w:tcPr>
            <w:tcW w:w="993" w:type="dxa"/>
            <w:noWrap w:val="0"/>
            <w:vAlign w:val="center"/>
          </w:tcPr>
          <w:p w14:paraId="22813650">
            <w:pPr>
              <w:jc w:val="center"/>
              <w:rPr>
                <w:rFonts w:hint="eastAsia" w:ascii="宋体" w:hAnsi="宋体" w:eastAsia="宋体" w:cs="宋体"/>
                <w:color w:val="auto"/>
                <w:highlight w:val="none"/>
              </w:rPr>
            </w:pPr>
          </w:p>
        </w:tc>
        <w:tc>
          <w:tcPr>
            <w:tcW w:w="850" w:type="dxa"/>
            <w:noWrap w:val="0"/>
            <w:vAlign w:val="center"/>
          </w:tcPr>
          <w:p w14:paraId="07AEAC1E">
            <w:pPr>
              <w:jc w:val="center"/>
              <w:rPr>
                <w:rFonts w:hint="eastAsia" w:ascii="宋体" w:hAnsi="宋体" w:eastAsia="宋体" w:cs="宋体"/>
                <w:color w:val="auto"/>
                <w:highlight w:val="none"/>
              </w:rPr>
            </w:pPr>
          </w:p>
        </w:tc>
        <w:tc>
          <w:tcPr>
            <w:tcW w:w="1134" w:type="dxa"/>
            <w:noWrap w:val="0"/>
            <w:vAlign w:val="center"/>
          </w:tcPr>
          <w:p w14:paraId="0AC85116">
            <w:pPr>
              <w:jc w:val="center"/>
              <w:rPr>
                <w:rFonts w:hint="eastAsia" w:ascii="宋体" w:hAnsi="宋体" w:eastAsia="宋体" w:cs="宋体"/>
                <w:color w:val="auto"/>
                <w:highlight w:val="none"/>
              </w:rPr>
            </w:pPr>
          </w:p>
        </w:tc>
        <w:tc>
          <w:tcPr>
            <w:tcW w:w="1302" w:type="dxa"/>
            <w:noWrap w:val="0"/>
            <w:vAlign w:val="center"/>
          </w:tcPr>
          <w:p w14:paraId="3C7E3FDD">
            <w:pPr>
              <w:jc w:val="center"/>
              <w:rPr>
                <w:rFonts w:hint="eastAsia" w:ascii="宋体" w:hAnsi="宋体" w:eastAsia="宋体" w:cs="宋体"/>
                <w:color w:val="auto"/>
                <w:highlight w:val="none"/>
              </w:rPr>
            </w:pPr>
          </w:p>
        </w:tc>
        <w:tc>
          <w:tcPr>
            <w:tcW w:w="1276" w:type="dxa"/>
            <w:noWrap w:val="0"/>
            <w:vAlign w:val="center"/>
          </w:tcPr>
          <w:p w14:paraId="51F21BBA">
            <w:pPr>
              <w:jc w:val="center"/>
              <w:rPr>
                <w:rFonts w:hint="eastAsia" w:ascii="宋体" w:hAnsi="宋体" w:eastAsia="宋体" w:cs="宋体"/>
                <w:color w:val="auto"/>
                <w:highlight w:val="none"/>
              </w:rPr>
            </w:pPr>
          </w:p>
        </w:tc>
        <w:tc>
          <w:tcPr>
            <w:tcW w:w="1276" w:type="dxa"/>
            <w:noWrap w:val="0"/>
            <w:vAlign w:val="center"/>
          </w:tcPr>
          <w:p w14:paraId="0301219E">
            <w:pPr>
              <w:jc w:val="center"/>
              <w:rPr>
                <w:rFonts w:hint="eastAsia" w:ascii="宋体" w:hAnsi="宋体" w:eastAsia="宋体" w:cs="宋体"/>
                <w:color w:val="auto"/>
                <w:highlight w:val="none"/>
              </w:rPr>
            </w:pPr>
          </w:p>
        </w:tc>
      </w:tr>
      <w:tr w14:paraId="0B748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41" w:type="dxa"/>
            <w:noWrap w:val="0"/>
            <w:vAlign w:val="center"/>
          </w:tcPr>
          <w:p w14:paraId="023B38B5">
            <w:pPr>
              <w:jc w:val="center"/>
              <w:rPr>
                <w:rFonts w:hint="eastAsia" w:ascii="宋体" w:hAnsi="宋体" w:eastAsia="宋体" w:cs="宋体"/>
                <w:color w:val="auto"/>
                <w:highlight w:val="none"/>
              </w:rPr>
            </w:pPr>
          </w:p>
        </w:tc>
        <w:tc>
          <w:tcPr>
            <w:tcW w:w="1109" w:type="dxa"/>
            <w:noWrap w:val="0"/>
            <w:vAlign w:val="center"/>
          </w:tcPr>
          <w:p w14:paraId="6FDBAC3B">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c>
          <w:tcPr>
            <w:tcW w:w="992" w:type="dxa"/>
            <w:noWrap w:val="0"/>
            <w:vAlign w:val="center"/>
          </w:tcPr>
          <w:p w14:paraId="5E98D510">
            <w:pPr>
              <w:jc w:val="center"/>
              <w:rPr>
                <w:rFonts w:hint="eastAsia" w:ascii="宋体" w:hAnsi="宋体" w:eastAsia="宋体" w:cs="宋体"/>
                <w:color w:val="auto"/>
                <w:highlight w:val="none"/>
              </w:rPr>
            </w:pPr>
          </w:p>
        </w:tc>
        <w:tc>
          <w:tcPr>
            <w:tcW w:w="993" w:type="dxa"/>
            <w:noWrap w:val="0"/>
            <w:vAlign w:val="center"/>
          </w:tcPr>
          <w:p w14:paraId="43A20DB2">
            <w:pPr>
              <w:jc w:val="center"/>
              <w:rPr>
                <w:rFonts w:hint="eastAsia" w:ascii="宋体" w:hAnsi="宋体" w:eastAsia="宋体" w:cs="宋体"/>
                <w:color w:val="auto"/>
                <w:highlight w:val="none"/>
              </w:rPr>
            </w:pPr>
          </w:p>
        </w:tc>
        <w:tc>
          <w:tcPr>
            <w:tcW w:w="850" w:type="dxa"/>
            <w:noWrap w:val="0"/>
            <w:vAlign w:val="center"/>
          </w:tcPr>
          <w:p w14:paraId="5041BC23">
            <w:pPr>
              <w:jc w:val="center"/>
              <w:rPr>
                <w:rFonts w:hint="eastAsia" w:ascii="宋体" w:hAnsi="宋体" w:eastAsia="宋体" w:cs="宋体"/>
                <w:color w:val="auto"/>
                <w:highlight w:val="none"/>
              </w:rPr>
            </w:pPr>
          </w:p>
        </w:tc>
        <w:tc>
          <w:tcPr>
            <w:tcW w:w="1134" w:type="dxa"/>
            <w:noWrap w:val="0"/>
            <w:vAlign w:val="center"/>
          </w:tcPr>
          <w:p w14:paraId="37FCB5EC">
            <w:pPr>
              <w:jc w:val="center"/>
              <w:rPr>
                <w:rFonts w:hint="eastAsia" w:ascii="宋体" w:hAnsi="宋体" w:eastAsia="宋体" w:cs="宋体"/>
                <w:color w:val="auto"/>
                <w:highlight w:val="none"/>
              </w:rPr>
            </w:pPr>
          </w:p>
        </w:tc>
        <w:tc>
          <w:tcPr>
            <w:tcW w:w="1302" w:type="dxa"/>
            <w:noWrap w:val="0"/>
            <w:vAlign w:val="center"/>
          </w:tcPr>
          <w:p w14:paraId="1C1C9B36">
            <w:pPr>
              <w:jc w:val="center"/>
              <w:rPr>
                <w:rFonts w:hint="eastAsia" w:ascii="宋体" w:hAnsi="宋体" w:eastAsia="宋体" w:cs="宋体"/>
                <w:color w:val="auto"/>
                <w:highlight w:val="none"/>
              </w:rPr>
            </w:pPr>
          </w:p>
        </w:tc>
        <w:tc>
          <w:tcPr>
            <w:tcW w:w="1276" w:type="dxa"/>
            <w:noWrap w:val="0"/>
            <w:vAlign w:val="center"/>
          </w:tcPr>
          <w:p w14:paraId="51CE6CD7">
            <w:pPr>
              <w:jc w:val="center"/>
              <w:rPr>
                <w:rFonts w:hint="eastAsia" w:ascii="宋体" w:hAnsi="宋体" w:eastAsia="宋体" w:cs="宋体"/>
                <w:color w:val="auto"/>
                <w:highlight w:val="none"/>
              </w:rPr>
            </w:pPr>
          </w:p>
        </w:tc>
        <w:tc>
          <w:tcPr>
            <w:tcW w:w="1276" w:type="dxa"/>
            <w:noWrap w:val="0"/>
            <w:vAlign w:val="center"/>
          </w:tcPr>
          <w:p w14:paraId="34CE64F2">
            <w:pPr>
              <w:jc w:val="center"/>
              <w:rPr>
                <w:rFonts w:hint="eastAsia" w:ascii="宋体" w:hAnsi="宋体" w:eastAsia="宋体" w:cs="宋体"/>
                <w:color w:val="auto"/>
                <w:highlight w:val="none"/>
              </w:rPr>
            </w:pPr>
          </w:p>
        </w:tc>
      </w:tr>
      <w:tr w14:paraId="7E506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741" w:type="dxa"/>
            <w:noWrap w:val="0"/>
            <w:vAlign w:val="center"/>
          </w:tcPr>
          <w:p w14:paraId="49445D5E">
            <w:pPr>
              <w:jc w:val="center"/>
              <w:rPr>
                <w:rFonts w:hint="eastAsia" w:ascii="宋体" w:hAnsi="宋体" w:eastAsia="宋体" w:cs="宋体"/>
                <w:color w:val="auto"/>
                <w:highlight w:val="none"/>
              </w:rPr>
            </w:pPr>
          </w:p>
        </w:tc>
        <w:tc>
          <w:tcPr>
            <w:tcW w:w="1109" w:type="dxa"/>
            <w:noWrap w:val="0"/>
            <w:vAlign w:val="center"/>
          </w:tcPr>
          <w:p w14:paraId="2BDD4D8C">
            <w:pPr>
              <w:jc w:val="center"/>
              <w:rPr>
                <w:rFonts w:hint="eastAsia" w:ascii="宋体" w:hAnsi="宋体" w:eastAsia="宋体" w:cs="宋体"/>
                <w:color w:val="auto"/>
                <w:highlight w:val="none"/>
              </w:rPr>
            </w:pPr>
          </w:p>
        </w:tc>
        <w:tc>
          <w:tcPr>
            <w:tcW w:w="992" w:type="dxa"/>
            <w:noWrap w:val="0"/>
            <w:vAlign w:val="center"/>
          </w:tcPr>
          <w:p w14:paraId="368249A4">
            <w:pPr>
              <w:jc w:val="center"/>
              <w:rPr>
                <w:rFonts w:hint="eastAsia" w:ascii="宋体" w:hAnsi="宋体" w:eastAsia="宋体" w:cs="宋体"/>
                <w:color w:val="auto"/>
                <w:highlight w:val="none"/>
              </w:rPr>
            </w:pPr>
          </w:p>
        </w:tc>
        <w:tc>
          <w:tcPr>
            <w:tcW w:w="993" w:type="dxa"/>
            <w:noWrap w:val="0"/>
            <w:vAlign w:val="center"/>
          </w:tcPr>
          <w:p w14:paraId="1AF9AB93">
            <w:pPr>
              <w:jc w:val="center"/>
              <w:rPr>
                <w:rFonts w:hint="eastAsia" w:ascii="宋体" w:hAnsi="宋体" w:eastAsia="宋体" w:cs="宋体"/>
                <w:color w:val="auto"/>
                <w:highlight w:val="none"/>
              </w:rPr>
            </w:pPr>
          </w:p>
        </w:tc>
        <w:tc>
          <w:tcPr>
            <w:tcW w:w="850" w:type="dxa"/>
            <w:noWrap w:val="0"/>
            <w:vAlign w:val="center"/>
          </w:tcPr>
          <w:p w14:paraId="2673C221">
            <w:pPr>
              <w:jc w:val="center"/>
              <w:rPr>
                <w:rFonts w:hint="eastAsia" w:ascii="宋体" w:hAnsi="宋体" w:eastAsia="宋体" w:cs="宋体"/>
                <w:color w:val="auto"/>
                <w:highlight w:val="none"/>
              </w:rPr>
            </w:pPr>
          </w:p>
        </w:tc>
        <w:tc>
          <w:tcPr>
            <w:tcW w:w="1134" w:type="dxa"/>
            <w:noWrap w:val="0"/>
            <w:vAlign w:val="center"/>
          </w:tcPr>
          <w:p w14:paraId="59C582D6">
            <w:pPr>
              <w:jc w:val="center"/>
              <w:rPr>
                <w:rFonts w:hint="eastAsia" w:ascii="宋体" w:hAnsi="宋体" w:eastAsia="宋体" w:cs="宋体"/>
                <w:color w:val="auto"/>
                <w:highlight w:val="none"/>
              </w:rPr>
            </w:pPr>
          </w:p>
        </w:tc>
        <w:tc>
          <w:tcPr>
            <w:tcW w:w="1302" w:type="dxa"/>
            <w:noWrap w:val="0"/>
            <w:vAlign w:val="center"/>
          </w:tcPr>
          <w:p w14:paraId="3399F318">
            <w:pPr>
              <w:jc w:val="center"/>
              <w:rPr>
                <w:rFonts w:hint="eastAsia" w:ascii="宋体" w:hAnsi="宋体" w:eastAsia="宋体" w:cs="宋体"/>
                <w:color w:val="auto"/>
                <w:highlight w:val="none"/>
              </w:rPr>
            </w:pPr>
          </w:p>
        </w:tc>
        <w:tc>
          <w:tcPr>
            <w:tcW w:w="1276" w:type="dxa"/>
            <w:noWrap w:val="0"/>
            <w:vAlign w:val="center"/>
          </w:tcPr>
          <w:p w14:paraId="3B6D4BFA">
            <w:pPr>
              <w:jc w:val="center"/>
              <w:rPr>
                <w:rFonts w:hint="eastAsia" w:ascii="宋体" w:hAnsi="宋体" w:eastAsia="宋体" w:cs="宋体"/>
                <w:color w:val="auto"/>
                <w:highlight w:val="none"/>
              </w:rPr>
            </w:pPr>
          </w:p>
        </w:tc>
        <w:tc>
          <w:tcPr>
            <w:tcW w:w="1276" w:type="dxa"/>
            <w:noWrap w:val="0"/>
            <w:vAlign w:val="center"/>
          </w:tcPr>
          <w:p w14:paraId="53D4ABB8">
            <w:pPr>
              <w:jc w:val="center"/>
              <w:rPr>
                <w:rFonts w:hint="eastAsia" w:ascii="宋体" w:hAnsi="宋体" w:eastAsia="宋体" w:cs="宋体"/>
                <w:color w:val="auto"/>
                <w:highlight w:val="none"/>
              </w:rPr>
            </w:pPr>
          </w:p>
        </w:tc>
      </w:tr>
      <w:tr w14:paraId="51A14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41" w:type="dxa"/>
            <w:noWrap w:val="0"/>
            <w:vAlign w:val="center"/>
          </w:tcPr>
          <w:p w14:paraId="007A5166">
            <w:pPr>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9" w:type="dxa"/>
            <w:noWrap w:val="0"/>
            <w:vAlign w:val="center"/>
          </w:tcPr>
          <w:p w14:paraId="521296B9">
            <w:pPr>
              <w:ind w:firstLine="420"/>
              <w:rPr>
                <w:rFonts w:hint="eastAsia" w:ascii="宋体" w:hAnsi="宋体" w:eastAsia="宋体" w:cs="宋体"/>
                <w:color w:val="auto"/>
                <w:highlight w:val="none"/>
              </w:rPr>
            </w:pPr>
          </w:p>
        </w:tc>
        <w:tc>
          <w:tcPr>
            <w:tcW w:w="992" w:type="dxa"/>
            <w:noWrap w:val="0"/>
            <w:vAlign w:val="center"/>
          </w:tcPr>
          <w:p w14:paraId="40CCAF5D">
            <w:pPr>
              <w:jc w:val="center"/>
              <w:rPr>
                <w:rFonts w:hint="eastAsia" w:ascii="宋体" w:hAnsi="宋体" w:eastAsia="宋体" w:cs="宋体"/>
                <w:color w:val="auto"/>
                <w:highlight w:val="none"/>
              </w:rPr>
            </w:pPr>
          </w:p>
        </w:tc>
        <w:tc>
          <w:tcPr>
            <w:tcW w:w="993" w:type="dxa"/>
            <w:noWrap w:val="0"/>
            <w:vAlign w:val="center"/>
          </w:tcPr>
          <w:p w14:paraId="5E5EB0B8">
            <w:pPr>
              <w:jc w:val="center"/>
              <w:rPr>
                <w:rFonts w:hint="eastAsia" w:ascii="宋体" w:hAnsi="宋体" w:eastAsia="宋体" w:cs="宋体"/>
                <w:color w:val="auto"/>
                <w:highlight w:val="none"/>
              </w:rPr>
            </w:pPr>
          </w:p>
        </w:tc>
        <w:tc>
          <w:tcPr>
            <w:tcW w:w="850" w:type="dxa"/>
            <w:noWrap w:val="0"/>
            <w:vAlign w:val="center"/>
          </w:tcPr>
          <w:p w14:paraId="7AAFE780">
            <w:pPr>
              <w:jc w:val="center"/>
              <w:rPr>
                <w:rFonts w:hint="eastAsia" w:ascii="宋体" w:hAnsi="宋体" w:eastAsia="宋体" w:cs="宋体"/>
                <w:color w:val="auto"/>
                <w:highlight w:val="none"/>
              </w:rPr>
            </w:pPr>
          </w:p>
        </w:tc>
        <w:tc>
          <w:tcPr>
            <w:tcW w:w="1134" w:type="dxa"/>
            <w:noWrap w:val="0"/>
            <w:vAlign w:val="center"/>
          </w:tcPr>
          <w:p w14:paraId="28EF81EC">
            <w:pPr>
              <w:jc w:val="center"/>
              <w:rPr>
                <w:rFonts w:hint="eastAsia" w:ascii="宋体" w:hAnsi="宋体" w:eastAsia="宋体" w:cs="宋体"/>
                <w:color w:val="auto"/>
                <w:highlight w:val="none"/>
              </w:rPr>
            </w:pPr>
          </w:p>
        </w:tc>
        <w:tc>
          <w:tcPr>
            <w:tcW w:w="1302" w:type="dxa"/>
            <w:noWrap w:val="0"/>
            <w:vAlign w:val="center"/>
          </w:tcPr>
          <w:p w14:paraId="3C88599C">
            <w:pPr>
              <w:jc w:val="center"/>
              <w:rPr>
                <w:rFonts w:hint="eastAsia" w:ascii="宋体" w:hAnsi="宋体" w:eastAsia="宋体" w:cs="宋体"/>
                <w:color w:val="auto"/>
                <w:highlight w:val="none"/>
              </w:rPr>
            </w:pPr>
          </w:p>
        </w:tc>
        <w:tc>
          <w:tcPr>
            <w:tcW w:w="1276" w:type="dxa"/>
            <w:noWrap w:val="0"/>
            <w:vAlign w:val="center"/>
          </w:tcPr>
          <w:p w14:paraId="1AF4C711">
            <w:pPr>
              <w:jc w:val="center"/>
              <w:rPr>
                <w:rFonts w:hint="eastAsia" w:ascii="宋体" w:hAnsi="宋体" w:eastAsia="宋体" w:cs="宋体"/>
                <w:color w:val="auto"/>
                <w:highlight w:val="none"/>
              </w:rPr>
            </w:pPr>
          </w:p>
        </w:tc>
        <w:tc>
          <w:tcPr>
            <w:tcW w:w="1276" w:type="dxa"/>
            <w:noWrap w:val="0"/>
            <w:vAlign w:val="center"/>
          </w:tcPr>
          <w:p w14:paraId="34811230">
            <w:pPr>
              <w:jc w:val="center"/>
              <w:rPr>
                <w:rFonts w:hint="eastAsia" w:ascii="宋体" w:hAnsi="宋体" w:eastAsia="宋体" w:cs="宋体"/>
                <w:color w:val="auto"/>
                <w:highlight w:val="none"/>
              </w:rPr>
            </w:pPr>
          </w:p>
        </w:tc>
      </w:tr>
    </w:tbl>
    <w:p w14:paraId="5A246912">
      <w:pPr>
        <w:spacing w:line="400" w:lineRule="exact"/>
        <w:rPr>
          <w:rFonts w:hint="eastAsia" w:ascii="宋体" w:hAnsi="宋体" w:eastAsia="宋体" w:cs="宋体"/>
          <w:b/>
          <w:bCs/>
          <w:color w:val="auto"/>
          <w:sz w:val="24"/>
          <w:highlight w:val="none"/>
        </w:rPr>
      </w:pPr>
    </w:p>
    <w:p w14:paraId="318309F1">
      <w:pP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法定代表人或法定代表人授权代表签字或盖章：</w:t>
      </w:r>
    </w:p>
    <w:p w14:paraId="116AC527">
      <w:pPr>
        <w:spacing w:line="400" w:lineRule="exact"/>
        <w:rPr>
          <w:rFonts w:hint="eastAsia" w:ascii="宋体" w:hAnsi="宋体" w:eastAsia="宋体" w:cs="宋体"/>
          <w:bCs/>
          <w:color w:val="auto"/>
          <w:sz w:val="32"/>
          <w:highlight w:val="none"/>
        </w:rPr>
      </w:pPr>
    </w:p>
    <w:p w14:paraId="795A23CD">
      <w:pPr>
        <w:spacing w:line="360" w:lineRule="auto"/>
        <w:ind w:left="1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备注：1.表格不够可自行延长。</w:t>
      </w:r>
    </w:p>
    <w:p w14:paraId="531D1394">
      <w:pPr>
        <w:spacing w:line="360" w:lineRule="auto"/>
        <w:ind w:left="12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.以上材料请附本表之后。</w:t>
      </w:r>
    </w:p>
    <w:p w14:paraId="123B8C7D">
      <w:pPr>
        <w:pStyle w:val="273"/>
        <w:spacing w:line="24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w:t>
      </w:r>
    </w:p>
    <w:p w14:paraId="2AB95BBA">
      <w:pPr>
        <w:spacing w:line="360" w:lineRule="auto"/>
        <w:jc w:val="left"/>
        <w:outlineLvl w:val="2"/>
        <w:rPr>
          <w:rFonts w:hint="eastAsia" w:ascii="宋体" w:hAnsi="宋体" w:eastAsia="宋体" w:cs="宋体"/>
          <w:b/>
          <w:bCs w:val="0"/>
          <w:color w:val="auto"/>
          <w:sz w:val="32"/>
          <w:szCs w:val="32"/>
          <w:highlight w:val="none"/>
          <w:lang w:val="en-US" w:eastAsia="zh-CN" w:bidi="ar-SA"/>
        </w:rPr>
      </w:pPr>
      <w:bookmarkStart w:id="14" w:name="_Toc129557536"/>
    </w:p>
    <w:p w14:paraId="747B9636">
      <w:pPr>
        <w:spacing w:line="360" w:lineRule="auto"/>
        <w:jc w:val="left"/>
        <w:outlineLvl w:val="2"/>
        <w:rPr>
          <w:rFonts w:hint="eastAsia" w:ascii="宋体" w:hAnsi="宋体" w:eastAsia="宋体" w:cs="宋体"/>
          <w:b/>
          <w:bCs w:val="0"/>
          <w:color w:val="auto"/>
          <w:sz w:val="32"/>
          <w:szCs w:val="32"/>
          <w:highlight w:val="none"/>
          <w:lang w:val="en-US" w:eastAsia="zh-CN" w:bidi="ar-SA"/>
        </w:rPr>
      </w:pPr>
    </w:p>
    <w:p w14:paraId="03CB1627">
      <w:pPr>
        <w:spacing w:line="360" w:lineRule="auto"/>
        <w:jc w:val="left"/>
        <w:outlineLvl w:val="2"/>
        <w:rPr>
          <w:rFonts w:hint="eastAsia" w:ascii="宋体" w:hAnsi="宋体" w:eastAsia="宋体" w:cs="宋体"/>
          <w:b/>
          <w:bCs w:val="0"/>
          <w:color w:val="auto"/>
          <w:sz w:val="32"/>
          <w:szCs w:val="32"/>
          <w:highlight w:val="none"/>
          <w:lang w:val="en-US" w:eastAsia="zh-CN" w:bidi="ar-SA"/>
        </w:rPr>
      </w:pPr>
    </w:p>
    <w:p w14:paraId="3EDDDBD0">
      <w:pPr>
        <w:spacing w:line="360" w:lineRule="auto"/>
        <w:jc w:val="left"/>
        <w:outlineLvl w:val="2"/>
        <w:rPr>
          <w:rFonts w:hint="eastAsia" w:ascii="宋体" w:hAnsi="宋体" w:eastAsia="宋体" w:cs="宋体"/>
          <w:b/>
          <w:bCs w:val="0"/>
          <w:color w:val="auto"/>
          <w:sz w:val="32"/>
          <w:szCs w:val="32"/>
          <w:highlight w:val="none"/>
          <w:lang w:val="en-US" w:eastAsia="zh-CN" w:bidi="ar-SA"/>
        </w:rPr>
      </w:pPr>
    </w:p>
    <w:p w14:paraId="4109E8F1">
      <w:pPr>
        <w:spacing w:line="360" w:lineRule="auto"/>
        <w:jc w:val="left"/>
        <w:outlineLvl w:val="2"/>
        <w:rPr>
          <w:rFonts w:hint="eastAsia" w:ascii="宋体" w:hAnsi="宋体" w:eastAsia="宋体" w:cs="宋体"/>
          <w:b/>
          <w:bCs w:val="0"/>
          <w:color w:val="auto"/>
          <w:sz w:val="32"/>
          <w:szCs w:val="32"/>
          <w:highlight w:val="none"/>
          <w:lang w:val="en-US" w:eastAsia="zh-CN" w:bidi="ar-SA"/>
        </w:rPr>
      </w:pPr>
    </w:p>
    <w:bookmarkEnd w:id="14"/>
    <w:p w14:paraId="48BAFD13">
      <w:pPr>
        <w:spacing w:line="360" w:lineRule="auto"/>
        <w:ind w:left="480"/>
        <w:rPr>
          <w:rFonts w:hint="eastAsia" w:ascii="宋体" w:hAnsi="宋体" w:cs="宋体"/>
          <w:b/>
          <w:bCs/>
          <w:color w:val="000000"/>
          <w:sz w:val="24"/>
          <w:szCs w:val="24"/>
          <w:highlight w:val="none"/>
        </w:rPr>
      </w:pPr>
    </w:p>
    <w:p w14:paraId="0D8952FA">
      <w:pPr>
        <w:spacing w:line="360" w:lineRule="auto"/>
        <w:ind w:left="480"/>
        <w:rPr>
          <w:rFonts w:hint="eastAsia" w:ascii="宋体" w:hAnsi="宋体" w:cs="宋体"/>
          <w:b/>
          <w:bCs/>
          <w:color w:val="000000"/>
          <w:sz w:val="24"/>
          <w:szCs w:val="24"/>
          <w:highlight w:val="none"/>
        </w:rPr>
      </w:pPr>
    </w:p>
    <w:p w14:paraId="6EA5EEFC">
      <w:pPr>
        <w:spacing w:line="360" w:lineRule="auto"/>
        <w:ind w:left="480"/>
        <w:rPr>
          <w:rFonts w:hint="eastAsia" w:ascii="宋体" w:hAnsi="宋体" w:eastAsia="宋体" w:cs="宋体"/>
          <w:b w:val="0"/>
          <w:bCs w:val="0"/>
          <w:color w:val="000000"/>
          <w:sz w:val="24"/>
          <w:highlight w:val="none"/>
        </w:rPr>
      </w:pPr>
      <w:r>
        <w:rPr>
          <w:rFonts w:hint="eastAsia" w:ascii="宋体" w:hAnsi="宋体" w:eastAsia="宋体" w:cs="宋体"/>
          <w:b/>
          <w:bCs w:val="0"/>
          <w:color w:val="auto"/>
          <w:sz w:val="32"/>
          <w:szCs w:val="32"/>
          <w:highlight w:val="none"/>
          <w:lang w:eastAsia="zh-CN"/>
        </w:rPr>
        <w:t>（</w:t>
      </w:r>
      <w:r>
        <w:rPr>
          <w:rFonts w:hint="eastAsia" w:ascii="宋体" w:hAnsi="宋体" w:eastAsia="宋体" w:cs="宋体"/>
          <w:b/>
          <w:bCs w:val="0"/>
          <w:color w:val="auto"/>
          <w:sz w:val="32"/>
          <w:szCs w:val="32"/>
          <w:highlight w:val="none"/>
          <w:lang w:val="en-US" w:eastAsia="zh-CN"/>
        </w:rPr>
        <w:t>十一</w:t>
      </w:r>
      <w:r>
        <w:rPr>
          <w:rFonts w:hint="eastAsia" w:ascii="宋体" w:hAnsi="宋体" w:eastAsia="宋体" w:cs="宋体"/>
          <w:b/>
          <w:bCs w:val="0"/>
          <w:color w:val="auto"/>
          <w:sz w:val="32"/>
          <w:szCs w:val="32"/>
          <w:highlight w:val="none"/>
          <w:lang w:eastAsia="zh-CN"/>
        </w:rPr>
        <w:t>）</w:t>
      </w:r>
      <w:r>
        <w:rPr>
          <w:rFonts w:hint="eastAsia" w:ascii="宋体" w:hAnsi="宋体" w:eastAsia="宋体" w:cs="宋体"/>
          <w:b/>
          <w:bCs/>
          <w:color w:val="000000"/>
          <w:sz w:val="32"/>
          <w:szCs w:val="32"/>
          <w:highlight w:val="none"/>
        </w:rPr>
        <w:t>其他及补充性文件</w:t>
      </w:r>
      <w:r>
        <w:rPr>
          <w:rFonts w:hint="eastAsia" w:ascii="宋体" w:hAnsi="宋体" w:eastAsia="宋体" w:cs="宋体"/>
          <w:b/>
          <w:bCs/>
          <w:color w:val="000000"/>
          <w:sz w:val="32"/>
          <w:szCs w:val="32"/>
          <w:highlight w:val="none"/>
        </w:rPr>
        <w:br w:type="textWrapping"/>
      </w:r>
      <w:r>
        <w:rPr>
          <w:rFonts w:hint="eastAsia" w:ascii="宋体" w:hAnsi="宋体" w:eastAsia="宋体" w:cs="宋体"/>
          <w:b w:val="0"/>
          <w:bCs w:val="0"/>
          <w:color w:val="000000"/>
          <w:sz w:val="24"/>
          <w:szCs w:val="24"/>
          <w:highlight w:val="none"/>
        </w:rPr>
        <w:t>(投标人认为有必要提供的声明和文件及评分标准中对应的所需证明材料，如有自拟并自行添加至投标文件中)</w:t>
      </w:r>
    </w:p>
    <w:p w14:paraId="5FFF411E">
      <w:pPr>
        <w:keepNext w:val="0"/>
        <w:keepLines w:val="0"/>
        <w:pageBreakBefore/>
        <w:widowControl w:val="0"/>
        <w:outlineLvl w:val="2"/>
        <w:rPr>
          <w:rFonts w:hint="eastAsia" w:ascii="宋体" w:hAnsi="宋体" w:eastAsia="宋体" w:cs="宋体"/>
          <w:bCs/>
          <w:color w:val="auto"/>
          <w:sz w:val="24"/>
          <w:szCs w:val="24"/>
          <w:highlight w:val="none"/>
        </w:rPr>
      </w:pPr>
      <w:r>
        <w:rPr>
          <w:rFonts w:hint="eastAsia" w:ascii="宋体" w:hAnsi="宋体" w:eastAsia="宋体" w:cs="宋体"/>
          <w:b/>
          <w:bCs w:val="0"/>
          <w:color w:val="auto"/>
          <w:sz w:val="32"/>
          <w:szCs w:val="32"/>
          <w:highlight w:val="none"/>
        </w:rPr>
        <w:t>（十</w:t>
      </w:r>
      <w:r>
        <w:rPr>
          <w:rFonts w:hint="eastAsia" w:ascii="宋体" w:hAnsi="宋体" w:eastAsia="宋体" w:cs="宋体"/>
          <w:b/>
          <w:bCs w:val="0"/>
          <w:color w:val="auto"/>
          <w:sz w:val="32"/>
          <w:szCs w:val="32"/>
          <w:highlight w:val="none"/>
          <w:lang w:val="en-US" w:eastAsia="zh-CN"/>
        </w:rPr>
        <w:t>二</w:t>
      </w:r>
      <w:r>
        <w:rPr>
          <w:rFonts w:hint="eastAsia" w:ascii="宋体" w:hAnsi="宋体" w:eastAsia="宋体" w:cs="宋体"/>
          <w:b/>
          <w:bCs w:val="0"/>
          <w:color w:val="auto"/>
          <w:sz w:val="32"/>
          <w:szCs w:val="32"/>
          <w:highlight w:val="none"/>
        </w:rPr>
        <w:t>）技术文件</w:t>
      </w:r>
      <w:r>
        <w:rPr>
          <w:rFonts w:hint="eastAsia" w:ascii="宋体" w:hAnsi="宋体" w:eastAsia="宋体" w:cs="宋体"/>
          <w:b/>
          <w:bCs w:val="0"/>
          <w:color w:val="auto"/>
          <w:sz w:val="32"/>
          <w:szCs w:val="32"/>
          <w:highlight w:val="none"/>
          <w:lang w:eastAsia="zh-CN"/>
        </w:rPr>
        <w:t>（</w:t>
      </w:r>
      <w:r>
        <w:rPr>
          <w:rFonts w:hint="eastAsia" w:ascii="宋体" w:hAnsi="宋体" w:eastAsia="宋体" w:cs="宋体"/>
          <w:b/>
          <w:bCs w:val="0"/>
          <w:color w:val="auto"/>
          <w:sz w:val="32"/>
          <w:szCs w:val="32"/>
          <w:highlight w:val="none"/>
        </w:rPr>
        <w:t>格式</w:t>
      </w:r>
      <w:r>
        <w:rPr>
          <w:rFonts w:hint="eastAsia" w:ascii="宋体" w:hAnsi="宋体" w:eastAsia="宋体" w:cs="宋体"/>
          <w:b/>
          <w:bCs w:val="0"/>
          <w:color w:val="auto"/>
          <w:sz w:val="32"/>
          <w:szCs w:val="32"/>
          <w:highlight w:val="none"/>
          <w:lang w:eastAsia="zh-CN"/>
        </w:rPr>
        <w:t>）</w:t>
      </w:r>
      <w:r>
        <w:rPr>
          <w:rFonts w:hint="eastAsia" w:ascii="宋体" w:hAnsi="宋体" w:eastAsia="宋体" w:cs="宋体"/>
          <w:b/>
          <w:bCs w:val="0"/>
          <w:color w:val="auto"/>
          <w:sz w:val="32"/>
          <w:szCs w:val="32"/>
          <w:highlight w:val="none"/>
        </w:rPr>
        <w:t>：</w:t>
      </w:r>
    </w:p>
    <w:p w14:paraId="734A29C4">
      <w:pPr>
        <w:pStyle w:val="283"/>
        <w:rPr>
          <w:rFonts w:hint="eastAsia" w:ascii="宋体" w:hAnsi="宋体" w:eastAsia="宋体" w:cs="宋体"/>
          <w:bCs/>
          <w:color w:val="auto"/>
          <w:highlight w:val="none"/>
        </w:rPr>
      </w:pPr>
    </w:p>
    <w:p w14:paraId="68615677">
      <w:pPr>
        <w:pStyle w:val="283"/>
        <w:rPr>
          <w:rFonts w:hint="eastAsia" w:ascii="宋体" w:hAnsi="宋体" w:eastAsia="宋体" w:cs="宋体"/>
          <w:bCs/>
          <w:color w:val="auto"/>
          <w:highlight w:val="none"/>
        </w:rPr>
      </w:pPr>
    </w:p>
    <w:p w14:paraId="42A370AA">
      <w:pPr>
        <w:pStyle w:val="283"/>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技术方案</w:t>
      </w:r>
    </w:p>
    <w:p w14:paraId="1986754C">
      <w:pPr>
        <w:pStyle w:val="283"/>
        <w:ind w:firstLine="480"/>
        <w:rPr>
          <w:rFonts w:hint="eastAsia" w:ascii="宋体" w:hAnsi="宋体" w:eastAsia="宋体" w:cs="宋体"/>
          <w:bCs/>
          <w:color w:val="auto"/>
          <w:sz w:val="24"/>
          <w:szCs w:val="24"/>
          <w:highlight w:val="none"/>
        </w:rPr>
      </w:pPr>
    </w:p>
    <w:p w14:paraId="3C6ACC55">
      <w:pPr>
        <w:pStyle w:val="283"/>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投标人应按评分点编制完整的技术方案，以便评审。</w:t>
      </w:r>
    </w:p>
    <w:p w14:paraId="484075E5">
      <w:pPr>
        <w:pStyle w:val="283"/>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p>
    <w:p w14:paraId="03AB1F3A">
      <w:pPr>
        <w:ind w:firstLine="120"/>
        <w:outlineLvl w:val="0"/>
        <w:rPr>
          <w:rFonts w:hint="eastAsia"/>
          <w:b/>
          <w:bCs/>
          <w:sz w:val="24"/>
          <w:szCs w:val="24"/>
          <w:highlight w:val="none"/>
        </w:rPr>
      </w:pPr>
    </w:p>
    <w:p w14:paraId="6CBB08DF">
      <w:pPr>
        <w:spacing w:line="580" w:lineRule="exact"/>
        <w:ind w:firstLine="480"/>
        <w:rPr>
          <w:rFonts w:ascii="宋体" w:hAnsi="宋体"/>
          <w:bCs/>
          <w:color w:val="000000"/>
          <w:sz w:val="24"/>
          <w:szCs w:val="24"/>
          <w:highlight w:val="none"/>
        </w:rPr>
      </w:pPr>
    </w:p>
    <w:sectPr>
      <w:footerReference r:id="rId8" w:type="first"/>
      <w:headerReference r:id="rId6" w:type="default"/>
      <w:footerReference r:id="rId7" w:type="default"/>
      <w:pgSz w:w="11906" w:h="16838"/>
      <w:pgMar w:top="1134" w:right="1134" w:bottom="1134" w:left="1134" w:header="624" w:footer="907"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ヒラギノ角ゴ Pro W3">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panose1 w:val="020B0604020202020204"/>
    <w:charset w:val="86"/>
    <w:family w:val="swiss"/>
    <w:pitch w:val="default"/>
    <w:sig w:usb0="FFFFFFFF" w:usb1="E9FFFFFF" w:usb2="0000003F" w:usb3="00000000" w:csb0="603F01FF" w:csb1="FFFF0000"/>
  </w:font>
  <w:font w:name="华文新魏">
    <w:panose1 w:val="02010800040101010101"/>
    <w:charset w:val="86"/>
    <w:family w:val="auto"/>
    <w:pitch w:val="default"/>
    <w:sig w:usb0="00000001" w:usb1="080F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064B62">
    <w:pPr>
      <w:pStyle w:val="243"/>
      <w:framePr w:wrap="around" w:vAnchor="text" w:hAnchor="margin" w:xAlign="center" w:y="1"/>
      <w:rPr>
        <w:rStyle w:val="260"/>
      </w:rPr>
    </w:pPr>
    <w:r>
      <w:rPr>
        <w:rStyle w:val="260"/>
      </w:rPr>
      <w:fldChar w:fldCharType="begin"/>
    </w:r>
    <w:r>
      <w:rPr>
        <w:rStyle w:val="260"/>
      </w:rPr>
      <w:instrText xml:space="preserve">PAGE  </w:instrText>
    </w:r>
    <w:r>
      <w:rPr>
        <w:rStyle w:val="260"/>
      </w:rPr>
      <w:fldChar w:fldCharType="separate"/>
    </w:r>
    <w:r>
      <w:rPr>
        <w:rStyle w:val="260"/>
      </w:rPr>
      <w:t>1</w:t>
    </w:r>
    <w:r>
      <w:rPr>
        <w:rStyle w:val="260"/>
      </w:rPr>
      <w:fldChar w:fldCharType="end"/>
    </w:r>
  </w:p>
  <w:p w14:paraId="3F773C6C">
    <w:pPr>
      <w:pStyle w:val="24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BBD74A">
    <w:pPr>
      <w:pStyle w:val="2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100E3">
    <w:pPr>
      <w:pStyle w:val="2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a:effectLst/>
                    </wps:spPr>
                    <wps:txbx>
                      <w:txbxContent>
                        <w:p w14:paraId="36497B00">
                          <w:pPr>
                            <w:pStyle w:val="25"/>
                          </w:pPr>
                          <w:r>
                            <w:fldChar w:fldCharType="begin"/>
                          </w:r>
                          <w:r>
                            <w:instrText xml:space="preserve"> PAGE  \* MERGEFORMAT </w:instrText>
                          </w:r>
                          <w:r>
                            <w:fldChar w:fldCharType="separate"/>
                          </w:r>
                          <w:r>
                            <w:t>0</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zql5uc8AAAAFAQAADwAAAAAAAAABACAAAAAi&#10;AAAAZHJzL2Rvd25yZXYueG1sUEsBAhQAFAAAAAgAh07iQEKMGDHaAQAAvwMAAA4AAAAAAAAAAQAg&#10;AAAAHgEAAGRycy9lMm9Eb2MueG1sUEsFBgAAAAAGAAYAWQEAAGoFAAAAAA==&#10;">
              <v:fill on="f" focussize="0,0"/>
              <v:stroke on="f" joinstyle="miter"/>
              <v:imagedata o:title=""/>
              <o:lock v:ext="edit" aspectratio="f"/>
              <v:textbox inset="0mm,0mm,0mm,0mm" style="mso-fit-shape-to-text:t;">
                <w:txbxContent>
                  <w:p w14:paraId="36497B00">
                    <w:pPr>
                      <w:pStyle w:val="25"/>
                    </w:pPr>
                    <w:r>
                      <w:fldChar w:fldCharType="begin"/>
                    </w:r>
                    <w:r>
                      <w:instrText xml:space="preserve"> PAGE  \* MERGEFORMAT </w:instrText>
                    </w:r>
                    <w:r>
                      <w:fldChar w:fldCharType="separate"/>
                    </w:r>
                    <w:r>
                      <w:t>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D10569">
    <w:pPr>
      <w:pStyle w:val="245"/>
      <w:jc w:val="both"/>
      <w:rPr>
        <w:rFonts w:hint="eastAsia" w:ascii="等线" w:hAnsi="等线" w:eastAsia="等线"/>
        <w:lang w:eastAsia="zh-CN"/>
      </w:rPr>
    </w:pPr>
    <w:r>
      <w:rPr>
        <w:rFonts w:hint="eastAsia" w:ascii="等线" w:hAnsi="等线" w:eastAsia="等线"/>
        <w:sz w:val="21"/>
        <w:lang w:eastAsia="zh-CN"/>
      </w:rPr>
      <w:t>JSZC-320214-JHCG-G2025-0008</w:t>
    </w:r>
    <w:r>
      <w:rPr>
        <w:rFonts w:hint="eastAsia" w:ascii="等线" w:hAnsi="等线" w:eastAsia="等线"/>
        <w:sz w:val="21"/>
        <w:lang w:val="en-US" w:eastAsia="zh-CN"/>
      </w:rPr>
      <w:t xml:space="preserve">                              </w:t>
    </w:r>
    <w:r>
      <w:rPr>
        <w:rFonts w:hint="eastAsia" w:ascii="等线" w:hAnsi="等线" w:eastAsia="等线"/>
        <w:bCs/>
        <w:sz w:val="21"/>
        <w:szCs w:val="21"/>
        <w:lang w:eastAsia="zh-CN"/>
      </w:rPr>
      <w:t>江溪街道治超站食堂食材配送服务（第二次）</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A3586">
    <w:pPr>
      <w:pStyle w:val="2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8E6093">
    <w:pPr>
      <w:pStyle w:val="245"/>
      <w:spacing w:line="240" w:lineRule="auto"/>
      <w:ind w:left="5520" w:hanging="5520"/>
      <w:jc w:val="both"/>
      <w:rPr>
        <w:rFonts w:hint="eastAsia" w:eastAsia="楷体_GB2312"/>
        <w:sz w:val="20"/>
      </w:rPr>
    </w:pPr>
    <w:r>
      <w:rPr>
        <w:rFonts w:hint="eastAsia" w:eastAsia="楷体_GB2312"/>
        <w:sz w:val="22"/>
      </w:rPr>
      <w:t xml:space="preserve">    </w:t>
    </w:r>
    <w:r>
      <w:rPr>
        <w:rFonts w:hint="eastAsia" w:eastAsia="楷体_GB2312"/>
        <w:sz w:val="22"/>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EnclosedCircle"/>
      <w:lvlText w:val="%1"/>
      <w:lvlJc w:val="left"/>
      <w:pPr>
        <w:tabs>
          <w:tab w:val="left" w:pos="881"/>
        </w:tabs>
        <w:ind w:left="881" w:hanging="360"/>
      </w:pPr>
      <w:rPr>
        <w:rFonts w:ascii="宋体" w:hAnsi="宋体" w:eastAsia="宋体" w:cs="Times New Roman"/>
      </w:rPr>
    </w:lvl>
    <w:lvl w:ilvl="1" w:tentative="0">
      <w:start w:val="1"/>
      <w:numFmt w:val="lowerLetter"/>
      <w:lvlText w:val="%2)"/>
      <w:lvlJc w:val="left"/>
      <w:pPr>
        <w:tabs>
          <w:tab w:val="left" w:pos="1361"/>
        </w:tabs>
        <w:ind w:left="1361" w:hanging="420"/>
      </w:pPr>
      <w:rPr>
        <w:rFonts w:cs="Times New Roman"/>
      </w:rPr>
    </w:lvl>
    <w:lvl w:ilvl="2" w:tentative="0">
      <w:start w:val="1"/>
      <w:numFmt w:val="lowerRoman"/>
      <w:lvlText w:val="%3."/>
      <w:lvlJc w:val="right"/>
      <w:pPr>
        <w:tabs>
          <w:tab w:val="left" w:pos="1781"/>
        </w:tabs>
        <w:ind w:left="1781" w:hanging="420"/>
      </w:pPr>
      <w:rPr>
        <w:rFonts w:cs="Times New Roman"/>
      </w:rPr>
    </w:lvl>
    <w:lvl w:ilvl="3" w:tentative="0">
      <w:start w:val="1"/>
      <w:numFmt w:val="decimal"/>
      <w:lvlText w:val="%4."/>
      <w:lvlJc w:val="left"/>
      <w:pPr>
        <w:tabs>
          <w:tab w:val="left" w:pos="2201"/>
        </w:tabs>
        <w:ind w:left="2201" w:hanging="420"/>
      </w:pPr>
      <w:rPr>
        <w:rFonts w:cs="Times New Roman"/>
      </w:rPr>
    </w:lvl>
    <w:lvl w:ilvl="4" w:tentative="0">
      <w:start w:val="1"/>
      <w:numFmt w:val="lowerLetter"/>
      <w:lvlText w:val="%5)"/>
      <w:lvlJc w:val="left"/>
      <w:pPr>
        <w:tabs>
          <w:tab w:val="left" w:pos="2621"/>
        </w:tabs>
        <w:ind w:left="2621" w:hanging="420"/>
      </w:pPr>
      <w:rPr>
        <w:rFonts w:cs="Times New Roman"/>
      </w:rPr>
    </w:lvl>
    <w:lvl w:ilvl="5" w:tentative="0">
      <w:start w:val="1"/>
      <w:numFmt w:val="lowerRoman"/>
      <w:lvlText w:val="%6."/>
      <w:lvlJc w:val="right"/>
      <w:pPr>
        <w:tabs>
          <w:tab w:val="left" w:pos="3041"/>
        </w:tabs>
        <w:ind w:left="3041" w:hanging="420"/>
      </w:pPr>
      <w:rPr>
        <w:rFonts w:cs="Times New Roman"/>
      </w:rPr>
    </w:lvl>
    <w:lvl w:ilvl="6" w:tentative="0">
      <w:start w:val="1"/>
      <w:numFmt w:val="decimal"/>
      <w:lvlText w:val="%7."/>
      <w:lvlJc w:val="left"/>
      <w:pPr>
        <w:tabs>
          <w:tab w:val="left" w:pos="3461"/>
        </w:tabs>
        <w:ind w:left="3461" w:hanging="420"/>
      </w:pPr>
      <w:rPr>
        <w:rFonts w:cs="Times New Roman"/>
      </w:rPr>
    </w:lvl>
    <w:lvl w:ilvl="7" w:tentative="0">
      <w:start w:val="1"/>
      <w:numFmt w:val="lowerLetter"/>
      <w:lvlText w:val="%8)"/>
      <w:lvlJc w:val="left"/>
      <w:pPr>
        <w:tabs>
          <w:tab w:val="left" w:pos="3881"/>
        </w:tabs>
        <w:ind w:left="3881" w:hanging="420"/>
      </w:pPr>
      <w:rPr>
        <w:rFonts w:cs="Times New Roman"/>
      </w:rPr>
    </w:lvl>
    <w:lvl w:ilvl="8" w:tentative="0">
      <w:start w:val="1"/>
      <w:numFmt w:val="lowerRoman"/>
      <w:lvlText w:val="%9."/>
      <w:lvlJc w:val="right"/>
      <w:pPr>
        <w:tabs>
          <w:tab w:val="left" w:pos="4301"/>
        </w:tabs>
        <w:ind w:left="4301" w:hanging="420"/>
      </w:pPr>
      <w:rPr>
        <w:rFonts w:cs="Times New Roman"/>
      </w:rPr>
    </w:lvl>
  </w:abstractNum>
  <w:abstractNum w:abstractNumId="1">
    <w:nsid w:val="BF205925"/>
    <w:multiLevelType w:val="multilevel"/>
    <w:tmpl w:val="BF205925"/>
    <w:lvl w:ilvl="0" w:tentative="0">
      <w:start w:val="1"/>
      <w:numFmt w:val="decimal"/>
      <w:lvlText w:val="（%1）"/>
      <w:lvlJc w:val="left"/>
      <w:pPr>
        <w:tabs>
          <w:tab w:val="left" w:pos="1104"/>
        </w:tabs>
        <w:ind w:left="1104" w:hanging="696"/>
      </w:pPr>
      <w:rPr>
        <w:rFonts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upperLetter"/>
      <w:pStyle w:val="215"/>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3">
    <w:nsid w:val="0053208E"/>
    <w:multiLevelType w:val="multilevel"/>
    <w:tmpl w:val="0053208E"/>
    <w:lvl w:ilvl="0" w:tentative="0">
      <w:start w:val="1"/>
      <w:numFmt w:val="bullet"/>
      <w:pStyle w:val="17"/>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3165"/>
        </w:tabs>
        <w:ind w:left="3165" w:hanging="420"/>
      </w:pPr>
      <w:rPr>
        <w:rFonts w:hint="default" w:ascii="Wingdings" w:hAnsi="Wingdings"/>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4">
    <w:nsid w:val="25B654F3"/>
    <w:multiLevelType w:val="multilevel"/>
    <w:tmpl w:val="25B654F3"/>
    <w:lvl w:ilvl="0" w:tentative="0">
      <w:start w:val="1"/>
      <w:numFmt w:val="decimal"/>
      <w:lvlText w:val="%1．"/>
      <w:lvlJc w:val="left"/>
      <w:pPr>
        <w:tabs>
          <w:tab w:val="left" w:pos="570"/>
        </w:tabs>
        <w:ind w:left="570" w:hanging="42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9ADCABA"/>
    <w:multiLevelType w:val="multilevel"/>
    <w:tmpl w:val="59ADCABA"/>
    <w:lvl w:ilvl="0" w:tentative="0">
      <w:start w:val="1"/>
      <w:numFmt w:val="decimal"/>
      <w:lvlText w:val="%1．"/>
      <w:lvlJc w:val="left"/>
      <w:pPr>
        <w:tabs>
          <w:tab w:val="left" w:pos="898"/>
        </w:tabs>
        <w:ind w:left="898" w:hanging="720"/>
      </w:pPr>
      <w:rPr>
        <w:rFonts w:hint="eastAsia" w:cs="Times New Roman"/>
        <w:color w:val="000000"/>
      </w:rPr>
    </w:lvl>
    <w:lvl w:ilvl="1" w:tentative="0">
      <w:start w:val="3"/>
      <w:numFmt w:val="decimal"/>
      <w:lvlText w:val="%2."/>
      <w:lvlJc w:val="left"/>
      <w:pPr>
        <w:tabs>
          <w:tab w:val="left" w:pos="958"/>
        </w:tabs>
        <w:ind w:left="958" w:hanging="360"/>
      </w:pPr>
      <w:rPr>
        <w:rFonts w:cs="Times New Roman"/>
      </w:rPr>
    </w:lvl>
    <w:lvl w:ilvl="2" w:tentative="0">
      <w:start w:val="1"/>
      <w:numFmt w:val="decimalEnclosedCircle"/>
      <w:lvlText w:val="%3"/>
      <w:lvlJc w:val="left"/>
      <w:pPr>
        <w:tabs>
          <w:tab w:val="left" w:pos="1378"/>
        </w:tabs>
        <w:ind w:left="1378" w:hanging="360"/>
      </w:pPr>
      <w:rPr>
        <w:rFonts w:cs="Times New Roman"/>
        <w:color w:val="000000"/>
      </w:rPr>
    </w:lvl>
    <w:lvl w:ilvl="3" w:tentative="0">
      <w:start w:val="1"/>
      <w:numFmt w:val="decimal"/>
      <w:lvlText w:val="%4."/>
      <w:lvlJc w:val="left"/>
      <w:pPr>
        <w:tabs>
          <w:tab w:val="left" w:pos="1858"/>
        </w:tabs>
        <w:ind w:left="1858" w:hanging="420"/>
      </w:pPr>
      <w:rPr>
        <w:rFonts w:cs="Times New Roman"/>
      </w:rPr>
    </w:lvl>
    <w:lvl w:ilvl="4" w:tentative="0">
      <w:start w:val="1"/>
      <w:numFmt w:val="lowerLetter"/>
      <w:lvlText w:val="%5)"/>
      <w:lvlJc w:val="left"/>
      <w:pPr>
        <w:tabs>
          <w:tab w:val="left" w:pos="2278"/>
        </w:tabs>
        <w:ind w:left="2278" w:hanging="420"/>
      </w:pPr>
      <w:rPr>
        <w:rFonts w:cs="Times New Roman"/>
      </w:rPr>
    </w:lvl>
    <w:lvl w:ilvl="5" w:tentative="0">
      <w:start w:val="1"/>
      <w:numFmt w:val="lowerRoman"/>
      <w:lvlText w:val="%6."/>
      <w:lvlJc w:val="right"/>
      <w:pPr>
        <w:tabs>
          <w:tab w:val="left" w:pos="2698"/>
        </w:tabs>
        <w:ind w:left="2698" w:hanging="420"/>
      </w:pPr>
      <w:rPr>
        <w:rFonts w:cs="Times New Roman"/>
      </w:rPr>
    </w:lvl>
    <w:lvl w:ilvl="6" w:tentative="0">
      <w:start w:val="1"/>
      <w:numFmt w:val="decimal"/>
      <w:lvlText w:val="%7."/>
      <w:lvlJc w:val="left"/>
      <w:pPr>
        <w:tabs>
          <w:tab w:val="left" w:pos="3118"/>
        </w:tabs>
        <w:ind w:left="3118" w:hanging="420"/>
      </w:pPr>
      <w:rPr>
        <w:rFonts w:cs="Times New Roman"/>
      </w:rPr>
    </w:lvl>
    <w:lvl w:ilvl="7" w:tentative="0">
      <w:start w:val="1"/>
      <w:numFmt w:val="lowerLetter"/>
      <w:lvlText w:val="%8)"/>
      <w:lvlJc w:val="left"/>
      <w:pPr>
        <w:tabs>
          <w:tab w:val="left" w:pos="3538"/>
        </w:tabs>
        <w:ind w:left="3538" w:hanging="420"/>
      </w:pPr>
      <w:rPr>
        <w:rFonts w:cs="Times New Roman"/>
      </w:rPr>
    </w:lvl>
    <w:lvl w:ilvl="8" w:tentative="0">
      <w:start w:val="1"/>
      <w:numFmt w:val="lowerRoman"/>
      <w:lvlText w:val="%9."/>
      <w:lvlJc w:val="right"/>
      <w:pPr>
        <w:tabs>
          <w:tab w:val="left" w:pos="3958"/>
        </w:tabs>
        <w:ind w:left="3958" w:hanging="420"/>
      </w:pPr>
      <w:rPr>
        <w:rFonts w:cs="Times New Roman"/>
      </w:rPr>
    </w:lvl>
  </w:abstractNum>
  <w:abstractNum w:abstractNumId="6">
    <w:nsid w:val="72183CF9"/>
    <w:multiLevelType w:val="multilevel"/>
    <w:tmpl w:val="72183CF9"/>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3"/>
  </w:num>
  <w:num w:numId="2">
    <w:abstractNumId w:val="2"/>
  </w:num>
  <w:num w:numId="3">
    <w:abstractNumId w:val="5"/>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2"/>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U0MGI2MmVkZmE4NDQ2MmFiODBhM2QwZWQ2ZWZlZDQifQ=="/>
  </w:docVars>
  <w:rsids>
    <w:rsidRoot w:val="00414014"/>
    <w:rsid w:val="00135135"/>
    <w:rsid w:val="001708F7"/>
    <w:rsid w:val="001F78C7"/>
    <w:rsid w:val="002E6413"/>
    <w:rsid w:val="003E2BEA"/>
    <w:rsid w:val="00414014"/>
    <w:rsid w:val="00540308"/>
    <w:rsid w:val="00726300"/>
    <w:rsid w:val="007958E0"/>
    <w:rsid w:val="00983DCC"/>
    <w:rsid w:val="00A34FD6"/>
    <w:rsid w:val="00FE4037"/>
    <w:rsid w:val="01101675"/>
    <w:rsid w:val="012013A7"/>
    <w:rsid w:val="014337F8"/>
    <w:rsid w:val="017240DE"/>
    <w:rsid w:val="01BB17A1"/>
    <w:rsid w:val="01C070EF"/>
    <w:rsid w:val="01C27747"/>
    <w:rsid w:val="01CA2191"/>
    <w:rsid w:val="01D134FA"/>
    <w:rsid w:val="01EA636A"/>
    <w:rsid w:val="01EC2B7C"/>
    <w:rsid w:val="01FA65AD"/>
    <w:rsid w:val="020A57EE"/>
    <w:rsid w:val="0216715F"/>
    <w:rsid w:val="02B471C5"/>
    <w:rsid w:val="02C170CB"/>
    <w:rsid w:val="02CE17E8"/>
    <w:rsid w:val="031A722A"/>
    <w:rsid w:val="03261624"/>
    <w:rsid w:val="03D8291E"/>
    <w:rsid w:val="03F62DA4"/>
    <w:rsid w:val="042913CB"/>
    <w:rsid w:val="04762EB4"/>
    <w:rsid w:val="04763EE5"/>
    <w:rsid w:val="04AE7B23"/>
    <w:rsid w:val="04F27A0F"/>
    <w:rsid w:val="05461B09"/>
    <w:rsid w:val="05776166"/>
    <w:rsid w:val="059B1E55"/>
    <w:rsid w:val="05BE5B43"/>
    <w:rsid w:val="05EA182F"/>
    <w:rsid w:val="06620BC5"/>
    <w:rsid w:val="06644CC1"/>
    <w:rsid w:val="069A65B0"/>
    <w:rsid w:val="06D51397"/>
    <w:rsid w:val="06FF6413"/>
    <w:rsid w:val="07950B26"/>
    <w:rsid w:val="07B45450"/>
    <w:rsid w:val="07F25F78"/>
    <w:rsid w:val="084D1B36"/>
    <w:rsid w:val="087D5842"/>
    <w:rsid w:val="087E1F86"/>
    <w:rsid w:val="088F37C7"/>
    <w:rsid w:val="08A74FB5"/>
    <w:rsid w:val="08CC4A1B"/>
    <w:rsid w:val="093E76C7"/>
    <w:rsid w:val="09582094"/>
    <w:rsid w:val="096609CC"/>
    <w:rsid w:val="09AE3894"/>
    <w:rsid w:val="0A0A1357"/>
    <w:rsid w:val="0A3D172D"/>
    <w:rsid w:val="0A570314"/>
    <w:rsid w:val="0A595E3B"/>
    <w:rsid w:val="0A886720"/>
    <w:rsid w:val="0B5D7BAD"/>
    <w:rsid w:val="0B7373D0"/>
    <w:rsid w:val="0B89625E"/>
    <w:rsid w:val="0B9679B3"/>
    <w:rsid w:val="0BA61553"/>
    <w:rsid w:val="0BC33EB3"/>
    <w:rsid w:val="0C152235"/>
    <w:rsid w:val="0C2A3F33"/>
    <w:rsid w:val="0CAA5073"/>
    <w:rsid w:val="0CBD4DA7"/>
    <w:rsid w:val="0D991370"/>
    <w:rsid w:val="0DA16476"/>
    <w:rsid w:val="0DAC19D9"/>
    <w:rsid w:val="0DDA1988"/>
    <w:rsid w:val="0E0B1B42"/>
    <w:rsid w:val="0E1C3D4F"/>
    <w:rsid w:val="0E2844A2"/>
    <w:rsid w:val="0E2F3A82"/>
    <w:rsid w:val="0E9D6C3E"/>
    <w:rsid w:val="0EE26D46"/>
    <w:rsid w:val="0EF56A7A"/>
    <w:rsid w:val="0EFA766A"/>
    <w:rsid w:val="0F22254C"/>
    <w:rsid w:val="0F543075"/>
    <w:rsid w:val="0FC96AE4"/>
    <w:rsid w:val="0FE10DAC"/>
    <w:rsid w:val="10102AFC"/>
    <w:rsid w:val="1010343F"/>
    <w:rsid w:val="101A42BE"/>
    <w:rsid w:val="10831E63"/>
    <w:rsid w:val="10B22749"/>
    <w:rsid w:val="10D40911"/>
    <w:rsid w:val="10D80401"/>
    <w:rsid w:val="114E421F"/>
    <w:rsid w:val="11554A30"/>
    <w:rsid w:val="122D178D"/>
    <w:rsid w:val="125F420A"/>
    <w:rsid w:val="126B2BAF"/>
    <w:rsid w:val="12C0114D"/>
    <w:rsid w:val="133438E9"/>
    <w:rsid w:val="134A6C68"/>
    <w:rsid w:val="134F24D1"/>
    <w:rsid w:val="137D703E"/>
    <w:rsid w:val="137F3AAC"/>
    <w:rsid w:val="13B011C1"/>
    <w:rsid w:val="13B3480E"/>
    <w:rsid w:val="13CF716E"/>
    <w:rsid w:val="149C1746"/>
    <w:rsid w:val="14B0379E"/>
    <w:rsid w:val="14D25167"/>
    <w:rsid w:val="14E54E9B"/>
    <w:rsid w:val="15007F26"/>
    <w:rsid w:val="156F29B6"/>
    <w:rsid w:val="159D5775"/>
    <w:rsid w:val="15D22C36"/>
    <w:rsid w:val="16677B31"/>
    <w:rsid w:val="16775018"/>
    <w:rsid w:val="167C538B"/>
    <w:rsid w:val="16AF430F"/>
    <w:rsid w:val="16E710E1"/>
    <w:rsid w:val="17232389"/>
    <w:rsid w:val="176127D3"/>
    <w:rsid w:val="17884203"/>
    <w:rsid w:val="17EA27C8"/>
    <w:rsid w:val="194F425A"/>
    <w:rsid w:val="19502AFF"/>
    <w:rsid w:val="19616ABA"/>
    <w:rsid w:val="199C7AF2"/>
    <w:rsid w:val="19B04509"/>
    <w:rsid w:val="1A222683"/>
    <w:rsid w:val="1A6C1BBA"/>
    <w:rsid w:val="1A7D7923"/>
    <w:rsid w:val="1ABD4860"/>
    <w:rsid w:val="1BB83309"/>
    <w:rsid w:val="1BD6378F"/>
    <w:rsid w:val="1CC70158"/>
    <w:rsid w:val="1DC615E1"/>
    <w:rsid w:val="1DC835AB"/>
    <w:rsid w:val="1DF223D6"/>
    <w:rsid w:val="1DF63C75"/>
    <w:rsid w:val="1E002D45"/>
    <w:rsid w:val="1E200CF1"/>
    <w:rsid w:val="1E320A25"/>
    <w:rsid w:val="1E875215"/>
    <w:rsid w:val="1EBB25E9"/>
    <w:rsid w:val="1EEB2065"/>
    <w:rsid w:val="1F49071C"/>
    <w:rsid w:val="1F8A31D7"/>
    <w:rsid w:val="1F8B6A0A"/>
    <w:rsid w:val="1FA96FEC"/>
    <w:rsid w:val="1FF5646E"/>
    <w:rsid w:val="20032679"/>
    <w:rsid w:val="20210D51"/>
    <w:rsid w:val="20D04EC4"/>
    <w:rsid w:val="20FF72E4"/>
    <w:rsid w:val="211230DD"/>
    <w:rsid w:val="21B300CF"/>
    <w:rsid w:val="21C978F2"/>
    <w:rsid w:val="21DC4D38"/>
    <w:rsid w:val="21DD59D9"/>
    <w:rsid w:val="22222DA3"/>
    <w:rsid w:val="222D7E81"/>
    <w:rsid w:val="224F429B"/>
    <w:rsid w:val="22715FC0"/>
    <w:rsid w:val="22DC6667"/>
    <w:rsid w:val="22DD18A7"/>
    <w:rsid w:val="22F83FEB"/>
    <w:rsid w:val="22FD7853"/>
    <w:rsid w:val="233E0D8E"/>
    <w:rsid w:val="23720241"/>
    <w:rsid w:val="23CD36CA"/>
    <w:rsid w:val="23F23130"/>
    <w:rsid w:val="24455956"/>
    <w:rsid w:val="24507E57"/>
    <w:rsid w:val="24977834"/>
    <w:rsid w:val="24C710D2"/>
    <w:rsid w:val="24D10DCC"/>
    <w:rsid w:val="251F7F55"/>
    <w:rsid w:val="253B6081"/>
    <w:rsid w:val="25457290"/>
    <w:rsid w:val="25553977"/>
    <w:rsid w:val="258F35BA"/>
    <w:rsid w:val="25A22934"/>
    <w:rsid w:val="25E61EAE"/>
    <w:rsid w:val="26190E48"/>
    <w:rsid w:val="26217CFD"/>
    <w:rsid w:val="262E5023"/>
    <w:rsid w:val="263268BE"/>
    <w:rsid w:val="266B71CA"/>
    <w:rsid w:val="26C54B2C"/>
    <w:rsid w:val="27035654"/>
    <w:rsid w:val="278542BB"/>
    <w:rsid w:val="278D24A1"/>
    <w:rsid w:val="27CB7F20"/>
    <w:rsid w:val="27EB7686"/>
    <w:rsid w:val="27FC62EF"/>
    <w:rsid w:val="284C40E7"/>
    <w:rsid w:val="28BE1833"/>
    <w:rsid w:val="28EA2628"/>
    <w:rsid w:val="28FC05AD"/>
    <w:rsid w:val="2916341D"/>
    <w:rsid w:val="294011D2"/>
    <w:rsid w:val="295403E9"/>
    <w:rsid w:val="2987256D"/>
    <w:rsid w:val="29A245D5"/>
    <w:rsid w:val="29AA1DB7"/>
    <w:rsid w:val="29EB5E27"/>
    <w:rsid w:val="29F51213"/>
    <w:rsid w:val="2A1A518F"/>
    <w:rsid w:val="2B083239"/>
    <w:rsid w:val="2B1C0A93"/>
    <w:rsid w:val="2B2160A9"/>
    <w:rsid w:val="2B2D4A4E"/>
    <w:rsid w:val="2B560448"/>
    <w:rsid w:val="2BA2368E"/>
    <w:rsid w:val="2BB533C1"/>
    <w:rsid w:val="2BF67536"/>
    <w:rsid w:val="2C05145A"/>
    <w:rsid w:val="2C412EA7"/>
    <w:rsid w:val="2C471B3F"/>
    <w:rsid w:val="2C8608B9"/>
    <w:rsid w:val="2D1B54A6"/>
    <w:rsid w:val="2D1D4C6D"/>
    <w:rsid w:val="2D990AC0"/>
    <w:rsid w:val="2DAC4350"/>
    <w:rsid w:val="2DF35057"/>
    <w:rsid w:val="2DFE26D1"/>
    <w:rsid w:val="2E073C7C"/>
    <w:rsid w:val="2E1D6FFC"/>
    <w:rsid w:val="2E61338C"/>
    <w:rsid w:val="2E734E6D"/>
    <w:rsid w:val="2E7B1F74"/>
    <w:rsid w:val="2E7B3745"/>
    <w:rsid w:val="2E9F2106"/>
    <w:rsid w:val="2EFC1307"/>
    <w:rsid w:val="2F012479"/>
    <w:rsid w:val="2F77273B"/>
    <w:rsid w:val="2F7B047E"/>
    <w:rsid w:val="2F94153F"/>
    <w:rsid w:val="2FFE3680"/>
    <w:rsid w:val="304B42F4"/>
    <w:rsid w:val="30582198"/>
    <w:rsid w:val="306E7FE2"/>
    <w:rsid w:val="30703D5A"/>
    <w:rsid w:val="30907E00"/>
    <w:rsid w:val="30AF4414"/>
    <w:rsid w:val="30F5600E"/>
    <w:rsid w:val="3139239E"/>
    <w:rsid w:val="31752861"/>
    <w:rsid w:val="317F1D7B"/>
    <w:rsid w:val="31AA504A"/>
    <w:rsid w:val="31C679AA"/>
    <w:rsid w:val="31EA7FF6"/>
    <w:rsid w:val="31FB3AF8"/>
    <w:rsid w:val="320A3D3B"/>
    <w:rsid w:val="32BD6FFF"/>
    <w:rsid w:val="32C1089D"/>
    <w:rsid w:val="32E62B90"/>
    <w:rsid w:val="32F26CA9"/>
    <w:rsid w:val="331A7FAD"/>
    <w:rsid w:val="33574D5E"/>
    <w:rsid w:val="33F94067"/>
    <w:rsid w:val="34050C5E"/>
    <w:rsid w:val="340A6656"/>
    <w:rsid w:val="3415347D"/>
    <w:rsid w:val="34515C51"/>
    <w:rsid w:val="345B681E"/>
    <w:rsid w:val="345E036E"/>
    <w:rsid w:val="348A4CBF"/>
    <w:rsid w:val="34C24459"/>
    <w:rsid w:val="34F52A80"/>
    <w:rsid w:val="35170C48"/>
    <w:rsid w:val="35FC399A"/>
    <w:rsid w:val="363C0689"/>
    <w:rsid w:val="36A1760F"/>
    <w:rsid w:val="36BB6F44"/>
    <w:rsid w:val="36C24BE4"/>
    <w:rsid w:val="37114410"/>
    <w:rsid w:val="37154FB5"/>
    <w:rsid w:val="376161AB"/>
    <w:rsid w:val="377A54BF"/>
    <w:rsid w:val="37F47148"/>
    <w:rsid w:val="37F76B0F"/>
    <w:rsid w:val="37FD070E"/>
    <w:rsid w:val="383C09C6"/>
    <w:rsid w:val="385555E4"/>
    <w:rsid w:val="3862667F"/>
    <w:rsid w:val="38706B58"/>
    <w:rsid w:val="3885411B"/>
    <w:rsid w:val="38A547BD"/>
    <w:rsid w:val="38C033A5"/>
    <w:rsid w:val="38D97FC3"/>
    <w:rsid w:val="39180AEB"/>
    <w:rsid w:val="39253208"/>
    <w:rsid w:val="395C1320"/>
    <w:rsid w:val="399121E2"/>
    <w:rsid w:val="399860D0"/>
    <w:rsid w:val="39BA4298"/>
    <w:rsid w:val="3A1439A9"/>
    <w:rsid w:val="3A7C3613"/>
    <w:rsid w:val="3AB111F7"/>
    <w:rsid w:val="3B787F67"/>
    <w:rsid w:val="3B9A7EDD"/>
    <w:rsid w:val="3B9D352A"/>
    <w:rsid w:val="3BD11425"/>
    <w:rsid w:val="3BED44B1"/>
    <w:rsid w:val="3C2D0D52"/>
    <w:rsid w:val="3C4716E0"/>
    <w:rsid w:val="3C722C08"/>
    <w:rsid w:val="3CA31014"/>
    <w:rsid w:val="3CC02CB3"/>
    <w:rsid w:val="3CCF3BB7"/>
    <w:rsid w:val="3D161CEF"/>
    <w:rsid w:val="3D3A049F"/>
    <w:rsid w:val="3D4C16AB"/>
    <w:rsid w:val="3D804EB1"/>
    <w:rsid w:val="3DCB25D0"/>
    <w:rsid w:val="3DF338D5"/>
    <w:rsid w:val="3E0847CC"/>
    <w:rsid w:val="3E285C74"/>
    <w:rsid w:val="3E32264F"/>
    <w:rsid w:val="3E860BED"/>
    <w:rsid w:val="3ECA6D2C"/>
    <w:rsid w:val="3EEB27FE"/>
    <w:rsid w:val="3F033FEC"/>
    <w:rsid w:val="3F1B53D0"/>
    <w:rsid w:val="3F770C5D"/>
    <w:rsid w:val="3F7764A1"/>
    <w:rsid w:val="3FA7706D"/>
    <w:rsid w:val="3FF676AC"/>
    <w:rsid w:val="404623E2"/>
    <w:rsid w:val="40662A84"/>
    <w:rsid w:val="4081599D"/>
    <w:rsid w:val="408E3D89"/>
    <w:rsid w:val="40C64348"/>
    <w:rsid w:val="410127AD"/>
    <w:rsid w:val="422C1AAB"/>
    <w:rsid w:val="42554B5E"/>
    <w:rsid w:val="42BF46CD"/>
    <w:rsid w:val="42DE4984"/>
    <w:rsid w:val="433C5D1E"/>
    <w:rsid w:val="4346094B"/>
    <w:rsid w:val="43713C1A"/>
    <w:rsid w:val="438576C5"/>
    <w:rsid w:val="43D67F21"/>
    <w:rsid w:val="43D9356D"/>
    <w:rsid w:val="44185E43"/>
    <w:rsid w:val="445826E4"/>
    <w:rsid w:val="44BF6C07"/>
    <w:rsid w:val="44C77869"/>
    <w:rsid w:val="44C820E0"/>
    <w:rsid w:val="46715CDF"/>
    <w:rsid w:val="46853538"/>
    <w:rsid w:val="46C2653A"/>
    <w:rsid w:val="470B6133"/>
    <w:rsid w:val="47264B58"/>
    <w:rsid w:val="47354CE8"/>
    <w:rsid w:val="47DE73A4"/>
    <w:rsid w:val="48223734"/>
    <w:rsid w:val="48233009"/>
    <w:rsid w:val="482C45B3"/>
    <w:rsid w:val="48376AB4"/>
    <w:rsid w:val="48425B85"/>
    <w:rsid w:val="486D6068"/>
    <w:rsid w:val="48B3438D"/>
    <w:rsid w:val="48C91E02"/>
    <w:rsid w:val="48D04F3E"/>
    <w:rsid w:val="49650FE7"/>
    <w:rsid w:val="4A534079"/>
    <w:rsid w:val="4A7A7858"/>
    <w:rsid w:val="4AB2387D"/>
    <w:rsid w:val="4ADF590D"/>
    <w:rsid w:val="4AF84C20"/>
    <w:rsid w:val="4B4F0514"/>
    <w:rsid w:val="4B4F5D43"/>
    <w:rsid w:val="4B6127C6"/>
    <w:rsid w:val="4B6505BA"/>
    <w:rsid w:val="4B7C77E0"/>
    <w:rsid w:val="4BCF2D33"/>
    <w:rsid w:val="4C0513A3"/>
    <w:rsid w:val="4C2832E3"/>
    <w:rsid w:val="4C547C35"/>
    <w:rsid w:val="4C6562E6"/>
    <w:rsid w:val="4C8F6EBF"/>
    <w:rsid w:val="4CD46FC7"/>
    <w:rsid w:val="4CF65190"/>
    <w:rsid w:val="4D023B34"/>
    <w:rsid w:val="4D106251"/>
    <w:rsid w:val="4D2515D1"/>
    <w:rsid w:val="4D381304"/>
    <w:rsid w:val="4D875DE8"/>
    <w:rsid w:val="4D987FF5"/>
    <w:rsid w:val="4DA90454"/>
    <w:rsid w:val="4DE44FE8"/>
    <w:rsid w:val="4E10402F"/>
    <w:rsid w:val="4E1C4782"/>
    <w:rsid w:val="4E2B70BB"/>
    <w:rsid w:val="4E555EE6"/>
    <w:rsid w:val="4EA368D7"/>
    <w:rsid w:val="4F2953A8"/>
    <w:rsid w:val="4F4731B4"/>
    <w:rsid w:val="4F4F27E5"/>
    <w:rsid w:val="4F50502B"/>
    <w:rsid w:val="4F7F05B6"/>
    <w:rsid w:val="4FD23C92"/>
    <w:rsid w:val="502344EE"/>
    <w:rsid w:val="5032028D"/>
    <w:rsid w:val="50487AB0"/>
    <w:rsid w:val="504C5FD7"/>
    <w:rsid w:val="50597F0F"/>
    <w:rsid w:val="50F639B0"/>
    <w:rsid w:val="51894824"/>
    <w:rsid w:val="51C2552D"/>
    <w:rsid w:val="51F54F3F"/>
    <w:rsid w:val="52884ADC"/>
    <w:rsid w:val="52BC29D7"/>
    <w:rsid w:val="52CB6777"/>
    <w:rsid w:val="531C6E17"/>
    <w:rsid w:val="5345477B"/>
    <w:rsid w:val="53650979"/>
    <w:rsid w:val="536F17F8"/>
    <w:rsid w:val="539B41E2"/>
    <w:rsid w:val="53A476F3"/>
    <w:rsid w:val="549A28A4"/>
    <w:rsid w:val="54D933CD"/>
    <w:rsid w:val="54E05BFB"/>
    <w:rsid w:val="54F63F7F"/>
    <w:rsid w:val="5543118E"/>
    <w:rsid w:val="55DF2C65"/>
    <w:rsid w:val="561F368A"/>
    <w:rsid w:val="56B440F1"/>
    <w:rsid w:val="56D04063"/>
    <w:rsid w:val="56DE4CCA"/>
    <w:rsid w:val="57077695"/>
    <w:rsid w:val="571B5F1F"/>
    <w:rsid w:val="571C1C97"/>
    <w:rsid w:val="57236B81"/>
    <w:rsid w:val="5742311B"/>
    <w:rsid w:val="574F7976"/>
    <w:rsid w:val="57743D55"/>
    <w:rsid w:val="581F1A3E"/>
    <w:rsid w:val="584B45E2"/>
    <w:rsid w:val="587D49B7"/>
    <w:rsid w:val="58F05189"/>
    <w:rsid w:val="5919394F"/>
    <w:rsid w:val="594A2AEB"/>
    <w:rsid w:val="59611F42"/>
    <w:rsid w:val="59861649"/>
    <w:rsid w:val="59905953"/>
    <w:rsid w:val="59D949F9"/>
    <w:rsid w:val="59E52814"/>
    <w:rsid w:val="5A164737"/>
    <w:rsid w:val="5A186250"/>
    <w:rsid w:val="5A47527D"/>
    <w:rsid w:val="5A6000EC"/>
    <w:rsid w:val="5A7F0572"/>
    <w:rsid w:val="5AA854AA"/>
    <w:rsid w:val="5AD20FEA"/>
    <w:rsid w:val="5B1353BC"/>
    <w:rsid w:val="5BB73D3C"/>
    <w:rsid w:val="5BBA1B63"/>
    <w:rsid w:val="5BCD355F"/>
    <w:rsid w:val="5C221AFD"/>
    <w:rsid w:val="5C423F4D"/>
    <w:rsid w:val="5C4A4BB0"/>
    <w:rsid w:val="5C550A67"/>
    <w:rsid w:val="5C8974C8"/>
    <w:rsid w:val="5C98591B"/>
    <w:rsid w:val="5D177188"/>
    <w:rsid w:val="5D2B771D"/>
    <w:rsid w:val="5D5850AB"/>
    <w:rsid w:val="5D706898"/>
    <w:rsid w:val="5DD5494D"/>
    <w:rsid w:val="5E596800"/>
    <w:rsid w:val="5E7B72A3"/>
    <w:rsid w:val="5E8720EC"/>
    <w:rsid w:val="5ED510A9"/>
    <w:rsid w:val="5F1F2324"/>
    <w:rsid w:val="5F230066"/>
    <w:rsid w:val="5F304531"/>
    <w:rsid w:val="5F441D8B"/>
    <w:rsid w:val="5FE33352"/>
    <w:rsid w:val="5FEB7E99"/>
    <w:rsid w:val="601E082E"/>
    <w:rsid w:val="60795A64"/>
    <w:rsid w:val="61130F7B"/>
    <w:rsid w:val="617C580C"/>
    <w:rsid w:val="61DC44FC"/>
    <w:rsid w:val="621A5025"/>
    <w:rsid w:val="621A6DD3"/>
    <w:rsid w:val="622142A5"/>
    <w:rsid w:val="62326812"/>
    <w:rsid w:val="62421C90"/>
    <w:rsid w:val="62F835B8"/>
    <w:rsid w:val="638C5AAE"/>
    <w:rsid w:val="63F41FD1"/>
    <w:rsid w:val="64063AB3"/>
    <w:rsid w:val="64234664"/>
    <w:rsid w:val="64405216"/>
    <w:rsid w:val="644A4A48"/>
    <w:rsid w:val="645954FE"/>
    <w:rsid w:val="645A5BAC"/>
    <w:rsid w:val="647542FA"/>
    <w:rsid w:val="64794284"/>
    <w:rsid w:val="64942E6C"/>
    <w:rsid w:val="64BD6867"/>
    <w:rsid w:val="6510316D"/>
    <w:rsid w:val="65334880"/>
    <w:rsid w:val="653A473D"/>
    <w:rsid w:val="656B62C3"/>
    <w:rsid w:val="656C203B"/>
    <w:rsid w:val="65956E9C"/>
    <w:rsid w:val="6692162D"/>
    <w:rsid w:val="66925AD1"/>
    <w:rsid w:val="669E6224"/>
    <w:rsid w:val="66FE3167"/>
    <w:rsid w:val="671F1E08"/>
    <w:rsid w:val="677F7E04"/>
    <w:rsid w:val="67F81964"/>
    <w:rsid w:val="685968A7"/>
    <w:rsid w:val="69252C2D"/>
    <w:rsid w:val="693B41FE"/>
    <w:rsid w:val="6965127B"/>
    <w:rsid w:val="69F50851"/>
    <w:rsid w:val="6A06480C"/>
    <w:rsid w:val="6A0C16F7"/>
    <w:rsid w:val="6A2353BE"/>
    <w:rsid w:val="6A31115D"/>
    <w:rsid w:val="6A3D7B02"/>
    <w:rsid w:val="6AB51D8E"/>
    <w:rsid w:val="6ACD70D8"/>
    <w:rsid w:val="6AFC79BD"/>
    <w:rsid w:val="6B4355EC"/>
    <w:rsid w:val="6B4E6DC3"/>
    <w:rsid w:val="6B8A6D77"/>
    <w:rsid w:val="6BAF2C82"/>
    <w:rsid w:val="6BBA4F19"/>
    <w:rsid w:val="6C1F5711"/>
    <w:rsid w:val="6C757A27"/>
    <w:rsid w:val="6C8251EB"/>
    <w:rsid w:val="6C9A56E0"/>
    <w:rsid w:val="6CFB18B4"/>
    <w:rsid w:val="6DCF4F15"/>
    <w:rsid w:val="6DE842C9"/>
    <w:rsid w:val="6DEE183F"/>
    <w:rsid w:val="6E443B55"/>
    <w:rsid w:val="6E4C47B8"/>
    <w:rsid w:val="6E71178C"/>
    <w:rsid w:val="6E900B48"/>
    <w:rsid w:val="6EB74327"/>
    <w:rsid w:val="6ED0363B"/>
    <w:rsid w:val="6F0B4673"/>
    <w:rsid w:val="6F305E87"/>
    <w:rsid w:val="6FB83BE3"/>
    <w:rsid w:val="6FBE7937"/>
    <w:rsid w:val="70381498"/>
    <w:rsid w:val="704C4F43"/>
    <w:rsid w:val="70952446"/>
    <w:rsid w:val="709D579F"/>
    <w:rsid w:val="711315BD"/>
    <w:rsid w:val="711C66C3"/>
    <w:rsid w:val="71526251"/>
    <w:rsid w:val="71A212BE"/>
    <w:rsid w:val="71AC3EEB"/>
    <w:rsid w:val="71C9509A"/>
    <w:rsid w:val="71ED69CC"/>
    <w:rsid w:val="720553A9"/>
    <w:rsid w:val="72312642"/>
    <w:rsid w:val="723F4C6C"/>
    <w:rsid w:val="72442376"/>
    <w:rsid w:val="724E6D50"/>
    <w:rsid w:val="72895FDA"/>
    <w:rsid w:val="72F316A6"/>
    <w:rsid w:val="73375A36"/>
    <w:rsid w:val="73614861"/>
    <w:rsid w:val="736425A4"/>
    <w:rsid w:val="73C3376E"/>
    <w:rsid w:val="73D752AD"/>
    <w:rsid w:val="741E6BF6"/>
    <w:rsid w:val="74503B27"/>
    <w:rsid w:val="7488020E"/>
    <w:rsid w:val="749649DF"/>
    <w:rsid w:val="749E3DBE"/>
    <w:rsid w:val="74B15375"/>
    <w:rsid w:val="74B530B7"/>
    <w:rsid w:val="74D05C17"/>
    <w:rsid w:val="753164B5"/>
    <w:rsid w:val="75436915"/>
    <w:rsid w:val="75491A51"/>
    <w:rsid w:val="75660855"/>
    <w:rsid w:val="758D193E"/>
    <w:rsid w:val="763C3364"/>
    <w:rsid w:val="769413F2"/>
    <w:rsid w:val="76946CFC"/>
    <w:rsid w:val="76A07A2B"/>
    <w:rsid w:val="76DB1B0A"/>
    <w:rsid w:val="777032C5"/>
    <w:rsid w:val="77996CC0"/>
    <w:rsid w:val="77AD4519"/>
    <w:rsid w:val="77CE623E"/>
    <w:rsid w:val="78210A63"/>
    <w:rsid w:val="78412EB3"/>
    <w:rsid w:val="78650950"/>
    <w:rsid w:val="78B6564F"/>
    <w:rsid w:val="78BE1364"/>
    <w:rsid w:val="79002D6F"/>
    <w:rsid w:val="79336CA0"/>
    <w:rsid w:val="793F629B"/>
    <w:rsid w:val="79532E9E"/>
    <w:rsid w:val="796926C2"/>
    <w:rsid w:val="796C206B"/>
    <w:rsid w:val="797A7744"/>
    <w:rsid w:val="79D00F9B"/>
    <w:rsid w:val="7A2D1941"/>
    <w:rsid w:val="7A6A04A0"/>
    <w:rsid w:val="7A8D0632"/>
    <w:rsid w:val="7AA00365"/>
    <w:rsid w:val="7AB94F83"/>
    <w:rsid w:val="7ABD2CC5"/>
    <w:rsid w:val="7ADD5115"/>
    <w:rsid w:val="7AE87E01"/>
    <w:rsid w:val="7B1A0118"/>
    <w:rsid w:val="7B220D7A"/>
    <w:rsid w:val="7B4038F6"/>
    <w:rsid w:val="7B796D31"/>
    <w:rsid w:val="7B823FE2"/>
    <w:rsid w:val="7C5530AA"/>
    <w:rsid w:val="7C613B24"/>
    <w:rsid w:val="7C887303"/>
    <w:rsid w:val="7C947A56"/>
    <w:rsid w:val="7CA80A36"/>
    <w:rsid w:val="7CDF1D4B"/>
    <w:rsid w:val="7D690EE2"/>
    <w:rsid w:val="7DCD10D3"/>
    <w:rsid w:val="7DE762AB"/>
    <w:rsid w:val="7E3D5ECB"/>
    <w:rsid w:val="7E4454AB"/>
    <w:rsid w:val="7E66726E"/>
    <w:rsid w:val="7E6B6EDC"/>
    <w:rsid w:val="7E6C17AC"/>
    <w:rsid w:val="7EB22415"/>
    <w:rsid w:val="7ECB2BAC"/>
    <w:rsid w:val="7ECE0162"/>
    <w:rsid w:val="7EE60311"/>
    <w:rsid w:val="7EEF71C5"/>
    <w:rsid w:val="7FFE357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63"/>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65"/>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66"/>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67"/>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6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69"/>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7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7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7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73"/>
    <w:unhideWhenUsed/>
    <w:qFormat/>
    <w:uiPriority w:val="9"/>
    <w:pPr>
      <w:keepNext/>
      <w:keepLines/>
      <w:spacing w:before="320" w:after="200"/>
      <w:outlineLvl w:val="8"/>
    </w:pPr>
    <w:rPr>
      <w:rFonts w:ascii="Arial" w:hAnsi="Arial" w:eastAsia="Arial" w:cs="Arial"/>
      <w:i/>
      <w:iCs/>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widowControl/>
      <w:ind w:firstLine="420"/>
      <w:jc w:val="left"/>
    </w:pPr>
    <w:rPr>
      <w:sz w:val="20"/>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index 5"/>
    <w:basedOn w:val="1"/>
    <w:next w:val="1"/>
    <w:qFormat/>
    <w:uiPriority w:val="0"/>
    <w:pPr>
      <w:ind w:left="800" w:leftChars="800"/>
    </w:pPr>
  </w:style>
  <w:style w:type="paragraph" w:styleId="15">
    <w:name w:val="annotation text"/>
    <w:basedOn w:val="1"/>
    <w:qFormat/>
    <w:uiPriority w:val="0"/>
    <w:pPr>
      <w:jc w:val="left"/>
    </w:pPr>
  </w:style>
  <w:style w:type="paragraph" w:styleId="16">
    <w:name w:val="Body Text"/>
    <w:basedOn w:val="1"/>
    <w:next w:val="17"/>
    <w:qFormat/>
    <w:uiPriority w:val="0"/>
    <w:rPr>
      <w:rFonts w:ascii="仿宋_GB2312" w:eastAsia="仿宋_GB2312"/>
      <w:sz w:val="28"/>
    </w:rPr>
  </w:style>
  <w:style w:type="paragraph" w:styleId="17">
    <w:name w:val="List"/>
    <w:basedOn w:val="1"/>
    <w:qFormat/>
    <w:uiPriority w:val="0"/>
    <w:pPr>
      <w:numPr>
        <w:ilvl w:val="0"/>
        <w:numId w:val="1"/>
      </w:numPr>
      <w:spacing w:after="20" w:line="288" w:lineRule="auto"/>
    </w:pPr>
    <w:rPr>
      <w:szCs w:val="20"/>
      <w:lang w:val="en-GB"/>
    </w:rPr>
  </w:style>
  <w:style w:type="paragraph" w:styleId="18">
    <w:name w:val="Body Text Indent"/>
    <w:basedOn w:val="1"/>
    <w:next w:val="1"/>
    <w:qFormat/>
    <w:uiPriority w:val="99"/>
    <w:pPr>
      <w:ind w:firstLine="576"/>
    </w:pPr>
    <w:rPr>
      <w:b/>
      <w:sz w:val="30"/>
    </w:rPr>
  </w:style>
  <w:style w:type="paragraph" w:styleId="19">
    <w:name w:val="Block Text"/>
    <w:basedOn w:val="1"/>
    <w:unhideWhenUsed/>
    <w:qFormat/>
    <w:uiPriority w:val="99"/>
    <w:pPr>
      <w:spacing w:before="100" w:beforeAutospacing="1" w:after="100" w:afterAutospacing="1"/>
      <w:ind w:left="420" w:right="33"/>
      <w:jc w:val="left"/>
    </w:pPr>
    <w:rPr>
      <w:rFonts w:ascii="宋体" w:hAnsi="宋体" w:cs="宋体"/>
      <w:sz w:val="24"/>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qFormat/>
    <w:uiPriority w:val="0"/>
    <w:rPr>
      <w:rFonts w:ascii="宋体" w:hAnsi="Courier New"/>
      <w:szCs w:val="21"/>
    </w:rPr>
  </w:style>
  <w:style w:type="paragraph" w:styleId="23">
    <w:name w:val="toc 8"/>
    <w:basedOn w:val="1"/>
    <w:next w:val="1"/>
    <w:unhideWhenUsed/>
    <w:qFormat/>
    <w:uiPriority w:val="39"/>
    <w:pPr>
      <w:spacing w:after="57"/>
      <w:ind w:left="1984"/>
    </w:pPr>
  </w:style>
  <w:style w:type="paragraph" w:styleId="24">
    <w:name w:val="endnote text"/>
    <w:basedOn w:val="1"/>
    <w:link w:val="209"/>
    <w:semiHidden/>
    <w:unhideWhenUsed/>
    <w:qFormat/>
    <w:uiPriority w:val="99"/>
    <w:rPr>
      <w:sz w:val="20"/>
    </w:rPr>
  </w:style>
  <w:style w:type="paragraph" w:styleId="25">
    <w:name w:val="footer"/>
    <w:basedOn w:val="1"/>
    <w:next w:val="26"/>
    <w:link w:val="82"/>
    <w:unhideWhenUsed/>
    <w:qFormat/>
    <w:uiPriority w:val="99"/>
    <w:pPr>
      <w:tabs>
        <w:tab w:val="center" w:pos="7143"/>
        <w:tab w:val="right" w:pos="14287"/>
      </w:tabs>
    </w:pPr>
  </w:style>
  <w:style w:type="paragraph" w:styleId="26">
    <w:name w:val="Intense Quote"/>
    <w:basedOn w:val="1"/>
    <w:next w:val="1"/>
    <w:link w:val="7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styleId="27">
    <w:name w:val="header"/>
    <w:basedOn w:val="1"/>
    <w:link w:val="80"/>
    <w:unhideWhenUsed/>
    <w:qFormat/>
    <w:uiPriority w:val="99"/>
    <w:pPr>
      <w:tabs>
        <w:tab w:val="center" w:pos="7143"/>
        <w:tab w:val="right" w:pos="14287"/>
      </w:tabs>
    </w:pPr>
  </w:style>
  <w:style w:type="paragraph" w:styleId="28">
    <w:name w:val="toc 1"/>
    <w:basedOn w:val="1"/>
    <w:next w:val="1"/>
    <w:unhideWhenUsed/>
    <w:qFormat/>
    <w:uiPriority w:val="39"/>
    <w:pPr>
      <w:spacing w:after="57"/>
    </w:pPr>
  </w:style>
  <w:style w:type="paragraph" w:styleId="29">
    <w:name w:val="toc 4"/>
    <w:basedOn w:val="1"/>
    <w:next w:val="1"/>
    <w:unhideWhenUsed/>
    <w:qFormat/>
    <w:uiPriority w:val="39"/>
    <w:pPr>
      <w:spacing w:after="57"/>
      <w:ind w:left="850"/>
    </w:pPr>
  </w:style>
  <w:style w:type="paragraph" w:styleId="30">
    <w:name w:val="Subtitle"/>
    <w:basedOn w:val="1"/>
    <w:next w:val="1"/>
    <w:link w:val="76"/>
    <w:qFormat/>
    <w:uiPriority w:val="11"/>
    <w:pPr>
      <w:spacing w:before="200" w:after="200"/>
    </w:pPr>
    <w:rPr>
      <w:sz w:val="24"/>
      <w:szCs w:val="24"/>
    </w:rPr>
  </w:style>
  <w:style w:type="paragraph" w:styleId="31">
    <w:name w:val="footnote text"/>
    <w:basedOn w:val="1"/>
    <w:link w:val="208"/>
    <w:semiHidden/>
    <w:unhideWhenUsed/>
    <w:qFormat/>
    <w:uiPriority w:val="99"/>
    <w:pPr>
      <w:spacing w:after="40"/>
    </w:pPr>
    <w:rPr>
      <w:sz w:val="18"/>
    </w:rPr>
  </w:style>
  <w:style w:type="paragraph" w:styleId="32">
    <w:name w:val="toc 6"/>
    <w:basedOn w:val="1"/>
    <w:next w:val="1"/>
    <w:unhideWhenUsed/>
    <w:qFormat/>
    <w:uiPriority w:val="39"/>
    <w:pPr>
      <w:spacing w:after="57"/>
      <w:ind w:left="1417"/>
    </w:pPr>
  </w:style>
  <w:style w:type="paragraph" w:styleId="33">
    <w:name w:val="table of figures"/>
    <w:basedOn w:val="1"/>
    <w:next w:val="1"/>
    <w:unhideWhenUsed/>
    <w:qFormat/>
    <w:uiPriority w:val="99"/>
  </w:style>
  <w:style w:type="paragraph" w:styleId="34">
    <w:name w:val="toc 2"/>
    <w:basedOn w:val="1"/>
    <w:next w:val="1"/>
    <w:unhideWhenUsed/>
    <w:qFormat/>
    <w:uiPriority w:val="39"/>
    <w:pPr>
      <w:spacing w:after="57"/>
      <w:ind w:left="283"/>
    </w:pPr>
  </w:style>
  <w:style w:type="paragraph" w:styleId="35">
    <w:name w:val="toc 9"/>
    <w:basedOn w:val="1"/>
    <w:next w:val="1"/>
    <w:unhideWhenUsed/>
    <w:qFormat/>
    <w:uiPriority w:val="39"/>
    <w:pPr>
      <w:spacing w:after="57"/>
      <w:ind w:left="2268"/>
    </w:pPr>
  </w:style>
  <w:style w:type="paragraph" w:styleId="36">
    <w:name w:val="Normal (Web)"/>
    <w:basedOn w:val="1"/>
    <w:qFormat/>
    <w:uiPriority w:val="0"/>
    <w:pPr>
      <w:widowControl/>
      <w:spacing w:before="100" w:beforeAutospacing="1" w:after="100" w:afterAutospacing="1" w:line="288" w:lineRule="auto"/>
      <w:ind w:firstLine="420"/>
      <w:jc w:val="left"/>
    </w:pPr>
    <w:rPr>
      <w:rFonts w:ascii="宋体" w:hAnsi="宋体"/>
      <w:sz w:val="24"/>
    </w:rPr>
  </w:style>
  <w:style w:type="paragraph" w:styleId="37">
    <w:name w:val="Title"/>
    <w:basedOn w:val="1"/>
    <w:next w:val="1"/>
    <w:link w:val="75"/>
    <w:qFormat/>
    <w:uiPriority w:val="10"/>
    <w:pPr>
      <w:spacing w:before="300" w:after="200"/>
      <w:contextualSpacing/>
    </w:pPr>
    <w:rPr>
      <w:sz w:val="48"/>
      <w:szCs w:val="48"/>
    </w:rPr>
  </w:style>
  <w:style w:type="table" w:styleId="3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endnote reference"/>
    <w:semiHidden/>
    <w:unhideWhenUsed/>
    <w:qFormat/>
    <w:uiPriority w:val="99"/>
    <w:rPr>
      <w:vertAlign w:val="superscript"/>
    </w:rPr>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footnote reference"/>
    <w:unhideWhenUsed/>
    <w:qFormat/>
    <w:uiPriority w:val="99"/>
    <w:rPr>
      <w:vertAlign w:val="superscript"/>
    </w:rPr>
  </w:style>
  <w:style w:type="paragraph" w:customStyle="1" w:styleId="44">
    <w:name w:val="首行缩进"/>
    <w:qFormat/>
    <w:uiPriority w:val="0"/>
    <w:pPr>
      <w:widowControl w:val="0"/>
      <w:ind w:firstLine="480"/>
      <w:jc w:val="both"/>
    </w:pPr>
    <w:rPr>
      <w:rFonts w:hint="default" w:ascii="Times New Roman" w:hAnsi="Times New Roman" w:eastAsia="宋体" w:cs="Times New Roman"/>
      <w:sz w:val="21"/>
      <w:lang w:val="zh-CN" w:eastAsia="zh-CN" w:bidi="ar-SA"/>
    </w:rPr>
  </w:style>
  <w:style w:type="paragraph" w:styleId="45">
    <w:name w:val="List Paragraph"/>
    <w:basedOn w:val="1"/>
    <w:qFormat/>
    <w:uiPriority w:val="0"/>
    <w:pPr>
      <w:ind w:firstLine="420"/>
    </w:pPr>
    <w:rPr>
      <w:rFonts w:ascii="Calibri" w:hAnsi="Calibri"/>
      <w:szCs w:val="22"/>
    </w:rPr>
  </w:style>
  <w:style w:type="character" w:customStyle="1" w:styleId="46">
    <w:name w:val="Heading 1 Char"/>
    <w:basedOn w:val="40"/>
    <w:qFormat/>
    <w:uiPriority w:val="9"/>
    <w:rPr>
      <w:rFonts w:ascii="Arial" w:hAnsi="Arial" w:eastAsia="Arial" w:cs="Arial"/>
      <w:sz w:val="40"/>
      <w:szCs w:val="40"/>
    </w:rPr>
  </w:style>
  <w:style w:type="character" w:customStyle="1" w:styleId="47">
    <w:name w:val="Heading 2 Char"/>
    <w:basedOn w:val="40"/>
    <w:qFormat/>
    <w:uiPriority w:val="9"/>
    <w:rPr>
      <w:rFonts w:ascii="Arial" w:hAnsi="Arial" w:eastAsia="Arial" w:cs="Arial"/>
      <w:sz w:val="34"/>
    </w:rPr>
  </w:style>
  <w:style w:type="character" w:customStyle="1" w:styleId="48">
    <w:name w:val="Heading 3 Char"/>
    <w:basedOn w:val="40"/>
    <w:qFormat/>
    <w:uiPriority w:val="9"/>
    <w:rPr>
      <w:rFonts w:ascii="Arial" w:hAnsi="Arial" w:eastAsia="Arial" w:cs="Arial"/>
      <w:sz w:val="30"/>
      <w:szCs w:val="30"/>
    </w:rPr>
  </w:style>
  <w:style w:type="character" w:customStyle="1" w:styleId="49">
    <w:name w:val="Heading 4 Char"/>
    <w:basedOn w:val="40"/>
    <w:qFormat/>
    <w:uiPriority w:val="9"/>
    <w:rPr>
      <w:rFonts w:ascii="Arial" w:hAnsi="Arial" w:eastAsia="Arial" w:cs="Arial"/>
      <w:b/>
      <w:bCs/>
      <w:sz w:val="26"/>
      <w:szCs w:val="26"/>
    </w:rPr>
  </w:style>
  <w:style w:type="character" w:customStyle="1" w:styleId="50">
    <w:name w:val="Heading 5 Char"/>
    <w:basedOn w:val="40"/>
    <w:qFormat/>
    <w:uiPriority w:val="9"/>
    <w:rPr>
      <w:rFonts w:ascii="Arial" w:hAnsi="Arial" w:eastAsia="Arial" w:cs="Arial"/>
      <w:b/>
      <w:bCs/>
      <w:sz w:val="24"/>
      <w:szCs w:val="24"/>
    </w:rPr>
  </w:style>
  <w:style w:type="character" w:customStyle="1" w:styleId="51">
    <w:name w:val="Heading 6 Char"/>
    <w:basedOn w:val="40"/>
    <w:qFormat/>
    <w:uiPriority w:val="9"/>
    <w:rPr>
      <w:rFonts w:ascii="Arial" w:hAnsi="Arial" w:eastAsia="Arial" w:cs="Arial"/>
      <w:b/>
      <w:bCs/>
      <w:sz w:val="22"/>
      <w:szCs w:val="22"/>
    </w:rPr>
  </w:style>
  <w:style w:type="character" w:customStyle="1" w:styleId="52">
    <w:name w:val="Heading 7 Char"/>
    <w:basedOn w:val="40"/>
    <w:qFormat/>
    <w:uiPriority w:val="9"/>
    <w:rPr>
      <w:rFonts w:ascii="Arial" w:hAnsi="Arial" w:eastAsia="Arial" w:cs="Arial"/>
      <w:b/>
      <w:bCs/>
      <w:i/>
      <w:iCs/>
      <w:sz w:val="22"/>
      <w:szCs w:val="22"/>
    </w:rPr>
  </w:style>
  <w:style w:type="character" w:customStyle="1" w:styleId="53">
    <w:name w:val="Heading 8 Char"/>
    <w:basedOn w:val="40"/>
    <w:qFormat/>
    <w:uiPriority w:val="9"/>
    <w:rPr>
      <w:rFonts w:ascii="Arial" w:hAnsi="Arial" w:eastAsia="Arial" w:cs="Arial"/>
      <w:i/>
      <w:iCs/>
      <w:sz w:val="22"/>
      <w:szCs w:val="22"/>
    </w:rPr>
  </w:style>
  <w:style w:type="character" w:customStyle="1" w:styleId="54">
    <w:name w:val="Heading 9 Char"/>
    <w:basedOn w:val="40"/>
    <w:qFormat/>
    <w:uiPriority w:val="9"/>
    <w:rPr>
      <w:rFonts w:ascii="Arial" w:hAnsi="Arial" w:eastAsia="Arial" w:cs="Arial"/>
      <w:i/>
      <w:iCs/>
      <w:sz w:val="21"/>
      <w:szCs w:val="21"/>
    </w:rPr>
  </w:style>
  <w:style w:type="character" w:customStyle="1" w:styleId="55">
    <w:name w:val="Title Char"/>
    <w:basedOn w:val="40"/>
    <w:qFormat/>
    <w:uiPriority w:val="10"/>
    <w:rPr>
      <w:sz w:val="48"/>
      <w:szCs w:val="48"/>
    </w:rPr>
  </w:style>
  <w:style w:type="character" w:customStyle="1" w:styleId="56">
    <w:name w:val="Subtitle Char"/>
    <w:basedOn w:val="40"/>
    <w:qFormat/>
    <w:uiPriority w:val="11"/>
    <w:rPr>
      <w:sz w:val="24"/>
      <w:szCs w:val="24"/>
    </w:rPr>
  </w:style>
  <w:style w:type="character" w:customStyle="1" w:styleId="57">
    <w:name w:val="Quote Char"/>
    <w:qFormat/>
    <w:uiPriority w:val="29"/>
    <w:rPr>
      <w:i/>
    </w:rPr>
  </w:style>
  <w:style w:type="character" w:customStyle="1" w:styleId="58">
    <w:name w:val="Intense Quote Char"/>
    <w:qFormat/>
    <w:uiPriority w:val="30"/>
    <w:rPr>
      <w:i/>
    </w:rPr>
  </w:style>
  <w:style w:type="character" w:customStyle="1" w:styleId="59">
    <w:name w:val="Header Char"/>
    <w:basedOn w:val="40"/>
    <w:qFormat/>
    <w:uiPriority w:val="99"/>
  </w:style>
  <w:style w:type="character" w:customStyle="1" w:styleId="60">
    <w:name w:val="Caption Char"/>
    <w:qFormat/>
    <w:uiPriority w:val="99"/>
  </w:style>
  <w:style w:type="character" w:customStyle="1" w:styleId="61">
    <w:name w:val="Footnote Text Char"/>
    <w:qFormat/>
    <w:uiPriority w:val="99"/>
    <w:rPr>
      <w:sz w:val="18"/>
    </w:rPr>
  </w:style>
  <w:style w:type="character" w:customStyle="1" w:styleId="62">
    <w:name w:val="Endnote Text Char"/>
    <w:qFormat/>
    <w:uiPriority w:val="99"/>
    <w:rPr>
      <w:sz w:val="20"/>
    </w:rPr>
  </w:style>
  <w:style w:type="paragraph" w:customStyle="1" w:styleId="63">
    <w:name w:val="TOC 标题1"/>
    <w:unhideWhenUsed/>
    <w:qFormat/>
    <w:uiPriority w:val="39"/>
    <w:rPr>
      <w:rFonts w:ascii="Times New Roman" w:hAnsi="Times New Roman" w:eastAsia="宋体" w:cs="Times New Roman"/>
      <w:lang w:val="en-US" w:eastAsia="zh-CN" w:bidi="ar-SA"/>
    </w:rPr>
  </w:style>
  <w:style w:type="paragraph" w:customStyle="1" w:styleId="64">
    <w:name w:val="列出段落1"/>
    <w:basedOn w:val="1"/>
    <w:qFormat/>
    <w:uiPriority w:val="34"/>
    <w:pPr>
      <w:ind w:firstLine="420"/>
    </w:pPr>
  </w:style>
  <w:style w:type="character" w:customStyle="1" w:styleId="65">
    <w:name w:val="标题 1 Char1"/>
    <w:link w:val="2"/>
    <w:qFormat/>
    <w:uiPriority w:val="9"/>
    <w:rPr>
      <w:rFonts w:ascii="Arial" w:hAnsi="Arial" w:eastAsia="Arial" w:cs="Arial"/>
      <w:sz w:val="40"/>
      <w:szCs w:val="40"/>
    </w:rPr>
  </w:style>
  <w:style w:type="character" w:customStyle="1" w:styleId="66">
    <w:name w:val="标题 2 Char1"/>
    <w:link w:val="3"/>
    <w:qFormat/>
    <w:uiPriority w:val="9"/>
    <w:rPr>
      <w:rFonts w:ascii="Arial" w:hAnsi="Arial" w:eastAsia="Arial" w:cs="Arial"/>
      <w:sz w:val="34"/>
    </w:rPr>
  </w:style>
  <w:style w:type="character" w:customStyle="1" w:styleId="67">
    <w:name w:val="标题 3 Char1"/>
    <w:link w:val="4"/>
    <w:qFormat/>
    <w:uiPriority w:val="9"/>
    <w:rPr>
      <w:rFonts w:ascii="Arial" w:hAnsi="Arial" w:eastAsia="Arial" w:cs="Arial"/>
      <w:sz w:val="30"/>
      <w:szCs w:val="30"/>
    </w:rPr>
  </w:style>
  <w:style w:type="character" w:customStyle="1" w:styleId="68">
    <w:name w:val="标题 4 Char1"/>
    <w:link w:val="5"/>
    <w:qFormat/>
    <w:uiPriority w:val="9"/>
    <w:rPr>
      <w:rFonts w:ascii="Arial" w:hAnsi="Arial" w:eastAsia="Arial" w:cs="Arial"/>
      <w:b/>
      <w:bCs/>
      <w:sz w:val="26"/>
      <w:szCs w:val="26"/>
    </w:rPr>
  </w:style>
  <w:style w:type="character" w:customStyle="1" w:styleId="69">
    <w:name w:val="标题 5 Char1"/>
    <w:link w:val="6"/>
    <w:qFormat/>
    <w:uiPriority w:val="9"/>
    <w:rPr>
      <w:rFonts w:ascii="Arial" w:hAnsi="Arial" w:eastAsia="Arial" w:cs="Arial"/>
      <w:b/>
      <w:bCs/>
      <w:sz w:val="24"/>
      <w:szCs w:val="24"/>
    </w:rPr>
  </w:style>
  <w:style w:type="character" w:customStyle="1" w:styleId="70">
    <w:name w:val="标题 6 Char"/>
    <w:link w:val="7"/>
    <w:qFormat/>
    <w:uiPriority w:val="9"/>
    <w:rPr>
      <w:rFonts w:ascii="Arial" w:hAnsi="Arial" w:eastAsia="Arial" w:cs="Arial"/>
      <w:b/>
      <w:bCs/>
      <w:sz w:val="22"/>
      <w:szCs w:val="22"/>
    </w:rPr>
  </w:style>
  <w:style w:type="character" w:customStyle="1" w:styleId="71">
    <w:name w:val="标题 7 Char"/>
    <w:link w:val="8"/>
    <w:qFormat/>
    <w:uiPriority w:val="9"/>
    <w:rPr>
      <w:rFonts w:ascii="Arial" w:hAnsi="Arial" w:eastAsia="Arial" w:cs="Arial"/>
      <w:b/>
      <w:bCs/>
      <w:i/>
      <w:iCs/>
      <w:sz w:val="22"/>
      <w:szCs w:val="22"/>
    </w:rPr>
  </w:style>
  <w:style w:type="character" w:customStyle="1" w:styleId="72">
    <w:name w:val="标题 8 Char"/>
    <w:link w:val="9"/>
    <w:qFormat/>
    <w:uiPriority w:val="9"/>
    <w:rPr>
      <w:rFonts w:ascii="Arial" w:hAnsi="Arial" w:eastAsia="Arial" w:cs="Arial"/>
      <w:i/>
      <w:iCs/>
      <w:sz w:val="22"/>
      <w:szCs w:val="22"/>
    </w:rPr>
  </w:style>
  <w:style w:type="character" w:customStyle="1" w:styleId="73">
    <w:name w:val="标题 9 Char"/>
    <w:link w:val="10"/>
    <w:qFormat/>
    <w:uiPriority w:val="9"/>
    <w:rPr>
      <w:rFonts w:ascii="Arial" w:hAnsi="Arial" w:eastAsia="Arial" w:cs="Arial"/>
      <w:i/>
      <w:iCs/>
      <w:sz w:val="21"/>
      <w:szCs w:val="21"/>
    </w:rPr>
  </w:style>
  <w:style w:type="paragraph" w:styleId="74">
    <w:name w:val="No Spacing"/>
    <w:qFormat/>
    <w:uiPriority w:val="1"/>
    <w:rPr>
      <w:rFonts w:ascii="Times New Roman" w:hAnsi="Times New Roman" w:eastAsia="宋体" w:cs="Times New Roman"/>
      <w:lang w:val="en-US" w:eastAsia="zh-CN" w:bidi="ar-SA"/>
    </w:rPr>
  </w:style>
  <w:style w:type="character" w:customStyle="1" w:styleId="75">
    <w:name w:val="标题 Char"/>
    <w:link w:val="37"/>
    <w:qFormat/>
    <w:uiPriority w:val="10"/>
    <w:rPr>
      <w:sz w:val="48"/>
      <w:szCs w:val="48"/>
    </w:rPr>
  </w:style>
  <w:style w:type="character" w:customStyle="1" w:styleId="76">
    <w:name w:val="副标题 Char"/>
    <w:link w:val="30"/>
    <w:qFormat/>
    <w:uiPriority w:val="11"/>
    <w:rPr>
      <w:sz w:val="24"/>
      <w:szCs w:val="24"/>
    </w:rPr>
  </w:style>
  <w:style w:type="paragraph" w:styleId="77">
    <w:name w:val="Quote"/>
    <w:basedOn w:val="1"/>
    <w:next w:val="1"/>
    <w:link w:val="78"/>
    <w:qFormat/>
    <w:uiPriority w:val="29"/>
    <w:pPr>
      <w:ind w:left="720" w:right="720"/>
    </w:pPr>
    <w:rPr>
      <w:i/>
    </w:rPr>
  </w:style>
  <w:style w:type="character" w:customStyle="1" w:styleId="78">
    <w:name w:val="引用 Char"/>
    <w:link w:val="77"/>
    <w:qFormat/>
    <w:uiPriority w:val="29"/>
    <w:rPr>
      <w:i/>
    </w:rPr>
  </w:style>
  <w:style w:type="character" w:customStyle="1" w:styleId="79">
    <w:name w:val="明显引用 Char"/>
    <w:link w:val="26"/>
    <w:qFormat/>
    <w:uiPriority w:val="30"/>
    <w:rPr>
      <w:i/>
    </w:rPr>
  </w:style>
  <w:style w:type="character" w:customStyle="1" w:styleId="80">
    <w:name w:val="页眉 Char1"/>
    <w:link w:val="27"/>
    <w:qFormat/>
    <w:uiPriority w:val="99"/>
  </w:style>
  <w:style w:type="character" w:customStyle="1" w:styleId="81">
    <w:name w:val="Footer Char"/>
    <w:link w:val="25"/>
    <w:qFormat/>
    <w:uiPriority w:val="99"/>
  </w:style>
  <w:style w:type="character" w:customStyle="1" w:styleId="82">
    <w:name w:val="页脚 Char1"/>
    <w:link w:val="25"/>
    <w:qFormat/>
    <w:uiPriority w:val="99"/>
  </w:style>
  <w:style w:type="table" w:customStyle="1" w:styleId="83">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4">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5">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6">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8">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9">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0">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1">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2">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3">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4">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5">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6">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8">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9">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0">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1">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2">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3">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4">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5">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6">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7">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8">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9">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0">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1">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2">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3">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4">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5">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6">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7">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8">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9">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0">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1">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2">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3">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4">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5">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6">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7">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8">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9">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0">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1">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2">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3">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4">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5">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6">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7">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8">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9">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0">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1">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2">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3">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4">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5">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6">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7">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8">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9">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0">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1">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2">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3">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4">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5">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6">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7">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8">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9">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0">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1">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2">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3">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4">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5">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6">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7">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8">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9">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0">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1">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2">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3">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4">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5">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6">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7">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8">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9">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0">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1">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2">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3">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4">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5">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6">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7">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8">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9">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0">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1">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2">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3">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4">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5">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6">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7">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8">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9">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0">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1">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2">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3">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4">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5">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6">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7">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8">
    <w:name w:val="脚注文本 Char"/>
    <w:link w:val="31"/>
    <w:qFormat/>
    <w:uiPriority w:val="99"/>
    <w:rPr>
      <w:sz w:val="18"/>
    </w:rPr>
  </w:style>
  <w:style w:type="character" w:customStyle="1" w:styleId="209">
    <w:name w:val="尾注文本 Char"/>
    <w:link w:val="24"/>
    <w:qFormat/>
    <w:uiPriority w:val="99"/>
    <w:rPr>
      <w:sz w:val="20"/>
    </w:rPr>
  </w:style>
  <w:style w:type="paragraph" w:customStyle="1" w:styleId="210">
    <w:name w:val="TOC 标题11"/>
    <w:unhideWhenUsed/>
    <w:qFormat/>
    <w:uiPriority w:val="39"/>
    <w:rPr>
      <w:rFonts w:ascii="Times New Roman" w:hAnsi="Times New Roman" w:eastAsia="宋体" w:cs="Times New Roman"/>
      <w:lang w:val="en-US" w:eastAsia="zh-CN" w:bidi="ar-SA"/>
    </w:rPr>
  </w:style>
  <w:style w:type="paragraph" w:customStyle="1" w:styleId="211">
    <w:name w:val="标题 11"/>
    <w:basedOn w:val="1"/>
    <w:next w:val="1"/>
    <w:link w:val="218"/>
    <w:qFormat/>
    <w:uiPriority w:val="0"/>
    <w:pPr>
      <w:keepNext/>
      <w:jc w:val="center"/>
      <w:outlineLvl w:val="0"/>
    </w:pPr>
    <w:rPr>
      <w:rFonts w:ascii="楷体_GB2312" w:eastAsia="楷体_GB2312"/>
      <w:b/>
      <w:sz w:val="28"/>
    </w:rPr>
  </w:style>
  <w:style w:type="paragraph" w:customStyle="1" w:styleId="212">
    <w:name w:val="标题 21"/>
    <w:basedOn w:val="1"/>
    <w:next w:val="1"/>
    <w:link w:val="219"/>
    <w:qFormat/>
    <w:uiPriority w:val="0"/>
    <w:pPr>
      <w:keepNext/>
      <w:jc w:val="center"/>
      <w:outlineLvl w:val="1"/>
    </w:pPr>
    <w:rPr>
      <w:rFonts w:ascii="楷体_GB2312" w:eastAsia="楷体_GB2312"/>
      <w:b/>
      <w:bCs/>
      <w:sz w:val="18"/>
    </w:rPr>
  </w:style>
  <w:style w:type="paragraph" w:customStyle="1" w:styleId="213">
    <w:name w:val="标题 31"/>
    <w:basedOn w:val="1"/>
    <w:next w:val="1"/>
    <w:link w:val="220"/>
    <w:qFormat/>
    <w:uiPriority w:val="0"/>
    <w:pPr>
      <w:keepNext/>
      <w:jc w:val="center"/>
      <w:outlineLvl w:val="2"/>
    </w:pPr>
    <w:rPr>
      <w:rFonts w:eastAsia="楷体_GB2312"/>
      <w:b/>
      <w:bCs/>
      <w:sz w:val="15"/>
    </w:rPr>
  </w:style>
  <w:style w:type="paragraph" w:customStyle="1" w:styleId="214">
    <w:name w:val="标题 41"/>
    <w:basedOn w:val="1"/>
    <w:next w:val="1"/>
    <w:link w:val="221"/>
    <w:qFormat/>
    <w:uiPriority w:val="0"/>
    <w:pPr>
      <w:keepNext/>
      <w:jc w:val="center"/>
      <w:outlineLvl w:val="3"/>
    </w:pPr>
    <w:rPr>
      <w:rFonts w:eastAsia="楷体_GB2312"/>
      <w:b/>
      <w:bCs/>
      <w:sz w:val="13"/>
    </w:rPr>
  </w:style>
  <w:style w:type="paragraph" w:customStyle="1" w:styleId="215">
    <w:name w:val="标题 51"/>
    <w:basedOn w:val="1"/>
    <w:next w:val="1"/>
    <w:link w:val="222"/>
    <w:qFormat/>
    <w:uiPriority w:val="0"/>
    <w:pPr>
      <w:keepNext/>
      <w:numPr>
        <w:ilvl w:val="0"/>
        <w:numId w:val="2"/>
      </w:numPr>
      <w:outlineLvl w:val="4"/>
    </w:pPr>
    <w:rPr>
      <w:rFonts w:ascii="楷体_GB2312" w:eastAsia="楷体_GB2312"/>
      <w:bCs/>
      <w:sz w:val="28"/>
    </w:rPr>
  </w:style>
  <w:style w:type="character" w:customStyle="1" w:styleId="216">
    <w:name w:val="默认段落字体1"/>
    <w:unhideWhenUsed/>
    <w:qFormat/>
    <w:uiPriority w:val="1"/>
  </w:style>
  <w:style w:type="table" w:customStyle="1" w:styleId="217">
    <w:name w:val="普通表格1"/>
    <w:unhideWhenUsed/>
    <w:qFormat/>
    <w:uiPriority w:val="99"/>
    <w:tblPr>
      <w:tblCellMar>
        <w:top w:w="0" w:type="dxa"/>
        <w:left w:w="0" w:type="dxa"/>
        <w:bottom w:w="0" w:type="dxa"/>
        <w:right w:w="0" w:type="dxa"/>
      </w:tblCellMar>
    </w:tblPr>
  </w:style>
  <w:style w:type="character" w:customStyle="1" w:styleId="218">
    <w:name w:val="标题 1 Char"/>
    <w:link w:val="211"/>
    <w:qFormat/>
    <w:uiPriority w:val="0"/>
    <w:rPr>
      <w:rFonts w:ascii="楷体_GB2312" w:hAnsi="Times New Roman" w:eastAsia="楷体_GB2312" w:cs="Times New Roman"/>
      <w:b/>
      <w:sz w:val="28"/>
      <w:szCs w:val="20"/>
    </w:rPr>
  </w:style>
  <w:style w:type="character" w:customStyle="1" w:styleId="219">
    <w:name w:val="标题 2 Char"/>
    <w:link w:val="212"/>
    <w:qFormat/>
    <w:uiPriority w:val="0"/>
    <w:rPr>
      <w:rFonts w:ascii="楷体_GB2312" w:hAnsi="Times New Roman" w:eastAsia="楷体_GB2312" w:cs="Times New Roman"/>
      <w:b/>
      <w:bCs/>
      <w:sz w:val="18"/>
      <w:szCs w:val="20"/>
    </w:rPr>
  </w:style>
  <w:style w:type="character" w:customStyle="1" w:styleId="220">
    <w:name w:val="标题 3 Char"/>
    <w:link w:val="213"/>
    <w:qFormat/>
    <w:uiPriority w:val="0"/>
    <w:rPr>
      <w:rFonts w:ascii="Times New Roman" w:hAnsi="Times New Roman" w:eastAsia="楷体_GB2312" w:cs="Times New Roman"/>
      <w:b/>
      <w:bCs/>
      <w:sz w:val="15"/>
      <w:szCs w:val="20"/>
    </w:rPr>
  </w:style>
  <w:style w:type="character" w:customStyle="1" w:styleId="221">
    <w:name w:val="标题 4 Char"/>
    <w:link w:val="214"/>
    <w:qFormat/>
    <w:uiPriority w:val="0"/>
    <w:rPr>
      <w:rFonts w:ascii="Times New Roman" w:hAnsi="Times New Roman" w:eastAsia="楷体_GB2312" w:cs="Times New Roman"/>
      <w:b/>
      <w:bCs/>
      <w:sz w:val="13"/>
      <w:szCs w:val="20"/>
    </w:rPr>
  </w:style>
  <w:style w:type="character" w:customStyle="1" w:styleId="222">
    <w:name w:val="标题 5 Char"/>
    <w:link w:val="215"/>
    <w:qFormat/>
    <w:uiPriority w:val="0"/>
    <w:rPr>
      <w:rFonts w:ascii="楷体_GB2312" w:hAnsi="Times New Roman" w:eastAsia="楷体_GB2312" w:cs="Times New Roman"/>
      <w:bCs/>
      <w:sz w:val="28"/>
      <w:szCs w:val="20"/>
    </w:rPr>
  </w:style>
  <w:style w:type="paragraph" w:customStyle="1" w:styleId="223">
    <w:name w:val="正文缩进1"/>
    <w:basedOn w:val="1"/>
    <w:link w:val="224"/>
    <w:unhideWhenUsed/>
    <w:qFormat/>
    <w:uiPriority w:val="0"/>
    <w:pPr>
      <w:ind w:firstLine="420"/>
    </w:pPr>
  </w:style>
  <w:style w:type="character" w:customStyle="1" w:styleId="224">
    <w:name w:val="正文缩进 Char"/>
    <w:link w:val="223"/>
    <w:semiHidden/>
    <w:qFormat/>
    <w:uiPriority w:val="0"/>
    <w:rPr>
      <w:rFonts w:ascii="Times New Roman" w:hAnsi="Times New Roman"/>
      <w:sz w:val="21"/>
    </w:rPr>
  </w:style>
  <w:style w:type="paragraph" w:customStyle="1" w:styleId="225">
    <w:name w:val="索引 51"/>
    <w:basedOn w:val="1"/>
    <w:next w:val="1"/>
    <w:qFormat/>
    <w:uiPriority w:val="0"/>
    <w:pPr>
      <w:ind w:left="800"/>
    </w:pPr>
  </w:style>
  <w:style w:type="paragraph" w:customStyle="1" w:styleId="226">
    <w:name w:val="文档结构图1"/>
    <w:basedOn w:val="1"/>
    <w:link w:val="227"/>
    <w:semiHidden/>
    <w:qFormat/>
    <w:uiPriority w:val="0"/>
    <w:pPr>
      <w:shd w:val="clear" w:color="auto" w:fill="000080"/>
    </w:pPr>
    <w:rPr>
      <w:sz w:val="20"/>
    </w:rPr>
  </w:style>
  <w:style w:type="character" w:customStyle="1" w:styleId="227">
    <w:name w:val="文档结构图 Char"/>
    <w:link w:val="226"/>
    <w:semiHidden/>
    <w:qFormat/>
    <w:uiPriority w:val="0"/>
    <w:rPr>
      <w:rFonts w:ascii="Times New Roman" w:hAnsi="Times New Roman" w:eastAsia="宋体" w:cs="Times New Roman"/>
      <w:szCs w:val="20"/>
      <w:shd w:val="clear" w:color="auto" w:fill="000080"/>
    </w:rPr>
  </w:style>
  <w:style w:type="paragraph" w:customStyle="1" w:styleId="228">
    <w:name w:val="批注文字1"/>
    <w:basedOn w:val="1"/>
    <w:link w:val="229"/>
    <w:semiHidden/>
    <w:qFormat/>
    <w:uiPriority w:val="99"/>
    <w:pPr>
      <w:jc w:val="left"/>
    </w:pPr>
    <w:rPr>
      <w:sz w:val="20"/>
      <w:szCs w:val="24"/>
    </w:rPr>
  </w:style>
  <w:style w:type="character" w:customStyle="1" w:styleId="229">
    <w:name w:val="批注文字 Char"/>
    <w:link w:val="228"/>
    <w:semiHidden/>
    <w:qFormat/>
    <w:uiPriority w:val="99"/>
    <w:rPr>
      <w:rFonts w:ascii="Times New Roman" w:hAnsi="Times New Roman" w:eastAsia="宋体" w:cs="Times New Roman"/>
      <w:szCs w:val="24"/>
    </w:rPr>
  </w:style>
  <w:style w:type="paragraph" w:customStyle="1" w:styleId="230">
    <w:name w:val="正文文本1"/>
    <w:basedOn w:val="1"/>
    <w:next w:val="231"/>
    <w:link w:val="232"/>
    <w:qFormat/>
    <w:uiPriority w:val="99"/>
    <w:rPr>
      <w:rFonts w:ascii="华文中宋" w:eastAsia="华文中宋"/>
      <w:bCs/>
      <w:sz w:val="28"/>
    </w:rPr>
  </w:style>
  <w:style w:type="paragraph" w:customStyle="1" w:styleId="231">
    <w:name w:val="toc 11"/>
    <w:next w:val="1"/>
    <w:qFormat/>
    <w:uiPriority w:val="0"/>
    <w:pPr>
      <w:jc w:val="both"/>
    </w:pPr>
    <w:rPr>
      <w:rFonts w:hint="default" w:ascii="Calibri" w:hAnsi="Calibri" w:eastAsia="宋体" w:cs="Times New Roman"/>
      <w:sz w:val="21"/>
      <w:lang w:val="en-US" w:eastAsia="zh-CN" w:bidi="ar-SA"/>
    </w:rPr>
  </w:style>
  <w:style w:type="character" w:customStyle="1" w:styleId="232">
    <w:name w:val="正文文本 Char"/>
    <w:link w:val="230"/>
    <w:qFormat/>
    <w:uiPriority w:val="99"/>
    <w:rPr>
      <w:rFonts w:ascii="华文中宋" w:hAnsi="Times New Roman" w:eastAsia="华文中宋" w:cs="Times New Roman"/>
      <w:bCs/>
      <w:sz w:val="28"/>
      <w:szCs w:val="20"/>
    </w:rPr>
  </w:style>
  <w:style w:type="paragraph" w:customStyle="1" w:styleId="233">
    <w:name w:val="正文文本缩进1"/>
    <w:basedOn w:val="1"/>
    <w:link w:val="234"/>
    <w:qFormat/>
    <w:uiPriority w:val="0"/>
    <w:pPr>
      <w:ind w:firstLine="576"/>
    </w:pPr>
    <w:rPr>
      <w:b/>
      <w:sz w:val="30"/>
    </w:rPr>
  </w:style>
  <w:style w:type="character" w:customStyle="1" w:styleId="234">
    <w:name w:val="正文文本缩进 Char"/>
    <w:link w:val="233"/>
    <w:qFormat/>
    <w:uiPriority w:val="0"/>
    <w:rPr>
      <w:rFonts w:ascii="Times New Roman" w:hAnsi="Times New Roman" w:eastAsia="宋体" w:cs="Times New Roman"/>
      <w:b/>
      <w:sz w:val="30"/>
      <w:szCs w:val="20"/>
    </w:rPr>
  </w:style>
  <w:style w:type="paragraph" w:customStyle="1" w:styleId="235">
    <w:name w:val="索引 41"/>
    <w:basedOn w:val="1"/>
    <w:next w:val="1"/>
    <w:qFormat/>
    <w:uiPriority w:val="99"/>
    <w:pPr>
      <w:ind w:left="600"/>
    </w:pPr>
    <w:rPr>
      <w:szCs w:val="24"/>
    </w:rPr>
  </w:style>
  <w:style w:type="paragraph" w:customStyle="1" w:styleId="236">
    <w:name w:val="纯文本1"/>
    <w:basedOn w:val="1"/>
    <w:next w:val="1"/>
    <w:qFormat/>
    <w:uiPriority w:val="0"/>
    <w:rPr>
      <w:rFonts w:ascii="宋体" w:hAnsi="Courier New"/>
      <w:szCs w:val="21"/>
    </w:rPr>
  </w:style>
  <w:style w:type="paragraph" w:customStyle="1" w:styleId="237">
    <w:name w:val="日期1"/>
    <w:basedOn w:val="1"/>
    <w:next w:val="1"/>
    <w:link w:val="238"/>
    <w:qFormat/>
    <w:uiPriority w:val="0"/>
    <w:rPr>
      <w:rFonts w:eastAsia="黑体"/>
      <w:b/>
      <w:sz w:val="36"/>
    </w:rPr>
  </w:style>
  <w:style w:type="character" w:customStyle="1" w:styleId="238">
    <w:name w:val="日期 Char"/>
    <w:link w:val="237"/>
    <w:qFormat/>
    <w:uiPriority w:val="0"/>
    <w:rPr>
      <w:rFonts w:ascii="Times New Roman" w:hAnsi="Times New Roman" w:eastAsia="黑体" w:cs="Times New Roman"/>
      <w:b/>
      <w:sz w:val="36"/>
      <w:szCs w:val="20"/>
    </w:rPr>
  </w:style>
  <w:style w:type="paragraph" w:customStyle="1" w:styleId="239">
    <w:name w:val="正文文本缩进 21"/>
    <w:basedOn w:val="1"/>
    <w:link w:val="240"/>
    <w:qFormat/>
    <w:uiPriority w:val="0"/>
    <w:pPr>
      <w:ind w:left="900"/>
    </w:pPr>
    <w:rPr>
      <w:rFonts w:ascii="楷体_GB2312" w:eastAsia="楷体_GB2312"/>
      <w:b/>
      <w:sz w:val="28"/>
    </w:rPr>
  </w:style>
  <w:style w:type="character" w:customStyle="1" w:styleId="240">
    <w:name w:val="正文文本缩进 2 Char"/>
    <w:link w:val="239"/>
    <w:qFormat/>
    <w:uiPriority w:val="0"/>
    <w:rPr>
      <w:rFonts w:ascii="楷体_GB2312" w:hAnsi="Times New Roman" w:eastAsia="楷体_GB2312" w:cs="Times New Roman"/>
      <w:b/>
      <w:sz w:val="28"/>
      <w:szCs w:val="20"/>
    </w:rPr>
  </w:style>
  <w:style w:type="paragraph" w:customStyle="1" w:styleId="241">
    <w:name w:val="批注框文本1"/>
    <w:basedOn w:val="1"/>
    <w:link w:val="242"/>
    <w:unhideWhenUsed/>
    <w:qFormat/>
    <w:uiPriority w:val="99"/>
    <w:rPr>
      <w:sz w:val="18"/>
      <w:szCs w:val="18"/>
    </w:rPr>
  </w:style>
  <w:style w:type="character" w:customStyle="1" w:styleId="242">
    <w:name w:val="批注框文本 Char"/>
    <w:link w:val="241"/>
    <w:semiHidden/>
    <w:qFormat/>
    <w:uiPriority w:val="99"/>
    <w:rPr>
      <w:rFonts w:ascii="Times New Roman" w:hAnsi="Times New Roman" w:eastAsia="宋体" w:cs="Times New Roman"/>
      <w:sz w:val="18"/>
      <w:szCs w:val="18"/>
    </w:rPr>
  </w:style>
  <w:style w:type="paragraph" w:customStyle="1" w:styleId="243">
    <w:name w:val="页脚1"/>
    <w:basedOn w:val="1"/>
    <w:link w:val="244"/>
    <w:unhideWhenUsed/>
    <w:qFormat/>
    <w:uiPriority w:val="0"/>
    <w:pPr>
      <w:tabs>
        <w:tab w:val="center" w:pos="4153"/>
        <w:tab w:val="right" w:pos="8306"/>
      </w:tabs>
      <w:jc w:val="left"/>
    </w:pPr>
    <w:rPr>
      <w:rFonts w:ascii="Calibri" w:hAnsi="Calibri"/>
      <w:sz w:val="18"/>
      <w:szCs w:val="18"/>
    </w:rPr>
  </w:style>
  <w:style w:type="character" w:customStyle="1" w:styleId="244">
    <w:name w:val="页脚 Char"/>
    <w:link w:val="243"/>
    <w:qFormat/>
    <w:uiPriority w:val="0"/>
    <w:rPr>
      <w:sz w:val="18"/>
      <w:szCs w:val="18"/>
    </w:rPr>
  </w:style>
  <w:style w:type="paragraph" w:customStyle="1" w:styleId="245">
    <w:name w:val="页眉1"/>
    <w:basedOn w:val="1"/>
    <w:link w:val="246"/>
    <w:unhideWhenUsed/>
    <w:qFormat/>
    <w:uiPriority w:val="0"/>
    <w:pPr>
      <w:pBdr>
        <w:bottom w:val="single" w:color="000000" w:sz="6" w:space="1"/>
      </w:pBdr>
      <w:tabs>
        <w:tab w:val="center" w:pos="4153"/>
        <w:tab w:val="right" w:pos="8306"/>
      </w:tabs>
      <w:jc w:val="center"/>
    </w:pPr>
    <w:rPr>
      <w:rFonts w:ascii="Calibri" w:hAnsi="Calibri"/>
      <w:sz w:val="18"/>
      <w:szCs w:val="18"/>
    </w:rPr>
  </w:style>
  <w:style w:type="character" w:customStyle="1" w:styleId="246">
    <w:name w:val="页眉 Char"/>
    <w:link w:val="245"/>
    <w:qFormat/>
    <w:uiPriority w:val="0"/>
    <w:rPr>
      <w:sz w:val="18"/>
      <w:szCs w:val="18"/>
    </w:rPr>
  </w:style>
  <w:style w:type="paragraph" w:customStyle="1" w:styleId="247">
    <w:name w:val="目录 11"/>
    <w:basedOn w:val="1"/>
    <w:next w:val="1"/>
    <w:unhideWhenUsed/>
    <w:qFormat/>
    <w:uiPriority w:val="39"/>
  </w:style>
  <w:style w:type="paragraph" w:customStyle="1" w:styleId="248">
    <w:name w:val="列表1"/>
    <w:basedOn w:val="1"/>
    <w:qFormat/>
    <w:uiPriority w:val="0"/>
    <w:pPr>
      <w:tabs>
        <w:tab w:val="left" w:pos="420"/>
      </w:tabs>
      <w:spacing w:after="20" w:line="288" w:lineRule="auto"/>
      <w:ind w:left="420" w:hanging="420"/>
    </w:pPr>
    <w:rPr>
      <w:lang w:val="en-GB"/>
    </w:rPr>
  </w:style>
  <w:style w:type="paragraph" w:customStyle="1" w:styleId="249">
    <w:name w:val="正文文本缩进 31"/>
    <w:basedOn w:val="1"/>
    <w:link w:val="250"/>
    <w:qFormat/>
    <w:uiPriority w:val="0"/>
    <w:pPr>
      <w:ind w:left="359" w:firstLine="359"/>
    </w:pPr>
    <w:rPr>
      <w:sz w:val="20"/>
    </w:rPr>
  </w:style>
  <w:style w:type="character" w:customStyle="1" w:styleId="250">
    <w:name w:val="正文文本缩进 3 Char"/>
    <w:link w:val="249"/>
    <w:qFormat/>
    <w:uiPriority w:val="0"/>
    <w:rPr>
      <w:rFonts w:ascii="Times New Roman" w:hAnsi="Times New Roman" w:eastAsia="宋体" w:cs="Times New Roman"/>
      <w:szCs w:val="20"/>
    </w:rPr>
  </w:style>
  <w:style w:type="paragraph" w:customStyle="1" w:styleId="251">
    <w:name w:val="目录 21"/>
    <w:basedOn w:val="1"/>
    <w:next w:val="1"/>
    <w:qFormat/>
    <w:uiPriority w:val="0"/>
    <w:pPr>
      <w:widowControl/>
      <w:tabs>
        <w:tab w:val="right" w:leader="dot" w:pos="9170"/>
      </w:tabs>
      <w:ind w:left="210" w:firstLine="150"/>
      <w:jc w:val="left"/>
    </w:pPr>
    <w:rPr>
      <w:rFonts w:ascii="Calibri" w:hAnsi="Calibri" w:cs="黑体"/>
      <w:smallCaps/>
      <w:color w:val="000000"/>
      <w:sz w:val="20"/>
    </w:rPr>
  </w:style>
  <w:style w:type="paragraph" w:customStyle="1" w:styleId="252">
    <w:name w:val="正文文本 21"/>
    <w:basedOn w:val="1"/>
    <w:link w:val="253"/>
    <w:qFormat/>
    <w:uiPriority w:val="0"/>
    <w:pPr>
      <w:spacing w:after="120" w:line="480" w:lineRule="auto"/>
    </w:pPr>
    <w:rPr>
      <w:sz w:val="20"/>
    </w:rPr>
  </w:style>
  <w:style w:type="character" w:customStyle="1" w:styleId="253">
    <w:name w:val="正文文本 2 Char"/>
    <w:link w:val="252"/>
    <w:qFormat/>
    <w:uiPriority w:val="0"/>
    <w:rPr>
      <w:rFonts w:ascii="Times New Roman" w:hAnsi="Times New Roman" w:eastAsia="宋体" w:cs="Times New Roman"/>
      <w:szCs w:val="20"/>
    </w:rPr>
  </w:style>
  <w:style w:type="paragraph" w:customStyle="1" w:styleId="254">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55">
    <w:name w:val="批注主题1"/>
    <w:basedOn w:val="228"/>
    <w:next w:val="228"/>
    <w:link w:val="256"/>
    <w:semiHidden/>
    <w:qFormat/>
    <w:uiPriority w:val="99"/>
    <w:rPr>
      <w:b/>
      <w:bCs/>
    </w:rPr>
  </w:style>
  <w:style w:type="character" w:customStyle="1" w:styleId="256">
    <w:name w:val="批注主题 Char"/>
    <w:link w:val="255"/>
    <w:semiHidden/>
    <w:qFormat/>
    <w:uiPriority w:val="99"/>
    <w:rPr>
      <w:rFonts w:ascii="Times New Roman" w:hAnsi="Times New Roman" w:eastAsia="宋体" w:cs="Times New Roman"/>
      <w:b/>
      <w:bCs/>
      <w:szCs w:val="24"/>
    </w:rPr>
  </w:style>
  <w:style w:type="paragraph" w:customStyle="1" w:styleId="257">
    <w:name w:val="正文首行缩进1"/>
    <w:basedOn w:val="230"/>
    <w:qFormat/>
    <w:uiPriority w:val="0"/>
    <w:pPr>
      <w:spacing w:after="120"/>
      <w:ind w:firstLine="420"/>
    </w:pPr>
    <w:rPr>
      <w:color w:val="000000"/>
      <w:spacing w:val="-8"/>
      <w:sz w:val="21"/>
    </w:rPr>
  </w:style>
  <w:style w:type="paragraph" w:customStyle="1" w:styleId="258">
    <w:name w:val="正文首行缩进 21"/>
    <w:basedOn w:val="233"/>
    <w:next w:val="1"/>
    <w:qFormat/>
    <w:uiPriority w:val="0"/>
    <w:pPr>
      <w:ind w:firstLine="420"/>
    </w:pPr>
  </w:style>
  <w:style w:type="character" w:customStyle="1" w:styleId="259">
    <w:name w:val="要点1"/>
    <w:qFormat/>
    <w:uiPriority w:val="99"/>
    <w:rPr>
      <w:rFonts w:cs="Times New Roman"/>
      <w:b/>
      <w:bCs/>
    </w:rPr>
  </w:style>
  <w:style w:type="character" w:customStyle="1" w:styleId="260">
    <w:name w:val="页码1"/>
    <w:qFormat/>
    <w:uiPriority w:val="0"/>
    <w:rPr>
      <w:rFonts w:cs="Times New Roman"/>
    </w:rPr>
  </w:style>
  <w:style w:type="character" w:customStyle="1" w:styleId="261">
    <w:name w:val="已访问的超链接1"/>
    <w:qFormat/>
    <w:uiPriority w:val="99"/>
    <w:rPr>
      <w:rFonts w:cs="Times New Roman"/>
      <w:color w:val="000000"/>
      <w:u w:val="none"/>
    </w:rPr>
  </w:style>
  <w:style w:type="character" w:customStyle="1" w:styleId="262">
    <w:name w:val="HTML 打字机1"/>
    <w:link w:val="1"/>
    <w:qFormat/>
    <w:uiPriority w:val="99"/>
    <w:rPr>
      <w:rFonts w:ascii="Times New Roman" w:hAnsi="Times New Roman" w:eastAsia="宋体" w:cs="Times New Roman"/>
      <w:sz w:val="21"/>
      <w:lang w:val="en-US" w:eastAsia="zh-CN" w:bidi="ar-SA"/>
    </w:rPr>
  </w:style>
  <w:style w:type="character" w:customStyle="1" w:styleId="263">
    <w:name w:val="超链接1"/>
    <w:link w:val="1"/>
    <w:qFormat/>
    <w:uiPriority w:val="0"/>
    <w:rPr>
      <w:color w:val="000000"/>
      <w:u w:val="none"/>
    </w:rPr>
  </w:style>
  <w:style w:type="paragraph" w:customStyle="1" w:styleId="264">
    <w:name w:val="_Style 1"/>
    <w:basedOn w:val="1"/>
    <w:qFormat/>
    <w:uiPriority w:val="99"/>
    <w:pPr>
      <w:ind w:firstLine="420"/>
    </w:pPr>
    <w:rPr>
      <w:rFonts w:ascii="Calibri" w:hAnsi="Calibri" w:cs="Calibri"/>
      <w:sz w:val="34"/>
      <w:szCs w:val="34"/>
    </w:rPr>
  </w:style>
  <w:style w:type="character" w:customStyle="1" w:styleId="265">
    <w:name w:val="日期 Char1"/>
    <w:semiHidden/>
    <w:qFormat/>
    <w:uiPriority w:val="0"/>
    <w:rPr>
      <w:rFonts w:ascii="Times New Roman" w:hAnsi="Times New Roman" w:eastAsia="宋体" w:cs="Times New Roman"/>
      <w:szCs w:val="20"/>
    </w:rPr>
  </w:style>
  <w:style w:type="character" w:customStyle="1" w:styleId="266">
    <w:name w:val="正文文本缩进 Char1"/>
    <w:semiHidden/>
    <w:qFormat/>
    <w:uiPriority w:val="0"/>
    <w:rPr>
      <w:rFonts w:ascii="Times New Roman" w:hAnsi="Times New Roman" w:eastAsia="宋体" w:cs="Times New Roman"/>
      <w:szCs w:val="20"/>
    </w:rPr>
  </w:style>
  <w:style w:type="character" w:customStyle="1" w:styleId="267">
    <w:name w:val="正文文本缩进 2 Char1"/>
    <w:semiHidden/>
    <w:qFormat/>
    <w:uiPriority w:val="0"/>
    <w:rPr>
      <w:rFonts w:ascii="Times New Roman" w:hAnsi="Times New Roman" w:eastAsia="宋体" w:cs="Times New Roman"/>
      <w:szCs w:val="20"/>
    </w:rPr>
  </w:style>
  <w:style w:type="character" w:customStyle="1" w:styleId="268">
    <w:name w:val="正文文本缩进 3 Char1"/>
    <w:semiHidden/>
    <w:qFormat/>
    <w:uiPriority w:val="0"/>
    <w:rPr>
      <w:rFonts w:ascii="Times New Roman" w:hAnsi="Times New Roman" w:eastAsia="宋体" w:cs="Times New Roman"/>
      <w:sz w:val="16"/>
      <w:szCs w:val="16"/>
    </w:rPr>
  </w:style>
  <w:style w:type="paragraph" w:customStyle="1" w:styleId="269">
    <w:name w:val="普通文字"/>
    <w:basedOn w:val="1"/>
    <w:next w:val="1"/>
    <w:qFormat/>
    <w:uiPriority w:val="0"/>
    <w:rPr>
      <w:rFonts w:ascii="宋体"/>
      <w:sz w:val="24"/>
    </w:rPr>
  </w:style>
  <w:style w:type="character" w:customStyle="1" w:styleId="270">
    <w:name w:val="文档结构图 Char1"/>
    <w:semiHidden/>
    <w:qFormat/>
    <w:uiPriority w:val="0"/>
    <w:rPr>
      <w:rFonts w:ascii="宋体" w:hAnsi="Times New Roman" w:eastAsia="宋体" w:cs="Times New Roman"/>
      <w:sz w:val="18"/>
      <w:szCs w:val="18"/>
    </w:rPr>
  </w:style>
  <w:style w:type="character" w:customStyle="1" w:styleId="271">
    <w:name w:val="正文文本 2 Char1"/>
    <w:semiHidden/>
    <w:qFormat/>
    <w:uiPriority w:val="0"/>
    <w:rPr>
      <w:rFonts w:ascii="Times New Roman" w:hAnsi="Times New Roman" w:eastAsia="宋体" w:cs="Times New Roman"/>
      <w:szCs w:val="20"/>
    </w:rPr>
  </w:style>
  <w:style w:type="character" w:customStyle="1" w:styleId="272">
    <w:name w:val="批注框文本 Char1"/>
    <w:semiHidden/>
    <w:qFormat/>
    <w:uiPriority w:val="99"/>
    <w:rPr>
      <w:rFonts w:ascii="Times New Roman" w:hAnsi="Times New Roman" w:eastAsia="宋体" w:cs="Times New Roman"/>
      <w:sz w:val="18"/>
      <w:szCs w:val="18"/>
    </w:rPr>
  </w:style>
  <w:style w:type="paragraph" w:customStyle="1" w:styleId="273">
    <w:name w:val="样式 小四 段前: 5 磅 段后: 5 磅 首行缩进:  2 字符"/>
    <w:basedOn w:val="1"/>
    <w:qFormat/>
    <w:uiPriority w:val="0"/>
    <w:pPr>
      <w:spacing w:line="360" w:lineRule="auto"/>
      <w:jc w:val="center"/>
    </w:pPr>
    <w:rPr>
      <w:rFonts w:ascii="宋体" w:hAnsi="宋体"/>
      <w:bCs/>
      <w:color w:val="FF0000"/>
      <w:sz w:val="24"/>
      <w:szCs w:val="24"/>
    </w:rPr>
  </w:style>
  <w:style w:type="character" w:customStyle="1" w:styleId="274">
    <w:name w:val="正文首行缩进两字 Char"/>
    <w:link w:val="275"/>
    <w:qFormat/>
    <w:uiPriority w:val="0"/>
    <w:rPr>
      <w:rFonts w:ascii="Times New Roman" w:hAnsi="Times New Roman"/>
      <w:sz w:val="24"/>
      <w:szCs w:val="24"/>
      <w:lang w:val="en-US" w:eastAsia="zh-CN" w:bidi="ar-SA"/>
    </w:rPr>
  </w:style>
  <w:style w:type="paragraph" w:customStyle="1" w:styleId="275">
    <w:name w:val="正文首行缩进两字"/>
    <w:link w:val="274"/>
    <w:qFormat/>
    <w:uiPriority w:val="0"/>
    <w:pPr>
      <w:spacing w:line="300" w:lineRule="auto"/>
      <w:ind w:left="240" w:right="240" w:firstLine="480"/>
    </w:pPr>
    <w:rPr>
      <w:rFonts w:ascii="Times New Roman" w:hAnsi="Times New Roman" w:eastAsia="宋体" w:cs="Times New Roman"/>
      <w:sz w:val="24"/>
      <w:szCs w:val="24"/>
      <w:lang w:val="en-US" w:eastAsia="zh-CN" w:bidi="ar-SA"/>
    </w:rPr>
  </w:style>
  <w:style w:type="paragraph" w:customStyle="1" w:styleId="276">
    <w:name w:val="p0 paragraphindent"/>
    <w:basedOn w:val="1"/>
    <w:qFormat/>
    <w:uiPriority w:val="0"/>
    <w:pPr>
      <w:widowControl/>
      <w:spacing w:before="100" w:beforeAutospacing="1" w:after="100" w:afterAutospacing="1"/>
      <w:jc w:val="left"/>
    </w:pPr>
    <w:rPr>
      <w:rFonts w:ascii="宋体" w:hAnsi="宋体" w:cs="宋体"/>
      <w:sz w:val="24"/>
      <w:szCs w:val="24"/>
    </w:rPr>
  </w:style>
  <w:style w:type="paragraph" w:customStyle="1" w:styleId="277">
    <w:name w:val="一级条标题"/>
    <w:next w:val="1"/>
    <w:qFormat/>
    <w:uiPriority w:val="0"/>
    <w:pPr>
      <w:tabs>
        <w:tab w:val="left" w:pos="552"/>
      </w:tabs>
      <w:ind w:left="552" w:hanging="420"/>
      <w:outlineLvl w:val="2"/>
    </w:pPr>
    <w:rPr>
      <w:rFonts w:ascii="黑体" w:hAnsi="Times New Roman" w:eastAsia="黑体" w:cs="Times New Roman"/>
      <w:sz w:val="21"/>
      <w:szCs w:val="21"/>
      <w:lang w:val="en-US" w:eastAsia="zh-CN" w:bidi="ar-SA"/>
    </w:rPr>
  </w:style>
  <w:style w:type="paragraph" w:customStyle="1" w:styleId="278">
    <w:name w:val="字母编号列项（一级）"/>
    <w:qFormat/>
    <w:uiPriority w:val="0"/>
    <w:pPr>
      <w:tabs>
        <w:tab w:val="left" w:pos="552"/>
        <w:tab w:val="left" w:pos="840"/>
      </w:tabs>
      <w:ind w:left="552" w:hanging="420"/>
      <w:jc w:val="both"/>
    </w:pPr>
    <w:rPr>
      <w:rFonts w:ascii="宋体" w:hAnsi="Times New Roman" w:eastAsia="宋体" w:cs="Times New Roman"/>
      <w:sz w:val="21"/>
      <w:lang w:val="en-US" w:eastAsia="zh-CN" w:bidi="ar-SA"/>
    </w:rPr>
  </w:style>
  <w:style w:type="paragraph" w:customStyle="1" w:styleId="279">
    <w:name w:val="二级无"/>
    <w:basedOn w:val="1"/>
    <w:qFormat/>
    <w:uiPriority w:val="0"/>
    <w:pPr>
      <w:widowControl/>
      <w:tabs>
        <w:tab w:val="left" w:pos="552"/>
      </w:tabs>
      <w:ind w:left="552" w:hanging="420"/>
      <w:jc w:val="left"/>
      <w:outlineLvl w:val="3"/>
    </w:pPr>
    <w:rPr>
      <w:rFonts w:ascii="宋体"/>
      <w:szCs w:val="21"/>
    </w:rPr>
  </w:style>
  <w:style w:type="character" w:customStyle="1" w:styleId="280">
    <w:name w:val="case31"/>
    <w:qFormat/>
    <w:uiPriority w:val="0"/>
    <w:rPr>
      <w:spacing w:val="390"/>
      <w:sz w:val="21"/>
      <w:szCs w:val="21"/>
    </w:rPr>
  </w:style>
  <w:style w:type="character" w:customStyle="1" w:styleId="281">
    <w:name w:val="NormalCharacter1"/>
    <w:link w:val="282"/>
    <w:qFormat/>
    <w:uiPriority w:val="99"/>
    <w:rPr>
      <w:sz w:val="20"/>
    </w:rPr>
  </w:style>
  <w:style w:type="paragraph" w:customStyle="1" w:styleId="282">
    <w:name w:val="UserStyle_4"/>
    <w:basedOn w:val="1"/>
    <w:link w:val="281"/>
    <w:qFormat/>
    <w:uiPriority w:val="99"/>
    <w:pPr>
      <w:widowControl/>
    </w:pPr>
    <w:rPr>
      <w:sz w:val="20"/>
    </w:rPr>
  </w:style>
  <w:style w:type="paragraph" w:customStyle="1" w:styleId="283">
    <w:name w:val="List Paragraph1"/>
    <w:basedOn w:val="1"/>
    <w:qFormat/>
    <w:uiPriority w:val="0"/>
    <w:pPr>
      <w:ind w:firstLine="420"/>
    </w:pPr>
    <w:rPr>
      <w:szCs w:val="21"/>
    </w:rPr>
  </w:style>
  <w:style w:type="character" w:customStyle="1" w:styleId="284">
    <w:name w:val="font41"/>
    <w:basedOn w:val="216"/>
    <w:qFormat/>
    <w:uiPriority w:val="0"/>
    <w:rPr>
      <w:rFonts w:hint="eastAsia" w:ascii="宋体" w:hAnsi="宋体" w:eastAsia="宋体" w:cs="宋体"/>
      <w:color w:val="000000"/>
      <w:sz w:val="22"/>
      <w:szCs w:val="22"/>
      <w:u w:val="none"/>
      <w:vertAlign w:val="superscript"/>
    </w:rPr>
  </w:style>
  <w:style w:type="character" w:customStyle="1" w:styleId="285">
    <w:name w:val="font11"/>
    <w:basedOn w:val="216"/>
    <w:qFormat/>
    <w:uiPriority w:val="0"/>
    <w:rPr>
      <w:rFonts w:hint="eastAsia" w:ascii="宋体" w:hAnsi="宋体" w:eastAsia="宋体" w:cs="宋体"/>
      <w:color w:val="FF0000"/>
      <w:sz w:val="22"/>
      <w:szCs w:val="22"/>
      <w:u w:val="none"/>
    </w:rPr>
  </w:style>
  <w:style w:type="character" w:customStyle="1" w:styleId="286">
    <w:name w:val="font21"/>
    <w:basedOn w:val="216"/>
    <w:qFormat/>
    <w:uiPriority w:val="0"/>
    <w:rPr>
      <w:rFonts w:hint="eastAsia" w:ascii="宋体" w:hAnsi="宋体" w:eastAsia="宋体" w:cs="宋体"/>
      <w:color w:val="000000"/>
      <w:sz w:val="22"/>
      <w:szCs w:val="22"/>
      <w:u w:val="none"/>
    </w:rPr>
  </w:style>
  <w:style w:type="character" w:customStyle="1" w:styleId="287">
    <w:name w:val="font31"/>
    <w:basedOn w:val="216"/>
    <w:qFormat/>
    <w:uiPriority w:val="0"/>
    <w:rPr>
      <w:rFonts w:hint="eastAsia" w:ascii="宋体" w:hAnsi="宋体" w:eastAsia="宋体" w:cs="宋体"/>
      <w:b/>
      <w:bCs/>
      <w:color w:val="000000"/>
      <w:sz w:val="18"/>
      <w:szCs w:val="18"/>
      <w:u w:val="none"/>
    </w:rPr>
  </w:style>
  <w:style w:type="paragraph" w:customStyle="1" w:styleId="288">
    <w:name w:val="正文 A"/>
    <w:qFormat/>
    <w:uiPriority w:val="0"/>
    <w:pPr>
      <w:widowControl w:val="0"/>
      <w:jc w:val="both"/>
    </w:pPr>
    <w:rPr>
      <w:rFonts w:ascii="Times New Roman" w:hAnsi="Times New Roman" w:eastAsia="ヒラギノ角ゴ Pro W3" w:cs="Times New Roman"/>
      <w:color w:val="000000"/>
      <w:sz w:val="21"/>
      <w:lang w:val="en-US" w:eastAsia="zh-CN" w:bidi="ar-SA"/>
    </w:rPr>
  </w:style>
  <w:style w:type="paragraph" w:customStyle="1" w:styleId="289">
    <w:name w:val="Table Paragraph"/>
    <w:basedOn w:val="1"/>
    <w:qFormat/>
    <w:uiPriority w:val="1"/>
    <w:rPr>
      <w:rFonts w:ascii="Arial Unicode MS" w:hAnsi="Arial Unicode MS" w:eastAsia="Arial Unicode MS" w:cs="Arial Unicode MS"/>
      <w:lang w:val="zh-CN" w:bidi="zh-CN"/>
    </w:rPr>
  </w:style>
  <w:style w:type="paragraph" w:customStyle="1" w:styleId="290">
    <w:name w:val="表格文字"/>
    <w:basedOn w:val="1"/>
    <w:qFormat/>
    <w:uiPriority w:val="0"/>
    <w:pPr>
      <w:spacing w:line="288" w:lineRule="auto"/>
      <w:jc w:val="left"/>
    </w:pPr>
  </w:style>
  <w:style w:type="paragraph" w:customStyle="1" w:styleId="291">
    <w:name w:val="正文 New New New New New New New New New New New New New New New New New New New New New New New New New New New"/>
    <w:qFormat/>
    <w:uiPriority w:val="0"/>
    <w:pPr>
      <w:widowControl w:val="0"/>
      <w:jc w:val="both"/>
    </w:pPr>
    <w:rPr>
      <w:rFonts w:ascii="Calibri" w:hAnsi="Calibri" w:eastAsia="宋体" w:cs="黑体"/>
      <w:sz w:val="21"/>
      <w:szCs w:val="22"/>
      <w:lang w:val="en-US" w:eastAsia="zh-CN" w:bidi="ar-SA"/>
    </w:rPr>
  </w:style>
  <w:style w:type="paragraph" w:customStyle="1" w:styleId="292">
    <w:name w:val="列表段落1"/>
    <w:basedOn w:val="1"/>
    <w:qFormat/>
    <w:uiPriority w:val="0"/>
    <w:pPr>
      <w:ind w:firstLine="420"/>
    </w:pPr>
    <w:rPr>
      <w:rFonts w:ascii="Calibri" w:hAnsi="Calibri"/>
      <w:szCs w:val="22"/>
    </w:rPr>
  </w:style>
  <w:style w:type="paragraph" w:customStyle="1" w:styleId="293">
    <w:name w:val="标题 111"/>
    <w:basedOn w:val="1"/>
    <w:next w:val="1"/>
    <w:qFormat/>
    <w:uiPriority w:val="99"/>
    <w:pPr>
      <w:keepNext/>
      <w:widowControl/>
      <w:tabs>
        <w:tab w:val="left" w:pos="432"/>
      </w:tabs>
      <w:ind w:left="432" w:hanging="432"/>
      <w:jc w:val="center"/>
      <w:outlineLvl w:val="0"/>
    </w:pPr>
    <w:rPr>
      <w:rFonts w:ascii="黑体" w:eastAsia="黑体"/>
      <w:sz w:val="52"/>
    </w:rPr>
  </w:style>
  <w:style w:type="paragraph" w:customStyle="1" w:styleId="294">
    <w:name w:val="普通(网站)11"/>
    <w:basedOn w:val="1"/>
    <w:qFormat/>
    <w:uiPriority w:val="0"/>
    <w:pPr>
      <w:widowControl/>
      <w:spacing w:before="100" w:beforeAutospacing="1" w:after="100" w:afterAutospacing="1"/>
      <w:jc w:val="left"/>
    </w:pPr>
    <w:rPr>
      <w:rFonts w:ascii="宋体" w:hAnsi="宋体"/>
      <w:sz w:val="24"/>
      <w:szCs w:val="24"/>
    </w:rPr>
  </w:style>
  <w:style w:type="paragraph" w:customStyle="1" w:styleId="295">
    <w:name w:val="列表段落"/>
    <w:basedOn w:val="1"/>
    <w:qFormat/>
    <w:uiPriority w:val="0"/>
    <w:pPr>
      <w:ind w:firstLine="42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Company>
  <Pages>47</Pages>
  <Words>14912</Words>
  <Characters>15596</Characters>
  <Lines>235</Lines>
  <Paragraphs>66</Paragraphs>
  <TotalTime>448</TotalTime>
  <ScaleCrop>false</ScaleCrop>
  <LinksUpToDate>false</LinksUpToDate>
  <CharactersWithSpaces>15663</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2025-02-19T09:01:00Z</dcterms:created>
  <dc:creator>时缪</dc:creator>
  <cp:lastModifiedBy>小许</cp:lastModifiedBy>
  <cp:lastPrinted>2024-12-02T03:56:00Z</cp:lastPrinted>
  <dcterms:modified xsi:type="dcterms:W3CDTF">2025-05-20T03:20:51Z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A471950D46414CFCA2FA9330A350BA2D_13</vt:lpwstr>
  </property>
  <property fmtid="{D5CDD505-2E9C-101B-9397-08002B2CF9AE}" pid="4" name="KSOTemplateDocerSaveRecord">
    <vt:lpwstr>eyJoZGlkIjoiNzVjOTJkOWRkMjc0NDJlMjE0N2Q2OTMwMmU1MzAxMDMiLCJ1c2VySWQiOiI2NDM2OTY3OTgifQ==</vt:lpwstr>
  </property>
</Properties>
</file>