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77F7E">
      <w:pPr>
        <w:rPr>
          <w:rFonts w:hint="eastAsia" w:ascii="宋体" w:hAnsi="宋体" w:cs="宋体"/>
          <w:b/>
          <w:color w:val="000000" w:themeColor="text1"/>
          <w:sz w:val="72"/>
          <w:szCs w:val="72"/>
          <w:highlight w:val="none"/>
          <w14:textFill>
            <w14:solidFill>
              <w14:schemeClr w14:val="tx1"/>
            </w14:solidFill>
          </w14:textFill>
        </w:rPr>
      </w:pPr>
    </w:p>
    <w:p w14:paraId="1CF158FB">
      <w:pPr>
        <w:pStyle w:val="62"/>
        <w:rPr>
          <w:rFonts w:hint="eastAsia" w:ascii="宋体" w:hAnsi="宋体" w:cs="宋体"/>
          <w:color w:val="000000" w:themeColor="text1"/>
          <w:highlight w:val="none"/>
          <w14:textFill>
            <w14:solidFill>
              <w14:schemeClr w14:val="tx1"/>
            </w14:solidFill>
          </w14:textFill>
        </w:rPr>
      </w:pPr>
    </w:p>
    <w:p w14:paraId="18159939">
      <w:pPr>
        <w:spacing w:line="1040" w:lineRule="exact"/>
        <w:rPr>
          <w:rFonts w:hint="eastAsia" w:ascii="宋体" w:hAnsi="宋体" w:cs="宋体"/>
          <w:b/>
          <w:color w:val="000000" w:themeColor="text1"/>
          <w:sz w:val="72"/>
          <w:szCs w:val="72"/>
          <w:highlight w:val="none"/>
          <w14:textFill>
            <w14:solidFill>
              <w14:schemeClr w14:val="tx1"/>
            </w14:solidFill>
          </w14:textFill>
        </w:rPr>
      </w:pPr>
    </w:p>
    <w:p w14:paraId="03F36EF7">
      <w:pPr>
        <w:spacing w:line="1040" w:lineRule="exact"/>
        <w:jc w:val="center"/>
        <w:rPr>
          <w:rFonts w:hint="eastAsia"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公 开 招 标 文 件</w:t>
      </w:r>
    </w:p>
    <w:p w14:paraId="59273629">
      <w:pPr>
        <w:tabs>
          <w:tab w:val="center" w:pos="4621"/>
        </w:tabs>
        <w:rPr>
          <w:rFonts w:hint="eastAsia" w:ascii="宋体" w:hAnsi="宋体" w:cs="宋体"/>
          <w:b/>
          <w:color w:val="000000" w:themeColor="text1"/>
          <w:sz w:val="72"/>
          <w:highlight w:val="none"/>
          <w14:textFill>
            <w14:solidFill>
              <w14:schemeClr w14:val="tx1"/>
            </w14:solidFill>
          </w14:textFill>
        </w:rPr>
      </w:pPr>
    </w:p>
    <w:p w14:paraId="19F96E5C">
      <w:pPr>
        <w:tabs>
          <w:tab w:val="center" w:pos="4621"/>
        </w:tabs>
        <w:rPr>
          <w:rFonts w:hint="default" w:ascii="宋体" w:hAnsi="宋体" w:eastAsia="宋体" w:cs="宋体"/>
          <w:b/>
          <w:color w:val="000000" w:themeColor="text1"/>
          <w:sz w:val="72"/>
          <w:highlight w:val="none"/>
          <w:lang w:val="en-US" w:eastAsia="zh-CN"/>
          <w14:textFill>
            <w14:solidFill>
              <w14:schemeClr w14:val="tx1"/>
            </w14:solidFill>
          </w14:textFill>
        </w:rPr>
      </w:pPr>
    </w:p>
    <w:p w14:paraId="19777AA3">
      <w:pP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 </w:t>
      </w:r>
    </w:p>
    <w:p w14:paraId="009419F4">
      <w:pPr>
        <w:spacing w:line="760" w:lineRule="exact"/>
        <w:rPr>
          <w:rFonts w:hint="eastAsia" w:ascii="宋体" w:hAnsi="宋体" w:cs="宋体"/>
          <w:b/>
          <w:color w:val="000000" w:themeColor="text1"/>
          <w:sz w:val="36"/>
          <w:szCs w:val="36"/>
          <w:highlight w:val="none"/>
          <w14:textFill>
            <w14:solidFill>
              <w14:schemeClr w14:val="tx1"/>
            </w14:solidFill>
          </w14:textFill>
        </w:rPr>
      </w:pPr>
    </w:p>
    <w:p w14:paraId="14B8E410">
      <w:pPr>
        <w:spacing w:line="760" w:lineRule="exact"/>
        <w:ind w:firstLine="964" w:firstLineChars="300"/>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项目名称:经开区徐杨片区、主城区路灯养护</w:t>
      </w:r>
      <w:r>
        <w:rPr>
          <w:rFonts w:hint="eastAsia" w:ascii="宋体" w:hAnsi="宋体" w:cs="宋体"/>
          <w:b/>
          <w:color w:val="000000" w:themeColor="text1"/>
          <w:sz w:val="32"/>
          <w:szCs w:val="32"/>
          <w:highlight w:val="none"/>
          <w:lang w:eastAsia="zh-CN"/>
          <w14:textFill>
            <w14:solidFill>
              <w14:schemeClr w14:val="tx1"/>
            </w14:solidFill>
          </w14:textFill>
        </w:rPr>
        <w:t>（二次）</w:t>
      </w:r>
    </w:p>
    <w:p w14:paraId="2DAFFFB0">
      <w:pPr>
        <w:spacing w:line="760" w:lineRule="exact"/>
        <w:ind w:firstLine="964" w:firstLineChars="30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项目编号:</w:t>
      </w:r>
      <w:r>
        <w:rPr>
          <w:rFonts w:hint="eastAsia" w:ascii="宋体" w:hAnsi="宋体" w:cs="宋体"/>
          <w:b/>
          <w:color w:val="000000" w:themeColor="text1"/>
          <w:sz w:val="32"/>
          <w:szCs w:val="32"/>
          <w:highlight w:val="none"/>
          <w14:textFill>
            <w14:solidFill>
              <w14:schemeClr w14:val="tx1"/>
            </w14:solidFill>
          </w14:textFill>
        </w:rPr>
        <w:tab/>
      </w:r>
      <w:r>
        <w:rPr>
          <w:rFonts w:hint="eastAsia" w:ascii="宋体" w:hAnsi="宋体" w:cs="宋体"/>
          <w:b/>
          <w:color w:val="000000" w:themeColor="text1"/>
          <w:sz w:val="32"/>
          <w:szCs w:val="32"/>
          <w:highlight w:val="none"/>
          <w14:textFill>
            <w14:solidFill>
              <w14:schemeClr w14:val="tx1"/>
            </w14:solidFill>
          </w14:textFill>
        </w:rPr>
        <w:t>JSZC-320891-JTHA-G2024-0003</w:t>
      </w:r>
    </w:p>
    <w:p w14:paraId="10F23476">
      <w:pPr>
        <w:ind w:left="-359" w:firstLine="360"/>
        <w:rPr>
          <w:rFonts w:hint="eastAsia" w:ascii="宋体" w:hAnsi="宋体" w:cs="宋体"/>
          <w:b/>
          <w:color w:val="000000" w:themeColor="text1"/>
          <w:sz w:val="32"/>
          <w:highlight w:val="none"/>
          <w14:textFill>
            <w14:solidFill>
              <w14:schemeClr w14:val="tx1"/>
            </w14:solidFill>
          </w14:textFill>
        </w:rPr>
      </w:pPr>
    </w:p>
    <w:p w14:paraId="4A9B0BE3">
      <w:pPr>
        <w:rPr>
          <w:rFonts w:hint="eastAsia" w:ascii="宋体" w:hAnsi="宋体" w:cs="宋体"/>
          <w:b/>
          <w:color w:val="000000" w:themeColor="text1"/>
          <w:sz w:val="32"/>
          <w:highlight w:val="none"/>
          <w14:textFill>
            <w14:solidFill>
              <w14:schemeClr w14:val="tx1"/>
            </w14:solidFill>
          </w14:textFill>
        </w:rPr>
      </w:pPr>
    </w:p>
    <w:p w14:paraId="51DB9356">
      <w:pPr>
        <w:pStyle w:val="62"/>
        <w:rPr>
          <w:rFonts w:hint="eastAsia" w:ascii="宋体" w:hAnsi="宋体" w:cs="宋体"/>
          <w:color w:val="000000" w:themeColor="text1"/>
          <w:highlight w:val="none"/>
          <w14:textFill>
            <w14:solidFill>
              <w14:schemeClr w14:val="tx1"/>
            </w14:solidFill>
          </w14:textFill>
        </w:rPr>
      </w:pPr>
    </w:p>
    <w:p w14:paraId="16885F68">
      <w:pPr>
        <w:pStyle w:val="2"/>
        <w:rPr>
          <w:rFonts w:hint="eastAsia" w:ascii="宋体" w:hAnsi="宋体" w:cs="宋体"/>
          <w:b/>
          <w:color w:val="000000" w:themeColor="text1"/>
          <w:sz w:val="32"/>
          <w:highlight w:val="none"/>
          <w14:textFill>
            <w14:solidFill>
              <w14:schemeClr w14:val="tx1"/>
            </w14:solidFill>
          </w14:textFill>
        </w:rPr>
      </w:pPr>
    </w:p>
    <w:p w14:paraId="3CC01F72">
      <w:pPr>
        <w:pStyle w:val="2"/>
        <w:rPr>
          <w:rFonts w:hint="eastAsia" w:ascii="宋体" w:hAnsi="宋体" w:cs="宋体"/>
          <w:b/>
          <w:color w:val="000000" w:themeColor="text1"/>
          <w:sz w:val="32"/>
          <w:highlight w:val="none"/>
          <w14:textFill>
            <w14:solidFill>
              <w14:schemeClr w14:val="tx1"/>
            </w14:solidFill>
          </w14:textFill>
        </w:rPr>
      </w:pPr>
    </w:p>
    <w:p w14:paraId="41D59194">
      <w:pPr>
        <w:pStyle w:val="2"/>
        <w:rPr>
          <w:rFonts w:hint="eastAsia" w:ascii="宋体" w:hAnsi="宋体" w:cs="宋体"/>
          <w:b/>
          <w:color w:val="000000" w:themeColor="text1"/>
          <w:sz w:val="32"/>
          <w:highlight w:val="none"/>
          <w14:textFill>
            <w14:solidFill>
              <w14:schemeClr w14:val="tx1"/>
            </w14:solidFill>
          </w14:textFill>
        </w:rPr>
      </w:pPr>
    </w:p>
    <w:p w14:paraId="3A98032E">
      <w:pPr>
        <w:spacing w:line="480" w:lineRule="auto"/>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招标人：</w:t>
      </w:r>
      <w:r>
        <w:rPr>
          <w:rFonts w:hint="eastAsia" w:ascii="宋体" w:hAnsi="宋体" w:cs="宋体"/>
          <w:b/>
          <w:color w:val="000000" w:themeColor="text1"/>
          <w:sz w:val="32"/>
          <w:szCs w:val="32"/>
          <w:highlight w:val="none"/>
          <w14:textFill>
            <w14:solidFill>
              <w14:schemeClr w14:val="tx1"/>
            </w14:solidFill>
          </w14:textFill>
        </w:rPr>
        <w:t>淮安经济技术开发区综合行政执法局</w:t>
      </w:r>
    </w:p>
    <w:p w14:paraId="32307D03">
      <w:pPr>
        <w:spacing w:line="480" w:lineRule="auto"/>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招标代理：</w:t>
      </w:r>
      <w:r>
        <w:rPr>
          <w:rFonts w:hint="eastAsia" w:ascii="宋体" w:hAnsi="宋体" w:cs="宋体"/>
          <w:b/>
          <w:color w:val="000000" w:themeColor="text1"/>
          <w:sz w:val="32"/>
          <w:szCs w:val="32"/>
          <w:highlight w:val="none"/>
          <w14:textFill>
            <w14:solidFill>
              <w14:schemeClr w14:val="tx1"/>
            </w14:solidFill>
          </w14:textFill>
        </w:rPr>
        <w:t>九土咨询（淮安）有限公司</w:t>
      </w:r>
    </w:p>
    <w:p w14:paraId="321E635F">
      <w:pPr>
        <w:tabs>
          <w:tab w:val="center" w:pos="5215"/>
        </w:tabs>
        <w:spacing w:line="480" w:lineRule="auto"/>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二0二四年</w:t>
      </w:r>
      <w:r>
        <w:rPr>
          <w:rFonts w:hint="eastAsia" w:ascii="宋体" w:hAnsi="宋体" w:cs="宋体"/>
          <w:b/>
          <w:color w:val="000000" w:themeColor="text1"/>
          <w:sz w:val="32"/>
          <w:szCs w:val="32"/>
          <w:highlight w:val="none"/>
          <w:lang w:eastAsia="zh-CN"/>
          <w14:textFill>
            <w14:solidFill>
              <w14:schemeClr w14:val="tx1"/>
            </w14:solidFill>
          </w14:textFill>
        </w:rPr>
        <w:t>十一</w:t>
      </w:r>
      <w:r>
        <w:rPr>
          <w:rFonts w:hint="eastAsia" w:ascii="宋体" w:hAnsi="宋体" w:cs="宋体"/>
          <w:b/>
          <w:color w:val="000000" w:themeColor="text1"/>
          <w:sz w:val="32"/>
          <w:szCs w:val="32"/>
          <w:highlight w:val="none"/>
          <w14:textFill>
            <w14:solidFill>
              <w14:schemeClr w14:val="tx1"/>
            </w14:solidFill>
          </w14:textFill>
        </w:rPr>
        <w:t>月</w:t>
      </w:r>
    </w:p>
    <w:p w14:paraId="71C14C66">
      <w:pPr>
        <w:rPr>
          <w:rFonts w:hint="eastAsia" w:ascii="宋体" w:hAnsi="宋体" w:cs="宋体"/>
          <w:b/>
          <w:bCs/>
          <w:color w:val="000000" w:themeColor="text1"/>
          <w:sz w:val="48"/>
          <w:szCs w:val="48"/>
          <w:highlight w:val="none"/>
          <w14:textFill>
            <w14:solidFill>
              <w14:schemeClr w14:val="tx1"/>
            </w14:solidFill>
          </w14:textFill>
        </w:rPr>
      </w:pPr>
      <w:r>
        <w:rPr>
          <w:rFonts w:hint="eastAsia" w:ascii="宋体" w:hAnsi="宋体" w:cs="宋体"/>
          <w:b/>
          <w:bCs/>
          <w:color w:val="000000" w:themeColor="text1"/>
          <w:sz w:val="48"/>
          <w:szCs w:val="48"/>
          <w:highlight w:val="none"/>
          <w14:textFill>
            <w14:solidFill>
              <w14:schemeClr w14:val="tx1"/>
            </w14:solidFill>
          </w14:textFill>
        </w:rPr>
        <w:br w:type="page"/>
      </w:r>
    </w:p>
    <w:p w14:paraId="7B8B13B5">
      <w:pPr>
        <w:spacing w:line="1120" w:lineRule="exact"/>
        <w:jc w:val="center"/>
        <w:rPr>
          <w:rFonts w:hint="eastAsia" w:ascii="宋体" w:hAnsi="宋体" w:cs="宋体"/>
          <w:b/>
          <w:bCs/>
          <w:color w:val="000000" w:themeColor="text1"/>
          <w:sz w:val="48"/>
          <w:szCs w:val="48"/>
          <w:highlight w:val="none"/>
          <w14:textFill>
            <w14:solidFill>
              <w14:schemeClr w14:val="tx1"/>
            </w14:solidFill>
          </w14:textFill>
        </w:rPr>
      </w:pPr>
      <w:r>
        <w:rPr>
          <w:rFonts w:hint="eastAsia" w:ascii="宋体" w:hAnsi="宋体" w:cs="宋体"/>
          <w:b/>
          <w:bCs/>
          <w:color w:val="000000" w:themeColor="text1"/>
          <w:sz w:val="48"/>
          <w:szCs w:val="48"/>
          <w:highlight w:val="none"/>
          <w14:textFill>
            <w14:solidFill>
              <w14:schemeClr w14:val="tx1"/>
            </w14:solidFill>
          </w14:textFill>
        </w:rPr>
        <w:t>目      录</w:t>
      </w:r>
    </w:p>
    <w:p w14:paraId="10D18A98">
      <w:pPr>
        <w:spacing w:line="11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第一章  投标邀请……………………………………………………1</w:t>
      </w:r>
    </w:p>
    <w:p w14:paraId="069E63EE">
      <w:pPr>
        <w:spacing w:line="11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第二章  投标人须知…………………………………………………5</w:t>
      </w:r>
    </w:p>
    <w:p w14:paraId="33C261ED">
      <w:pPr>
        <w:spacing w:line="11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第三章  评标标准……………………………………………………22</w:t>
      </w:r>
    </w:p>
    <w:p w14:paraId="64061418">
      <w:pPr>
        <w:spacing w:line="11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第四章  合同格式及条款……………………………………………25</w:t>
      </w:r>
    </w:p>
    <w:p w14:paraId="4F29C852">
      <w:pPr>
        <w:spacing w:line="11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第五章  项目采购需求………………………………………………37</w:t>
      </w:r>
    </w:p>
    <w:p w14:paraId="5C86FC21">
      <w:pPr>
        <w:spacing w:line="11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第六章  投标文件格式………………………………………………43</w:t>
      </w:r>
    </w:p>
    <w:p w14:paraId="1CD1E591">
      <w:pPr>
        <w:spacing w:line="520" w:lineRule="exact"/>
        <w:ind w:firstLine="2209" w:firstLineChars="500"/>
        <w:rPr>
          <w:rFonts w:hint="eastAsia" w:ascii="宋体" w:hAnsi="宋体" w:cs="宋体"/>
          <w:b/>
          <w:color w:val="000000" w:themeColor="text1"/>
          <w:sz w:val="44"/>
          <w:szCs w:val="44"/>
          <w:highlight w:val="none"/>
          <w14:textFill>
            <w14:solidFill>
              <w14:schemeClr w14:val="tx1"/>
            </w14:solidFill>
          </w14:textFill>
        </w:rPr>
      </w:pPr>
    </w:p>
    <w:p w14:paraId="19980FAD">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294A63CE">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66D8FCD9">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3459DA87">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1C0895C7">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2D602A98">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65001511">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4440D003">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0ABA8A77">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p>
    <w:p w14:paraId="42159887">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sectPr>
          <w:headerReference r:id="rId3" w:type="default"/>
          <w:footerReference r:id="rId4" w:type="default"/>
          <w:pgSz w:w="11906" w:h="16838"/>
          <w:pgMar w:top="1361" w:right="1304" w:bottom="1134" w:left="1587" w:header="851" w:footer="992" w:gutter="0"/>
          <w:pgNumType w:fmt="decimal"/>
          <w:cols w:space="720" w:num="1"/>
          <w:docGrid w:linePitch="360" w:charSpace="0"/>
        </w:sectPr>
      </w:pPr>
    </w:p>
    <w:p w14:paraId="2A6061D0">
      <w:pPr>
        <w:pStyle w:val="62"/>
        <w:rPr>
          <w:rFonts w:hint="eastAsia" w:ascii="宋体" w:hAnsi="宋体" w:cs="宋体"/>
          <w:color w:val="000000" w:themeColor="text1"/>
          <w:highlight w:val="none"/>
          <w14:textFill>
            <w14:solidFill>
              <w14:schemeClr w14:val="tx1"/>
            </w14:solidFill>
          </w14:textFill>
        </w:rPr>
      </w:pPr>
    </w:p>
    <w:p w14:paraId="5DA5032F">
      <w:pPr>
        <w:spacing w:line="520" w:lineRule="exact"/>
        <w:ind w:firstLine="2512"/>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第一章   投标邀请</w:t>
      </w:r>
    </w:p>
    <w:p w14:paraId="0773B896">
      <w:pPr>
        <w:spacing w:line="500" w:lineRule="exact"/>
        <w:ind w:left="1" w:firstLine="53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受</w:t>
      </w:r>
      <w:r>
        <w:rPr>
          <w:rFonts w:hint="eastAsia" w:ascii="宋体" w:hAnsi="宋体" w:eastAsia="宋体" w:cs="宋体"/>
          <w:b/>
          <w:bCs/>
          <w:color w:val="000000" w:themeColor="text1"/>
          <w:sz w:val="24"/>
          <w:szCs w:val="24"/>
          <w:highlight w:val="none"/>
          <w14:textFill>
            <w14:solidFill>
              <w14:schemeClr w14:val="tx1"/>
            </w14:solidFill>
          </w14:textFill>
        </w:rPr>
        <w:t>淮安经济技术开发区综合行政执法局</w:t>
      </w:r>
      <w:r>
        <w:rPr>
          <w:rFonts w:hint="eastAsia" w:ascii="宋体" w:hAnsi="宋体" w:eastAsia="宋体" w:cs="宋体"/>
          <w:color w:val="000000" w:themeColor="text1"/>
          <w:sz w:val="24"/>
          <w:szCs w:val="24"/>
          <w:highlight w:val="none"/>
          <w14:textFill>
            <w14:solidFill>
              <w14:schemeClr w14:val="tx1"/>
            </w14:solidFill>
          </w14:textFill>
        </w:rPr>
        <w:t>的委托，</w:t>
      </w:r>
      <w:r>
        <w:rPr>
          <w:rFonts w:hint="eastAsia" w:ascii="宋体" w:hAnsi="宋体" w:eastAsia="宋体" w:cs="宋体"/>
          <w:b/>
          <w:bCs/>
          <w:color w:val="000000" w:themeColor="text1"/>
          <w:sz w:val="24"/>
          <w:szCs w:val="24"/>
          <w:highlight w:val="none"/>
          <w14:textFill>
            <w14:solidFill>
              <w14:schemeClr w14:val="tx1"/>
            </w14:solidFill>
          </w14:textFill>
        </w:rPr>
        <w:t>九土咨询（淮安）有限公司</w:t>
      </w:r>
      <w:r>
        <w:rPr>
          <w:rFonts w:hint="eastAsia" w:ascii="宋体" w:hAnsi="宋体" w:eastAsia="宋体" w:cs="宋体"/>
          <w:color w:val="000000" w:themeColor="text1"/>
          <w:sz w:val="24"/>
          <w:szCs w:val="24"/>
          <w:highlight w:val="none"/>
          <w14:textFill>
            <w14:solidFill>
              <w14:schemeClr w14:val="tx1"/>
            </w14:solidFill>
          </w14:textFill>
        </w:rPr>
        <w:t>就</w:t>
      </w:r>
      <w:r>
        <w:rPr>
          <w:rFonts w:hint="eastAsia" w:ascii="宋体" w:hAnsi="宋体" w:eastAsia="宋体" w:cs="宋体"/>
          <w:b/>
          <w:bCs/>
          <w:color w:val="000000" w:themeColor="text1"/>
          <w:sz w:val="24"/>
          <w:szCs w:val="24"/>
          <w:highlight w:val="none"/>
          <w14:textFill>
            <w14:solidFill>
              <w14:schemeClr w14:val="tx1"/>
            </w14:solidFill>
          </w14:textFill>
        </w:rPr>
        <w:t>经开区徐杨片区、主城区路灯养护</w:t>
      </w:r>
      <w:r>
        <w:rPr>
          <w:rFonts w:hint="eastAsia" w:ascii="宋体" w:hAnsi="宋体" w:eastAsia="宋体" w:cs="宋体"/>
          <w:b/>
          <w:bCs/>
          <w:color w:val="000000" w:themeColor="text1"/>
          <w:sz w:val="24"/>
          <w:szCs w:val="24"/>
          <w:highlight w:val="none"/>
          <w:lang w:eastAsia="zh-CN"/>
          <w14:textFill>
            <w14:solidFill>
              <w14:schemeClr w14:val="tx1"/>
            </w14:solidFill>
          </w14:textFill>
        </w:rPr>
        <w:t>（二次）</w:t>
      </w:r>
      <w:r>
        <w:rPr>
          <w:rFonts w:hint="eastAsia" w:ascii="宋体" w:hAnsi="宋体" w:eastAsia="宋体" w:cs="宋体"/>
          <w:color w:val="000000" w:themeColor="text1"/>
          <w:sz w:val="24"/>
          <w:szCs w:val="24"/>
          <w:highlight w:val="none"/>
          <w14:textFill>
            <w14:solidFill>
              <w14:schemeClr w14:val="tx1"/>
            </w14:solidFill>
          </w14:textFill>
        </w:rPr>
        <w:t>项目进行公开招标采购，现邀请符合条件的投标人参加投标。</w:t>
      </w:r>
    </w:p>
    <w:tbl>
      <w:tblPr>
        <w:tblStyle w:val="38"/>
        <w:tblW w:w="93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2"/>
      </w:tblGrid>
      <w:tr w14:paraId="13086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2" w:type="dxa"/>
            <w:noWrap w:val="0"/>
            <w:vAlign w:val="top"/>
          </w:tcPr>
          <w:p w14:paraId="664D8951">
            <w:pPr>
              <w:spacing w:line="500" w:lineRule="exact"/>
              <w:ind w:right="126" w:rightChars="6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项目概况:</w:t>
            </w:r>
          </w:p>
          <w:p w14:paraId="3E9DF9A5">
            <w:pPr>
              <w:spacing w:line="500" w:lineRule="exact"/>
              <w:ind w:left="63" w:leftChars="30" w:right="63" w:rightChars="30"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经开区徐杨片区、主城区路灯养护（二次）</w:t>
            </w:r>
            <w:r>
              <w:rPr>
                <w:rFonts w:hint="eastAsia" w:ascii="宋体" w:hAnsi="宋体" w:eastAsia="宋体" w:cs="宋体"/>
                <w:color w:val="000000" w:themeColor="text1"/>
                <w:sz w:val="24"/>
                <w:szCs w:val="24"/>
                <w:highlight w:val="none"/>
                <w14:textFill>
                  <w14:solidFill>
                    <w14:schemeClr w14:val="tx1"/>
                  </w14:solidFill>
                </w14:textFill>
              </w:rPr>
              <w:t>项目的潜在投标人应在淮安市政府采购网（http://czj.huaian.gov.cn/col/13924_326175/index.html）自行免费下载招标文件，并于2024年</w:t>
            </w: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14:textFill>
                  <w14:solidFill>
                    <w14:schemeClr w14:val="tx1"/>
                  </w14:solidFill>
                </w14:textFill>
              </w:rPr>
              <w:t>点</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分（北京时间）前提交投标文件。</w:t>
            </w:r>
          </w:p>
        </w:tc>
      </w:tr>
    </w:tbl>
    <w:p w14:paraId="32E77612">
      <w:pPr>
        <w:widowControl/>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一、项目基本情况</w:t>
      </w:r>
    </w:p>
    <w:p w14:paraId="15CA5EF5">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（一）项目编号:</w:t>
      </w:r>
      <w:r>
        <w:rPr>
          <w:rFonts w:hint="eastAsia" w:ascii="宋体" w:hAnsi="宋体" w:cs="宋体"/>
          <w:color w:val="000000" w:themeColor="text1"/>
          <w:sz w:val="24"/>
          <w:szCs w:val="24"/>
          <w:highlight w:val="none"/>
          <w:lang w:eastAsia="zh-CN"/>
          <w14:textFill>
            <w14:solidFill>
              <w14:schemeClr w14:val="tx1"/>
            </w14:solidFill>
          </w14:textFill>
        </w:rPr>
        <w:t>JSZC-320891-JTHA-G2024-0003</w:t>
      </w:r>
    </w:p>
    <w:p w14:paraId="24D92D87">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（二）项目名称:</w:t>
      </w:r>
      <w:r>
        <w:rPr>
          <w:rFonts w:hint="eastAsia" w:ascii="宋体" w:hAnsi="宋体" w:eastAsia="宋体" w:cs="宋体"/>
          <w:bCs/>
          <w:color w:val="000000" w:themeColor="text1"/>
          <w:sz w:val="24"/>
          <w:szCs w:val="24"/>
          <w:highlight w:val="none"/>
          <w14:textFill>
            <w14:solidFill>
              <w14:schemeClr w14:val="tx1"/>
            </w14:solidFill>
          </w14:textFill>
        </w:rPr>
        <w:t>经开区徐杨片区、主城区路灯养护（二次）</w:t>
      </w:r>
    </w:p>
    <w:p w14:paraId="4A22F4D8">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（三）预算金额:348万元</w:t>
      </w:r>
    </w:p>
    <w:p w14:paraId="4C5D11B1">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（四）最高限价:348万元</w:t>
      </w:r>
    </w:p>
    <w:p w14:paraId="6B752220">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（五）采购需求:本项目为经开区徐杨片区、主城区路灯养护项</w:t>
      </w:r>
      <w:r>
        <w:rPr>
          <w:rFonts w:hint="eastAsia" w:ascii="宋体" w:hAnsi="宋体" w:eastAsia="宋体" w:cs="宋体"/>
          <w:bCs/>
          <w:color w:val="000000" w:themeColor="text1"/>
          <w:sz w:val="24"/>
          <w:szCs w:val="24"/>
          <w:highlight w:val="none"/>
          <w14:textFill>
            <w14:solidFill>
              <w14:schemeClr w14:val="tx1"/>
            </w14:solidFill>
          </w14:textFill>
        </w:rPr>
        <w:t>目（二次）,</w:t>
      </w:r>
      <w:r>
        <w:rPr>
          <w:rFonts w:hint="eastAsia" w:ascii="宋体" w:hAnsi="宋体" w:eastAsia="宋体" w:cs="宋体"/>
          <w:color w:val="000000" w:themeColor="text1"/>
          <w:sz w:val="24"/>
          <w:szCs w:val="24"/>
          <w:highlight w:val="none"/>
          <w14:textFill>
            <w14:solidFill>
              <w14:schemeClr w14:val="tx1"/>
            </w14:solidFill>
          </w14:textFill>
        </w:rPr>
        <w:t>包括淮安经济技术开发区徐杨片区、主城区、南马厂片区的路灯养护，具体详见招标文件 第五章 采购需求。</w:t>
      </w:r>
    </w:p>
    <w:p w14:paraId="3A47ED15">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trike/>
          <w:d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（六）合同履行期限:12个月</w:t>
      </w:r>
      <w:r>
        <w:rPr>
          <w:rFonts w:hint="eastAsia" w:ascii="宋体" w:hAnsi="宋体" w:eastAsia="宋体" w:cs="宋体"/>
          <w:color w:val="000000" w:themeColor="text1"/>
          <w:sz w:val="24"/>
          <w:szCs w:val="24"/>
          <w:highlight w:val="none"/>
          <w:lang w:val="en-US" w:eastAsia="zh-CN"/>
          <w14:textFill>
            <w14:solidFill>
              <w14:schemeClr w14:val="tx1"/>
            </w14:solidFill>
          </w14:textFill>
        </w:rPr>
        <w:t>,具体详见合同条款</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99B8FB9">
      <w:pPr>
        <w:keepNext w:val="0"/>
        <w:pageBreakBefore w:val="0"/>
        <w:widowControl/>
        <w:kinsoku/>
        <w:wordWrap/>
        <w:overflowPunct/>
        <w:topLinePunct w:val="0"/>
        <w:autoSpaceDE/>
        <w:autoSpaceDN/>
        <w:bidi w:val="0"/>
        <w:adjustRightInd/>
        <w:snapToGrid/>
        <w:spacing w:line="440" w:lineRule="exact"/>
        <w:ind w:firstLine="474"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项目有续签需求，在保证预算的情况下，月度考核得分均在90分以上可续签两年(一年一签）。</w:t>
      </w:r>
    </w:p>
    <w:p w14:paraId="546B7B24">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（七）本项目不接受联合体投标。</w:t>
      </w:r>
    </w:p>
    <w:p w14:paraId="26E233FA">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（八）本项目采购标的对应的中小企业划分标准所属行业为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其他未列明行业 </w:t>
      </w:r>
      <w:r>
        <w:rPr>
          <w:rFonts w:hint="eastAsia" w:ascii="宋体" w:hAnsi="宋体" w:eastAsia="宋体" w:cs="宋体"/>
          <w:color w:val="000000" w:themeColor="text1"/>
          <w:sz w:val="24"/>
          <w:szCs w:val="24"/>
          <w:highlight w:val="none"/>
          <w14:textFill>
            <w14:solidFill>
              <w14:schemeClr w14:val="tx1"/>
            </w14:solidFill>
          </w14:textFill>
        </w:rPr>
        <w:t>。</w:t>
      </w:r>
    </w:p>
    <w:p w14:paraId="15BD2CE6">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二、申请人的资格要求:</w:t>
      </w:r>
    </w:p>
    <w:p w14:paraId="229559F0">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（一）符合《中华人民共和国政府采购法》第二十二条规定；</w:t>
      </w:r>
    </w:p>
    <w:p w14:paraId="7310DE91">
      <w:pPr>
        <w:keepNext w:val="0"/>
        <w:pageBreakBefore w:val="0"/>
        <w:widowControl/>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（二）落实政府采购政策需满足的资格要求:</w:t>
      </w:r>
    </w:p>
    <w:p w14:paraId="1E1EE8D7">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本项目</w:t>
      </w:r>
      <w:r>
        <w:rPr>
          <w:rFonts w:hint="eastAsia" w:ascii="宋体" w:hAnsi="宋体" w:eastAsia="宋体" w:cs="宋体"/>
          <w:color w:val="000000" w:themeColor="text1"/>
          <w:sz w:val="24"/>
          <w:szCs w:val="24"/>
          <w:highlight w:val="none"/>
          <w14:textFill>
            <w14:solidFill>
              <w14:schemeClr w14:val="tx1"/>
            </w14:solidFill>
          </w14:textFill>
        </w:rPr>
        <w:t>按照</w:t>
      </w:r>
      <w:r>
        <w:rPr>
          <w:rFonts w:hint="eastAsia" w:ascii="宋体" w:hAnsi="宋体" w:eastAsia="宋体" w:cs="宋体"/>
          <w:color w:val="000000" w:themeColor="text1"/>
          <w:sz w:val="24"/>
          <w:szCs w:val="24"/>
          <w:highlight w:val="none"/>
          <w:lang w:val="zh-CN"/>
          <w14:textFill>
            <w14:solidFill>
              <w14:schemeClr w14:val="tx1"/>
            </w14:solidFill>
          </w14:textFill>
        </w:rPr>
        <w:t>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1 </w:t>
      </w:r>
      <w:r>
        <w:rPr>
          <w:rFonts w:hint="eastAsia" w:ascii="宋体" w:hAnsi="宋体" w:eastAsia="宋体" w:cs="宋体"/>
          <w:color w:val="000000" w:themeColor="text1"/>
          <w:sz w:val="24"/>
          <w:szCs w:val="24"/>
          <w:highlight w:val="none"/>
          <w:lang w:val="zh-CN"/>
          <w14:textFill>
            <w14:solidFill>
              <w14:schemeClr w14:val="tx1"/>
            </w14:solidFill>
          </w14:textFill>
        </w:rPr>
        <w:t>种方式落实政府采购促进中小企业发展的要求：</w:t>
      </w:r>
    </w:p>
    <w:p w14:paraId="433E5316">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.本项目为专门面向中小企业采购的项目。</w:t>
      </w:r>
    </w:p>
    <w:p w14:paraId="16F3247E">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zh-CN"/>
          <w14:textFill>
            <w14:solidFill>
              <w14:schemeClr w14:val="tx1"/>
            </w14:solidFill>
          </w14:textFill>
        </w:rPr>
        <w:t>本项目通过以下第（</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）种方式预留部分采购份额</w:t>
      </w:r>
      <w:r>
        <w:rPr>
          <w:rFonts w:hint="eastAsia" w:ascii="宋体" w:hAnsi="宋体" w:eastAsia="宋体" w:cs="宋体"/>
          <w:color w:val="000000" w:themeColor="text1"/>
          <w:sz w:val="24"/>
          <w:szCs w:val="24"/>
          <w:highlight w:val="none"/>
          <w14:textFill>
            <w14:solidFill>
              <w14:schemeClr w14:val="tx1"/>
            </w14:solidFill>
          </w14:textFill>
        </w:rPr>
        <w:t>采购</w:t>
      </w:r>
      <w:r>
        <w:rPr>
          <w:rFonts w:hint="eastAsia" w:ascii="宋体" w:hAnsi="宋体" w:eastAsia="宋体" w:cs="宋体"/>
          <w:color w:val="000000" w:themeColor="text1"/>
          <w:sz w:val="24"/>
          <w:szCs w:val="24"/>
          <w:highlight w:val="none"/>
          <w:lang w:val="zh-CN"/>
          <w14:textFill>
            <w14:solidFill>
              <w14:schemeClr w14:val="tx1"/>
            </w14:solidFill>
          </w14:textFill>
        </w:rPr>
        <w:t>中小企业</w:t>
      </w:r>
      <w:r>
        <w:rPr>
          <w:rFonts w:hint="eastAsia" w:ascii="宋体" w:hAnsi="宋体" w:eastAsia="宋体" w:cs="宋体"/>
          <w:color w:val="000000" w:themeColor="text1"/>
          <w:sz w:val="24"/>
          <w:szCs w:val="24"/>
          <w:highlight w:val="none"/>
          <w14:textFill>
            <w14:solidFill>
              <w14:schemeClr w14:val="tx1"/>
            </w14:solidFill>
          </w14:textFill>
        </w:rPr>
        <w:t>服务</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4359FE57">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（1）本项目要求投标人以联合体形式参加，中小企业合同金额应当达到的比例为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，其中小微企业所占比例应为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（两项比例均应符合《政府采购促进中小企业发展管理办法》第八条规定）。</w:t>
      </w:r>
    </w:p>
    <w:p w14:paraId="40D11D90">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（2）本项目要求投标人进行合同分包，中小企业合同金额应当达到的比例为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，其中小微企业所占比例应为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（两项比例均应符合《政府采购促进中小企业发展管理办法》第八条规定）。</w:t>
      </w:r>
    </w:p>
    <w:p w14:paraId="565B9186">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本项目为非预留份额的采购项目，</w:t>
      </w:r>
      <w:r>
        <w:rPr>
          <w:rFonts w:hint="eastAsia" w:ascii="宋体" w:hAnsi="宋体" w:eastAsia="宋体" w:cs="宋体"/>
          <w:color w:val="000000" w:themeColor="text1"/>
          <w:sz w:val="24"/>
          <w:szCs w:val="24"/>
          <w:highlight w:val="none"/>
          <w14:textFill>
            <w14:solidFill>
              <w14:schemeClr w14:val="tx1"/>
            </w14:solidFill>
          </w14:textFill>
        </w:rPr>
        <w:t>对小微企业报价给予扣除，用扣除后的价格参加评审，具体详见第二章“投标人须知”第32.1项</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4ABF233D">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val="zh-CN"/>
          <w14:textFill>
            <w14:solidFill>
              <w14:schemeClr w14:val="tx1"/>
            </w14:solidFill>
          </w14:textFill>
        </w:rPr>
        <w:t>监狱企业、残疾人福利性单位视同小微企业；符合中小企业划分标准的个体工商户，在政府采购活动中视同中小企业，享受政府采购支持中小企业发展政策。</w:t>
      </w:r>
    </w:p>
    <w:p w14:paraId="307AD411">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（三）本项目的特定资格要求:</w:t>
      </w:r>
    </w:p>
    <w:p w14:paraId="4AD0470B">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投标人须具备城市及道路照明工程专业承包</w:t>
      </w:r>
      <w:r>
        <w:rPr>
          <w:rFonts w:hint="eastAsia" w:ascii="宋体" w:hAnsi="宋体" w:eastAsia="宋体" w:cs="宋体"/>
          <w:color w:val="000000" w:themeColor="text1"/>
          <w:sz w:val="24"/>
          <w:szCs w:val="24"/>
          <w:highlight w:val="none"/>
          <w14:textFill>
            <w14:solidFill>
              <w14:schemeClr w14:val="tx1"/>
            </w14:solidFill>
          </w14:textFill>
        </w:rPr>
        <w:t>叁</w:t>
      </w:r>
      <w:r>
        <w:rPr>
          <w:rFonts w:hint="eastAsia" w:ascii="宋体" w:hAnsi="宋体" w:eastAsia="宋体" w:cs="宋体"/>
          <w:color w:val="000000" w:themeColor="text1"/>
          <w:sz w:val="24"/>
          <w:szCs w:val="24"/>
          <w:highlight w:val="none"/>
          <w:lang w:val="zh-CN"/>
          <w14:textFill>
            <w14:solidFill>
              <w14:schemeClr w14:val="tx1"/>
            </w14:solidFill>
          </w14:textFill>
        </w:rPr>
        <w:t>级及以上资质；</w:t>
      </w:r>
    </w:p>
    <w:p w14:paraId="50ABCF07">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zh-CN"/>
          <w14:textFill>
            <w14:solidFill>
              <w14:schemeClr w14:val="tx1"/>
            </w14:solidFill>
          </w14:textFill>
        </w:rPr>
        <w:t>投标人须具备安全生产许可证（有效期内）；</w:t>
      </w:r>
    </w:p>
    <w:p w14:paraId="280B2918">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zh-CN"/>
          <w14:textFill>
            <w14:solidFill>
              <w14:schemeClr w14:val="tx1"/>
            </w14:solidFill>
          </w14:textFill>
        </w:rPr>
        <w:t>投标人针对本项目拟选派项目经理必须具有市政公用工程或机电安装工程专业贰级及以上注册建造师资质，并取得项目经理安全生产考核B类证（有效期内）；</w:t>
      </w:r>
    </w:p>
    <w:p w14:paraId="5EFDE541">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zh-CN"/>
          <w14:textFill>
            <w14:solidFill>
              <w14:schemeClr w14:val="tx1"/>
            </w14:solidFill>
          </w14:textFill>
        </w:rPr>
        <w:t>.投标人的授权委托代理人和项目负责人均须为投标人本单位正式员工，并提供2024年</w:t>
      </w: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zh-CN"/>
          <w14:textFill>
            <w14:solidFill>
              <w14:schemeClr w14:val="tx1"/>
            </w14:solidFill>
          </w14:textFill>
        </w:rPr>
        <w:t>月以来任意1个月投标人为其缴纳的社保证明；如为法定代表人则无</w:t>
      </w:r>
      <w:r>
        <w:rPr>
          <w:rFonts w:hint="eastAsia" w:ascii="宋体" w:hAnsi="宋体" w:eastAsia="宋体" w:cs="宋体"/>
          <w:color w:val="000000" w:themeColor="text1"/>
          <w:sz w:val="24"/>
          <w:szCs w:val="24"/>
          <w:highlight w:val="none"/>
          <w14:textFill>
            <w14:solidFill>
              <w14:schemeClr w14:val="tx1"/>
            </w14:solidFill>
          </w14:textFill>
        </w:rPr>
        <w:t>需</w:t>
      </w:r>
      <w:r>
        <w:rPr>
          <w:rFonts w:hint="eastAsia" w:ascii="宋体" w:hAnsi="宋体" w:eastAsia="宋体" w:cs="宋体"/>
          <w:color w:val="000000" w:themeColor="text1"/>
          <w:sz w:val="24"/>
          <w:szCs w:val="24"/>
          <w:highlight w:val="none"/>
          <w:lang w:val="zh-CN"/>
          <w14:textFill>
            <w14:solidFill>
              <w14:schemeClr w14:val="tx1"/>
            </w14:solidFill>
          </w14:textFill>
        </w:rPr>
        <w:t>提供。</w:t>
      </w:r>
    </w:p>
    <w:p w14:paraId="635BCCEE">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（四）拒绝下述条件的投标人参加本次采购活动:</w:t>
      </w:r>
    </w:p>
    <w:p w14:paraId="451239FD">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1.投标人单位负责人为同一人或者存在直接控股、管理关系的不同投标人，不得同时参加同一合同项下的政府采购活动。</w:t>
      </w:r>
    </w:p>
    <w:p w14:paraId="250F2C16">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i/>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2.凡为采购项目提供整体设计、规范编制或者项目管理、监理、检测等服务的投标人，不得再参加本项目的采购活动。</w:t>
      </w:r>
    </w:p>
    <w:p w14:paraId="21739134">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3.投标人被“信用中国”网站、“中国政府采购网”列入失信被执行人、重大税收违法案件当事人名单、政府采购严重违法失信行为记录名单。</w:t>
      </w:r>
    </w:p>
    <w:p w14:paraId="551F85EF">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三、获取招标文件</w:t>
      </w:r>
    </w:p>
    <w:p w14:paraId="3C9FC502">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（一）时间:自招标公告发布之日起五个工作日</w:t>
      </w:r>
    </w:p>
    <w:p w14:paraId="7D3EB452">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（二）方式：在“淮安市政府采购网”自行免费下载招标文件。</w:t>
      </w:r>
    </w:p>
    <w:p w14:paraId="0973B1A5">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四、提交投标文件截止时间、开标时间和地点</w:t>
      </w:r>
    </w:p>
    <w:p w14:paraId="2A04EB2A">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（一）投标文件提交截止时间及开标时间:2024年</w:t>
      </w: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z w:val="24"/>
          <w:szCs w:val="24"/>
          <w:highlight w:val="none"/>
          <w14:textFill>
            <w14:solidFill>
              <w14:schemeClr w14:val="tx1"/>
            </w14:solidFill>
          </w14:textFill>
        </w:rPr>
        <w:t>日</w:t>
      </w:r>
      <w:r>
        <w:rPr>
          <w:rFonts w:hint="eastAsia" w:ascii="宋体" w:hAnsi="宋体" w:eastAsia="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14:textFill>
            <w14:solidFill>
              <w14:schemeClr w14:val="tx1"/>
            </w14:solidFill>
          </w14:textFill>
        </w:rPr>
        <w:t>点</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w:t>
      </w:r>
    </w:p>
    <w:p w14:paraId="64954AF7">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（二）投标文件上传地址：“苏采云”政府采购交易系统网上开标大厅</w:t>
      </w:r>
    </w:p>
    <w:p w14:paraId="4D4516F0">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五、公告期限</w:t>
      </w:r>
    </w:p>
    <w:p w14:paraId="4B871675">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自本公告发布之日起五个工作日。</w:t>
      </w:r>
    </w:p>
    <w:p w14:paraId="20091189">
      <w:pPr>
        <w:keepNext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六、其他补充事宜</w:t>
      </w:r>
    </w:p>
    <w:p w14:paraId="4D67B722">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1.本项目仅采购非进口产品（注:本文件所称进口产品是指通过中国海关报关验放进入中国境内且产自关境外的产品）；</w:t>
      </w:r>
    </w:p>
    <w:p w14:paraId="77E29E3B">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2.有关本次招标的事项若存在变动或修改，敬请及时关注“淮安市政府采购网”；</w:t>
      </w:r>
    </w:p>
    <w:p w14:paraId="0F607EA8">
      <w:pPr>
        <w:keepNext w:val="0"/>
        <w:keepLines/>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本次招标不收取投标保证金。</w:t>
      </w:r>
    </w:p>
    <w:p w14:paraId="64E8EE4E">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lang w:val="zh-TW" w:eastAsia="zh-T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4.履约保证金：详见招标文件合同条款</w:t>
      </w:r>
      <w:r>
        <w:rPr>
          <w:rFonts w:hint="eastAsia" w:ascii="宋体" w:hAnsi="宋体" w:eastAsia="宋体" w:cs="宋体"/>
          <w:color w:val="000000" w:themeColor="text1"/>
          <w:sz w:val="24"/>
          <w:szCs w:val="24"/>
          <w:highlight w:val="none"/>
          <w:lang w:val="zh-TW" w:eastAsia="zh-TW"/>
          <w14:textFill>
            <w14:solidFill>
              <w14:schemeClr w14:val="tx1"/>
            </w14:solidFill>
          </w14:textFill>
        </w:rPr>
        <w:t>。</w:t>
      </w:r>
    </w:p>
    <w:p w14:paraId="5623C03F">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本项目招标人不</w:t>
      </w:r>
      <w:r>
        <w:rPr>
          <w:rFonts w:hint="eastAsia" w:ascii="宋体" w:hAnsi="宋体" w:eastAsia="宋体" w:cs="宋体"/>
          <w:b/>
          <w:bCs/>
          <w:color w:val="000000" w:themeColor="text1"/>
          <w:sz w:val="24"/>
          <w:szCs w:val="24"/>
          <w:highlight w:val="none"/>
          <w:lang w:eastAsia="zh-CN"/>
          <w14:textFill>
            <w14:solidFill>
              <w14:schemeClr w14:val="tx1"/>
            </w14:solidFill>
          </w14:textFill>
        </w:rPr>
        <w:t>统一</w:t>
      </w:r>
      <w:r>
        <w:rPr>
          <w:rFonts w:hint="eastAsia" w:ascii="宋体" w:hAnsi="宋体" w:eastAsia="宋体" w:cs="宋体"/>
          <w:b/>
          <w:bCs/>
          <w:color w:val="000000" w:themeColor="text1"/>
          <w:sz w:val="24"/>
          <w:szCs w:val="24"/>
          <w:highlight w:val="none"/>
          <w14:textFill>
            <w14:solidFill>
              <w14:schemeClr w14:val="tx1"/>
            </w14:solidFill>
          </w14:textFill>
        </w:rPr>
        <w:t>组织现场踏勘，各投标人可自行踏勘</w:t>
      </w:r>
      <w:r>
        <w:rPr>
          <w:rFonts w:hint="eastAsia" w:ascii="宋体" w:hAnsi="宋体" w:eastAsia="宋体" w:cs="宋体"/>
          <w:b/>
          <w:bCs/>
          <w:color w:val="000000" w:themeColor="text1"/>
          <w:sz w:val="24"/>
          <w:szCs w:val="24"/>
          <w:highlight w:val="none"/>
          <w:lang w:eastAsia="zh-CN"/>
          <w14:textFill>
            <w14:solidFill>
              <w14:schemeClr w14:val="tx1"/>
            </w14:solidFill>
          </w14:textFill>
        </w:rPr>
        <w:t>，需要时可联系招标人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张主任 0517-83716034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045774C">
      <w:pPr>
        <w:keepNext w:val="0"/>
        <w:keepLines/>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七、对本次采购提出询问，请按以下方式联系：</w:t>
      </w:r>
    </w:p>
    <w:p w14:paraId="1FB8BA1F">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1.招标人联系方式</w:t>
      </w:r>
    </w:p>
    <w:p w14:paraId="4E6EA9E3">
      <w:pPr>
        <w:keepNext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名称:淮安经济技术开发区综合行政执法局</w:t>
      </w:r>
    </w:p>
    <w:p w14:paraId="2A749E17">
      <w:pPr>
        <w:keepNext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地址:淮安经济技术开发区宏恒胜路5号</w:t>
      </w:r>
    </w:p>
    <w:p w14:paraId="4B2CB0B9">
      <w:pPr>
        <w:keepNext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 张主任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     电话：0517-83716034 </w:t>
      </w:r>
    </w:p>
    <w:p w14:paraId="19E08420">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2.采购代理机构信息</w:t>
      </w:r>
    </w:p>
    <w:p w14:paraId="27588C0D">
      <w:pPr>
        <w:keepNext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名称:九土咨询（淮安）有限公司</w:t>
      </w:r>
    </w:p>
    <w:p w14:paraId="617ADA63">
      <w:pPr>
        <w:keepNext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地址:淮阴区樱花路南侧，开源珑城小区西隔壁；淮安市中业广场</w:t>
      </w:r>
    </w:p>
    <w:p w14:paraId="1CD67D28">
      <w:pPr>
        <w:keepNext w:val="0"/>
        <w:pageBreakBefore w:val="0"/>
        <w:widowControl/>
        <w:kinsoku/>
        <w:wordWrap/>
        <w:overflowPunct/>
        <w:topLinePunct w:val="0"/>
        <w:autoSpaceDE/>
        <w:autoSpaceDN/>
        <w:bidi w:val="0"/>
        <w:adjustRightInd/>
        <w:snapToGrid/>
        <w:spacing w:line="440" w:lineRule="exact"/>
        <w:ind w:firstLine="1440" w:firstLineChars="6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A-3楼十八楼 </w:t>
      </w:r>
    </w:p>
    <w:p w14:paraId="37DC7EBF">
      <w:pPr>
        <w:keepNext w:val="0"/>
        <w:pageBreakBefore w:val="0"/>
        <w:widowControl/>
        <w:kinsoku/>
        <w:wordWrap/>
        <w:overflowPunct/>
        <w:topLinePunct w:val="0"/>
        <w:autoSpaceDE/>
        <w:autoSpaceDN/>
        <w:bidi w:val="0"/>
        <w:adjustRightInd/>
        <w:snapToGrid/>
        <w:spacing w:line="440" w:lineRule="exact"/>
        <w:ind w:firstLine="720" w:firstLineChars="3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联系方式:张工</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     电话：13905238569 </w:t>
      </w:r>
    </w:p>
    <w:p w14:paraId="11639FC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八、其他</w:t>
      </w:r>
    </w:p>
    <w:p w14:paraId="4FD90DC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1.本项目采用“全流程不见面交易”模式，通过不见面交易系统及相应的配套硬件设备(摄像头、话筒、麦克风等)完成远程解密、公布报价、澄清等交互环节。具体详见第二章“</w:t>
      </w:r>
      <w:r>
        <w:rPr>
          <w:rFonts w:hint="eastAsia" w:ascii="宋体" w:hAnsi="宋体" w:cs="宋体"/>
          <w:b/>
          <w:bCs/>
          <w:color w:val="000000" w:themeColor="text1"/>
          <w:sz w:val="24"/>
          <w:szCs w:val="24"/>
          <w:highlight w:val="none"/>
          <w:lang w:eastAsia="zh-CN"/>
          <w14:textFill>
            <w14:solidFill>
              <w14:schemeClr w14:val="tx1"/>
            </w14:solidFill>
          </w14:textFill>
        </w:rPr>
        <w:t>投标人</w:t>
      </w:r>
      <w:r>
        <w:rPr>
          <w:rFonts w:hint="eastAsia" w:ascii="宋体" w:hAnsi="宋体" w:eastAsia="宋体" w:cs="宋体"/>
          <w:b/>
          <w:bCs/>
          <w:color w:val="000000" w:themeColor="text1"/>
          <w:sz w:val="24"/>
          <w:szCs w:val="24"/>
          <w:highlight w:val="none"/>
          <w14:textFill>
            <w14:solidFill>
              <w14:schemeClr w14:val="tx1"/>
            </w14:solidFill>
          </w14:textFill>
        </w:rPr>
        <w:t>须知”相关内容。</w:t>
      </w:r>
    </w:p>
    <w:p w14:paraId="2C9C33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"http://www.ccgp-jiangsu.gov.cn/jiangsu/zlxz/"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42"/>
          <w:rFonts w:hint="eastAsia" w:ascii="宋体" w:hAnsi="宋体" w:eastAsia="宋体" w:cs="宋体"/>
          <w:color w:val="000000" w:themeColor="text1"/>
          <w:sz w:val="24"/>
          <w:szCs w:val="24"/>
          <w:highlight w:val="none"/>
          <w:u w:val="none"/>
          <w14:textFill>
            <w14:solidFill>
              <w14:schemeClr w14:val="tx1"/>
            </w14:solidFill>
          </w14:textFill>
        </w:rPr>
        <w:t>http://www.ccgp-jiangsu.gov.cn/jiangsu/zlxz/</w:t>
      </w:r>
      <w:r>
        <w:rPr>
          <w:rFonts w:hint="eastAsia" w:ascii="宋体" w:hAnsi="宋体" w:eastAsia="宋体" w:cs="宋体"/>
          <w:color w:val="000000" w:themeColor="text1"/>
          <w:sz w:val="24"/>
          <w:szCs w:val="24"/>
          <w:highlight w:val="none"/>
          <w14:textFill>
            <w14:solidFill>
              <w14:schemeClr w14:val="tx1"/>
            </w14:solidFill>
          </w14:textFill>
        </w:rPr>
        <w:fldChar w:fldCharType="end"/>
      </w:r>
    </w:p>
    <w:p w14:paraId="545991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ee/ee3a4bc5a3454aa2b0d9312230633ce9.html。</w:t>
      </w:r>
    </w:p>
    <w:p w14:paraId="17A3EFE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领取CA和办理公章（请至淮安市清江浦区深圳路16号淮安市公共资源交易中心二楼13号CA办理窗口办理，具体联系方式见《苏采云系统投标人操作手册》（以下简称《操作手册》）），进行注册并按《操作手册》要求制作、上传电子投标文件。</w:t>
      </w:r>
    </w:p>
    <w:p w14:paraId="72CA3921">
      <w:pPr>
        <w:pStyle w:val="2"/>
        <w:numPr>
          <w:ilvl w:val="0"/>
          <w:numId w:val="0"/>
        </w:numPr>
        <w:rPr>
          <w:rFonts w:hint="eastAsia"/>
          <w:color w:val="000000" w:themeColor="text1"/>
          <w:highlight w:val="none"/>
          <w14:textFill>
            <w14:solidFill>
              <w14:schemeClr w14:val="tx1"/>
            </w14:solidFill>
          </w14:textFill>
        </w:rPr>
      </w:pPr>
    </w:p>
    <w:p w14:paraId="587CF0D5">
      <w:pPr>
        <w:widowControl/>
        <w:spacing w:line="520" w:lineRule="exact"/>
        <w:jc w:val="center"/>
        <w:rPr>
          <w:rFonts w:hint="eastAsia" w:ascii="宋体" w:hAnsi="宋体" w:cs="宋体"/>
          <w:b/>
          <w:color w:val="000000" w:themeColor="text1"/>
          <w:sz w:val="36"/>
          <w:szCs w:val="36"/>
          <w:highlight w:val="none"/>
          <w14:textFill>
            <w14:solidFill>
              <w14:schemeClr w14:val="tx1"/>
            </w14:solidFill>
          </w14:textFill>
        </w:rPr>
      </w:pPr>
    </w:p>
    <w:p w14:paraId="25D39F47">
      <w:pPr>
        <w:widowControl/>
        <w:spacing w:line="520" w:lineRule="exact"/>
        <w:jc w:val="both"/>
        <w:rPr>
          <w:rFonts w:hint="eastAsia" w:ascii="宋体" w:hAnsi="宋体" w:cs="宋体"/>
          <w:b/>
          <w:color w:val="000000" w:themeColor="text1"/>
          <w:sz w:val="36"/>
          <w:szCs w:val="36"/>
          <w:highlight w:val="none"/>
          <w14:textFill>
            <w14:solidFill>
              <w14:schemeClr w14:val="tx1"/>
            </w14:solidFill>
          </w14:textFill>
        </w:rPr>
      </w:pPr>
    </w:p>
    <w:p w14:paraId="7F55FFC2">
      <w:pPr>
        <w:jc w:val="center"/>
        <w:rPr>
          <w:rFonts w:hint="eastAsia" w:ascii="宋体" w:hAnsi="宋体" w:cs="宋体"/>
          <w:b/>
          <w:color w:val="000000" w:themeColor="text1"/>
          <w:sz w:val="36"/>
          <w:szCs w:val="36"/>
          <w:highlight w:val="none"/>
          <w14:textFill>
            <w14:solidFill>
              <w14:schemeClr w14:val="tx1"/>
            </w14:solidFill>
          </w14:textFill>
        </w:rPr>
      </w:pPr>
    </w:p>
    <w:p w14:paraId="454D0830">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第二章  投标人须知</w:t>
      </w:r>
    </w:p>
    <w:p w14:paraId="52029392">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一、总则</w:t>
      </w:r>
    </w:p>
    <w:p w14:paraId="2620444E">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1.适用范围</w:t>
      </w:r>
    </w:p>
    <w:p w14:paraId="6B14C03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本招标文件仅适用于本次投标邀请中所述项目的采购。</w:t>
      </w:r>
    </w:p>
    <w:p w14:paraId="3F557E12">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2.合格的投标人</w:t>
      </w:r>
    </w:p>
    <w:p w14:paraId="777595F2">
      <w:pPr>
        <w:keepNext w:val="0"/>
        <w:keepLines w:val="0"/>
        <w:pageBreakBefore w:val="0"/>
        <w:widowControl/>
        <w:kinsoku/>
        <w:wordWrap/>
        <w:overflowPunct/>
        <w:topLinePunct w:val="0"/>
        <w:autoSpaceDE/>
        <w:autoSpaceDN/>
        <w:bidi w:val="0"/>
        <w:adjustRightInd/>
        <w:snapToGrid/>
        <w:spacing w:line="460" w:lineRule="exact"/>
        <w:ind w:firstLine="555"/>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2.1满足第一章投标邀请中投标人资格要求的规定。 </w:t>
      </w:r>
    </w:p>
    <w:p w14:paraId="18E9AF68">
      <w:pPr>
        <w:keepNext w:val="0"/>
        <w:keepLines w:val="0"/>
        <w:pageBreakBefore w:val="0"/>
        <w:widowControl/>
        <w:kinsoku/>
        <w:wordWrap/>
        <w:overflowPunct/>
        <w:topLinePunct w:val="0"/>
        <w:autoSpaceDE/>
        <w:autoSpaceDN/>
        <w:bidi w:val="0"/>
        <w:adjustRightInd/>
        <w:snapToGrid/>
        <w:spacing w:line="460" w:lineRule="exact"/>
        <w:ind w:firstLine="555"/>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2.2满足招标文件中实质性条款的规定。</w:t>
      </w:r>
    </w:p>
    <w:p w14:paraId="2036F0E4">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3.适用法律</w:t>
      </w:r>
    </w:p>
    <w:p w14:paraId="061432A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3.1《中华人民共和国政府采购法》、《中华人民共和国政府采购法实施条例》、《政府采购货物和服务招标投标管理办法》等有关法律、规章和规定等。</w:t>
      </w:r>
    </w:p>
    <w:p w14:paraId="11E37EA7">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4.投标费用</w:t>
      </w:r>
    </w:p>
    <w:p w14:paraId="3F5914E8">
      <w:pPr>
        <w:keepNext w:val="0"/>
        <w:keepLines w:val="0"/>
        <w:pageBreakBefore w:val="0"/>
        <w:widowControl/>
        <w:kinsoku/>
        <w:wordWrap/>
        <w:overflowPunct/>
        <w:topLinePunct w:val="0"/>
        <w:autoSpaceDE/>
        <w:autoSpaceDN/>
        <w:bidi w:val="0"/>
        <w:adjustRightInd/>
        <w:snapToGrid/>
        <w:spacing w:line="460" w:lineRule="exact"/>
        <w:ind w:firstLine="555"/>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4.1投标人应自行承担所有与参加投标有关的费用。不论投标的结果如何，九土咨询（淮安）有限公司（以下简称采购代理）在任何情况下均无义务和责任承担这些费用。</w:t>
      </w:r>
    </w:p>
    <w:p w14:paraId="19EB093E">
      <w:pPr>
        <w:keepNext w:val="0"/>
        <w:keepLines w:val="0"/>
        <w:pageBreakBefore w:val="0"/>
        <w:widowControl/>
        <w:kinsoku/>
        <w:wordWrap/>
        <w:overflowPunct/>
        <w:topLinePunct w:val="0"/>
        <w:autoSpaceDE/>
        <w:autoSpaceDN/>
        <w:bidi w:val="0"/>
        <w:adjustRightInd/>
        <w:snapToGrid/>
        <w:spacing w:line="460" w:lineRule="exact"/>
        <w:ind w:firstLine="555"/>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4.2本项目代理服务收费：代理费20880元；评审费（包括</w:t>
      </w:r>
      <w:r>
        <w:rPr>
          <w:rFonts w:hint="eastAsia" w:ascii="宋体" w:hAnsi="宋体" w:eastAsia="宋体" w:cs="宋体"/>
          <w:color w:val="000000" w:themeColor="text1"/>
          <w:sz w:val="24"/>
          <w:szCs w:val="24"/>
          <w:highlight w:val="none"/>
          <w:lang w:eastAsia="zh-CN"/>
          <w14:textFill>
            <w14:solidFill>
              <w14:schemeClr w14:val="tx1"/>
            </w14:solidFill>
          </w14:textFill>
        </w:rPr>
        <w:t>评委费、两次</w:t>
      </w:r>
      <w:r>
        <w:rPr>
          <w:rFonts w:hint="eastAsia" w:ascii="宋体" w:hAnsi="宋体" w:eastAsia="宋体" w:cs="宋体"/>
          <w:color w:val="000000" w:themeColor="text1"/>
          <w:sz w:val="24"/>
          <w:szCs w:val="24"/>
          <w:highlight w:val="none"/>
          <w14:textFill>
            <w14:solidFill>
              <w14:schemeClr w14:val="tx1"/>
            </w14:solidFill>
          </w14:textFill>
        </w:rPr>
        <w:t>招标文件</w:t>
      </w:r>
      <w:r>
        <w:rPr>
          <w:rFonts w:hint="eastAsia" w:ascii="宋体" w:hAnsi="宋体" w:eastAsia="宋体" w:cs="宋体"/>
          <w:color w:val="000000" w:themeColor="text1"/>
          <w:sz w:val="24"/>
          <w:szCs w:val="24"/>
          <w:highlight w:val="none"/>
          <w:lang w:eastAsia="zh-CN"/>
          <w14:textFill>
            <w14:solidFill>
              <w14:schemeClr w14:val="tx1"/>
            </w14:solidFill>
          </w14:textFill>
        </w:rPr>
        <w:t>专家论证费</w:t>
      </w:r>
      <w:r>
        <w:rPr>
          <w:rFonts w:hint="eastAsia" w:ascii="宋体" w:hAnsi="宋体" w:eastAsia="宋体" w:cs="宋体"/>
          <w:color w:val="000000" w:themeColor="text1"/>
          <w:sz w:val="24"/>
          <w:szCs w:val="24"/>
          <w:highlight w:val="none"/>
          <w14:textFill>
            <w14:solidFill>
              <w14:schemeClr w14:val="tx1"/>
            </w14:solidFill>
          </w14:textFill>
        </w:rPr>
        <w:t>等费用）另按实计取</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暂估1万元）</w:t>
      </w:r>
      <w:r>
        <w:rPr>
          <w:rFonts w:hint="eastAsia" w:ascii="宋体" w:hAnsi="宋体" w:eastAsia="宋体" w:cs="宋体"/>
          <w:color w:val="000000" w:themeColor="text1"/>
          <w:sz w:val="24"/>
          <w:szCs w:val="24"/>
          <w:highlight w:val="none"/>
          <w14:textFill>
            <w14:solidFill>
              <w14:schemeClr w14:val="tx1"/>
            </w14:solidFill>
          </w14:textFill>
        </w:rPr>
        <w:t>；以上费用须包含投标报价中，不单独列项计取，由中标人在中标通知书发出之前支付给采购代理机构。</w:t>
      </w:r>
    </w:p>
    <w:p w14:paraId="62369AB0">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二、招标文件</w:t>
      </w:r>
    </w:p>
    <w:p w14:paraId="662949DE">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5.招标文件由以下部分组成</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BD7201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5.1投标邀请</w:t>
      </w:r>
    </w:p>
    <w:p w14:paraId="6E820AE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5.2投标人须知</w:t>
      </w:r>
    </w:p>
    <w:p w14:paraId="7BC4146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5.3合同文本</w:t>
      </w:r>
    </w:p>
    <w:p w14:paraId="0234D2D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5.4项目采购需求</w:t>
      </w:r>
    </w:p>
    <w:p w14:paraId="5724B2A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5.5评标方法与评标标准</w:t>
      </w:r>
    </w:p>
    <w:p w14:paraId="78257BB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5.6投标文件</w:t>
      </w:r>
    </w:p>
    <w:p w14:paraId="10AD5D2E">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6.招标文件的澄清</w:t>
      </w:r>
    </w:p>
    <w:p w14:paraId="3DA058E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6.1任何要求对招标文件进行澄清的投标人，均应在投标截止时间十日前通过以书面形式并加盖公章通知采购代理，采购代理对投标截止时间前十日收到的任何澄清要求将以书面形式予以答复。</w:t>
      </w:r>
    </w:p>
    <w:p w14:paraId="23A77D2E">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7.招标文件的更正或补充</w:t>
      </w:r>
    </w:p>
    <w:p w14:paraId="089A699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7.1在投标截止时间十五日前，采购代理可主动或在解答投标人提出的澄清问题时对招标文件用更正公告的方式进行修正。</w:t>
      </w:r>
    </w:p>
    <w:p w14:paraId="7D288CA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7.2对招标文件的更正将在淮安市政府采购网进行公告，更正公告将作为招标文件的组成部分，对所有参加本次投标的投标人都具有约束力。</w:t>
      </w:r>
    </w:p>
    <w:p w14:paraId="29154FBC">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7.3为使投标人有足够的时间按招标文件的更正要求修正投标文件，采购代理有权按照相关法定的要求推迟投标截止时间和开标日期。</w:t>
      </w:r>
    </w:p>
    <w:p w14:paraId="6EACFBBC">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三、投标文件的编制</w:t>
      </w:r>
    </w:p>
    <w:p w14:paraId="6CB39009">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0" w:name="_Toc513029214"/>
      <w:bookmarkStart w:id="1" w:name="_Toc16938530"/>
      <w:bookmarkStart w:id="2" w:name="_Toc462564073"/>
      <w:bookmarkStart w:id="3" w:name="_Toc20823286"/>
      <w:r>
        <w:rPr>
          <w:rFonts w:hint="eastAsia" w:ascii="宋体" w:hAnsi="宋体" w:eastAsia="宋体" w:cs="宋体"/>
          <w:color w:val="000000" w:themeColor="text1"/>
          <w:sz w:val="24"/>
          <w:szCs w:val="24"/>
          <w:highlight w:val="none"/>
          <w14:textFill>
            <w14:solidFill>
              <w14:schemeClr w14:val="tx1"/>
            </w14:solidFill>
          </w14:textFill>
        </w:rPr>
        <w:t>8.投标文件的语言及度量衡单位</w:t>
      </w:r>
      <w:bookmarkEnd w:id="0"/>
      <w:bookmarkEnd w:id="1"/>
      <w:bookmarkEnd w:id="2"/>
      <w:bookmarkEnd w:id="3"/>
    </w:p>
    <w:p w14:paraId="54C1AE0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8.1投标人提交的投标文件以及投标人与采购代理就有关投标的所有来往通知、函件和文件均应使用简体中文。</w:t>
      </w:r>
    </w:p>
    <w:p w14:paraId="136648C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8.2除技术性能另有规定外，投标文件所使用的度量衡单位，均须采用国家法定计量单位。</w:t>
      </w:r>
    </w:p>
    <w:p w14:paraId="008A15BF">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9.投标文件构成</w:t>
      </w:r>
    </w:p>
    <w:p w14:paraId="3AA92B7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9.1投标人编写的投标文件应包括资格证明文件、符合性证明文件、投标分项报价表、技术要求响应及偏离表、其他证明文件、投标函、开标一览表等部分。</w:t>
      </w:r>
      <w:r>
        <w:rPr>
          <w:rFonts w:hint="eastAsia" w:ascii="宋体" w:hAnsi="宋体" w:eastAsia="宋体" w:cs="宋体"/>
          <w:color w:val="000000" w:themeColor="text1"/>
          <w:sz w:val="24"/>
          <w:szCs w:val="24"/>
          <w:highlight w:val="none"/>
          <w:lang w:val="zh-CN"/>
          <w14:textFill>
            <w14:solidFill>
              <w14:schemeClr w14:val="tx1"/>
            </w14:solidFill>
          </w14:textFill>
        </w:rPr>
        <w:t>请投标人根据本招标文件的要求在指定模块中上传响应的投标材料，未按招标文件要求在指定模块上传响应的投标材料的，</w:t>
      </w:r>
      <w:r>
        <w:rPr>
          <w:rFonts w:hint="eastAsia" w:ascii="宋体" w:hAnsi="宋体" w:eastAsia="宋体" w:cs="宋体"/>
          <w:color w:val="000000" w:themeColor="text1"/>
          <w:sz w:val="24"/>
          <w:szCs w:val="24"/>
          <w:highlight w:val="none"/>
          <w14:textFill>
            <w14:solidFill>
              <w14:schemeClr w14:val="tx1"/>
            </w14:solidFill>
          </w14:textFill>
        </w:rPr>
        <w:t>视同未提交该投标材料处理。</w:t>
      </w:r>
    </w:p>
    <w:p w14:paraId="16DA7E6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9.2如标书制作工具中格式和内容与“淮安市政府采购网”发布的招标文件不一致，请以“淮安市政府采购网”发布的招标文件为准。</w:t>
      </w:r>
    </w:p>
    <w:p w14:paraId="39D65BD5">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10.证明投标人及投标标的符合招标文件规定的文件</w:t>
      </w:r>
    </w:p>
    <w:p w14:paraId="3627AB2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10.1投标人应按照招标文件要求提交证明文件，证明其及投标标的符合招标文件规定。</w:t>
      </w:r>
    </w:p>
    <w:p w14:paraId="7FF468F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10.2招标文件对证明文件无明确形式要求的，证明文件可以以文字资料、图纸和数据等形式提交。</w:t>
      </w:r>
    </w:p>
    <w:p w14:paraId="69D0A49A">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11.投标分项报价表</w:t>
      </w:r>
    </w:p>
    <w:p w14:paraId="3B7D7A9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11.1投标人应按照招标文件规定格式填报投标分项报价表。</w:t>
      </w:r>
    </w:p>
    <w:p w14:paraId="0D9E757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11.2投标货币。投标文件中的单价和总价无特殊规定的采用人民币报价，以元为单位标注。招标文件中另有规定的按规定执行。</w:t>
      </w:r>
    </w:p>
    <w:p w14:paraId="5868590E">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12.技术要求响应及偏离表、商务要求响应及偏离表（如有）</w:t>
      </w:r>
    </w:p>
    <w:p w14:paraId="5A08579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12.1投标人需对招标文件中的技术要求与商务要求逐项作出响应或偏离，并说明原因。</w:t>
      </w:r>
    </w:p>
    <w:p w14:paraId="453B1CF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12.2投标人可在投标文件中提供认为需要的其他技术文件或说明。</w:t>
      </w:r>
    </w:p>
    <w:p w14:paraId="00036B32">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13.服务承诺、培训计划、人员安排及其他（如有）</w:t>
      </w:r>
    </w:p>
    <w:p w14:paraId="6AAD018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13.1投标人需根据招标文件要求提供有关售后服务的管理制度，售后服务机构的分布情况，售后服务人员的数量、素质、技术水平及售后服务的反应能力等。</w:t>
      </w:r>
    </w:p>
    <w:p w14:paraId="344EF49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13.2投标人需根据招标文件要求提供培训计划。</w:t>
      </w:r>
    </w:p>
    <w:p w14:paraId="3A8E430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13.3投标人需根据招标文件要求提供所投标的的主要组成部分、功能设计、实现思路及关键技术等。</w:t>
      </w:r>
    </w:p>
    <w:p w14:paraId="705B4C60">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4" w:name="_Toc14577359"/>
      <w:bookmarkStart w:id="5" w:name="_Toc49090510"/>
      <w:r>
        <w:rPr>
          <w:rFonts w:hint="eastAsia" w:ascii="宋体" w:hAnsi="宋体" w:eastAsia="宋体" w:cs="宋体"/>
          <w:color w:val="000000" w:themeColor="text1"/>
          <w:sz w:val="24"/>
          <w:szCs w:val="24"/>
          <w:highlight w:val="none"/>
          <w14:textFill>
            <w14:solidFill>
              <w14:schemeClr w14:val="tx1"/>
            </w14:solidFill>
          </w14:textFill>
        </w:rPr>
        <w:t>14.投标函和开标一览表</w:t>
      </w:r>
    </w:p>
    <w:p w14:paraId="109449E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14.1投标人应按照招标文件中提供的格式完整、正确填写投标函、开标一览表。</w:t>
      </w:r>
    </w:p>
    <w:p w14:paraId="18BC558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14.2对于采用货币报价的项目，开标一览表中的投标总报价应与投标分项报价表中的投标总报价一致，如不一致，不作为无效投标处理，但评标时按开标一览表中价格为准。</w:t>
      </w:r>
    </w:p>
    <w:bookmarkEnd w:id="4"/>
    <w:bookmarkEnd w:id="5"/>
    <w:p w14:paraId="1326744B">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6" w:name="_Toc49090511"/>
      <w:bookmarkStart w:id="7" w:name="_Toc14577360"/>
      <w:r>
        <w:rPr>
          <w:rFonts w:hint="eastAsia" w:ascii="宋体" w:hAnsi="宋体" w:eastAsia="宋体" w:cs="宋体"/>
          <w:color w:val="000000" w:themeColor="text1"/>
          <w:sz w:val="24"/>
          <w:szCs w:val="24"/>
          <w:highlight w:val="none"/>
          <w14:textFill>
            <w14:solidFill>
              <w14:schemeClr w14:val="tx1"/>
            </w14:solidFill>
          </w14:textFill>
        </w:rPr>
        <w:t>15.投标有效期</w:t>
      </w:r>
      <w:bookmarkEnd w:id="6"/>
      <w:bookmarkEnd w:id="7"/>
    </w:p>
    <w:p w14:paraId="4485763D">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15.1投标有效期为采购代理规定的开标之日后六十（60）天。投标有效期比规定短的将被视为未实质性响应招标文件而予以拒绝。</w:t>
      </w:r>
    </w:p>
    <w:p w14:paraId="2420C69C">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16.投标有效期的延长</w:t>
      </w:r>
    </w:p>
    <w:p w14:paraId="67E393A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受投标有效期约束的所有权利与义务均延长至新的有效期。</w:t>
      </w:r>
    </w:p>
    <w:p w14:paraId="557A9C4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17.方案部分</w:t>
      </w:r>
    </w:p>
    <w:p w14:paraId="55BB7A7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17.1本项目评标标准中的方案部分采用</w:t>
      </w:r>
      <w:r>
        <w:rPr>
          <w:rFonts w:hint="eastAsia" w:ascii="宋体" w:hAnsi="宋体" w:eastAsia="宋体" w:cs="宋体"/>
          <w:color w:val="000000" w:themeColor="text1"/>
          <w:sz w:val="24"/>
          <w:szCs w:val="24"/>
          <w:highlight w:val="none"/>
          <w:lang w:eastAsia="zh-CN"/>
          <w14:textFill>
            <w14:solidFill>
              <w14:schemeClr w14:val="tx1"/>
            </w14:solidFill>
          </w14:textFill>
        </w:rPr>
        <w:t>明标</w:t>
      </w:r>
      <w:r>
        <w:rPr>
          <w:rFonts w:hint="eastAsia" w:ascii="宋体" w:hAnsi="宋体" w:eastAsia="宋体" w:cs="宋体"/>
          <w:color w:val="000000" w:themeColor="text1"/>
          <w:sz w:val="24"/>
          <w:szCs w:val="24"/>
          <w:highlight w:val="none"/>
          <w14:textFill>
            <w14:solidFill>
              <w14:schemeClr w14:val="tx1"/>
            </w14:solidFill>
          </w14:textFill>
        </w:rPr>
        <w:t>方式进行评审。</w:t>
      </w:r>
    </w:p>
    <w:p w14:paraId="453055FF">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四、投标文件上传</w:t>
      </w:r>
    </w:p>
    <w:p w14:paraId="1F888B46">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.投标文件的上传</w:t>
      </w:r>
    </w:p>
    <w:p w14:paraId="4D2FAC4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.1投标人应当按照《操作手册》规定，在投标截止时间前制作并上传电子投标文件。</w:t>
      </w:r>
    </w:p>
    <w:p w14:paraId="26B47E8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.2投标人上传的电子投标文件内容不清楚或不清晰的（含扫描</w:t>
      </w:r>
      <w:r>
        <w:rPr>
          <w:rFonts w:hint="eastAsia" w:ascii="宋体" w:hAnsi="宋体" w:eastAsia="宋体" w:cs="宋体"/>
          <w:bCs/>
          <w:color w:val="000000" w:themeColor="text1"/>
          <w:sz w:val="24"/>
          <w:szCs w:val="24"/>
          <w:highlight w:val="none"/>
          <w14:textFill>
            <w14:solidFill>
              <w14:schemeClr w14:val="tx1"/>
            </w14:solidFill>
          </w14:textFill>
        </w:rPr>
        <w:t>件），造成无法评审或部分影响评审的，</w:t>
      </w:r>
      <w:r>
        <w:rPr>
          <w:rFonts w:hint="eastAsia" w:ascii="宋体" w:hAnsi="宋体" w:eastAsia="宋体" w:cs="宋体"/>
          <w:bCs/>
          <w:color w:val="000000" w:themeColor="text1"/>
          <w:sz w:val="24"/>
          <w:szCs w:val="24"/>
          <w:highlight w:val="none"/>
          <w:lang w:val="zh-CN"/>
          <w14:textFill>
            <w14:solidFill>
              <w14:schemeClr w14:val="tx1"/>
            </w14:solidFill>
          </w14:textFill>
        </w:rPr>
        <w:t>责任由</w:t>
      </w:r>
      <w:r>
        <w:rPr>
          <w:rFonts w:hint="eastAsia" w:ascii="宋体" w:hAnsi="宋体" w:eastAsia="宋体" w:cs="宋体"/>
          <w:bCs/>
          <w:color w:val="000000" w:themeColor="text1"/>
          <w:sz w:val="24"/>
          <w:szCs w:val="24"/>
          <w:highlight w:val="none"/>
          <w14:textFill>
            <w14:solidFill>
              <w14:schemeClr w14:val="tx1"/>
            </w14:solidFill>
          </w14:textFill>
        </w:rPr>
        <w:t>投标人</w:t>
      </w:r>
      <w:r>
        <w:rPr>
          <w:rFonts w:hint="eastAsia" w:ascii="宋体" w:hAnsi="宋体" w:eastAsia="宋体" w:cs="宋体"/>
          <w:bCs/>
          <w:color w:val="000000" w:themeColor="text1"/>
          <w:sz w:val="24"/>
          <w:szCs w:val="24"/>
          <w:highlight w:val="none"/>
          <w:lang w:val="zh-CN"/>
          <w14:textFill>
            <w14:solidFill>
              <w14:schemeClr w14:val="tx1"/>
            </w14:solidFill>
          </w14:textFill>
        </w:rPr>
        <w:t>自负。</w:t>
      </w:r>
    </w:p>
    <w:p w14:paraId="41A4F84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.3投标人上传电子投标文件的时间不得迟于投标邀请中规定的截止时间。</w:t>
      </w:r>
    </w:p>
    <w:p w14:paraId="7F2E64D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.4采购代理可以按第7条规定，通过修改招标文件有权酌情延长投标文件接收截止时间。在此情况下，投标人的所有权利和义务以及投标人受制约的截止日期均应以延长后新的截止日期为准。</w:t>
      </w:r>
    </w:p>
    <w:p w14:paraId="5DFF9DE4">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.投标文件被拒绝接收的情形</w:t>
      </w:r>
    </w:p>
    <w:p w14:paraId="1686413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.1在招标文件规定的提交投标文件截止时间后上传的电子投标文件。</w:t>
      </w:r>
    </w:p>
    <w:p w14:paraId="6CF943AA">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.投标文件的修改和撤回</w:t>
      </w:r>
    </w:p>
    <w:p w14:paraId="74E9BE8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.1投标人在上传电子投标文件后可以对其修改或撤回，但这种修改和撤回，必须在规定的开标时间之前，具体操作方法见《操作手册》。</w:t>
      </w:r>
    </w:p>
    <w:p w14:paraId="3B7FCC3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.2投标人不得在开标时间以后修改电子投标文件。</w:t>
      </w:r>
    </w:p>
    <w:p w14:paraId="39B0F25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.3投标人不得在提交电子投标文件截止时间起至投标有效期满前撤回电子投标文件。</w:t>
      </w:r>
    </w:p>
    <w:p w14:paraId="5AAF7C65">
      <w:pPr>
        <w:keepNext w:val="0"/>
        <w:keepLines w:val="0"/>
        <w:pageBreakBefore w:val="0"/>
        <w:widowControl/>
        <w:numPr>
          <w:ilvl w:val="0"/>
          <w:numId w:val="4"/>
        </w:numPr>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8" w:name="_Toc162083530"/>
      <w:r>
        <w:rPr>
          <w:rFonts w:hint="eastAsia" w:ascii="宋体" w:hAnsi="宋体" w:eastAsia="宋体" w:cs="宋体"/>
          <w:b/>
          <w:color w:val="000000" w:themeColor="text1"/>
          <w:sz w:val="24"/>
          <w:szCs w:val="24"/>
          <w:highlight w:val="none"/>
          <w14:textFill>
            <w14:solidFill>
              <w14:schemeClr w14:val="tx1"/>
            </w14:solidFill>
          </w14:textFill>
        </w:rPr>
        <w:t>开标及评标</w:t>
      </w:r>
    </w:p>
    <w:bookmarkEnd w:id="8"/>
    <w:p w14:paraId="2B54EC38">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.开标</w:t>
      </w:r>
    </w:p>
    <w:p w14:paraId="3E72BA7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.1采购代理将在招标公告中规定的时间和地点组织开标。投标人应当按照《操作手册》规定，参加开标活动和在苏采云系统规定的时间内对投标文件进行解密。</w:t>
      </w:r>
    </w:p>
    <w:p w14:paraId="70DEB0F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.2开标仪式由采购代理组织。苏采云系统将自动对项目进行开标，并宣布各投标人名称和投标价格。</w:t>
      </w:r>
    </w:p>
    <w:p w14:paraId="7B3B0D8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.3投标人在开标过程中涉及到的投标文件解密、开标结果确认等工作，应按照《操作手册》规定执行。</w:t>
      </w:r>
    </w:p>
    <w:p w14:paraId="2E2A27B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.4投标人如果对开标过程和开标记录有疑义，应当根据《操作手册》规定提出，如苏采云系统中《开标记录表》宣布后5分钟内未提出的，视同认可开标结果。</w:t>
      </w:r>
    </w:p>
    <w:p w14:paraId="529827D7">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9" w:name="_Toc20823303"/>
      <w:bookmarkStart w:id="10" w:name="_Toc16938547"/>
      <w:bookmarkStart w:id="11" w:name="_Toc513029231"/>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.评标委员会</w:t>
      </w:r>
    </w:p>
    <w:p w14:paraId="425AB05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.1开标后，采购代理将立即组织评标委员会（以下简称评委会）进行评标。</w:t>
      </w:r>
    </w:p>
    <w:p w14:paraId="615E9C7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.2评委会由招标人代表和有关技术、经济等方面的专家组成，且人员构成符合政府采购有关规定。</w:t>
      </w:r>
    </w:p>
    <w:p w14:paraId="6D9F45D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.3评委会独立工作，负责评审所有投标文件并确定中标侯选人。</w:t>
      </w:r>
    </w:p>
    <w:p w14:paraId="2F13ECAC">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．评标过程的保密与公正</w:t>
      </w:r>
      <w:bookmarkEnd w:id="9"/>
      <w:bookmarkEnd w:id="10"/>
      <w:bookmarkEnd w:id="11"/>
    </w:p>
    <w:p w14:paraId="36CE933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.1凡是与审查、澄清、评价和比较投标的有关资料以及授标建议等，招标人、评委、采购代理均不得向投标人或与评标无关的其他人员透露。</w:t>
      </w:r>
    </w:p>
    <w:p w14:paraId="75CC95E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.2在评标过程中，投标人不得以任何行为影响评标过程，否则其投标文件将被作为无效投标文件。</w:t>
      </w:r>
    </w:p>
    <w:p w14:paraId="2E8F0BF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.3采购代理和评标委员会不向未中标的投标人解释未中标原因，也不公布评标过程中的相关细节。</w:t>
      </w:r>
    </w:p>
    <w:p w14:paraId="263B3EC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.4采用综合评分法的项目，未中标的投标人可于中标结果公告期限届满之日起通过苏采云系统查看自己的评审得分及排序情况。</w:t>
      </w:r>
    </w:p>
    <w:p w14:paraId="7E935007">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2" w:name="_Toc16938548"/>
      <w:bookmarkStart w:id="13" w:name="_Toc513029232"/>
      <w:bookmarkStart w:id="14" w:name="_Toc20823304"/>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．投标文件的澄清</w:t>
      </w:r>
      <w:bookmarkEnd w:id="12"/>
      <w:bookmarkEnd w:id="13"/>
      <w:bookmarkEnd w:id="14"/>
    </w:p>
    <w:p w14:paraId="0ECAF8D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5" w:name="_Toc16938549"/>
      <w:bookmarkStart w:id="16" w:name="_Toc20823305"/>
      <w:bookmarkStart w:id="17" w:name="_Toc513029233"/>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.1评标期间，评委会对投标文件中含义不明确、同类问题表述不一致或者有明显文字和计算错误的内容，有权要求投标人作出必要的澄清、说明或者补正。</w:t>
      </w:r>
    </w:p>
    <w:p w14:paraId="77FC5F6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0C36736D">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评委会并非对每个投标人都做澄清要求。</w:t>
      </w:r>
    </w:p>
    <w:p w14:paraId="4EF8AA9D">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5BEB890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.3接到评委会澄清、说明和补正要求的投标人如未按规定做出澄清、说明和补正，其风险由投标人自行承担。</w:t>
      </w:r>
    </w:p>
    <w:p w14:paraId="236D5A40">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.对投标文件的初审</w:t>
      </w:r>
      <w:bookmarkEnd w:id="15"/>
      <w:bookmarkEnd w:id="16"/>
      <w:bookmarkEnd w:id="17"/>
    </w:p>
    <w:p w14:paraId="694BBB0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.1投标文件初审分为</w:t>
      </w:r>
      <w:r>
        <w:rPr>
          <w:rFonts w:hint="eastAsia" w:ascii="宋体" w:hAnsi="宋体" w:eastAsia="宋体" w:cs="宋体"/>
          <w:b/>
          <w:bCs/>
          <w:color w:val="000000" w:themeColor="text1"/>
          <w:sz w:val="24"/>
          <w:szCs w:val="24"/>
          <w:highlight w:val="none"/>
          <w14:textFill>
            <w14:solidFill>
              <w14:schemeClr w14:val="tx1"/>
            </w14:solidFill>
          </w14:textFill>
        </w:rPr>
        <w:t>资格审查和符合性审查</w:t>
      </w:r>
      <w:r>
        <w:rPr>
          <w:rFonts w:hint="eastAsia" w:ascii="宋体" w:hAnsi="宋体" w:eastAsia="宋体" w:cs="宋体"/>
          <w:color w:val="000000" w:themeColor="text1"/>
          <w:sz w:val="24"/>
          <w:szCs w:val="24"/>
          <w:highlight w:val="none"/>
          <w14:textFill>
            <w14:solidFill>
              <w14:schemeClr w14:val="tx1"/>
            </w14:solidFill>
          </w14:textFill>
        </w:rPr>
        <w:t>。</w:t>
      </w:r>
    </w:p>
    <w:p w14:paraId="0349EEE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.1.1资格审查：依据法律法规和招标文件的规定，由招标人对投标文件中的资格证明文件进行审查。资格审查的结论，招标人向评委会进行反馈。</w:t>
      </w:r>
    </w:p>
    <w:p w14:paraId="750810F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招标人在进行资格性审查的同时，将在“信用中国”网站（www.creditchina.gov.cn）查询投标人的信用记录，以确定投标人是否具备投标资格,查询结果留存并归档。</w:t>
      </w:r>
    </w:p>
    <w:p w14:paraId="713BB9F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接受联合体的项目，两个以上的自然人、法人或者其他组织组成一个联合体，以一个投标人的身份共同参加政府采购活动的,联合体成员中任何一方存在不良信用记录的，视同联合体存在不良应用记录。</w:t>
      </w:r>
    </w:p>
    <w:p w14:paraId="1876394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.1.2符合性审查：依据招标文件的规定，由评委会从投标文件的有效性、完整性和对招标文件的响应程度进行审查，以确定是否对招标文件的实质性要求作出响应。</w:t>
      </w:r>
    </w:p>
    <w:p w14:paraId="6214C32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.1.3未通过资格审查或符合性审查的投标人，采购代理将在苏采云系统中告知未通过资格审查或符合性审查的原因，评审结束后，采购代理将不再告知未通过资格审查或符合性审查的原因。</w:t>
      </w:r>
    </w:p>
    <w:p w14:paraId="5811825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1450C35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21766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.3如果投标文件实质上没有响应招标文件的要求，评委会将予以拒绝，投标人不得通过修改或撤销不合要求的偏离或保留而使其投标成为实质性响应的投标。</w:t>
      </w:r>
    </w:p>
    <w:p w14:paraId="50C7FFA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.4评委会将对确定为实质性响应的投标进行进一步审核，看其是否有计算上或累加上的算术错误，修正错误的原则如下：</w:t>
      </w:r>
    </w:p>
    <w:p w14:paraId="4992CA5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（1）投标文件中开标一览表内容与投标文件中相应内容不一致的，以开标一览表为准。</w:t>
      </w:r>
    </w:p>
    <w:p w14:paraId="599A1ABD">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（2）大写金额和小写金额不一致的，以大写金额为准。</w:t>
      </w:r>
    </w:p>
    <w:p w14:paraId="1961AC2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236B06A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（4）总价金额与按单价汇总金额不一致的，以单价金额计算结果为准。</w:t>
      </w:r>
    </w:p>
    <w:p w14:paraId="31240E3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同时出现两种以上错误的，按照前款规定的顺序修正。</w:t>
      </w:r>
    </w:p>
    <w:p w14:paraId="2157E80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.5评委会将按上述修正错误的方法调整投标文件中的投标报价，并通过苏采云系统告知投标人，调整后的价格应对投标人具有约束力。如果投标人不接受修正后的价格，则其投标将被拒绝。</w:t>
      </w:r>
    </w:p>
    <w:p w14:paraId="70ADC20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8" w:name="_Toc20823306"/>
      <w:bookmarkStart w:id="19" w:name="_Toc16938550"/>
      <w:bookmarkStart w:id="20" w:name="_Toc513029234"/>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7A8545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79B32C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非单一产品采购项目，招标文件中将载明其中的核心产品（/）。多家投标人提供的核心产品品牌相同的，按前两款规定处理。</w:t>
      </w:r>
    </w:p>
    <w:p w14:paraId="65DA0C8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.7投标人在开、评标全过程中应保持通讯畅通，及时登录苏采云系统查阅、答复相关信息，并安排专人与采购代理及评标委员会联系。</w:t>
      </w:r>
    </w:p>
    <w:p w14:paraId="01B7DB49">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bookmarkEnd w:id="18"/>
      <w:bookmarkEnd w:id="19"/>
      <w:bookmarkEnd w:id="20"/>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.无效投标条款和废标条款</w:t>
      </w:r>
    </w:p>
    <w:p w14:paraId="2ECD8E8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1" w:name="_Toc513029235"/>
      <w:bookmarkStart w:id="22" w:name="_Toc20823307"/>
      <w:bookmarkStart w:id="23" w:name="_Toc16938551"/>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.1无效投标条款</w:t>
      </w:r>
    </w:p>
    <w:p w14:paraId="56E00AD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.1.1投标人在苏采云系统规定的时间内未成功解密电子投标文件的。</w:t>
      </w:r>
    </w:p>
    <w:p w14:paraId="7D5EA18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.1.2投标人未按照招标文件要求上传电子投标文件的。</w:t>
      </w:r>
    </w:p>
    <w:p w14:paraId="3BCC01D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.1.3同一投标人提交两个（含两个）以上不同的投标报价的。</w:t>
      </w:r>
    </w:p>
    <w:p w14:paraId="492214B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.1.4投标人不具备招标文件中规定资格要求的。</w:t>
      </w:r>
    </w:p>
    <w:p w14:paraId="2933CC5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.1.5投标人的报价超过了采购预算或最高限价的。</w:t>
      </w:r>
    </w:p>
    <w:p w14:paraId="435DE70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.1.6未通过符合性审查的。</w:t>
      </w:r>
    </w:p>
    <w:p w14:paraId="12703B0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.1.7不符合招标文件中规定的实质性要求和条件的（实质性要求和条件是指本招标文件中用带星号（“★”）的商务和技术要求）。</w:t>
      </w:r>
    </w:p>
    <w:p w14:paraId="743C219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9C13FE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.1.9投标文件含有招标人不能接受的附加条件的。</w:t>
      </w:r>
    </w:p>
    <w:p w14:paraId="78F4153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14D0A4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.1.11按照第34.4的要求本项目中具有“强制采购”产品，但未提供经国家确定的认证机构出具的、处于有效期之内该节能产品认证证书图片的；</w:t>
      </w:r>
    </w:p>
    <w:p w14:paraId="0D7E9E1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.1.12投标文件未按照招标文件要求加盖CA电子公章的。</w:t>
      </w:r>
    </w:p>
    <w:p w14:paraId="77C989F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26.1.13</w:t>
      </w:r>
      <w:r>
        <w:rPr>
          <w:rFonts w:hint="eastAsia" w:ascii="宋体" w:hAnsi="宋体" w:cs="宋体"/>
          <w:b/>
          <w:bCs/>
          <w:color w:val="000000" w:themeColor="text1"/>
          <w:sz w:val="24"/>
          <w:szCs w:val="24"/>
          <w:highlight w:val="none"/>
          <w:lang w:val="en-US" w:eastAsia="zh-CN"/>
          <w14:textFill>
            <w14:solidFill>
              <w14:schemeClr w14:val="tx1"/>
            </w14:solidFill>
          </w14:textFill>
        </w:rPr>
        <w:t>投标人未满足第五章“项目采购需求”要求（如：人员、设备等）。</w:t>
      </w:r>
    </w:p>
    <w:p w14:paraId="66BB3B5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其他法律、法规及本招标文件规定的属无效投标的情形。</w:t>
      </w:r>
    </w:p>
    <w:p w14:paraId="0D05B19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.2废标条款</w:t>
      </w:r>
    </w:p>
    <w:p w14:paraId="02E57ED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.2.1符合专业条件的投标人或者对招标文件作实质响应的投标人不足三家的。</w:t>
      </w:r>
    </w:p>
    <w:p w14:paraId="323D341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.2.2出现影响采购公正的违法、违规行为的。</w:t>
      </w:r>
    </w:p>
    <w:p w14:paraId="08FE964D">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.2.3因重大变故，采购任务取消的。</w:t>
      </w:r>
    </w:p>
    <w:p w14:paraId="17F5EAF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.2.4评标委员会认定招标文件存在歧义、重大缺陷导致评审工作无法进行。</w:t>
      </w:r>
    </w:p>
    <w:p w14:paraId="6371006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.2.5因苏采云系统系统故障原因造成开标不成功的。</w:t>
      </w:r>
    </w:p>
    <w:p w14:paraId="2A5D114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.3投标截止时间结束后参加投标的投标人不足三家的处理：</w:t>
      </w:r>
    </w:p>
    <w:p w14:paraId="40AECDC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.3.1如出现投标截止时间结束后参加投标的投标人或者在评标期间对招标文件做出实质响应的投标人不足三家情况，按政府采购相关规定执行。</w:t>
      </w:r>
    </w:p>
    <w:bookmarkEnd w:id="21"/>
    <w:bookmarkEnd w:id="22"/>
    <w:bookmarkEnd w:id="23"/>
    <w:p w14:paraId="5A308DAC">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24" w:name="_Toc120614219"/>
      <w:r>
        <w:rPr>
          <w:rFonts w:hint="eastAsia" w:ascii="宋体" w:hAnsi="宋体" w:eastAsia="宋体" w:cs="宋体"/>
          <w:b/>
          <w:color w:val="000000" w:themeColor="text1"/>
          <w:sz w:val="24"/>
          <w:szCs w:val="24"/>
          <w:highlight w:val="none"/>
          <w14:textFill>
            <w14:solidFill>
              <w14:schemeClr w14:val="tx1"/>
            </w14:solidFill>
          </w14:textFill>
        </w:rPr>
        <w:t>六、定标</w:t>
      </w:r>
      <w:bookmarkEnd w:id="24"/>
    </w:p>
    <w:p w14:paraId="46D61264">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5" w:name="_Toc513029238"/>
      <w:bookmarkStart w:id="26" w:name="_Toc20823310"/>
      <w:bookmarkStart w:id="27" w:name="_Toc16938554"/>
      <w:r>
        <w:rPr>
          <w:rFonts w:hint="eastAsia" w:ascii="宋体" w:hAnsi="宋体" w:eastAsia="宋体" w:cs="宋体"/>
          <w:color w:val="000000" w:themeColor="text1"/>
          <w:sz w:val="24"/>
          <w:szCs w:val="24"/>
          <w:highlight w:val="none"/>
          <w14:textFill>
            <w14:solidFill>
              <w14:schemeClr w14:val="tx1"/>
            </w14:solidFill>
          </w14:textFill>
        </w:rPr>
        <w:t>2</w:t>
      </w:r>
      <w:bookmarkEnd w:id="25"/>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.确定</w:t>
      </w:r>
      <w:bookmarkEnd w:id="26"/>
      <w:bookmarkEnd w:id="27"/>
      <w:r>
        <w:rPr>
          <w:rFonts w:hint="eastAsia" w:ascii="宋体" w:hAnsi="宋体" w:eastAsia="宋体" w:cs="宋体"/>
          <w:color w:val="000000" w:themeColor="text1"/>
          <w:sz w:val="24"/>
          <w:szCs w:val="24"/>
          <w:highlight w:val="none"/>
          <w14:textFill>
            <w14:solidFill>
              <w14:schemeClr w14:val="tx1"/>
            </w14:solidFill>
          </w14:textFill>
        </w:rPr>
        <w:t>中标单位</w:t>
      </w:r>
    </w:p>
    <w:p w14:paraId="59814EB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.1中标候选人的选取原则和数量见招标文件第三章规定。。</w:t>
      </w:r>
    </w:p>
    <w:p w14:paraId="72456FC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采购代理应当在评标结束后2个工作日内将评标报告送招标人。</w:t>
      </w:r>
      <w:r>
        <w:rPr>
          <w:rFonts w:hint="eastAsia" w:ascii="宋体" w:hAnsi="宋体" w:eastAsia="宋体" w:cs="宋体"/>
          <w:b/>
          <w:bCs/>
          <w:color w:val="000000" w:themeColor="text1"/>
          <w:sz w:val="24"/>
          <w:szCs w:val="24"/>
          <w:highlight w:val="none"/>
          <w14:textFill>
            <w14:solidFill>
              <w14:schemeClr w14:val="tx1"/>
            </w14:solidFill>
          </w14:textFill>
        </w:rPr>
        <w:t>招标人应当自收到评标报告之日起5个工作日内，在评标报告确定的中标候选人名单中按顺序确定中标人。</w:t>
      </w:r>
      <w:r>
        <w:rPr>
          <w:rFonts w:hint="eastAsia" w:ascii="宋体" w:hAnsi="宋体" w:eastAsia="宋体" w:cs="宋体"/>
          <w:color w:val="000000" w:themeColor="text1"/>
          <w:sz w:val="24"/>
          <w:szCs w:val="24"/>
          <w:highlight w:val="none"/>
          <w14:textFill>
            <w14:solidFill>
              <w14:schemeClr w14:val="tx1"/>
            </w14:solidFill>
          </w14:textFill>
        </w:rPr>
        <w:t>招标人应根据评委会推荐的中标候选人确定中标人。</w:t>
      </w:r>
    </w:p>
    <w:p w14:paraId="5473CA7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.3采购代理在“淮安市政府采购网”发布中标公告，公告期限为1个工作日。</w:t>
      </w:r>
    </w:p>
    <w:p w14:paraId="6C989B6C">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.4若有充分证据证明，中标人出现下列情况之一的，一经查实，将被取消中标资格：</w:t>
      </w:r>
    </w:p>
    <w:p w14:paraId="14DBACD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.4.1提供虚假材料谋取中标的。</w:t>
      </w:r>
    </w:p>
    <w:p w14:paraId="4A7F509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.4.2向招标人、采购代理行贿或者提供其他不正当利益的。</w:t>
      </w:r>
    </w:p>
    <w:p w14:paraId="06B28E3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.4.3属于本文件规定的无效条件，但在评标过程中又未被评委会发现的。</w:t>
      </w:r>
    </w:p>
    <w:p w14:paraId="30315DE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.4.4与招标人或者其他投标人恶意串通的。</w:t>
      </w:r>
    </w:p>
    <w:p w14:paraId="29A13EB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.4.5采取不正当手段诋毁、排挤其他投标人的。</w:t>
      </w:r>
    </w:p>
    <w:p w14:paraId="6E5EABF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8" w:name="_Toc200451960"/>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.5.有下列情形之一的，视为投标人串通投标，投标无效：</w:t>
      </w:r>
    </w:p>
    <w:p w14:paraId="394D2A0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.5.1不同投标人的投标文件由同一单位或者个人编制；</w:t>
      </w:r>
    </w:p>
    <w:p w14:paraId="19468AC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.5.2不同投标人委托同一单位或者个人办理投标事宜；</w:t>
      </w:r>
    </w:p>
    <w:p w14:paraId="132342F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.5.3不同投标人的投标文件载明的项目管理成员或者联系人员为同一人；</w:t>
      </w:r>
    </w:p>
    <w:p w14:paraId="2200380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.5.4不同投标人的投标文件异常一致或者投标报价呈规律性差异；</w:t>
      </w:r>
    </w:p>
    <w:p w14:paraId="169D4546">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.质疑处理</w:t>
      </w:r>
      <w:bookmarkEnd w:id="28"/>
    </w:p>
    <w:p w14:paraId="2AC871D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因本项目属县区项目，苏采云系统不支持线上质疑。若投标人对本项目有质疑，</w:t>
      </w:r>
      <w:r>
        <w:rPr>
          <w:rFonts w:hint="eastAsia" w:ascii="宋体" w:hAnsi="宋体" w:eastAsia="宋体" w:cs="宋体"/>
          <w:b/>
          <w:bCs/>
          <w:color w:val="000000" w:themeColor="text1"/>
          <w:sz w:val="24"/>
          <w:szCs w:val="24"/>
          <w:highlight w:val="none"/>
          <w14:textFill>
            <w14:solidFill>
              <w14:schemeClr w14:val="tx1"/>
            </w14:solidFill>
          </w14:textFill>
        </w:rPr>
        <w:t>可以在知道或者应知其权益受到损害之日起</w:t>
      </w:r>
      <w:r>
        <w:rPr>
          <w:rFonts w:hint="eastAsia" w:ascii="宋体" w:hAnsi="宋体" w:eastAsia="宋体" w:cs="宋体"/>
          <w:b/>
          <w:bCs/>
          <w:color w:val="000000" w:themeColor="text1"/>
          <w:sz w:val="24"/>
          <w:szCs w:val="24"/>
          <w:highlight w:val="none"/>
          <w:lang w:eastAsia="zh-CN"/>
          <w14:textFill>
            <w14:solidFill>
              <w14:schemeClr w14:val="tx1"/>
            </w14:solidFill>
          </w14:textFill>
        </w:rPr>
        <w:t>七</w:t>
      </w:r>
      <w:r>
        <w:rPr>
          <w:rFonts w:hint="eastAsia" w:ascii="宋体" w:hAnsi="宋体" w:eastAsia="宋体" w:cs="宋体"/>
          <w:b/>
          <w:bCs/>
          <w:color w:val="000000" w:themeColor="text1"/>
          <w:sz w:val="24"/>
          <w:szCs w:val="24"/>
          <w:highlight w:val="none"/>
          <w14:textFill>
            <w14:solidFill>
              <w14:schemeClr w14:val="tx1"/>
            </w14:solidFill>
          </w14:textFill>
        </w:rPr>
        <w:t>个工作日内</w:t>
      </w:r>
      <w:r>
        <w:rPr>
          <w:rFonts w:hint="eastAsia" w:ascii="宋体" w:hAnsi="宋体" w:eastAsia="宋体" w:cs="宋体"/>
          <w:b/>
          <w:bCs/>
          <w:color w:val="000000" w:themeColor="text1"/>
          <w:sz w:val="24"/>
          <w:szCs w:val="24"/>
          <w:highlight w:val="none"/>
          <w:lang w:eastAsia="zh-CN"/>
          <w14:textFill>
            <w14:solidFill>
              <w14:schemeClr w14:val="tx1"/>
            </w14:solidFill>
          </w14:textFill>
        </w:rPr>
        <w:t>，以</w:t>
      </w:r>
      <w:r>
        <w:rPr>
          <w:rFonts w:hint="eastAsia" w:ascii="宋体" w:hAnsi="宋体" w:eastAsia="宋体" w:cs="宋体"/>
          <w:b/>
          <w:bCs/>
          <w:color w:val="000000" w:themeColor="text1"/>
          <w:sz w:val="24"/>
          <w:szCs w:val="24"/>
          <w:highlight w:val="none"/>
          <w14:textFill>
            <w14:solidFill>
              <w14:schemeClr w14:val="tx1"/>
            </w14:solidFill>
          </w14:textFill>
        </w:rPr>
        <w:t>书面形式并加盖公章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递交采购代理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七个工作日之外以及未按2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.5条的要求提供质疑的均不予受理。</w:t>
      </w:r>
    </w:p>
    <w:p w14:paraId="60E6349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.2上述应知其权益受到损害之日是指:</w:t>
      </w:r>
    </w:p>
    <w:p w14:paraId="35BF233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（1）对招标文件提出质疑的，为</w:t>
      </w:r>
      <w:r>
        <w:rPr>
          <w:rFonts w:hint="eastAsia" w:ascii="宋体" w:hAnsi="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公告期限届满之日起计算；</w:t>
      </w:r>
    </w:p>
    <w:p w14:paraId="0EDA4D48">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（2）对采购过程提出质疑的，为各采购程序环节结束之日起计算；</w:t>
      </w:r>
    </w:p>
    <w:p w14:paraId="40C4216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（3）对中标结果提出质疑的，为中标结果公告期限届满之日起计算。</w:t>
      </w:r>
    </w:p>
    <w:p w14:paraId="19A91D4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.3质疑投标人是指直接参加本次投标活动的投标人，未参加投标活动的投标人或在投标活动中自身权益未受到损害的投标人所提出的质疑不予受理。</w:t>
      </w:r>
    </w:p>
    <w:p w14:paraId="0357386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.4质疑投标人在法定质疑期内应当一次性针对同一采购环节提出质疑。</w:t>
      </w:r>
    </w:p>
    <w:p w14:paraId="45A7C8D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.5质疑函应当包括以下主要内容，附上相关证明材料。否则，采购代理不予受理。</w:t>
      </w:r>
    </w:p>
    <w:p w14:paraId="540546F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（1）质疑投标人的名称、地址、邮编、联系人及联系电话；</w:t>
      </w:r>
    </w:p>
    <w:p w14:paraId="0A609A6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（2）质疑项目的名称、编号；</w:t>
      </w:r>
    </w:p>
    <w:p w14:paraId="23DDF02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（3）具体、明确的质疑事项和与质疑事实相关的请求；</w:t>
      </w:r>
    </w:p>
    <w:p w14:paraId="61E4F00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（4）事实依据；</w:t>
      </w:r>
    </w:p>
    <w:p w14:paraId="2C30875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（5）必要的法律依据；</w:t>
      </w:r>
    </w:p>
    <w:p w14:paraId="44243ED4">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（6）提起质疑的日期；</w:t>
      </w:r>
    </w:p>
    <w:p w14:paraId="71E7891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【质疑函必须署名，由法定代表人或者其授权代表签字，并加盖单位电子公章。授权代表签字的，还需提供法定代表人出具的办理质疑事项授权书（授权中必须载明具体权限、期限和事项）。】</w:t>
      </w:r>
    </w:p>
    <w:p w14:paraId="6C33663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6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p>
    <w:p w14:paraId="5601639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.7对于内容、格式符合规定的质疑函，采购代理将在</w:t>
      </w:r>
      <w:r>
        <w:rPr>
          <w:rFonts w:hint="eastAsia" w:ascii="宋体" w:hAnsi="宋体" w:eastAsia="宋体" w:cs="宋体"/>
          <w:b/>
          <w:bCs/>
          <w:color w:val="000000" w:themeColor="text1"/>
          <w:sz w:val="24"/>
          <w:szCs w:val="24"/>
          <w:highlight w:val="none"/>
          <w14:textFill>
            <w14:solidFill>
              <w14:schemeClr w14:val="tx1"/>
            </w14:solidFill>
          </w14:textFill>
        </w:rPr>
        <w:t>七个工作</w:t>
      </w:r>
      <w:r>
        <w:rPr>
          <w:rFonts w:hint="eastAsia" w:ascii="宋体" w:hAnsi="宋体" w:eastAsia="宋体" w:cs="宋体"/>
          <w:color w:val="000000" w:themeColor="text1"/>
          <w:sz w:val="24"/>
          <w:szCs w:val="24"/>
          <w:highlight w:val="none"/>
          <w14:textFill>
            <w14:solidFill>
              <w14:schemeClr w14:val="tx1"/>
            </w14:solidFill>
          </w14:textFill>
        </w:rPr>
        <w:t>日内以电子文件的形式作出答复，但质疑答复的内容不涉及商业秘密。如果质疑投标人还需要纸质形式回复函的，需主动与采购代理联系索取，或者在质疑函中明确提出该要求。</w:t>
      </w:r>
    </w:p>
    <w:p w14:paraId="21A6330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.8投标人提出的质疑必须有理、有据，不得恶意质疑或提交虚假质疑。否则，一经查实，采购代理有权依据政府采购的有关规定，报请</w:t>
      </w:r>
      <w:r>
        <w:rPr>
          <w:rFonts w:hint="eastAsia" w:ascii="宋体" w:hAnsi="宋体" w:eastAsia="宋体" w:cs="宋体"/>
          <w:b/>
          <w:bCs/>
          <w:color w:val="000000" w:themeColor="text1"/>
          <w:sz w:val="24"/>
          <w:szCs w:val="24"/>
          <w:highlight w:val="none"/>
          <w14:textFill>
            <w14:solidFill>
              <w14:schemeClr w14:val="tx1"/>
            </w14:solidFill>
          </w14:textFill>
        </w:rPr>
        <w:t>淮安市财政局政府采购管理处</w:t>
      </w:r>
      <w:r>
        <w:rPr>
          <w:rFonts w:hint="eastAsia" w:ascii="宋体" w:hAnsi="宋体" w:eastAsia="宋体" w:cs="宋体"/>
          <w:color w:val="000000" w:themeColor="text1"/>
          <w:sz w:val="24"/>
          <w:szCs w:val="24"/>
          <w:highlight w:val="none"/>
          <w14:textFill>
            <w14:solidFill>
              <w14:schemeClr w14:val="tx1"/>
            </w14:solidFill>
          </w14:textFill>
        </w:rPr>
        <w:t>对该投标人列入失信行为或不良行为记录名单，进行相应的行政处罚。</w:t>
      </w:r>
    </w:p>
    <w:p w14:paraId="6A8BC3D2">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.中标通知书</w:t>
      </w:r>
    </w:p>
    <w:p w14:paraId="370D262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l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9F34C6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29.2</w:t>
      </w:r>
      <w:r>
        <w:rPr>
          <w:rFonts w:hint="eastAsia" w:ascii="宋体" w:hAnsi="宋体" w:eastAsia="宋体" w:cs="宋体"/>
          <w:b/>
          <w:bCs/>
          <w:color w:val="000000" w:themeColor="text1"/>
          <w:sz w:val="24"/>
          <w:szCs w:val="24"/>
          <w:highlight w:val="none"/>
          <w14:textFill>
            <w14:solidFill>
              <w14:schemeClr w14:val="tx1"/>
            </w14:solidFill>
          </w14:textFill>
        </w:rPr>
        <w:t>中标单位领取中标通知书前</w:t>
      </w:r>
      <w:r>
        <w:rPr>
          <w:rFonts w:hint="eastAsia" w:ascii="宋体" w:hAnsi="宋体" w:eastAsia="宋体" w:cs="宋体"/>
          <w:b/>
          <w:bCs/>
          <w:color w:val="000000" w:themeColor="text1"/>
          <w:sz w:val="24"/>
          <w:szCs w:val="24"/>
          <w:highlight w:val="none"/>
          <w:lang w:eastAsia="zh-CN"/>
          <w14:textFill>
            <w14:solidFill>
              <w14:schemeClr w14:val="tx1"/>
            </w14:solidFill>
          </w14:textFill>
        </w:rPr>
        <w:t>须</w:t>
      </w:r>
      <w:r>
        <w:rPr>
          <w:rFonts w:hint="eastAsia" w:ascii="宋体" w:hAnsi="宋体" w:eastAsia="宋体" w:cs="宋体"/>
          <w:b/>
          <w:bCs/>
          <w:color w:val="000000" w:themeColor="text1"/>
          <w:sz w:val="24"/>
          <w:szCs w:val="24"/>
          <w:highlight w:val="none"/>
          <w14:textFill>
            <w14:solidFill>
              <w14:schemeClr w14:val="tx1"/>
            </w14:solidFill>
          </w14:textFill>
        </w:rPr>
        <w:t>递交5份与上传到苏采云</w:t>
      </w:r>
      <w:r>
        <w:rPr>
          <w:rFonts w:hint="eastAsia" w:ascii="宋体" w:hAnsi="宋体" w:eastAsia="宋体" w:cs="宋体"/>
          <w:b/>
          <w:bCs/>
          <w:color w:val="000000" w:themeColor="text1"/>
          <w:sz w:val="24"/>
          <w:szCs w:val="24"/>
          <w:highlight w:val="none"/>
          <w:lang w:eastAsia="zh-CN"/>
          <w14:textFill>
            <w14:solidFill>
              <w14:schemeClr w14:val="tx1"/>
            </w14:solidFill>
          </w14:textFill>
        </w:rPr>
        <w:t>系统</w:t>
      </w:r>
      <w:r>
        <w:rPr>
          <w:rFonts w:hint="eastAsia" w:ascii="宋体" w:hAnsi="宋体" w:eastAsia="宋体" w:cs="宋体"/>
          <w:b/>
          <w:bCs/>
          <w:color w:val="000000" w:themeColor="text1"/>
          <w:sz w:val="24"/>
          <w:szCs w:val="24"/>
          <w:highlight w:val="none"/>
          <w14:textFill>
            <w14:solidFill>
              <w14:schemeClr w14:val="tx1"/>
            </w14:solidFill>
          </w14:textFill>
        </w:rPr>
        <w:t>内容一致的纸质投标文件</w:t>
      </w:r>
      <w:r>
        <w:rPr>
          <w:rFonts w:hint="eastAsia" w:ascii="宋体" w:hAnsi="宋体" w:eastAsia="宋体" w:cs="宋体"/>
          <w:b/>
          <w:bCs/>
          <w:color w:val="000000" w:themeColor="text1"/>
          <w:sz w:val="24"/>
          <w:szCs w:val="24"/>
          <w:highlight w:val="none"/>
          <w:lang w:eastAsia="zh-CN"/>
          <w14:textFill>
            <w14:solidFill>
              <w14:schemeClr w14:val="tx1"/>
            </w14:solidFill>
          </w14:textFill>
        </w:rPr>
        <w:t>（封面加盖投标人公章）至采购代理机构。</w:t>
      </w:r>
    </w:p>
    <w:p w14:paraId="5F8A30B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中标通知书将是合同的一个组成部分。对招标人和中标投标人均具有法律效力。中标通知书发出后，招标人改变中标结果的，或者中标投标人放弃中标项目的，应当依法承担法律责任。</w:t>
      </w:r>
    </w:p>
    <w:p w14:paraId="350FE2FF">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29" w:name="_Toc120614220"/>
      <w:bookmarkStart w:id="30" w:name="_Toc513029236"/>
      <w:bookmarkStart w:id="31" w:name="_Toc20823308"/>
      <w:bookmarkStart w:id="32" w:name="_Toc16938552"/>
      <w:r>
        <w:rPr>
          <w:rFonts w:hint="eastAsia" w:ascii="宋体" w:hAnsi="宋体" w:eastAsia="宋体" w:cs="宋体"/>
          <w:b/>
          <w:color w:val="000000" w:themeColor="text1"/>
          <w:sz w:val="24"/>
          <w:szCs w:val="24"/>
          <w:highlight w:val="none"/>
          <w14:textFill>
            <w14:solidFill>
              <w14:schemeClr w14:val="tx1"/>
            </w14:solidFill>
          </w14:textFill>
        </w:rPr>
        <w:t>七、授予合同</w:t>
      </w:r>
      <w:bookmarkEnd w:id="29"/>
    </w:p>
    <w:bookmarkEnd w:id="30"/>
    <w:bookmarkEnd w:id="31"/>
    <w:bookmarkEnd w:id="32"/>
    <w:p w14:paraId="1E5353D0">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33" w:name="_Toc513029237"/>
      <w:bookmarkStart w:id="34" w:name="_Toc20823309"/>
      <w:bookmarkStart w:id="35" w:name="_Toc16938553"/>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.签订合同</w:t>
      </w:r>
      <w:r>
        <w:rPr>
          <w:rFonts w:hint="eastAsia" w:ascii="宋体" w:hAnsi="宋体" w:eastAsia="宋体" w:cs="宋体"/>
          <w:color w:val="000000" w:themeColor="text1"/>
          <w:sz w:val="24"/>
          <w:szCs w:val="24"/>
          <w:highlight w:val="none"/>
          <w14:textFill>
            <w14:solidFill>
              <w14:schemeClr w14:val="tx1"/>
            </w14:solidFill>
          </w14:textFill>
        </w:rPr>
        <w:tab/>
      </w:r>
    </w:p>
    <w:p w14:paraId="497B118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.l中标人应当在中标通知书发出之日起十二日内，按照招标文件确定的事项与招标人签订政府采购合同，并于0.5个工作日内将政府采购合同在市政府采购网公告。</w:t>
      </w:r>
    </w:p>
    <w:p w14:paraId="7192857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.2招标文件、中标人的投标文件及招标过程中有关澄清、承诺文件均应作为合同附件。</w:t>
      </w:r>
    </w:p>
    <w:p w14:paraId="4F318EE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.3签订合同后，中标人不得将合同标的进行转包。未经招标人同意，中标人也不得采用分包的形式履行合同，否则招标人有权终止合同。转包或分包造成招标人损失的，中标人应承担相应赔偿责任。</w:t>
      </w:r>
    </w:p>
    <w:p w14:paraId="12FAB677">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.货物（包含与货物相关的服务）的追加</w:t>
      </w:r>
    </w:p>
    <w:p w14:paraId="43D282E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合同履行中，招标人需追加与合同标的相同的货物（包含与货物相关的服务）的，在财政预算有保障且在不改变合同其他条款的前提下，可以与中标人协商签订补充合同，但所有补充合同的采购金额不超过原合同金额10%。</w:t>
      </w:r>
    </w:p>
    <w:bookmarkEnd w:id="33"/>
    <w:bookmarkEnd w:id="34"/>
    <w:bookmarkEnd w:id="35"/>
    <w:p w14:paraId="2F3F8660">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.政府采购履约资金扶持政策</w:t>
      </w:r>
    </w:p>
    <w:p w14:paraId="279424D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中标投标人可凭政府采购合同办理融资贷款，详情请见江苏政府采购网“政采贷”专栏。</w:t>
      </w:r>
    </w:p>
    <w:p w14:paraId="30B99978">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八、政府采购政策功能落实</w:t>
      </w:r>
    </w:p>
    <w:p w14:paraId="2BEF5227">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zh-CN"/>
          <w14:textFill>
            <w14:solidFill>
              <w14:schemeClr w14:val="tx1"/>
            </w14:solidFill>
          </w14:textFill>
        </w:rPr>
        <w:t>促进中小企业发展</w:t>
      </w:r>
      <w:r>
        <w:rPr>
          <w:rFonts w:hint="eastAsia" w:ascii="宋体" w:hAnsi="宋体" w:eastAsia="宋体" w:cs="宋体"/>
          <w:color w:val="000000" w:themeColor="text1"/>
          <w:sz w:val="24"/>
          <w:szCs w:val="24"/>
          <w:highlight w:val="none"/>
          <w14:textFill>
            <w14:solidFill>
              <w14:schemeClr w14:val="tx1"/>
            </w14:solidFill>
          </w14:textFill>
        </w:rPr>
        <w:t>政策</w:t>
      </w:r>
    </w:p>
    <w:p w14:paraId="5BC4B33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.1小微型企业价格扣除</w:t>
      </w:r>
    </w:p>
    <w:p w14:paraId="5767659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zh-CN"/>
          <w14:textFill>
            <w14:solidFill>
              <w14:schemeClr w14:val="tx1"/>
            </w14:solidFill>
          </w14:textFill>
        </w:rPr>
        <w:t>对于未专门面向中小企业或者未预留份额专门面向中小企业采购的采购项目，投标人提供的货物或者服务</w:t>
      </w:r>
      <w:r>
        <w:rPr>
          <w:rFonts w:hint="eastAsia" w:ascii="宋体" w:hAnsi="宋体" w:eastAsia="宋体" w:cs="宋体"/>
          <w:color w:val="000000" w:themeColor="text1"/>
          <w:sz w:val="24"/>
          <w:szCs w:val="24"/>
          <w:highlight w:val="none"/>
          <w14:textFill>
            <w14:solidFill>
              <w14:schemeClr w14:val="tx1"/>
            </w14:solidFill>
          </w14:textFill>
        </w:rPr>
        <w:t>符合下列情形的，享受本办法规定的中小企业扶持政策给予小微企业报价20%的扣除，用扣除后的价格参与评审：</w:t>
      </w:r>
    </w:p>
    <w:p w14:paraId="40DA188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（1）在货物采购项目中，货物由中小企业制造，即货物由中小企业生产且使用该中小企业商号或者注册商标；</w:t>
      </w:r>
    </w:p>
    <w:p w14:paraId="2F8E003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（2）在服务采购项目中，服务由中小企业承接，即提供服务的人员为中小企业依照《中华人民共和国劳动合同法》订立劳动合同的从业人员。</w:t>
      </w:r>
    </w:p>
    <w:p w14:paraId="1E4A44C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.1.2在货物采购项目中，投标人提供的货物既有中小企业制造货物，也有大型企业制造货物的，不享受本办法规定的中小企业扶持政策。</w:t>
      </w:r>
    </w:p>
    <w:p w14:paraId="364F4F3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.2联合体及分包</w:t>
      </w:r>
    </w:p>
    <w:p w14:paraId="4423B5B7">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.2.1以联合体形式参加政府采购活动，联合体各方均为中小企业的，联合体视同中小企业。其中，联合体各方均为小微企业的，联合体视同小微企业。</w:t>
      </w:r>
    </w:p>
    <w:p w14:paraId="4B6AD325">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.2.2享受扶持政策获得政府采购合同的，小微企业不得将合同分包给大中型企业，中型企业不得将合同分包给大型企业。</w:t>
      </w:r>
    </w:p>
    <w:p w14:paraId="627666E9">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2.3接受大中型企业与小微企业组成联合体或者允许大中型企业向一家或者多家小微企业分包的采购项目，对于联合协议或者分包意向协议约定小微企业的合同份额占到合同总金额30%以上的，招标人应当对联合体或者大中型企业的报价给予5%的扣除，用扣除后的价格参加评审。</w:t>
      </w:r>
    </w:p>
    <w:p w14:paraId="483A1FF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3AD0FA1">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.3小微型企业</w:t>
      </w:r>
    </w:p>
    <w:p w14:paraId="23F8D01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（1）投标人须按照招标文件的要求提供相应的《企业声明函》，详见招标文件第六章示范格式。</w:t>
      </w:r>
    </w:p>
    <w:p w14:paraId="391159E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（2）企业标准请参照《政府采购促进中小企业发展管理办法》（财库【2020】46号）文件规定自行填写。</w:t>
      </w:r>
    </w:p>
    <w:p w14:paraId="17C3E5BD">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32.4残疾人福利单位</w:t>
      </w:r>
    </w:p>
    <w:p w14:paraId="1B082183">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（1）残疾人福利单位需按照招标文件的要求提供《残疾人福利性单位声明函》，详见招标文件第六章示范格式。</w:t>
      </w:r>
    </w:p>
    <w:p w14:paraId="79D7A796">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（2）残疾人福利单位标准请参照《关于促进残疾人就业政府采购政策的通知》（财库〔2017〕141号）。</w:t>
      </w:r>
    </w:p>
    <w:p w14:paraId="1DF9DDB0">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.5监狱和戒毒企业</w:t>
      </w:r>
    </w:p>
    <w:p w14:paraId="175F652C">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（1）监狱企业参加政府采购活动时，需提供由省级以上监狱管理局、戒毒管理局（含新疆生产建设兵团）出具的属于监狱企业的证明文件）（投标文件中上传加盖出具单位公章的电子件）。</w:t>
      </w:r>
    </w:p>
    <w:p w14:paraId="4E0702D2">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（2）监狱企业标准请参照《关于政府采购支持监狱企业发展有关问题的通知》（财库[2014]68号）。</w:t>
      </w:r>
    </w:p>
    <w:p w14:paraId="738706CC">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.节能、环保政策</w:t>
      </w:r>
    </w:p>
    <w:p w14:paraId="18351DF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3811DBEE">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.2节能产品（本项目不涉及）</w:t>
      </w:r>
    </w:p>
    <w:p w14:paraId="1CDAB58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eastAsia="宋体" w:cs="宋体"/>
          <w:color w:val="000000" w:themeColor="text1"/>
          <w:sz w:val="24"/>
          <w:szCs w:val="24"/>
          <w:highlight w:val="none"/>
          <w:u w:val="single"/>
          <w14:textFill>
            <w14:solidFill>
              <w14:schemeClr w14:val="tx1"/>
            </w14:solidFill>
          </w14:textFill>
        </w:rPr>
        <w:t>(采购产品)</w:t>
      </w:r>
      <w:r>
        <w:rPr>
          <w:rFonts w:hint="eastAsia" w:ascii="宋体" w:hAnsi="宋体" w:eastAsia="宋体" w:cs="宋体"/>
          <w:color w:val="000000" w:themeColor="text1"/>
          <w:sz w:val="24"/>
          <w:szCs w:val="24"/>
          <w:highlight w:val="none"/>
          <w14:textFill>
            <w14:solidFill>
              <w14:schemeClr w14:val="tx1"/>
            </w14:solidFill>
          </w14:textFill>
        </w:rPr>
        <w:t>被列入“节能产品品目清单”的，实行</w:t>
      </w:r>
      <w:r>
        <w:rPr>
          <w:rFonts w:hint="eastAsia" w:ascii="宋体" w:hAnsi="宋体" w:eastAsia="宋体" w:cs="宋体"/>
          <w:color w:val="000000" w:themeColor="text1"/>
          <w:sz w:val="24"/>
          <w:szCs w:val="24"/>
          <w:highlight w:val="none"/>
          <w:u w:val="single"/>
          <w14:textFill>
            <w14:solidFill>
              <w14:schemeClr w14:val="tx1"/>
            </w14:solidFill>
          </w14:textFill>
        </w:rPr>
        <w:t>（优先采购/强制采购）</w:t>
      </w:r>
      <w:r>
        <w:rPr>
          <w:rFonts w:hint="eastAsia" w:ascii="宋体" w:hAnsi="宋体" w:eastAsia="宋体" w:cs="宋体"/>
          <w:color w:val="000000" w:themeColor="text1"/>
          <w:sz w:val="24"/>
          <w:szCs w:val="24"/>
          <w:highlight w:val="none"/>
          <w14:textFill>
            <w14:solidFill>
              <w14:schemeClr w14:val="tx1"/>
            </w14:solidFill>
          </w14:textFill>
        </w:rPr>
        <w:t>。</w:t>
      </w:r>
    </w:p>
    <w:p w14:paraId="44A20F4F">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.3环保产品（本项目不涉及）</w:t>
      </w:r>
    </w:p>
    <w:p w14:paraId="468BFF08">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本项目中</w:t>
      </w:r>
      <w:r>
        <w:rPr>
          <w:rFonts w:hint="eastAsia" w:ascii="宋体" w:hAnsi="宋体" w:eastAsia="宋体" w:cs="宋体"/>
          <w:color w:val="000000" w:themeColor="text1"/>
          <w:sz w:val="24"/>
          <w:szCs w:val="24"/>
          <w:highlight w:val="none"/>
          <w:u w:val="single"/>
          <w14:textFill>
            <w14:solidFill>
              <w14:schemeClr w14:val="tx1"/>
            </w14:solidFill>
          </w14:textFill>
        </w:rPr>
        <w:t>(采购产品)</w:t>
      </w:r>
      <w:r>
        <w:rPr>
          <w:rFonts w:hint="eastAsia" w:ascii="宋体" w:hAnsi="宋体" w:eastAsia="宋体" w:cs="宋体"/>
          <w:color w:val="000000" w:themeColor="text1"/>
          <w:sz w:val="24"/>
          <w:szCs w:val="24"/>
          <w:highlight w:val="none"/>
          <w14:textFill>
            <w14:solidFill>
              <w14:schemeClr w14:val="tx1"/>
            </w14:solidFill>
          </w14:textFill>
        </w:rPr>
        <w:t>被列入“环境标志产品品目清单”的，实行优先采购。</w:t>
      </w:r>
    </w:p>
    <w:p w14:paraId="2B178A3B">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3163317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themeColor="text1"/>
          <w:sz w:val="24"/>
          <w:szCs w:val="24"/>
          <w:highlight w:val="none"/>
          <w14:textFill>
            <w14:solidFill>
              <w14:schemeClr w14:val="tx1"/>
            </w14:solidFill>
          </w14:textFill>
        </w:rPr>
        <w:t>通知》（财库〔2019〕19号）执行。国家对品目清单进行调整的，按照最新调整的品目清单执行。</w:t>
      </w:r>
    </w:p>
    <w:p w14:paraId="2560AC3E">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．政府绿色采购</w:t>
      </w:r>
    </w:p>
    <w:p w14:paraId="50BC73E8">
      <w:pPr>
        <w:keepNext w:val="0"/>
        <w:keepLines w:val="0"/>
        <w:pageBreakBefore w:val="0"/>
        <w:widowControl/>
        <w:kinsoku/>
        <w:wordWrap/>
        <w:overflowPunct/>
        <w:topLinePunct w:val="0"/>
        <w:autoSpaceDE/>
        <w:autoSpaceDN/>
        <w:bidi w:val="0"/>
        <w:adjustRightInd/>
        <w:snapToGrid/>
        <w:spacing w:line="460" w:lineRule="exact"/>
        <w:ind w:firstLine="28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根据《江苏省财政厅关于加强政府绿色采购有关事项的通知》（苏财购〔2023〕65号）的要求，落实政府绿色采购相关政策，具体如下：</w:t>
      </w:r>
    </w:p>
    <w:p w14:paraId="367CBFCA">
      <w:pPr>
        <w:keepNext w:val="0"/>
        <w:keepLines w:val="0"/>
        <w:pageBreakBefore w:val="0"/>
        <w:widowControl/>
        <w:kinsoku/>
        <w:wordWrap/>
        <w:overflowPunct/>
        <w:topLinePunct w:val="0"/>
        <w:autoSpaceDE/>
        <w:autoSpaceDN/>
        <w:bidi w:val="0"/>
        <w:adjustRightInd/>
        <w:snapToGrid/>
        <w:spacing w:line="460" w:lineRule="exact"/>
        <w:ind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.1本项目为货物类采购项目的，所提供的产品需综合考虑节能环保、节水、循环再生、低碳、有机等因素；本项目为物业、合同能源管理等服务类采购项目的，应在服务中加强绿色低碳管理。</w:t>
      </w:r>
    </w:p>
    <w:p w14:paraId="52B9B0DB">
      <w:pPr>
        <w:pStyle w:val="232"/>
        <w:keepNext w:val="0"/>
        <w:keepLines w:val="0"/>
        <w:pageBreakBefore w:val="0"/>
        <w:widowControl/>
        <w:kinsoku/>
        <w:wordWrap/>
        <w:overflowPunct/>
        <w:topLinePunct w:val="0"/>
        <w:autoSpaceDE/>
        <w:autoSpaceDN/>
        <w:bidi w:val="0"/>
        <w:adjustRightInd/>
        <w:snapToGrid/>
        <w:spacing w:after="0" w:line="460" w:lineRule="exact"/>
        <w:ind w:left="0"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7108C9A8">
      <w:pPr>
        <w:pStyle w:val="232"/>
        <w:keepNext w:val="0"/>
        <w:keepLines w:val="0"/>
        <w:pageBreakBefore w:val="0"/>
        <w:widowControl/>
        <w:kinsoku/>
        <w:wordWrap/>
        <w:overflowPunct/>
        <w:topLinePunct w:val="0"/>
        <w:autoSpaceDE/>
        <w:autoSpaceDN/>
        <w:bidi w:val="0"/>
        <w:adjustRightInd/>
        <w:snapToGrid/>
        <w:spacing w:after="0" w:line="460" w:lineRule="exact"/>
        <w:ind w:left="0"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.3本项目中涉及涂料、胶黏剂、油墨、清洗剂等挥发性有机物产品的，要执行国家和江苏省VOCs含量限制标准，优先使用低挥发性原辅材料，使用低VOCs含量的涂料、胶黏剂等。</w:t>
      </w:r>
    </w:p>
    <w:p w14:paraId="55A8CDA0">
      <w:pPr>
        <w:pStyle w:val="232"/>
        <w:keepNext w:val="0"/>
        <w:keepLines w:val="0"/>
        <w:pageBreakBefore w:val="0"/>
        <w:widowControl/>
        <w:kinsoku/>
        <w:wordWrap/>
        <w:overflowPunct/>
        <w:topLinePunct w:val="0"/>
        <w:autoSpaceDE/>
        <w:autoSpaceDN/>
        <w:bidi w:val="0"/>
        <w:adjustRightInd/>
        <w:snapToGrid/>
        <w:spacing w:after="0" w:line="460" w:lineRule="exact"/>
        <w:ind w:left="0" w:firstLine="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.履约资金扶持政策</w:t>
      </w:r>
    </w:p>
    <w:p w14:paraId="11AB84C3">
      <w:pPr>
        <w:pStyle w:val="232"/>
        <w:keepNext w:val="0"/>
        <w:keepLines w:val="0"/>
        <w:pageBreakBefore w:val="0"/>
        <w:widowControl/>
        <w:kinsoku/>
        <w:wordWrap/>
        <w:overflowPunct/>
        <w:topLinePunct w:val="0"/>
        <w:autoSpaceDE/>
        <w:autoSpaceDN/>
        <w:bidi w:val="0"/>
        <w:adjustRightInd/>
        <w:snapToGrid/>
        <w:spacing w:after="0" w:line="460" w:lineRule="exact"/>
        <w:ind w:left="0" w:firstLine="56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0C87B18">
      <w:pPr>
        <w:pStyle w:val="232"/>
        <w:keepNext w:val="0"/>
        <w:keepLines w:val="0"/>
        <w:pageBreakBefore w:val="0"/>
        <w:widowControl/>
        <w:kinsoku/>
        <w:wordWrap/>
        <w:overflowPunct/>
        <w:topLinePunct w:val="0"/>
        <w:autoSpaceDE/>
        <w:autoSpaceDN/>
        <w:bidi w:val="0"/>
        <w:adjustRightInd/>
        <w:snapToGrid/>
        <w:spacing w:after="0" w:line="460" w:lineRule="exact"/>
        <w:ind w:left="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.2有融资贷款需求的中标人，与招标人在苏采云【合同在线签订】模块中进行合同在线签订时，【账户信息完善】的“是否融资”一栏中需选择“是”，同时完善收款账号信息和合同补充协议（融资账号）。</w:t>
      </w:r>
    </w:p>
    <w:p w14:paraId="61118758">
      <w:pPr>
        <w:widowControl/>
        <w:spacing w:line="520" w:lineRule="exact"/>
        <w:ind w:firstLine="560"/>
        <w:rPr>
          <w:rFonts w:hint="eastAsia" w:ascii="宋体" w:hAnsi="宋体" w:cs="宋体"/>
          <w:color w:val="000000" w:themeColor="text1"/>
          <w:sz w:val="28"/>
          <w:szCs w:val="28"/>
          <w:highlight w:val="none"/>
          <w14:textFill>
            <w14:solidFill>
              <w14:schemeClr w14:val="tx1"/>
            </w14:solidFill>
          </w14:textFill>
        </w:rPr>
      </w:pPr>
    </w:p>
    <w:p w14:paraId="052A651D">
      <w:pPr>
        <w:widowControl/>
        <w:spacing w:line="520" w:lineRule="exact"/>
        <w:ind w:firstLine="2512"/>
        <w:rPr>
          <w:rFonts w:hint="eastAsia" w:ascii="宋体" w:hAnsi="宋体" w:cs="宋体"/>
          <w:b/>
          <w:color w:val="000000" w:themeColor="text1"/>
          <w:sz w:val="36"/>
          <w:szCs w:val="36"/>
          <w:highlight w:val="none"/>
          <w14:textFill>
            <w14:solidFill>
              <w14:schemeClr w14:val="tx1"/>
            </w14:solidFill>
          </w14:textFill>
        </w:rPr>
        <w:sectPr>
          <w:footerReference r:id="rId5" w:type="default"/>
          <w:pgSz w:w="11906" w:h="16838"/>
          <w:pgMar w:top="1361" w:right="1304" w:bottom="1134" w:left="1587" w:header="851" w:footer="992" w:gutter="0"/>
          <w:pgNumType w:fmt="numberInDash" w:start="1"/>
          <w:cols w:space="720" w:num="1"/>
          <w:docGrid w:linePitch="360" w:charSpace="0"/>
        </w:sectPr>
      </w:pPr>
    </w:p>
    <w:p w14:paraId="6AE24F2E">
      <w:pPr>
        <w:widowControl/>
        <w:spacing w:line="520" w:lineRule="exact"/>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第三章  评标标准</w:t>
      </w:r>
    </w:p>
    <w:p w14:paraId="7783A5BB">
      <w:pPr>
        <w:keepNext w:val="0"/>
        <w:keepLines w:val="0"/>
        <w:pageBreakBefore w:val="0"/>
        <w:widowControl/>
        <w:kinsoku/>
        <w:wordWrap/>
        <w:overflowPunct/>
        <w:topLinePunct w:val="0"/>
        <w:autoSpaceDE/>
        <w:autoSpaceDN/>
        <w:bidi w:val="0"/>
        <w:adjustRightInd/>
        <w:snapToGrid/>
        <w:spacing w:line="500" w:lineRule="exact"/>
        <w:ind w:firstLine="561"/>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一、评委会根据招标文件中规定的评标标准对投标人进行综合评审，最终按综合评审得分由高到低的顺序推荐出3名中标候选人。</w:t>
      </w:r>
    </w:p>
    <w:p w14:paraId="220386A0">
      <w:pPr>
        <w:keepNext w:val="0"/>
        <w:keepLines w:val="0"/>
        <w:pageBreakBefore w:val="0"/>
        <w:widowControl/>
        <w:kinsoku/>
        <w:wordWrap/>
        <w:overflowPunct/>
        <w:topLinePunct w:val="0"/>
        <w:autoSpaceDE/>
        <w:autoSpaceDN/>
        <w:bidi w:val="0"/>
        <w:adjustRightInd/>
        <w:snapToGrid/>
        <w:spacing w:line="500" w:lineRule="exact"/>
        <w:ind w:firstLine="561"/>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6B9978B8">
      <w:pPr>
        <w:keepNext w:val="0"/>
        <w:keepLines w:val="0"/>
        <w:pageBreakBefore w:val="0"/>
        <w:widowControl/>
        <w:kinsoku/>
        <w:wordWrap/>
        <w:overflowPunct/>
        <w:topLinePunct w:val="0"/>
        <w:autoSpaceDE/>
        <w:autoSpaceDN/>
        <w:bidi w:val="0"/>
        <w:adjustRightInd/>
        <w:snapToGrid/>
        <w:spacing w:line="500" w:lineRule="exact"/>
        <w:ind w:firstLine="561"/>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p>
    <w:p w14:paraId="7019D3F4">
      <w:pPr>
        <w:keepNext w:val="0"/>
        <w:keepLines w:val="0"/>
        <w:pageBreakBefore w:val="0"/>
        <w:widowControl/>
        <w:kinsoku/>
        <w:wordWrap/>
        <w:overflowPunct/>
        <w:topLinePunct w:val="0"/>
        <w:autoSpaceDE/>
        <w:autoSpaceDN/>
        <w:bidi w:val="0"/>
        <w:adjustRightInd/>
        <w:snapToGrid/>
        <w:spacing w:line="500" w:lineRule="exact"/>
        <w:ind w:firstLine="561"/>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三、具体标准:</w:t>
      </w:r>
    </w:p>
    <w:tbl>
      <w:tblPr>
        <w:tblStyle w:val="38"/>
        <w:tblpPr w:leftFromText="180" w:rightFromText="180" w:vertAnchor="text" w:horzAnchor="page" w:tblpX="1507" w:tblpY="516"/>
        <w:tblOverlap w:val="never"/>
        <w:tblW w:w="976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0"/>
        <w:gridCol w:w="870"/>
        <w:gridCol w:w="750"/>
        <w:gridCol w:w="7485"/>
      </w:tblGrid>
      <w:tr w14:paraId="61F9B8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660" w:type="dxa"/>
            <w:noWrap w:val="0"/>
            <w:vAlign w:val="center"/>
          </w:tcPr>
          <w:p w14:paraId="440DF0C0">
            <w:pPr>
              <w:widowControl/>
              <w:spacing w:line="32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870" w:type="dxa"/>
            <w:noWrap w:val="0"/>
            <w:vAlign w:val="center"/>
          </w:tcPr>
          <w:p w14:paraId="165D43C6">
            <w:pPr>
              <w:widowControl/>
              <w:spacing w:line="32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评分</w:t>
            </w:r>
          </w:p>
          <w:p w14:paraId="4A522FE3">
            <w:pPr>
              <w:widowControl/>
              <w:spacing w:line="32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w:t>
            </w:r>
          </w:p>
        </w:tc>
        <w:tc>
          <w:tcPr>
            <w:tcW w:w="750" w:type="dxa"/>
            <w:noWrap w:val="0"/>
            <w:vAlign w:val="center"/>
          </w:tcPr>
          <w:p w14:paraId="124612C0">
            <w:pPr>
              <w:widowControl/>
              <w:spacing w:line="32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分值</w:t>
            </w:r>
          </w:p>
        </w:tc>
        <w:tc>
          <w:tcPr>
            <w:tcW w:w="7485" w:type="dxa"/>
            <w:noWrap w:val="0"/>
            <w:vAlign w:val="center"/>
          </w:tcPr>
          <w:p w14:paraId="47047DF9">
            <w:pPr>
              <w:pStyle w:val="284"/>
              <w:widowControl/>
              <w:spacing w:line="440" w:lineRule="exact"/>
              <w:jc w:val="cente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评分细则</w:t>
            </w:r>
          </w:p>
        </w:tc>
      </w:tr>
      <w:tr w14:paraId="31078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660" w:type="dxa"/>
            <w:noWrap w:val="0"/>
            <w:vAlign w:val="center"/>
          </w:tcPr>
          <w:p w14:paraId="42C697FF">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一</w:t>
            </w:r>
          </w:p>
        </w:tc>
        <w:tc>
          <w:tcPr>
            <w:tcW w:w="870" w:type="dxa"/>
            <w:noWrap w:val="0"/>
            <w:vAlign w:val="center"/>
          </w:tcPr>
          <w:p w14:paraId="0619B107">
            <w:pPr>
              <w:pStyle w:val="284"/>
              <w:widowControl/>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价格分</w:t>
            </w:r>
          </w:p>
        </w:tc>
        <w:tc>
          <w:tcPr>
            <w:tcW w:w="750" w:type="dxa"/>
            <w:noWrap w:val="0"/>
            <w:vAlign w:val="center"/>
          </w:tcPr>
          <w:p w14:paraId="21C835F6">
            <w:pPr>
              <w:pStyle w:val="284"/>
              <w:widowControl/>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10分</w:t>
            </w:r>
          </w:p>
        </w:tc>
        <w:tc>
          <w:tcPr>
            <w:tcW w:w="7485" w:type="dxa"/>
            <w:noWrap w:val="0"/>
            <w:vAlign w:val="center"/>
          </w:tcPr>
          <w:p w14:paraId="01CF6D6D">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采用低价优先法计算，即满足招标文件要求且投标价格最低的投标报价为评标基准价，其价格分为满分。其他投标人的价格分统一按照下列公式计算（小数点保留两位）:</w:t>
            </w:r>
          </w:p>
          <w:p w14:paraId="3316BD3D">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jc w:val="center"/>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投标报价得分＝（评标基准价/投标报价）×10分</w:t>
            </w:r>
          </w:p>
        </w:tc>
      </w:tr>
      <w:tr w14:paraId="6F04E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1" w:hRule="atLeast"/>
        </w:trPr>
        <w:tc>
          <w:tcPr>
            <w:tcW w:w="660" w:type="dxa"/>
            <w:vMerge w:val="restart"/>
            <w:noWrap w:val="0"/>
            <w:vAlign w:val="center"/>
          </w:tcPr>
          <w:p w14:paraId="01F53BA5">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二</w:t>
            </w:r>
          </w:p>
        </w:tc>
        <w:tc>
          <w:tcPr>
            <w:tcW w:w="870" w:type="dxa"/>
            <w:vMerge w:val="restart"/>
            <w:noWrap w:val="0"/>
            <w:vAlign w:val="center"/>
          </w:tcPr>
          <w:p w14:paraId="513D3140">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商务</w:t>
            </w:r>
          </w:p>
          <w:p w14:paraId="0D9CABB9">
            <w:pPr>
              <w:pStyle w:val="284"/>
              <w:widowControl/>
              <w:spacing w:line="44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部分</w:t>
            </w:r>
          </w:p>
        </w:tc>
        <w:tc>
          <w:tcPr>
            <w:tcW w:w="750" w:type="dxa"/>
            <w:vMerge w:val="restart"/>
            <w:noWrap w:val="0"/>
            <w:vAlign w:val="center"/>
          </w:tcPr>
          <w:p w14:paraId="1D185B1B">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40</w:t>
            </w:r>
            <w:r>
              <w:rPr>
                <w:rFonts w:hint="eastAsia"/>
                <w:color w:val="000000" w:themeColor="text1"/>
                <w:highlight w:val="none"/>
                <w14:textFill>
                  <w14:solidFill>
                    <w14:schemeClr w14:val="tx1"/>
                  </w14:solidFill>
                </w14:textFill>
              </w:rPr>
              <w:t>分</w:t>
            </w:r>
          </w:p>
        </w:tc>
        <w:tc>
          <w:tcPr>
            <w:tcW w:w="7485" w:type="dxa"/>
            <w:noWrap w:val="0"/>
            <w:vAlign w:val="center"/>
          </w:tcPr>
          <w:p w14:paraId="6905B030">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（一）</w:t>
            </w:r>
            <w:r>
              <w:rPr>
                <w:rFonts w:hint="eastAsia"/>
                <w:b/>
                <w:bCs/>
                <w:color w:val="000000" w:themeColor="text1"/>
                <w:sz w:val="24"/>
                <w:szCs w:val="24"/>
                <w:highlight w:val="none"/>
                <w14:textFill>
                  <w14:solidFill>
                    <w14:schemeClr w14:val="tx1"/>
                  </w14:solidFill>
                </w14:textFill>
              </w:rPr>
              <w:t>业绩</w:t>
            </w:r>
            <w:r>
              <w:rPr>
                <w:rFonts w:hint="eastAsia"/>
                <w:b/>
                <w:bCs/>
                <w:color w:val="000000" w:themeColor="text1"/>
                <w:sz w:val="24"/>
                <w:szCs w:val="24"/>
                <w:highlight w:val="none"/>
                <w:lang w:eastAsia="zh-CN"/>
                <w14:textFill>
                  <w14:solidFill>
                    <w14:schemeClr w14:val="tx1"/>
                  </w14:solidFill>
                </w14:textFill>
              </w:rPr>
              <w:t>：8</w:t>
            </w:r>
            <w:r>
              <w:rPr>
                <w:rFonts w:hint="eastAsia"/>
                <w:b/>
                <w:bCs/>
                <w:color w:val="000000" w:themeColor="text1"/>
                <w:sz w:val="24"/>
                <w:szCs w:val="24"/>
                <w:highlight w:val="none"/>
                <w14:textFill>
                  <w14:solidFill>
                    <w14:schemeClr w14:val="tx1"/>
                  </w14:solidFill>
                </w14:textFill>
              </w:rPr>
              <w:t>分</w:t>
            </w:r>
          </w:p>
          <w:p w14:paraId="2BE50274">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投标人具有2021年以来（以合同签订时间为准）照明设施养护、维护项目或类似业绩的，每提供1个业绩得2分，本项最高得8分；未提供不得分。</w:t>
            </w:r>
          </w:p>
          <w:p w14:paraId="65609472">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1" w:firstLineChars="10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注：1.应同时提供中标（</w:t>
            </w:r>
            <w:r>
              <w:rPr>
                <w:rFonts w:hint="eastAsia"/>
                <w:b/>
                <w:bCs/>
                <w:color w:val="000000" w:themeColor="text1"/>
                <w:sz w:val="24"/>
                <w:szCs w:val="24"/>
                <w:highlight w:val="none"/>
                <w:lang w:val="en-US" w:eastAsia="zh-CN"/>
                <w14:textFill>
                  <w14:solidFill>
                    <w14:schemeClr w14:val="tx1"/>
                  </w14:solidFill>
                </w14:textFill>
              </w:rPr>
              <w:t>成交）</w:t>
            </w:r>
            <w:r>
              <w:rPr>
                <w:rFonts w:hint="eastAsia"/>
                <w:b/>
                <w:bCs/>
                <w:color w:val="000000" w:themeColor="text1"/>
                <w:sz w:val="24"/>
                <w:szCs w:val="24"/>
                <w:highlight w:val="none"/>
                <w:lang w:eastAsia="zh-CN"/>
                <w14:textFill>
                  <w14:solidFill>
                    <w14:schemeClr w14:val="tx1"/>
                  </w14:solidFill>
                </w14:textFill>
              </w:rPr>
              <w:t>通知书（如有），合同，工程接收证书或工程竣工（</w:t>
            </w:r>
            <w:r>
              <w:rPr>
                <w:rFonts w:hint="eastAsia"/>
                <w:b/>
                <w:bCs/>
                <w:color w:val="000000" w:themeColor="text1"/>
                <w:sz w:val="24"/>
                <w:szCs w:val="24"/>
                <w:highlight w:val="none"/>
                <w:lang w:val="en-US" w:eastAsia="zh-CN"/>
                <w14:textFill>
                  <w14:solidFill>
                    <w14:schemeClr w14:val="tx1"/>
                  </w14:solidFill>
                </w14:textFill>
              </w:rPr>
              <w:t>或完工）</w:t>
            </w:r>
            <w:r>
              <w:rPr>
                <w:rFonts w:hint="eastAsia"/>
                <w:b/>
                <w:bCs/>
                <w:color w:val="000000" w:themeColor="text1"/>
                <w:sz w:val="24"/>
                <w:szCs w:val="24"/>
                <w:highlight w:val="none"/>
                <w:lang w:eastAsia="zh-CN"/>
                <w14:textFill>
                  <w14:solidFill>
                    <w14:schemeClr w14:val="tx1"/>
                  </w14:solidFill>
                </w14:textFill>
              </w:rPr>
              <w:t>验收证明及投标人认为需要提交的其他证明材料证实。</w:t>
            </w:r>
          </w:p>
          <w:p w14:paraId="34A4C3FA">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482" w:firstLineChars="200"/>
              <w:textAlignment w:val="auto"/>
              <w:rPr>
                <w:rFonts w:hint="eastAsia"/>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2.中标（</w:t>
            </w:r>
            <w:r>
              <w:rPr>
                <w:rFonts w:hint="eastAsia"/>
                <w:b/>
                <w:bCs/>
                <w:color w:val="000000" w:themeColor="text1"/>
                <w:sz w:val="24"/>
                <w:szCs w:val="24"/>
                <w:highlight w:val="none"/>
                <w:lang w:val="en-US" w:eastAsia="zh-CN"/>
                <w14:textFill>
                  <w14:solidFill>
                    <w14:schemeClr w14:val="tx1"/>
                  </w14:solidFill>
                </w14:textFill>
              </w:rPr>
              <w:t>成交）</w:t>
            </w:r>
            <w:r>
              <w:rPr>
                <w:rFonts w:hint="eastAsia"/>
                <w:b/>
                <w:bCs/>
                <w:color w:val="000000" w:themeColor="text1"/>
                <w:sz w:val="24"/>
                <w:szCs w:val="24"/>
                <w:highlight w:val="none"/>
                <w:lang w:eastAsia="zh-CN"/>
                <w14:textFill>
                  <w14:solidFill>
                    <w14:schemeClr w14:val="tx1"/>
                  </w14:solidFill>
                </w14:textFill>
              </w:rPr>
              <w:t>通知书（如有），合同，工程接收证书或工程竣工（</w:t>
            </w:r>
            <w:r>
              <w:rPr>
                <w:rFonts w:hint="eastAsia"/>
                <w:b/>
                <w:bCs/>
                <w:color w:val="000000" w:themeColor="text1"/>
                <w:sz w:val="24"/>
                <w:szCs w:val="24"/>
                <w:highlight w:val="none"/>
                <w:lang w:val="en-US" w:eastAsia="zh-CN"/>
                <w14:textFill>
                  <w14:solidFill>
                    <w14:schemeClr w14:val="tx1"/>
                  </w14:solidFill>
                </w14:textFill>
              </w:rPr>
              <w:t>或完工）</w:t>
            </w:r>
            <w:r>
              <w:rPr>
                <w:rFonts w:hint="eastAsia"/>
                <w:b/>
                <w:bCs/>
                <w:color w:val="000000" w:themeColor="text1"/>
                <w:sz w:val="24"/>
                <w:szCs w:val="24"/>
                <w:highlight w:val="none"/>
                <w:lang w:eastAsia="zh-CN"/>
                <w14:textFill>
                  <w14:solidFill>
                    <w14:schemeClr w14:val="tx1"/>
                  </w14:solidFill>
                </w14:textFill>
              </w:rPr>
              <w:t>验收证明及投标人认为需要提交的其他证明材料相关原件扫描件上传至电子投标文件并加盖投标人电子签章。</w:t>
            </w:r>
          </w:p>
        </w:tc>
      </w:tr>
      <w:tr w14:paraId="7CEEC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660" w:type="dxa"/>
            <w:vMerge w:val="continue"/>
            <w:noWrap w:val="0"/>
            <w:vAlign w:val="center"/>
          </w:tcPr>
          <w:p w14:paraId="780FBED5">
            <w:pPr>
              <w:pStyle w:val="284"/>
              <w:widowControl/>
              <w:spacing w:line="440" w:lineRule="exact"/>
              <w:jc w:val="center"/>
              <w:rPr>
                <w:rFonts w:hint="eastAsia"/>
                <w:color w:val="000000" w:themeColor="text1"/>
                <w:highlight w:val="none"/>
                <w14:textFill>
                  <w14:solidFill>
                    <w14:schemeClr w14:val="tx1"/>
                  </w14:solidFill>
                </w14:textFill>
              </w:rPr>
            </w:pPr>
          </w:p>
        </w:tc>
        <w:tc>
          <w:tcPr>
            <w:tcW w:w="870" w:type="dxa"/>
            <w:vMerge w:val="continue"/>
            <w:noWrap w:val="0"/>
            <w:vAlign w:val="center"/>
          </w:tcPr>
          <w:p w14:paraId="7ACA8DCF">
            <w:pPr>
              <w:pStyle w:val="284"/>
              <w:widowControl/>
              <w:spacing w:line="440" w:lineRule="exact"/>
              <w:jc w:val="center"/>
              <w:rPr>
                <w:rFonts w:hint="eastAsia"/>
                <w:color w:val="000000" w:themeColor="text1"/>
                <w:highlight w:val="none"/>
                <w14:textFill>
                  <w14:solidFill>
                    <w14:schemeClr w14:val="tx1"/>
                  </w14:solidFill>
                </w14:textFill>
              </w:rPr>
            </w:pPr>
          </w:p>
        </w:tc>
        <w:tc>
          <w:tcPr>
            <w:tcW w:w="750" w:type="dxa"/>
            <w:vMerge w:val="continue"/>
            <w:noWrap w:val="0"/>
            <w:vAlign w:val="center"/>
          </w:tcPr>
          <w:p w14:paraId="5A234CDD">
            <w:pPr>
              <w:pStyle w:val="284"/>
              <w:widowControl/>
              <w:spacing w:line="440" w:lineRule="exact"/>
              <w:jc w:val="center"/>
              <w:rPr>
                <w:rFonts w:hint="eastAsia"/>
                <w:color w:val="000000" w:themeColor="text1"/>
                <w:highlight w:val="none"/>
                <w14:textFill>
                  <w14:solidFill>
                    <w14:schemeClr w14:val="tx1"/>
                  </w14:solidFill>
                </w14:textFill>
              </w:rPr>
            </w:pPr>
          </w:p>
        </w:tc>
        <w:tc>
          <w:tcPr>
            <w:tcW w:w="7485" w:type="dxa"/>
            <w:noWrap w:val="0"/>
            <w:vAlign w:val="center"/>
          </w:tcPr>
          <w:p w14:paraId="3E0664A5">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（二）</w:t>
            </w:r>
            <w:r>
              <w:rPr>
                <w:rFonts w:hint="eastAsia"/>
                <w:b/>
                <w:bCs/>
                <w:color w:val="000000" w:themeColor="text1"/>
                <w:sz w:val="24"/>
                <w:szCs w:val="24"/>
                <w:highlight w:val="none"/>
                <w14:textFill>
                  <w14:solidFill>
                    <w14:schemeClr w14:val="tx1"/>
                  </w14:solidFill>
                </w14:textFill>
              </w:rPr>
              <w:t>人员配备</w:t>
            </w: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4</w:t>
            </w:r>
            <w:r>
              <w:rPr>
                <w:rFonts w:hint="eastAsia"/>
                <w:b/>
                <w:bCs/>
                <w:color w:val="000000" w:themeColor="text1"/>
                <w:sz w:val="24"/>
                <w:szCs w:val="24"/>
                <w:highlight w:val="none"/>
                <w14:textFill>
                  <w14:solidFill>
                    <w14:schemeClr w14:val="tx1"/>
                  </w14:solidFill>
                </w14:textFill>
              </w:rPr>
              <w:t>分</w:t>
            </w:r>
          </w:p>
          <w:p w14:paraId="3A471F90">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1.投标人</w:t>
            </w:r>
            <w:r>
              <w:rPr>
                <w:rFonts w:hint="eastAsia"/>
                <w:color w:val="000000" w:themeColor="text1"/>
                <w:sz w:val="24"/>
                <w:szCs w:val="24"/>
                <w:highlight w:val="none"/>
                <w:lang w:val="en-US" w:eastAsia="zh-CN"/>
                <w14:textFill>
                  <w14:solidFill>
                    <w14:schemeClr w14:val="tx1"/>
                  </w14:solidFill>
                </w14:textFill>
              </w:rPr>
              <w:t>针对</w:t>
            </w:r>
            <w:r>
              <w:rPr>
                <w:rFonts w:hint="eastAsia"/>
                <w:color w:val="000000" w:themeColor="text1"/>
                <w:sz w:val="24"/>
                <w:szCs w:val="24"/>
                <w:highlight w:val="none"/>
                <w:lang w:eastAsia="zh-CN"/>
                <w14:textFill>
                  <w14:solidFill>
                    <w14:schemeClr w14:val="tx1"/>
                  </w14:solidFill>
                </w14:textFill>
              </w:rPr>
              <w:t>本项目拟派的项目负责人具有</w:t>
            </w:r>
            <w:r>
              <w:rPr>
                <w:rFonts w:hint="eastAsia"/>
                <w:color w:val="000000" w:themeColor="text1"/>
                <w:sz w:val="24"/>
                <w:szCs w:val="24"/>
                <w:highlight w:val="none"/>
                <w:lang w:val="en-US" w:eastAsia="zh-CN"/>
                <w14:textFill>
                  <w14:solidFill>
                    <w14:schemeClr w14:val="tx1"/>
                  </w14:solidFill>
                </w14:textFill>
              </w:rPr>
              <w:t>工程类</w:t>
            </w:r>
            <w:r>
              <w:rPr>
                <w:rFonts w:hint="eastAsia"/>
                <w:color w:val="000000" w:themeColor="text1"/>
                <w:sz w:val="24"/>
                <w:szCs w:val="24"/>
                <w:highlight w:val="none"/>
                <w:lang w:eastAsia="zh-CN"/>
                <w14:textFill>
                  <w14:solidFill>
                    <w14:schemeClr w14:val="tx1"/>
                  </w14:solidFill>
                </w14:textFill>
              </w:rPr>
              <w:t>中级及以上职称的得</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lang w:eastAsia="zh-CN"/>
                <w14:textFill>
                  <w14:solidFill>
                    <w14:schemeClr w14:val="tx1"/>
                  </w14:solidFill>
                </w14:textFill>
              </w:rPr>
              <w:t>分；未提供不得分。</w:t>
            </w:r>
          </w:p>
          <w:p w14:paraId="178A4D10">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2.投标人为本项目拟派项目组技术负责人具有</w:t>
            </w:r>
            <w:r>
              <w:rPr>
                <w:rFonts w:hint="eastAsia"/>
                <w:strike w:val="0"/>
                <w:dstrike w:val="0"/>
                <w:color w:val="000000" w:themeColor="text1"/>
                <w:sz w:val="24"/>
                <w:szCs w:val="24"/>
                <w:highlight w:val="none"/>
                <w:lang w:eastAsia="zh-CN"/>
                <w14:textFill>
                  <w14:solidFill>
                    <w14:schemeClr w14:val="tx1"/>
                  </w14:solidFill>
                </w14:textFill>
              </w:rPr>
              <w:t>中级及以上</w:t>
            </w:r>
            <w:r>
              <w:rPr>
                <w:rFonts w:hint="eastAsia"/>
                <w:color w:val="000000" w:themeColor="text1"/>
                <w:sz w:val="24"/>
                <w:szCs w:val="24"/>
                <w:highlight w:val="none"/>
                <w:lang w:eastAsia="zh-CN"/>
                <w14:textFill>
                  <w14:solidFill>
                    <w14:schemeClr w14:val="tx1"/>
                  </w14:solidFill>
                </w14:textFill>
              </w:rPr>
              <w:t>注册安全工程师</w:t>
            </w:r>
            <w:r>
              <w:rPr>
                <w:rFonts w:hint="eastAsia"/>
                <w:color w:val="000000" w:themeColor="text1"/>
                <w:sz w:val="24"/>
                <w:szCs w:val="24"/>
                <w:highlight w:val="none"/>
                <w:lang w:val="en-US" w:eastAsia="zh-CN"/>
                <w14:textFill>
                  <w14:solidFill>
                    <w14:schemeClr w14:val="tx1"/>
                  </w14:solidFill>
                </w14:textFill>
              </w:rPr>
              <w:t>执业资格</w:t>
            </w:r>
            <w:r>
              <w:rPr>
                <w:rFonts w:hint="eastAsia"/>
                <w:color w:val="000000" w:themeColor="text1"/>
                <w:sz w:val="24"/>
                <w:szCs w:val="24"/>
                <w:highlight w:val="none"/>
                <w:lang w:eastAsia="zh-CN"/>
                <w14:textFill>
                  <w14:solidFill>
                    <w14:schemeClr w14:val="tx1"/>
                  </w14:solidFill>
                </w14:textFill>
              </w:rPr>
              <w:t>的得</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lang w:eastAsia="zh-CN"/>
                <w14:textFill>
                  <w14:solidFill>
                    <w14:schemeClr w14:val="tx1"/>
                  </w14:solidFill>
                </w14:textFill>
              </w:rPr>
              <w:t>分；未提供不得分。</w:t>
            </w:r>
          </w:p>
          <w:p w14:paraId="4FEC2FD2">
            <w:pPr>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1" w:firstLineChars="1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w:t>
            </w:r>
          </w:p>
          <w:p w14:paraId="339B11B7">
            <w:pPr>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1" w:firstLineChars="100"/>
              <w:textAlignment w:val="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（1）须提供相关证书、证件原件扫描件上传至电子投标文件并加盖投标人电子签章。未提供不得分。</w:t>
            </w:r>
          </w:p>
          <w:p w14:paraId="1E63E610">
            <w:pPr>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1"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w:t>
            </w:r>
            <w:r>
              <w:rPr>
                <w:rFonts w:hint="eastAsia" w:ascii="宋体" w:hAnsi="宋体" w:cs="宋体"/>
                <w:b/>
                <w:bCs/>
                <w:color w:val="000000" w:themeColor="text1"/>
                <w:sz w:val="24"/>
                <w:szCs w:val="24"/>
                <w:highlight w:val="none"/>
                <w:lang w:val="en-US" w:eastAsia="zh-CN"/>
                <w14:textFill>
                  <w14:solidFill>
                    <w14:schemeClr w14:val="tx1"/>
                  </w14:solidFill>
                </w14:textFill>
              </w:rPr>
              <w:t>以上</w:t>
            </w:r>
            <w:r>
              <w:rPr>
                <w:rFonts w:hint="eastAsia" w:ascii="宋体" w:hAnsi="宋体" w:cs="宋体"/>
                <w:b/>
                <w:bCs/>
                <w:color w:val="000000" w:themeColor="text1"/>
                <w:sz w:val="24"/>
                <w:szCs w:val="24"/>
                <w:highlight w:val="none"/>
                <w14:textFill>
                  <w14:solidFill>
                    <w14:schemeClr w14:val="tx1"/>
                  </w14:solidFill>
                </w14:textFill>
              </w:rPr>
              <w:t>所有人员均须提供投标人为其缴纳的2024年5月以来任意1个月社保证明。</w:t>
            </w:r>
          </w:p>
        </w:tc>
      </w:tr>
      <w:tr w14:paraId="5BB5D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8" w:hRule="atLeast"/>
        </w:trPr>
        <w:tc>
          <w:tcPr>
            <w:tcW w:w="660" w:type="dxa"/>
            <w:vMerge w:val="continue"/>
            <w:noWrap w:val="0"/>
            <w:vAlign w:val="center"/>
          </w:tcPr>
          <w:p w14:paraId="1118EBEE">
            <w:pPr>
              <w:widowControl/>
              <w:spacing w:line="440" w:lineRule="exact"/>
              <w:rPr>
                <w:rFonts w:hint="eastAsia" w:ascii="宋体" w:hAnsi="宋体" w:cs="宋体"/>
                <w:color w:val="000000" w:themeColor="text1"/>
                <w:sz w:val="24"/>
                <w:highlight w:val="none"/>
                <w14:textFill>
                  <w14:solidFill>
                    <w14:schemeClr w14:val="tx1"/>
                  </w14:solidFill>
                </w14:textFill>
              </w:rPr>
            </w:pPr>
          </w:p>
        </w:tc>
        <w:tc>
          <w:tcPr>
            <w:tcW w:w="870" w:type="dxa"/>
            <w:vMerge w:val="continue"/>
            <w:noWrap w:val="0"/>
            <w:vAlign w:val="center"/>
          </w:tcPr>
          <w:p w14:paraId="39C34294">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50" w:type="dxa"/>
            <w:vMerge w:val="continue"/>
            <w:noWrap w:val="0"/>
            <w:vAlign w:val="center"/>
          </w:tcPr>
          <w:p w14:paraId="21851BDD">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485" w:type="dxa"/>
            <w:noWrap w:val="0"/>
            <w:vAlign w:val="center"/>
          </w:tcPr>
          <w:p w14:paraId="489D7DED">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（三）车辆、设备、仪器方面配备：</w:t>
            </w:r>
            <w:r>
              <w:rPr>
                <w:rFonts w:hint="eastAsia"/>
                <w:b/>
                <w:bCs/>
                <w:color w:val="000000" w:themeColor="text1"/>
                <w:sz w:val="24"/>
                <w:szCs w:val="24"/>
                <w:highlight w:val="none"/>
                <w:lang w:val="en-US" w:eastAsia="zh-CN"/>
                <w14:textFill>
                  <w14:solidFill>
                    <w14:schemeClr w14:val="tx1"/>
                  </w14:solidFill>
                </w14:textFill>
              </w:rPr>
              <w:t>22</w:t>
            </w:r>
            <w:r>
              <w:rPr>
                <w:rFonts w:hint="eastAsia"/>
                <w:b/>
                <w:bCs/>
                <w:color w:val="000000" w:themeColor="text1"/>
                <w:sz w:val="24"/>
                <w:szCs w:val="24"/>
                <w:highlight w:val="none"/>
                <w:lang w:eastAsia="zh-CN"/>
                <w14:textFill>
                  <w14:solidFill>
                    <w14:schemeClr w14:val="tx1"/>
                  </w14:solidFill>
                </w14:textFill>
              </w:rPr>
              <w:t>分</w:t>
            </w:r>
          </w:p>
          <w:p w14:paraId="7D50FF9C">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1.投标人具有货车，每提供1辆得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分，本项最高得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分；未提供不得分。</w:t>
            </w:r>
          </w:p>
          <w:p w14:paraId="1738AB0A">
            <w:pPr>
              <w:pStyle w:val="2"/>
              <w:keepNext w:val="0"/>
              <w:keepLines w:val="0"/>
              <w:pageBreakBefore w:val="0"/>
              <w:widowControl/>
              <w:kinsoku/>
              <w:wordWrap/>
              <w:overflowPunct/>
              <w:topLinePunct w:val="0"/>
              <w:autoSpaceDE/>
              <w:autoSpaceDN/>
              <w:bidi w:val="0"/>
              <w:adjustRightInd/>
              <w:snapToGrid/>
              <w:spacing w:after="0" w:line="340" w:lineRule="exact"/>
              <w:ind w:left="105" w:leftChars="50" w:right="105" w:rightChars="50" w:firstLine="240"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2.投标人具有20米以上高处作业车的有1辆得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分；本项最高得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分；未提供不得分。</w:t>
            </w:r>
          </w:p>
          <w:p w14:paraId="46C5C1A7">
            <w:pPr>
              <w:pStyle w:val="2"/>
              <w:keepNext w:val="0"/>
              <w:keepLines w:val="0"/>
              <w:pageBreakBefore w:val="0"/>
              <w:widowControl/>
              <w:kinsoku/>
              <w:wordWrap/>
              <w:overflowPunct/>
              <w:topLinePunct w:val="0"/>
              <w:autoSpaceDE/>
              <w:autoSpaceDN/>
              <w:bidi w:val="0"/>
              <w:adjustRightInd/>
              <w:snapToGrid/>
              <w:spacing w:after="0" w:line="340" w:lineRule="exact"/>
              <w:ind w:left="105" w:leftChars="50" w:right="105" w:rightChars="50" w:firstLine="240"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具有16米</w:t>
            </w:r>
            <w:r>
              <w:rPr>
                <w:rFonts w:hint="eastAsia" w:ascii="宋体" w:hAnsi="宋体" w:cs="宋体"/>
                <w:color w:val="000000" w:themeColor="text1"/>
                <w:sz w:val="24"/>
                <w:szCs w:val="24"/>
                <w:highlight w:val="none"/>
                <w:lang w:val="en-US" w:eastAsia="zh-CN"/>
                <w14:textFill>
                  <w14:solidFill>
                    <w14:schemeClr w14:val="tx1"/>
                  </w14:solidFill>
                </w14:textFill>
              </w:rPr>
              <w:t>-20米</w:t>
            </w:r>
            <w:r>
              <w:rPr>
                <w:rFonts w:hint="eastAsia" w:ascii="宋体" w:hAnsi="宋体" w:cs="宋体"/>
                <w:color w:val="000000" w:themeColor="text1"/>
                <w:sz w:val="24"/>
                <w:szCs w:val="24"/>
                <w:highlight w:val="none"/>
                <w14:textFill>
                  <w14:solidFill>
                    <w14:schemeClr w14:val="tx1"/>
                  </w14:solidFill>
                </w14:textFill>
              </w:rPr>
              <w:t>高处作业车辆的，每提供1辆得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分</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本项最高得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分；未提供不得分。</w:t>
            </w:r>
          </w:p>
          <w:p w14:paraId="68596263">
            <w:pPr>
              <w:pStyle w:val="13"/>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投标人具有巡视车辆，</w:t>
            </w:r>
            <w:r>
              <w:rPr>
                <w:rFonts w:hint="eastAsia" w:ascii="宋体" w:hAnsi="宋体" w:cs="宋体"/>
                <w:color w:val="000000" w:themeColor="text1"/>
                <w:sz w:val="24"/>
                <w:szCs w:val="24"/>
                <w:highlight w:val="none"/>
                <w14:textFill>
                  <w14:solidFill>
                    <w14:schemeClr w14:val="tx1"/>
                  </w14:solidFill>
                </w14:textFill>
              </w:rPr>
              <w:t>每提供1</w:t>
            </w:r>
            <w:r>
              <w:rPr>
                <w:rFonts w:hint="eastAsia" w:ascii="宋体" w:hAnsi="宋体" w:cs="宋体"/>
                <w:color w:val="000000" w:themeColor="text1"/>
                <w:kern w:val="0"/>
                <w:sz w:val="24"/>
                <w:szCs w:val="24"/>
                <w:highlight w:val="none"/>
                <w14:textFill>
                  <w14:solidFill>
                    <w14:schemeClr w14:val="tx1"/>
                  </w14:solidFill>
                </w14:textFill>
              </w:rPr>
              <w:t>辆得</w:t>
            </w: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分，</w:t>
            </w:r>
            <w:r>
              <w:rPr>
                <w:rFonts w:hint="eastAsia" w:ascii="宋体" w:hAnsi="宋体" w:cs="宋体"/>
                <w:color w:val="000000" w:themeColor="text1"/>
                <w:sz w:val="24"/>
                <w:szCs w:val="24"/>
                <w:highlight w:val="none"/>
                <w14:textFill>
                  <w14:solidFill>
                    <w14:schemeClr w14:val="tx1"/>
                  </w14:solidFill>
                </w14:textFill>
              </w:rPr>
              <w:t>本项</w:t>
            </w:r>
            <w:r>
              <w:rPr>
                <w:rFonts w:hint="eastAsia" w:ascii="宋体" w:hAnsi="宋体" w:cs="宋体"/>
                <w:color w:val="000000" w:themeColor="text1"/>
                <w:kern w:val="0"/>
                <w:sz w:val="24"/>
                <w:szCs w:val="24"/>
                <w:highlight w:val="none"/>
                <w14:textFill>
                  <w14:solidFill>
                    <w14:schemeClr w14:val="tx1"/>
                  </w14:solidFill>
                </w14:textFill>
              </w:rPr>
              <w:t>最高得2分；</w:t>
            </w:r>
            <w:r>
              <w:rPr>
                <w:rFonts w:hint="eastAsia" w:ascii="宋体" w:hAnsi="宋体" w:cs="宋体"/>
                <w:color w:val="000000" w:themeColor="text1"/>
                <w:sz w:val="24"/>
                <w:szCs w:val="24"/>
                <w:highlight w:val="none"/>
                <w14:textFill>
                  <w14:solidFill>
                    <w14:schemeClr w14:val="tx1"/>
                  </w14:solidFill>
                </w14:textFill>
              </w:rPr>
              <w:t>未提供不得分。</w:t>
            </w:r>
          </w:p>
          <w:p w14:paraId="42202900">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4.投标人具有50KW及以上应急电源车，每提供1辆得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分，本项最高得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分；未提供不得分。</w:t>
            </w:r>
          </w:p>
          <w:p w14:paraId="6F172441">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5.投标人具有吊篮的，</w:t>
            </w:r>
            <w:r>
              <w:rPr>
                <w:rFonts w:hint="eastAsia" w:ascii="宋体" w:hAnsi="宋体" w:cs="宋体"/>
                <w:color w:val="000000" w:themeColor="text1"/>
                <w:sz w:val="24"/>
                <w:highlight w:val="none"/>
                <w14:textFill>
                  <w14:solidFill>
                    <w14:schemeClr w14:val="tx1"/>
                  </w14:solidFill>
                </w14:textFill>
              </w:rPr>
              <w:t>每提供1台得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分，本项最高得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分；未提供不得分。</w:t>
            </w:r>
          </w:p>
          <w:p w14:paraId="4C2B2A3F">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.投标人具有接地电阻测试仪的，</w:t>
            </w:r>
            <w:r>
              <w:rPr>
                <w:rFonts w:hint="eastAsia" w:ascii="宋体" w:hAnsi="宋体" w:cs="宋体"/>
                <w:color w:val="000000" w:themeColor="text1"/>
                <w:sz w:val="24"/>
                <w:highlight w:val="none"/>
                <w14:textFill>
                  <w14:solidFill>
                    <w14:schemeClr w14:val="tx1"/>
                  </w14:solidFill>
                </w14:textFill>
              </w:rPr>
              <w:t>每提供1台得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分，本项最高得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分；未提供不得分。</w:t>
            </w:r>
          </w:p>
          <w:p w14:paraId="42C1734E">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.投标人具有绝缘电阻测试仪的，</w:t>
            </w:r>
            <w:r>
              <w:rPr>
                <w:rFonts w:hint="eastAsia" w:ascii="宋体" w:hAnsi="宋体" w:cs="宋体"/>
                <w:color w:val="000000" w:themeColor="text1"/>
                <w:sz w:val="24"/>
                <w:highlight w:val="none"/>
                <w14:textFill>
                  <w14:solidFill>
                    <w14:schemeClr w14:val="tx1"/>
                  </w14:solidFill>
                </w14:textFill>
              </w:rPr>
              <w:t>每提供1台得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分，本项最高得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分；未提供不得分。</w:t>
            </w:r>
          </w:p>
          <w:p w14:paraId="71691382">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.投标人具有2KW及以上电焊机的，</w:t>
            </w:r>
            <w:r>
              <w:rPr>
                <w:rFonts w:hint="eastAsia" w:ascii="宋体" w:hAnsi="宋体" w:cs="宋体"/>
                <w:color w:val="000000" w:themeColor="text1"/>
                <w:sz w:val="24"/>
                <w:highlight w:val="none"/>
                <w14:textFill>
                  <w14:solidFill>
                    <w14:schemeClr w14:val="tx1"/>
                  </w14:solidFill>
                </w14:textFill>
              </w:rPr>
              <w:t>每提供1台得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分，本项最高得</w:t>
            </w:r>
            <w:r>
              <w:rPr>
                <w:rFonts w:hint="eastAsia" w:ascii="宋体" w:hAnsi="宋体" w:cs="宋体"/>
                <w:color w:val="000000" w:themeColor="text1"/>
                <w:sz w:val="24"/>
                <w:highlight w:val="none"/>
                <w:lang w:val="en-US" w:eastAsia="zh-CN"/>
                <w14:textFill>
                  <w14:solidFill>
                    <w14:schemeClr w14:val="tx1"/>
                  </w14:solidFill>
                </w14:textFill>
              </w:rPr>
              <w:t>1.5</w:t>
            </w:r>
            <w:r>
              <w:rPr>
                <w:rFonts w:hint="eastAsia" w:ascii="宋体" w:hAnsi="宋体" w:cs="宋体"/>
                <w:color w:val="000000" w:themeColor="text1"/>
                <w:sz w:val="24"/>
                <w:highlight w:val="none"/>
                <w14:textFill>
                  <w14:solidFill>
                    <w14:schemeClr w14:val="tx1"/>
                  </w14:solidFill>
                </w14:textFill>
              </w:rPr>
              <w:t>分；未提供不得分。</w:t>
            </w:r>
          </w:p>
          <w:p w14:paraId="069A5251">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1"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注：投标人须提供以下相应资料:</w:t>
            </w:r>
          </w:p>
          <w:p w14:paraId="18C260ED">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1"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（1）若为自有车辆须提供：</w:t>
            </w:r>
            <w:r>
              <w:rPr>
                <w:rFonts w:hint="eastAsia" w:ascii="宋体" w:hAnsi="宋体" w:cs="宋体"/>
                <w:color w:val="000000" w:themeColor="text1"/>
                <w:sz w:val="24"/>
                <w:szCs w:val="24"/>
                <w:highlight w:val="none"/>
                <w14:textFill>
                  <w14:solidFill>
                    <w14:schemeClr w14:val="tx1"/>
                  </w14:solidFill>
                </w14:textFill>
              </w:rPr>
              <w:t>①车辆设备购买发票；②车辆登记证；③车辆行驶证；④车辆彩色照片(车牌清晰可辨)；⑤车辆技术参数证明材料。</w:t>
            </w:r>
          </w:p>
          <w:p w14:paraId="20643F47">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1"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（2）若为租赁车辆须提供：</w:t>
            </w:r>
            <w:r>
              <w:rPr>
                <w:rFonts w:hint="eastAsia" w:ascii="宋体" w:hAnsi="宋体" w:cs="宋体"/>
                <w:color w:val="000000" w:themeColor="text1"/>
                <w:sz w:val="24"/>
                <w:szCs w:val="24"/>
                <w:highlight w:val="none"/>
                <w14:textFill>
                  <w14:solidFill>
                    <w14:schemeClr w14:val="tx1"/>
                  </w14:solidFill>
                </w14:textFill>
              </w:rPr>
              <w:t>①租赁合同（协议），租赁期限不得短于本项目服务期；②出租方的车辆登记证复印件；③车辆彩色照片(车牌清晰可辨)；④车辆技术参数证明材料。</w:t>
            </w:r>
          </w:p>
          <w:p w14:paraId="364B4B64">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1"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（3）接地电阻测试仪、绝缘电阻测试仪、2KW及以上电焊机应为投标人自有，须提供：</w:t>
            </w:r>
            <w:r>
              <w:rPr>
                <w:rFonts w:hint="eastAsia" w:ascii="宋体" w:hAnsi="宋体" w:cs="宋体"/>
                <w:color w:val="000000" w:themeColor="text1"/>
                <w:sz w:val="24"/>
                <w:szCs w:val="24"/>
                <w:highlight w:val="none"/>
                <w14:textFill>
                  <w14:solidFill>
                    <w14:schemeClr w14:val="tx1"/>
                  </w14:solidFill>
                </w14:textFill>
              </w:rPr>
              <w:t>①仪器设备购买发票；②仪器设备彩色照片。</w:t>
            </w:r>
          </w:p>
          <w:p w14:paraId="1BA219D9">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1" w:firstLineChars="1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4）</w:t>
            </w:r>
            <w:r>
              <w:rPr>
                <w:rFonts w:hint="eastAsia" w:ascii="宋体" w:hAnsi="宋体" w:cs="宋体"/>
                <w:b/>
                <w:bCs/>
                <w:color w:val="000000" w:themeColor="text1"/>
                <w:sz w:val="24"/>
                <w:szCs w:val="24"/>
                <w:highlight w:val="none"/>
                <w14:textFill>
                  <w14:solidFill>
                    <w14:schemeClr w14:val="tx1"/>
                  </w14:solidFill>
                </w14:textFill>
              </w:rPr>
              <w:t>吊篮</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14:textFill>
                  <w14:solidFill>
                    <w14:schemeClr w14:val="tx1"/>
                  </w14:solidFill>
                </w14:textFill>
              </w:rPr>
              <w:t>若为自有须提供：</w:t>
            </w:r>
            <w:r>
              <w:rPr>
                <w:rFonts w:hint="eastAsia" w:ascii="宋体" w:hAnsi="宋体" w:cs="宋体"/>
                <w:color w:val="000000" w:themeColor="text1"/>
                <w:sz w:val="24"/>
                <w:szCs w:val="24"/>
                <w:highlight w:val="none"/>
                <w14:textFill>
                  <w14:solidFill>
                    <w14:schemeClr w14:val="tx1"/>
                  </w14:solidFill>
                </w14:textFill>
              </w:rPr>
              <w:t>①购买发票；②</w:t>
            </w:r>
            <w:r>
              <w:rPr>
                <w:rFonts w:hint="eastAsia" w:ascii="宋体" w:hAnsi="宋体" w:cs="宋体"/>
                <w:color w:val="000000" w:themeColor="text1"/>
                <w:sz w:val="24"/>
                <w:szCs w:val="24"/>
                <w:highlight w:val="none"/>
                <w:lang w:eastAsia="zh-CN"/>
                <w14:textFill>
                  <w14:solidFill>
                    <w14:schemeClr w14:val="tx1"/>
                  </w14:solidFill>
                </w14:textFill>
              </w:rPr>
              <w:t>吊篮</w:t>
            </w:r>
            <w:r>
              <w:rPr>
                <w:rFonts w:hint="eastAsia" w:ascii="宋体" w:hAnsi="宋体" w:cs="宋体"/>
                <w:color w:val="000000" w:themeColor="text1"/>
                <w:sz w:val="24"/>
                <w:szCs w:val="24"/>
                <w:highlight w:val="none"/>
                <w14:textFill>
                  <w14:solidFill>
                    <w14:schemeClr w14:val="tx1"/>
                  </w14:solidFill>
                </w14:textFill>
              </w:rPr>
              <w:t>彩色照片。</w:t>
            </w:r>
            <w:r>
              <w:rPr>
                <w:rFonts w:hint="eastAsia" w:ascii="宋体" w:hAnsi="宋体" w:cs="宋体"/>
                <w:b/>
                <w:bCs/>
                <w:color w:val="000000" w:themeColor="text1"/>
                <w:sz w:val="24"/>
                <w:szCs w:val="24"/>
                <w:highlight w:val="none"/>
                <w14:textFill>
                  <w14:solidFill>
                    <w14:schemeClr w14:val="tx1"/>
                  </w14:solidFill>
                </w14:textFill>
              </w:rPr>
              <w:t>若为租赁须提供：</w:t>
            </w:r>
            <w:r>
              <w:rPr>
                <w:rFonts w:hint="eastAsia" w:ascii="宋体" w:hAnsi="宋体" w:cs="宋体"/>
                <w:color w:val="000000" w:themeColor="text1"/>
                <w:sz w:val="24"/>
                <w:szCs w:val="24"/>
                <w:highlight w:val="none"/>
                <w14:textFill>
                  <w14:solidFill>
                    <w14:schemeClr w14:val="tx1"/>
                  </w14:solidFill>
                </w14:textFill>
              </w:rPr>
              <w:t>①租赁合同（协议），租赁期限不得短于本项目服务期；②</w:t>
            </w:r>
            <w:r>
              <w:rPr>
                <w:rFonts w:hint="eastAsia" w:ascii="宋体" w:hAnsi="宋体" w:cs="宋体"/>
                <w:color w:val="000000" w:themeColor="text1"/>
                <w:sz w:val="24"/>
                <w:szCs w:val="24"/>
                <w:highlight w:val="none"/>
                <w:lang w:eastAsia="zh-CN"/>
                <w14:textFill>
                  <w14:solidFill>
                    <w14:schemeClr w14:val="tx1"/>
                  </w14:solidFill>
                </w14:textFill>
              </w:rPr>
              <w:t>吊篮</w:t>
            </w:r>
            <w:r>
              <w:rPr>
                <w:rFonts w:hint="eastAsia" w:ascii="宋体" w:hAnsi="宋体" w:cs="宋体"/>
                <w:color w:val="000000" w:themeColor="text1"/>
                <w:sz w:val="24"/>
                <w:szCs w:val="24"/>
                <w:highlight w:val="none"/>
                <w14:textFill>
                  <w14:solidFill>
                    <w14:schemeClr w14:val="tx1"/>
                  </w14:solidFill>
                </w14:textFill>
              </w:rPr>
              <w:t>彩色照片。</w:t>
            </w:r>
          </w:p>
          <w:p w14:paraId="65F12DD0">
            <w:pPr>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482"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以上相关证明材料（原件扫描件或复印件、照片等）上传至电子投标文件并加盖投标人电子签章。</w:t>
            </w:r>
          </w:p>
        </w:tc>
      </w:tr>
      <w:tr w14:paraId="2E3EA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 w:hRule="atLeast"/>
        </w:trPr>
        <w:tc>
          <w:tcPr>
            <w:tcW w:w="660" w:type="dxa"/>
            <w:vMerge w:val="continue"/>
            <w:noWrap w:val="0"/>
            <w:vAlign w:val="center"/>
          </w:tcPr>
          <w:p w14:paraId="65B60ECE">
            <w:pPr>
              <w:widowControl/>
              <w:spacing w:line="440" w:lineRule="exact"/>
              <w:rPr>
                <w:rFonts w:hint="eastAsia" w:ascii="宋体" w:hAnsi="宋体" w:cs="宋体"/>
                <w:color w:val="000000" w:themeColor="text1"/>
                <w:sz w:val="24"/>
                <w:highlight w:val="none"/>
                <w14:textFill>
                  <w14:solidFill>
                    <w14:schemeClr w14:val="tx1"/>
                  </w14:solidFill>
                </w14:textFill>
              </w:rPr>
            </w:pPr>
          </w:p>
        </w:tc>
        <w:tc>
          <w:tcPr>
            <w:tcW w:w="870" w:type="dxa"/>
            <w:vMerge w:val="continue"/>
            <w:noWrap w:val="0"/>
            <w:vAlign w:val="center"/>
          </w:tcPr>
          <w:p w14:paraId="4F362EDD">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50" w:type="dxa"/>
            <w:vMerge w:val="continue"/>
            <w:noWrap w:val="0"/>
            <w:vAlign w:val="center"/>
          </w:tcPr>
          <w:p w14:paraId="498BB6C7">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485" w:type="dxa"/>
            <w:noWrap w:val="0"/>
            <w:vAlign w:val="center"/>
          </w:tcPr>
          <w:p w14:paraId="29840141">
            <w:pPr>
              <w:keepNext w:val="0"/>
              <w:keepLines w:val="0"/>
              <w:pageBreakBefore w:val="0"/>
              <w:widowControl/>
              <w:kinsoku/>
              <w:wordWrap/>
              <w:overflowPunct/>
              <w:topLinePunct w:val="0"/>
              <w:autoSpaceDE/>
              <w:autoSpaceDN/>
              <w:bidi w:val="0"/>
              <w:adjustRightInd/>
              <w:snapToGrid/>
              <w:spacing w:line="380" w:lineRule="exact"/>
              <w:ind w:left="105" w:leftChars="50" w:right="105" w:rightChars="5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（四）企业实力</w:t>
            </w:r>
            <w:r>
              <w:rPr>
                <w:rFonts w:hint="eastAsia" w:ascii="宋体" w:hAnsi="宋体" w:cs="宋体"/>
                <w:b/>
                <w:bCs/>
                <w:color w:val="000000" w:themeColor="text1"/>
                <w:sz w:val="24"/>
                <w:szCs w:val="24"/>
                <w:highlight w:val="none"/>
                <w:lang w:eastAsia="zh-CN"/>
                <w14:textFill>
                  <w14:solidFill>
                    <w14:schemeClr w14:val="tx1"/>
                  </w14:solidFill>
                </w14:textFill>
              </w:rPr>
              <w:t>方面</w:t>
            </w: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6分</w:t>
            </w:r>
          </w:p>
          <w:p w14:paraId="470849C1">
            <w:pPr>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投标人具备有效期内的质量、环境、职业健康安全管理体系认证证书的，每提供1个得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分，本项最高得</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分；未提供不得分。</w:t>
            </w:r>
            <w:r>
              <w:rPr>
                <w:rFonts w:hint="eastAsia" w:ascii="宋体" w:hAnsi="宋体" w:cs="宋体"/>
                <w:b/>
                <w:bCs/>
                <w:color w:val="000000" w:themeColor="text1"/>
                <w:sz w:val="24"/>
                <w:szCs w:val="24"/>
                <w:highlight w:val="none"/>
                <w14:textFill>
                  <w14:solidFill>
                    <w14:schemeClr w14:val="tx1"/>
                  </w14:solidFill>
                </w14:textFill>
              </w:rPr>
              <w:t>（须提供证书扫描件</w:t>
            </w:r>
            <w:r>
              <w:rPr>
                <w:rFonts w:hint="eastAsia" w:ascii="宋体" w:hAnsi="宋体" w:cs="宋体"/>
                <w:b/>
                <w:bCs/>
                <w:color w:val="000000" w:themeColor="text1"/>
                <w:sz w:val="24"/>
                <w:szCs w:val="24"/>
                <w:highlight w:val="none"/>
                <w:lang w:eastAsia="zh-CN"/>
                <w14:textFill>
                  <w14:solidFill>
                    <w14:schemeClr w14:val="tx1"/>
                  </w14:solidFill>
                </w14:textFill>
              </w:rPr>
              <w:t>及</w:t>
            </w:r>
            <w:r>
              <w:rPr>
                <w:rFonts w:hint="eastAsia" w:ascii="宋体" w:hAnsi="宋体" w:cs="宋体"/>
                <w:b/>
                <w:bCs/>
                <w:color w:val="000000" w:themeColor="text1"/>
                <w:sz w:val="24"/>
                <w:szCs w:val="24"/>
                <w:highlight w:val="none"/>
                <w14:textFill>
                  <w14:solidFill>
                    <w14:schemeClr w14:val="tx1"/>
                  </w14:solidFill>
                </w14:textFill>
              </w:rPr>
              <w:t>国家认监委统一查询系统网页查询截图）</w:t>
            </w:r>
          </w:p>
        </w:tc>
      </w:tr>
      <w:tr w14:paraId="5AC98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2" w:hRule="atLeast"/>
        </w:trPr>
        <w:tc>
          <w:tcPr>
            <w:tcW w:w="660" w:type="dxa"/>
            <w:vMerge w:val="restart"/>
            <w:noWrap w:val="0"/>
            <w:vAlign w:val="center"/>
          </w:tcPr>
          <w:p w14:paraId="6097808D">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三</w:t>
            </w:r>
          </w:p>
        </w:tc>
        <w:tc>
          <w:tcPr>
            <w:tcW w:w="870" w:type="dxa"/>
            <w:vMerge w:val="restart"/>
            <w:noWrap w:val="0"/>
            <w:vAlign w:val="center"/>
          </w:tcPr>
          <w:p w14:paraId="644133DE">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服务</w:t>
            </w:r>
          </w:p>
          <w:p w14:paraId="71E84D8D">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方案</w:t>
            </w:r>
          </w:p>
          <w:p w14:paraId="4DC7D26B">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部分</w:t>
            </w:r>
          </w:p>
        </w:tc>
        <w:tc>
          <w:tcPr>
            <w:tcW w:w="750" w:type="dxa"/>
            <w:vMerge w:val="restart"/>
            <w:noWrap w:val="0"/>
            <w:vAlign w:val="center"/>
          </w:tcPr>
          <w:p w14:paraId="21F3917F">
            <w:pPr>
              <w:pStyle w:val="284"/>
              <w:widowControl/>
              <w:spacing w:line="440" w:lineRule="exact"/>
              <w:jc w:val="cente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50</w:t>
            </w:r>
            <w:r>
              <w:rPr>
                <w:rFonts w:hint="eastAsia"/>
                <w:color w:val="000000" w:themeColor="text1"/>
                <w:highlight w:val="none"/>
                <w14:textFill>
                  <w14:solidFill>
                    <w14:schemeClr w14:val="tx1"/>
                  </w14:solidFill>
                </w14:textFill>
              </w:rPr>
              <w:t>分</w:t>
            </w:r>
          </w:p>
        </w:tc>
        <w:tc>
          <w:tcPr>
            <w:tcW w:w="7485" w:type="dxa"/>
            <w:noWrap w:val="0"/>
            <w:vAlign w:val="center"/>
          </w:tcPr>
          <w:p w14:paraId="77B70E29">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（一）项目实施方案：10分</w:t>
            </w:r>
          </w:p>
          <w:p w14:paraId="033E629D">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cs="宋体"/>
                <w:color w:val="000000" w:themeColor="text1"/>
                <w:sz w:val="24"/>
                <w:szCs w:val="24"/>
                <w:highlight w:val="none"/>
                <w:lang w:eastAsia="zh-CN"/>
                <w14:textFill>
                  <w14:solidFill>
                    <w14:schemeClr w14:val="tx1"/>
                  </w14:solidFill>
                </w14:textFill>
              </w:rPr>
              <w:t>对</w:t>
            </w:r>
            <w:r>
              <w:rPr>
                <w:rFonts w:hint="eastAsia" w:ascii="宋体" w:hAnsi="宋体" w:cs="宋体"/>
                <w:color w:val="000000" w:themeColor="text1"/>
                <w:sz w:val="24"/>
                <w:szCs w:val="24"/>
                <w:highlight w:val="none"/>
                <w:lang w:val="en-US" w:eastAsia="zh-CN"/>
                <w14:textFill>
                  <w14:solidFill>
                    <w14:schemeClr w14:val="tx1"/>
                  </w14:solidFill>
                </w14:textFill>
              </w:rPr>
              <w:t>本项目的了解（包括对项目</w:t>
            </w:r>
            <w:r>
              <w:rPr>
                <w:rFonts w:hint="eastAsia" w:ascii="宋体" w:hAnsi="宋体" w:cs="宋体"/>
                <w:color w:val="000000" w:themeColor="text1"/>
                <w:sz w:val="24"/>
                <w:szCs w:val="24"/>
                <w:highlight w:val="none"/>
                <w:lang w:eastAsia="zh-CN"/>
                <w14:textFill>
                  <w14:solidFill>
                    <w14:schemeClr w14:val="tx1"/>
                  </w14:solidFill>
                </w14:textFill>
              </w:rPr>
              <w:t>现场</w:t>
            </w:r>
            <w:r>
              <w:rPr>
                <w:rFonts w:hint="eastAsia" w:ascii="宋体" w:hAnsi="宋体" w:cs="宋体"/>
                <w:color w:val="000000" w:themeColor="text1"/>
                <w:sz w:val="24"/>
                <w:szCs w:val="24"/>
                <w:highlight w:val="none"/>
                <w:lang w:val="en-US" w:eastAsia="zh-CN"/>
                <w14:textFill>
                  <w14:solidFill>
                    <w14:schemeClr w14:val="tx1"/>
                  </w14:solidFill>
                </w14:textFill>
              </w:rPr>
              <w:t>实际情况的实地</w:t>
            </w:r>
            <w:r>
              <w:rPr>
                <w:rFonts w:hint="eastAsia" w:ascii="宋体" w:hAnsi="宋体" w:cs="宋体"/>
                <w:color w:val="000000" w:themeColor="text1"/>
                <w:sz w:val="24"/>
                <w:szCs w:val="24"/>
                <w:highlight w:val="none"/>
                <w:lang w:eastAsia="zh-CN"/>
                <w14:textFill>
                  <w14:solidFill>
                    <w14:schemeClr w14:val="tx1"/>
                  </w14:solidFill>
                </w14:textFill>
              </w:rPr>
              <w:t>了解）；（</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项目组织结构设置，</w:t>
            </w:r>
            <w:r>
              <w:rPr>
                <w:rFonts w:hint="eastAsia" w:ascii="宋体" w:hAnsi="宋体" w:cs="宋体"/>
                <w:color w:val="000000" w:themeColor="text1"/>
                <w:sz w:val="24"/>
                <w:szCs w:val="24"/>
                <w:highlight w:val="none"/>
                <w:lang w:val="en-US" w:eastAsia="zh-CN"/>
                <w14:textFill>
                  <w14:solidFill>
                    <w14:schemeClr w14:val="tx1"/>
                  </w14:solidFill>
                </w14:textFill>
              </w:rPr>
              <w:t>人员配备，现场维护服务</w:t>
            </w:r>
            <w:r>
              <w:rPr>
                <w:rFonts w:hint="eastAsia" w:ascii="宋体" w:hAnsi="宋体" w:cs="宋体"/>
                <w:color w:val="000000" w:themeColor="text1"/>
                <w:sz w:val="24"/>
                <w:szCs w:val="24"/>
                <w:highlight w:val="none"/>
                <w:lang w:eastAsia="zh-CN"/>
                <w14:textFill>
                  <w14:solidFill>
                    <w14:schemeClr w14:val="tx1"/>
                  </w14:solidFill>
                </w14:textFill>
              </w:rPr>
              <w:t>管理模式（</w:t>
            </w:r>
            <w:r>
              <w:rPr>
                <w:rFonts w:hint="eastAsia" w:ascii="宋体" w:hAnsi="宋体" w:cs="宋体"/>
                <w:color w:val="000000" w:themeColor="text1"/>
                <w:sz w:val="24"/>
                <w:szCs w:val="24"/>
                <w:highlight w:val="none"/>
                <w:lang w:val="en-US" w:eastAsia="zh-CN"/>
                <w14:textFill>
                  <w14:solidFill>
                    <w14:schemeClr w14:val="tx1"/>
                  </w14:solidFill>
                </w14:textFill>
              </w:rPr>
              <w:t>包括</w:t>
            </w:r>
            <w:r>
              <w:rPr>
                <w:rFonts w:hint="eastAsia" w:ascii="宋体" w:hAnsi="宋体" w:cs="宋体"/>
                <w:color w:val="000000" w:themeColor="text1"/>
                <w:sz w:val="24"/>
                <w:szCs w:val="24"/>
                <w:highlight w:val="none"/>
                <w:lang w:eastAsia="zh-CN"/>
                <w14:textFill>
                  <w14:solidFill>
                    <w14:schemeClr w14:val="tx1"/>
                  </w14:solidFill>
                </w14:textFill>
              </w:rPr>
              <w:t>管理网络建立）；（</w:t>
            </w:r>
            <w:r>
              <w:rPr>
                <w:rFonts w:hint="eastAsia" w:ascii="宋体" w:hAnsi="宋体" w:cs="宋体"/>
                <w:color w:val="000000" w:themeColor="text1"/>
                <w:sz w:val="24"/>
                <w:szCs w:val="24"/>
                <w:highlight w:val="none"/>
                <w:lang w:val="en-US" w:eastAsia="zh-CN"/>
                <w14:textFill>
                  <w14:solidFill>
                    <w14:schemeClr w14:val="tx1"/>
                  </w14:solidFill>
                </w14:textFill>
              </w:rPr>
              <w:t>3）信息化建设、管理方面（包括</w:t>
            </w:r>
            <w:r>
              <w:rPr>
                <w:rFonts w:hint="eastAsia" w:ascii="宋体" w:hAnsi="宋体" w:cs="宋体"/>
                <w:color w:val="000000" w:themeColor="text1"/>
                <w:sz w:val="24"/>
                <w:szCs w:val="24"/>
                <w:highlight w:val="none"/>
                <w:lang w:eastAsia="zh-CN"/>
                <w14:textFill>
                  <w14:solidFill>
                    <w14:schemeClr w14:val="tx1"/>
                  </w14:solidFill>
                </w14:textFill>
              </w:rPr>
              <w:t>实施运行数字维护，对现有路灯监控信息化平台对接实施管理，与上级管理部门监控信息化平台对接</w:t>
            </w:r>
            <w:r>
              <w:rPr>
                <w:rFonts w:hint="eastAsia" w:ascii="宋体" w:hAnsi="宋体" w:cs="宋体"/>
                <w:color w:val="000000" w:themeColor="text1"/>
                <w:sz w:val="24"/>
                <w:szCs w:val="24"/>
                <w:highlight w:val="none"/>
                <w:lang w:val="en-US" w:eastAsia="zh-CN"/>
                <w14:textFill>
                  <w14:solidFill>
                    <w14:schemeClr w14:val="tx1"/>
                  </w14:solidFill>
                </w14:textFill>
              </w:rPr>
              <w:t>等）；（4）绿色节能方面（包括</w:t>
            </w:r>
            <w:r>
              <w:rPr>
                <w:rFonts w:hint="eastAsia" w:ascii="宋体" w:hAnsi="宋体" w:cs="宋体"/>
                <w:color w:val="000000" w:themeColor="text1"/>
                <w:sz w:val="24"/>
                <w:szCs w:val="24"/>
                <w:highlight w:val="none"/>
                <w:lang w:eastAsia="zh-CN"/>
                <w14:textFill>
                  <w14:solidFill>
                    <w14:schemeClr w14:val="tx1"/>
                  </w14:solidFill>
                </w14:textFill>
              </w:rPr>
              <w:t>如何加强服务中绿色低碳环保管理、绿色产品及设备使用、节能技术等）；</w:t>
            </w:r>
            <w:r>
              <w:rPr>
                <w:rFonts w:hint="eastAsia"/>
                <w:color w:val="000000" w:themeColor="text1"/>
                <w:sz w:val="24"/>
                <w:szCs w:val="24"/>
                <w:highlight w:val="none"/>
                <w:lang w:eastAsia="zh-CN"/>
                <w14:textFill>
                  <w14:solidFill>
                    <w14:schemeClr w14:val="tx1"/>
                  </w14:solidFill>
                </w14:textFill>
              </w:rPr>
              <w:t>等方面。</w:t>
            </w:r>
          </w:p>
          <w:p w14:paraId="318BB5D2">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针对上述要求，实施</w:t>
            </w:r>
            <w:r>
              <w:rPr>
                <w:rFonts w:hint="eastAsia"/>
                <w:color w:val="000000" w:themeColor="text1"/>
                <w:sz w:val="24"/>
                <w:szCs w:val="24"/>
                <w:highlight w:val="none"/>
                <w:lang w:eastAsia="zh-CN"/>
                <w14:textFill>
                  <w14:solidFill>
                    <w14:schemeClr w14:val="tx1"/>
                  </w14:solidFill>
                </w14:textFill>
              </w:rPr>
              <w:t>方案做到完全覆盖并能延展、拓展，</w:t>
            </w:r>
            <w:r>
              <w:rPr>
                <w:rFonts w:hint="eastAsia"/>
                <w:color w:val="000000" w:themeColor="text1"/>
                <w:sz w:val="24"/>
                <w:szCs w:val="24"/>
                <w:highlight w:val="none"/>
                <w:lang w:val="en-US" w:eastAsia="zh-CN"/>
                <w14:textFill>
                  <w14:solidFill>
                    <w14:schemeClr w14:val="tx1"/>
                  </w14:solidFill>
                </w14:textFill>
              </w:rPr>
              <w:t>内容全面、详实，图表详尽，非常有针对性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，得10分；方案仅做到完全覆盖，未能延展、拓展，</w:t>
            </w:r>
            <w:r>
              <w:rPr>
                <w:rFonts w:hint="eastAsia"/>
                <w:color w:val="000000" w:themeColor="text1"/>
                <w:sz w:val="24"/>
                <w:szCs w:val="24"/>
                <w:highlight w:val="none"/>
                <w:lang w:val="en-US" w:eastAsia="zh-CN"/>
                <w14:textFill>
                  <w14:solidFill>
                    <w14:schemeClr w14:val="tx1"/>
                  </w14:solidFill>
                </w14:textFill>
              </w:rPr>
              <w:t>内容全面、详实但针对性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性、可操作性一般的</w:t>
            </w:r>
            <w:r>
              <w:rPr>
                <w:rFonts w:hint="eastAsia"/>
                <w:color w:val="000000" w:themeColor="text1"/>
                <w:sz w:val="24"/>
                <w:szCs w:val="24"/>
                <w:highlight w:val="none"/>
                <w:lang w:eastAsia="zh-CN"/>
                <w14:textFill>
                  <w14:solidFill>
                    <w14:schemeClr w14:val="tx1"/>
                  </w14:solidFill>
                </w14:textFill>
              </w:rPr>
              <w:t>，得7分；</w:t>
            </w:r>
            <w:r>
              <w:rPr>
                <w:rFonts w:hint="eastAsia"/>
                <w:color w:val="000000" w:themeColor="text1"/>
                <w:sz w:val="24"/>
                <w:szCs w:val="24"/>
                <w:highlight w:val="none"/>
                <w:lang w:val="en-US" w:eastAsia="zh-CN"/>
                <w14:textFill>
                  <w14:solidFill>
                    <w14:schemeClr w14:val="tx1"/>
                  </w14:solidFill>
                </w14:textFill>
              </w:rPr>
              <w:t>实施</w:t>
            </w:r>
            <w:r>
              <w:rPr>
                <w:rFonts w:hint="eastAsia"/>
                <w:color w:val="000000" w:themeColor="text1"/>
                <w:sz w:val="24"/>
                <w:szCs w:val="24"/>
                <w:highlight w:val="none"/>
                <w:lang w:eastAsia="zh-CN"/>
                <w14:textFill>
                  <w14:solidFill>
                    <w14:schemeClr w14:val="tx1"/>
                  </w14:solidFill>
                </w14:textFill>
              </w:rPr>
              <w:t>方案</w:t>
            </w:r>
            <w:r>
              <w:rPr>
                <w:rFonts w:hint="eastAsia"/>
                <w:color w:val="000000" w:themeColor="text1"/>
                <w:sz w:val="24"/>
                <w:szCs w:val="24"/>
                <w:highlight w:val="none"/>
                <w:lang w:val="en-US" w:eastAsia="zh-CN"/>
                <w14:textFill>
                  <w14:solidFill>
                    <w14:schemeClr w14:val="tx1"/>
                  </w14:solidFill>
                </w14:textFill>
              </w:rPr>
              <w:t>内容不全面、不够详实具体、几乎无针对性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得4分；</w:t>
            </w:r>
            <w:r>
              <w:rPr>
                <w:rFonts w:hint="eastAsia"/>
                <w:color w:val="000000" w:themeColor="text1"/>
                <w:sz w:val="24"/>
                <w:szCs w:val="24"/>
                <w:highlight w:val="none"/>
                <w:lang w:eastAsia="zh-CN"/>
                <w14:textFill>
                  <w14:solidFill>
                    <w14:schemeClr w14:val="tx1"/>
                  </w14:solidFill>
                </w14:textFill>
              </w:rPr>
              <w:t>未提供不得分。</w:t>
            </w:r>
          </w:p>
        </w:tc>
      </w:tr>
      <w:tr w14:paraId="2A39C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1" w:hRule="atLeast"/>
        </w:trPr>
        <w:tc>
          <w:tcPr>
            <w:tcW w:w="660" w:type="dxa"/>
            <w:vMerge w:val="continue"/>
            <w:noWrap w:val="0"/>
            <w:vAlign w:val="center"/>
          </w:tcPr>
          <w:p w14:paraId="467D6511">
            <w:pPr>
              <w:widowControl/>
              <w:spacing w:line="440" w:lineRule="exact"/>
              <w:jc w:val="center"/>
              <w:rPr>
                <w:rFonts w:hint="eastAsia" w:ascii="宋体" w:hAnsi="宋体" w:cs="宋体"/>
                <w:color w:val="000000" w:themeColor="text1"/>
                <w:sz w:val="24"/>
                <w:highlight w:val="none"/>
                <w14:textFill>
                  <w14:solidFill>
                    <w14:schemeClr w14:val="tx1"/>
                  </w14:solidFill>
                </w14:textFill>
              </w:rPr>
            </w:pPr>
          </w:p>
        </w:tc>
        <w:tc>
          <w:tcPr>
            <w:tcW w:w="870" w:type="dxa"/>
            <w:vMerge w:val="continue"/>
            <w:noWrap w:val="0"/>
            <w:vAlign w:val="center"/>
          </w:tcPr>
          <w:p w14:paraId="5FFDBA4D">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50" w:type="dxa"/>
            <w:vMerge w:val="continue"/>
            <w:noWrap w:val="0"/>
            <w:vAlign w:val="center"/>
          </w:tcPr>
          <w:p w14:paraId="6F2F45AA">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485" w:type="dxa"/>
            <w:noWrap w:val="0"/>
            <w:vAlign w:val="center"/>
          </w:tcPr>
          <w:p w14:paraId="54903EEC">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（二）重大节日、重大活动保障措施、方案：8分</w:t>
            </w:r>
          </w:p>
          <w:p w14:paraId="7DBD865C">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包括并不限于:</w:t>
            </w:r>
            <w:r>
              <w:rPr>
                <w:rFonts w:hint="eastAsia" w:ascii="宋体" w:hAnsi="宋体" w:cs="宋体"/>
                <w:color w:val="000000" w:themeColor="text1"/>
                <w:sz w:val="24"/>
                <w:szCs w:val="24"/>
                <w:highlight w:val="none"/>
                <w:lang w:eastAsia="zh-CN"/>
                <w14:textFill>
                  <w14:solidFill>
                    <w14:schemeClr w14:val="tx1"/>
                  </w14:solidFill>
                </w14:textFill>
              </w:rPr>
              <w:t>人员</w:t>
            </w:r>
            <w:r>
              <w:rPr>
                <w:rFonts w:hint="eastAsia" w:ascii="宋体" w:hAnsi="宋体" w:cs="宋体"/>
                <w:color w:val="000000" w:themeColor="text1"/>
                <w:sz w:val="24"/>
                <w:szCs w:val="24"/>
                <w:highlight w:val="none"/>
                <w:lang w:val="en-US" w:eastAsia="zh-CN"/>
                <w14:textFill>
                  <w14:solidFill>
                    <w14:schemeClr w14:val="tx1"/>
                  </w14:solidFill>
                </w14:textFill>
              </w:rPr>
              <w:t>安排</w:t>
            </w:r>
            <w:r>
              <w:rPr>
                <w:rFonts w:hint="eastAsia" w:ascii="宋体" w:hAnsi="宋体" w:cs="宋体"/>
                <w:color w:val="000000" w:themeColor="text1"/>
                <w:sz w:val="24"/>
                <w:szCs w:val="24"/>
                <w:highlight w:val="none"/>
                <w:lang w:eastAsia="zh-CN"/>
                <w14:textFill>
                  <w14:solidFill>
                    <w14:schemeClr w14:val="tx1"/>
                  </w14:solidFill>
                </w14:textFill>
              </w:rPr>
              <w:t>及车辆保障，安全措施，重点保障期间</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eastAsia="zh-CN"/>
                <w14:textFill>
                  <w14:solidFill>
                    <w14:schemeClr w14:val="tx1"/>
                  </w14:solidFill>
                </w14:textFill>
              </w:rPr>
              <w:t>巡查、巡修措施，综合信息上报措施</w:t>
            </w:r>
            <w:r>
              <w:rPr>
                <w:rFonts w:hint="eastAsia"/>
                <w:color w:val="000000" w:themeColor="text1"/>
                <w:sz w:val="24"/>
                <w:szCs w:val="24"/>
                <w:highlight w:val="none"/>
                <w:lang w:eastAsia="zh-CN"/>
                <w14:textFill>
                  <w14:solidFill>
                    <w14:schemeClr w14:val="tx1"/>
                  </w14:solidFill>
                </w14:textFill>
              </w:rPr>
              <w:t>等方面。</w:t>
            </w:r>
          </w:p>
          <w:p w14:paraId="335D2E05">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针对上述要求，</w:t>
            </w:r>
            <w:r>
              <w:rPr>
                <w:rFonts w:hint="eastAsia"/>
                <w:color w:val="000000" w:themeColor="text1"/>
                <w:sz w:val="24"/>
                <w:szCs w:val="24"/>
                <w:highlight w:val="none"/>
                <w:lang w:eastAsia="zh-CN"/>
                <w14:textFill>
                  <w14:solidFill>
                    <w14:schemeClr w14:val="tx1"/>
                  </w14:solidFill>
                </w14:textFill>
              </w:rPr>
              <w:t>方案做到完全覆盖并能延展、拓展，</w:t>
            </w:r>
            <w:r>
              <w:rPr>
                <w:rFonts w:hint="eastAsia"/>
                <w:color w:val="000000" w:themeColor="text1"/>
                <w:sz w:val="24"/>
                <w:szCs w:val="24"/>
                <w:highlight w:val="none"/>
                <w:lang w:val="en-US" w:eastAsia="zh-CN"/>
                <w14:textFill>
                  <w14:solidFill>
                    <w14:schemeClr w14:val="tx1"/>
                  </w14:solidFill>
                </w14:textFill>
              </w:rPr>
              <w:t>内容全面、详实，图表详尽，非常有针对性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lang w:eastAsia="zh-CN"/>
                <w14:textFill>
                  <w14:solidFill>
                    <w14:schemeClr w14:val="tx1"/>
                  </w14:solidFill>
                </w14:textFill>
              </w:rPr>
              <w:t>分；方案仅做到完全覆盖，未能延展、拓展，</w:t>
            </w:r>
            <w:r>
              <w:rPr>
                <w:rFonts w:hint="eastAsia"/>
                <w:color w:val="000000" w:themeColor="text1"/>
                <w:sz w:val="24"/>
                <w:szCs w:val="24"/>
                <w:highlight w:val="none"/>
                <w:lang w:val="en-US" w:eastAsia="zh-CN"/>
                <w14:textFill>
                  <w14:solidFill>
                    <w14:schemeClr w14:val="tx1"/>
                  </w14:solidFill>
                </w14:textFill>
              </w:rPr>
              <w:t>内容全面、详实但针对性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性、可操作性一般的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分；方案</w:t>
            </w:r>
            <w:r>
              <w:rPr>
                <w:rFonts w:hint="eastAsia"/>
                <w:color w:val="000000" w:themeColor="text1"/>
                <w:sz w:val="24"/>
                <w:szCs w:val="24"/>
                <w:highlight w:val="none"/>
                <w:lang w:val="en-US" w:eastAsia="zh-CN"/>
                <w14:textFill>
                  <w14:solidFill>
                    <w14:schemeClr w14:val="tx1"/>
                  </w14:solidFill>
                </w14:textFill>
              </w:rPr>
              <w:t>内容不全面、不够详实具体、几乎无针对性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得2分；</w:t>
            </w:r>
            <w:r>
              <w:rPr>
                <w:rFonts w:hint="eastAsia"/>
                <w:color w:val="000000" w:themeColor="text1"/>
                <w:sz w:val="24"/>
                <w:szCs w:val="24"/>
                <w:highlight w:val="none"/>
                <w:lang w:eastAsia="zh-CN"/>
                <w14:textFill>
                  <w14:solidFill>
                    <w14:schemeClr w14:val="tx1"/>
                  </w14:solidFill>
                </w14:textFill>
              </w:rPr>
              <w:t>未提供不得分。</w:t>
            </w:r>
          </w:p>
        </w:tc>
      </w:tr>
      <w:tr w14:paraId="7729F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9" w:hRule="atLeast"/>
        </w:trPr>
        <w:tc>
          <w:tcPr>
            <w:tcW w:w="660" w:type="dxa"/>
            <w:vMerge w:val="continue"/>
            <w:noWrap w:val="0"/>
            <w:vAlign w:val="center"/>
          </w:tcPr>
          <w:p w14:paraId="49EF3F32">
            <w:pPr>
              <w:widowControl/>
              <w:spacing w:line="440" w:lineRule="exact"/>
              <w:jc w:val="center"/>
              <w:rPr>
                <w:rFonts w:hint="eastAsia" w:ascii="宋体" w:hAnsi="宋体" w:cs="宋体"/>
                <w:color w:val="000000" w:themeColor="text1"/>
                <w:sz w:val="24"/>
                <w:highlight w:val="none"/>
                <w14:textFill>
                  <w14:solidFill>
                    <w14:schemeClr w14:val="tx1"/>
                  </w14:solidFill>
                </w14:textFill>
              </w:rPr>
            </w:pPr>
          </w:p>
        </w:tc>
        <w:tc>
          <w:tcPr>
            <w:tcW w:w="870" w:type="dxa"/>
            <w:vMerge w:val="continue"/>
            <w:noWrap w:val="0"/>
            <w:vAlign w:val="center"/>
          </w:tcPr>
          <w:p w14:paraId="36CAAE25">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50" w:type="dxa"/>
            <w:vMerge w:val="continue"/>
            <w:noWrap w:val="0"/>
            <w:vAlign w:val="center"/>
          </w:tcPr>
          <w:p w14:paraId="2999E192">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485" w:type="dxa"/>
            <w:noWrap w:val="0"/>
            <w:vAlign w:val="center"/>
          </w:tcPr>
          <w:p w14:paraId="249824D2">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textAlignment w:val="auto"/>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（三）应急抢修措施、方案：8</w:t>
            </w:r>
            <w:r>
              <w:rPr>
                <w:rFonts w:hint="eastAsia"/>
                <w:b/>
                <w:bCs/>
                <w:color w:val="000000" w:themeColor="text1"/>
                <w:sz w:val="24"/>
                <w:szCs w:val="24"/>
                <w:highlight w:val="none"/>
                <w14:textFill>
                  <w14:solidFill>
                    <w14:schemeClr w14:val="tx1"/>
                  </w14:solidFill>
                </w14:textFill>
              </w:rPr>
              <w:t>分</w:t>
            </w:r>
          </w:p>
          <w:p w14:paraId="3D8F4074">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cs="宋体"/>
                <w:color w:val="000000" w:themeColor="text1"/>
                <w:sz w:val="24"/>
                <w:szCs w:val="24"/>
                <w:highlight w:val="none"/>
                <w:lang w:eastAsia="zh-CN"/>
                <w14:textFill>
                  <w14:solidFill>
                    <w14:schemeClr w14:val="tx1"/>
                  </w14:solidFill>
                </w14:textFill>
              </w:rPr>
              <w:t>启动城市照明应急预案后所有相关人员到岗</w:t>
            </w:r>
            <w:r>
              <w:rPr>
                <w:rFonts w:hint="eastAsia" w:ascii="宋体" w:hAnsi="宋体" w:cs="宋体"/>
                <w:color w:val="000000" w:themeColor="text1"/>
                <w:sz w:val="24"/>
                <w:szCs w:val="24"/>
                <w:highlight w:val="none"/>
                <w:lang w:val="en-US" w:eastAsia="zh-CN"/>
                <w14:textFill>
                  <w14:solidFill>
                    <w14:schemeClr w14:val="tx1"/>
                  </w14:solidFill>
                </w14:textFill>
              </w:rPr>
              <w:t>安排</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应</w:t>
            </w:r>
            <w:r>
              <w:rPr>
                <w:rFonts w:hint="eastAsia" w:ascii="宋体" w:hAnsi="宋体" w:cs="宋体"/>
                <w:color w:val="000000" w:themeColor="text1"/>
                <w:sz w:val="24"/>
                <w:szCs w:val="24"/>
                <w:highlight w:val="none"/>
                <w:lang w:eastAsia="zh-CN"/>
                <w14:textFill>
                  <w14:solidFill>
                    <w14:schemeClr w14:val="tx1"/>
                  </w14:solidFill>
                </w14:textFill>
              </w:rPr>
              <w:t>实行24小时值班制）；（</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上报信息</w:t>
            </w:r>
            <w:r>
              <w:rPr>
                <w:rFonts w:hint="eastAsia" w:ascii="宋体" w:hAnsi="宋体" w:cs="宋体"/>
                <w:color w:val="000000" w:themeColor="text1"/>
                <w:sz w:val="24"/>
                <w:szCs w:val="24"/>
                <w:highlight w:val="none"/>
                <w:lang w:val="en-US" w:eastAsia="zh-CN"/>
                <w14:textFill>
                  <w14:solidFill>
                    <w14:schemeClr w14:val="tx1"/>
                  </w14:solidFill>
                </w14:textFill>
              </w:rPr>
              <w:t>安排</w:t>
            </w:r>
            <w:r>
              <w:rPr>
                <w:rFonts w:hint="eastAsia" w:ascii="宋体" w:hAnsi="宋体" w:cs="宋体"/>
                <w:color w:val="000000" w:themeColor="text1"/>
                <w:sz w:val="24"/>
                <w:szCs w:val="24"/>
                <w:highlight w:val="none"/>
                <w:lang w:eastAsia="zh-CN"/>
                <w14:textFill>
                  <w14:solidFill>
                    <w14:schemeClr w14:val="tx1"/>
                  </w14:solidFill>
                </w14:textFill>
              </w:rPr>
              <w:t>； （</w:t>
            </w:r>
            <w:r>
              <w:rPr>
                <w:rFonts w:hint="eastAsia" w:ascii="宋体" w:hAnsi="宋体" w:cs="宋体"/>
                <w:color w:val="000000" w:themeColor="text1"/>
                <w:sz w:val="24"/>
                <w:szCs w:val="24"/>
                <w:highlight w:val="none"/>
                <w:lang w:val="en-US" w:eastAsia="zh-CN"/>
                <w14:textFill>
                  <w14:solidFill>
                    <w14:schemeClr w14:val="tx1"/>
                  </w14:solidFill>
                </w14:textFill>
              </w:rPr>
              <w:t>3）遇到</w:t>
            </w:r>
            <w:r>
              <w:rPr>
                <w:rFonts w:hint="eastAsia" w:ascii="宋体" w:hAnsi="宋体" w:cs="宋体"/>
                <w:color w:val="000000" w:themeColor="text1"/>
                <w:sz w:val="24"/>
                <w:szCs w:val="24"/>
                <w:highlight w:val="none"/>
                <w:lang w:eastAsia="zh-CN"/>
                <w14:textFill>
                  <w14:solidFill>
                    <w14:schemeClr w14:val="tx1"/>
                  </w14:solidFill>
                </w14:textFill>
              </w:rPr>
              <w:t>III、II、I 级突发事故</w:t>
            </w:r>
            <w:r>
              <w:rPr>
                <w:rFonts w:hint="eastAsia" w:ascii="宋体" w:hAnsi="宋体" w:cs="宋体"/>
                <w:color w:val="000000" w:themeColor="text1"/>
                <w:sz w:val="24"/>
                <w:szCs w:val="24"/>
                <w:highlight w:val="none"/>
                <w:lang w:val="en-US" w:eastAsia="zh-CN"/>
                <w14:textFill>
                  <w14:solidFill>
                    <w14:schemeClr w14:val="tx1"/>
                  </w14:solidFill>
                </w14:textFill>
              </w:rPr>
              <w:t>时应</w:t>
            </w:r>
            <w:r>
              <w:rPr>
                <w:rFonts w:hint="eastAsia" w:ascii="宋体" w:hAnsi="宋体" w:cs="宋体"/>
                <w:color w:val="000000" w:themeColor="text1"/>
                <w:sz w:val="24"/>
                <w:szCs w:val="24"/>
                <w:highlight w:val="none"/>
                <w:lang w:eastAsia="zh-CN"/>
                <w14:textFill>
                  <w14:solidFill>
                    <w14:schemeClr w14:val="tx1"/>
                  </w14:solidFill>
                </w14:textFill>
              </w:rPr>
              <w:t>提供</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eastAsia="zh-CN"/>
                <w14:textFill>
                  <w14:solidFill>
                    <w14:schemeClr w14:val="tx1"/>
                  </w14:solidFill>
                </w14:textFill>
              </w:rPr>
              <w:t>相应实施方案；（</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当灾害性天气影响城市照明设施正常运行时的</w:t>
            </w:r>
            <w:r>
              <w:rPr>
                <w:rFonts w:hint="eastAsia" w:ascii="宋体" w:hAnsi="宋体" w:cs="宋体"/>
                <w:color w:val="000000" w:themeColor="text1"/>
                <w:sz w:val="24"/>
                <w:szCs w:val="24"/>
                <w:highlight w:val="none"/>
                <w:lang w:val="en-US" w:eastAsia="zh-CN"/>
                <w14:textFill>
                  <w14:solidFill>
                    <w14:schemeClr w14:val="tx1"/>
                  </w14:solidFill>
                </w14:textFill>
              </w:rPr>
              <w:t>应急</w:t>
            </w:r>
            <w:r>
              <w:rPr>
                <w:rFonts w:hint="eastAsia" w:ascii="宋体" w:hAnsi="宋体" w:cs="宋体"/>
                <w:color w:val="000000" w:themeColor="text1"/>
                <w:sz w:val="24"/>
                <w:szCs w:val="24"/>
                <w:highlight w:val="none"/>
                <w:lang w:eastAsia="zh-CN"/>
                <w14:textFill>
                  <w14:solidFill>
                    <w14:schemeClr w14:val="tx1"/>
                  </w14:solidFill>
                </w14:textFill>
              </w:rPr>
              <w:t>措施方案；（</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城市快速道路、滨水桥梁等不同地点发生灯杆倒塌、照明器具坠落、设施漏电等各类突发事件的处置措施、方案（</w:t>
            </w:r>
            <w:r>
              <w:rPr>
                <w:rFonts w:hint="eastAsia" w:ascii="宋体" w:hAnsi="宋体" w:cs="宋体"/>
                <w:color w:val="000000" w:themeColor="text1"/>
                <w:sz w:val="24"/>
                <w:szCs w:val="24"/>
                <w:highlight w:val="none"/>
                <w:lang w:val="en-US" w:eastAsia="zh-CN"/>
                <w14:textFill>
                  <w14:solidFill>
                    <w14:schemeClr w14:val="tx1"/>
                  </w14:solidFill>
                </w14:textFill>
              </w:rPr>
              <w:t>应在</w:t>
            </w:r>
            <w:r>
              <w:rPr>
                <w:rFonts w:hint="eastAsia" w:ascii="宋体" w:hAnsi="宋体" w:cs="宋体"/>
                <w:color w:val="000000" w:themeColor="text1"/>
                <w:sz w:val="24"/>
                <w:szCs w:val="24"/>
                <w:highlight w:val="none"/>
                <w:lang w:eastAsia="zh-CN"/>
                <w14:textFill>
                  <w14:solidFill>
                    <w14:schemeClr w14:val="tx1"/>
                  </w14:solidFill>
                </w14:textFill>
              </w:rPr>
              <w:t>接报后确保30分钟内赶赴现场）；（</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lang w:eastAsia="zh-CN"/>
                <w14:textFill>
                  <w14:solidFill>
                    <w14:schemeClr w14:val="tx1"/>
                  </w14:solidFill>
                </w14:textFill>
              </w:rPr>
              <w:t>应急终止后的善后、恢复重建等的措施方案；（</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lang w:eastAsia="zh-CN"/>
                <w14:textFill>
                  <w14:solidFill>
                    <w14:schemeClr w14:val="tx1"/>
                  </w14:solidFill>
                </w14:textFill>
              </w:rPr>
              <w:t>平时</w:t>
            </w:r>
            <w:r>
              <w:rPr>
                <w:rFonts w:hint="eastAsia" w:ascii="宋体" w:hAnsi="宋体" w:cs="宋体"/>
                <w:color w:val="000000" w:themeColor="text1"/>
                <w:sz w:val="24"/>
                <w:szCs w:val="24"/>
                <w:highlight w:val="none"/>
                <w:lang w:val="en-US" w:eastAsia="zh-CN"/>
                <w14:textFill>
                  <w14:solidFill>
                    <w14:schemeClr w14:val="tx1"/>
                  </w14:solidFill>
                </w14:textFill>
              </w:rPr>
              <w:t>各种情况的</w:t>
            </w:r>
            <w:r>
              <w:rPr>
                <w:rFonts w:hint="eastAsia" w:ascii="宋体" w:hAnsi="宋体" w:cs="宋体"/>
                <w:color w:val="000000" w:themeColor="text1"/>
                <w:sz w:val="24"/>
                <w:szCs w:val="24"/>
                <w:highlight w:val="none"/>
                <w:lang w:eastAsia="zh-CN"/>
                <w14:textFill>
                  <w14:solidFill>
                    <w14:schemeClr w14:val="tx1"/>
                  </w14:solidFill>
                </w14:textFill>
              </w:rPr>
              <w:t>应急演练措施方案；</w:t>
            </w:r>
            <w:r>
              <w:rPr>
                <w:rFonts w:hint="eastAsia"/>
                <w:color w:val="000000" w:themeColor="text1"/>
                <w:sz w:val="24"/>
                <w:szCs w:val="24"/>
                <w:highlight w:val="none"/>
                <w:lang w:eastAsia="zh-CN"/>
                <w14:textFill>
                  <w14:solidFill>
                    <w14:schemeClr w14:val="tx1"/>
                  </w14:solidFill>
                </w14:textFill>
              </w:rPr>
              <w:t>等方面。</w:t>
            </w:r>
          </w:p>
          <w:p w14:paraId="184CA650">
            <w:pPr>
              <w:pStyle w:val="284"/>
              <w:keepNext w:val="0"/>
              <w:keepLines w:val="0"/>
              <w:pageBreakBefore w:val="0"/>
              <w:widowControl/>
              <w:kinsoku/>
              <w:wordWrap/>
              <w:overflowPunct/>
              <w:topLinePunct w:val="0"/>
              <w:autoSpaceDE/>
              <w:autoSpaceDN/>
              <w:bidi w:val="0"/>
              <w:adjustRightInd/>
              <w:snapToGrid/>
              <w:spacing w:line="38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针对上述要求，</w:t>
            </w:r>
            <w:r>
              <w:rPr>
                <w:rFonts w:hint="eastAsia"/>
                <w:color w:val="000000" w:themeColor="text1"/>
                <w:sz w:val="24"/>
                <w:szCs w:val="24"/>
                <w:highlight w:val="none"/>
                <w:lang w:eastAsia="zh-CN"/>
                <w14:textFill>
                  <w14:solidFill>
                    <w14:schemeClr w14:val="tx1"/>
                  </w14:solidFill>
                </w14:textFill>
              </w:rPr>
              <w:t>方案做到完全覆盖并能延展、拓展，</w:t>
            </w:r>
            <w:r>
              <w:rPr>
                <w:rFonts w:hint="eastAsia"/>
                <w:color w:val="000000" w:themeColor="text1"/>
                <w:sz w:val="24"/>
                <w:szCs w:val="24"/>
                <w:highlight w:val="none"/>
                <w:lang w:val="en-US" w:eastAsia="zh-CN"/>
                <w14:textFill>
                  <w14:solidFill>
                    <w14:schemeClr w14:val="tx1"/>
                  </w14:solidFill>
                </w14:textFill>
              </w:rPr>
              <w:t>内容全面、详实，图表详尽，非常有针对性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lang w:eastAsia="zh-CN"/>
                <w14:textFill>
                  <w14:solidFill>
                    <w14:schemeClr w14:val="tx1"/>
                  </w14:solidFill>
                </w14:textFill>
              </w:rPr>
              <w:t>分；方案仅做到完全覆盖，未能延展、拓展，</w:t>
            </w:r>
            <w:r>
              <w:rPr>
                <w:rFonts w:hint="eastAsia"/>
                <w:color w:val="000000" w:themeColor="text1"/>
                <w:sz w:val="24"/>
                <w:szCs w:val="24"/>
                <w:highlight w:val="none"/>
                <w:lang w:val="en-US" w:eastAsia="zh-CN"/>
                <w14:textFill>
                  <w14:solidFill>
                    <w14:schemeClr w14:val="tx1"/>
                  </w14:solidFill>
                </w14:textFill>
              </w:rPr>
              <w:t>内容全面、详实但针对性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性、可操作性一般的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分；方案</w:t>
            </w:r>
            <w:r>
              <w:rPr>
                <w:rFonts w:hint="eastAsia"/>
                <w:color w:val="000000" w:themeColor="text1"/>
                <w:sz w:val="24"/>
                <w:szCs w:val="24"/>
                <w:highlight w:val="none"/>
                <w:lang w:val="en-US" w:eastAsia="zh-CN"/>
                <w14:textFill>
                  <w14:solidFill>
                    <w14:schemeClr w14:val="tx1"/>
                  </w14:solidFill>
                </w14:textFill>
              </w:rPr>
              <w:t>内容不全面、不够详实具体、几乎无针对性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得2分；</w:t>
            </w:r>
            <w:r>
              <w:rPr>
                <w:rFonts w:hint="eastAsia"/>
                <w:color w:val="000000" w:themeColor="text1"/>
                <w:sz w:val="24"/>
                <w:szCs w:val="24"/>
                <w:highlight w:val="none"/>
                <w:lang w:eastAsia="zh-CN"/>
                <w14:textFill>
                  <w14:solidFill>
                    <w14:schemeClr w14:val="tx1"/>
                  </w14:solidFill>
                </w14:textFill>
              </w:rPr>
              <w:t>未提供不得分。</w:t>
            </w:r>
          </w:p>
        </w:tc>
      </w:tr>
      <w:tr w14:paraId="28F8E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4" w:hRule="atLeast"/>
        </w:trPr>
        <w:tc>
          <w:tcPr>
            <w:tcW w:w="660" w:type="dxa"/>
            <w:vMerge w:val="continue"/>
            <w:noWrap w:val="0"/>
            <w:vAlign w:val="center"/>
          </w:tcPr>
          <w:p w14:paraId="67D2C352">
            <w:pPr>
              <w:widowControl/>
              <w:spacing w:line="440" w:lineRule="exact"/>
              <w:jc w:val="center"/>
              <w:rPr>
                <w:rFonts w:hint="eastAsia" w:ascii="宋体" w:hAnsi="宋体" w:cs="宋体"/>
                <w:color w:val="000000" w:themeColor="text1"/>
                <w:sz w:val="24"/>
                <w:highlight w:val="none"/>
                <w14:textFill>
                  <w14:solidFill>
                    <w14:schemeClr w14:val="tx1"/>
                  </w14:solidFill>
                </w14:textFill>
              </w:rPr>
            </w:pPr>
          </w:p>
        </w:tc>
        <w:tc>
          <w:tcPr>
            <w:tcW w:w="870" w:type="dxa"/>
            <w:vMerge w:val="continue"/>
            <w:noWrap w:val="0"/>
            <w:vAlign w:val="center"/>
          </w:tcPr>
          <w:p w14:paraId="307C710F">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50" w:type="dxa"/>
            <w:vMerge w:val="continue"/>
            <w:noWrap w:val="0"/>
            <w:vAlign w:val="center"/>
          </w:tcPr>
          <w:p w14:paraId="7E9B476F">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485" w:type="dxa"/>
            <w:noWrap w:val="0"/>
            <w:vAlign w:val="center"/>
          </w:tcPr>
          <w:p w14:paraId="1A73AD31">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（四）安全文明生产保障措施、方案：8分</w:t>
            </w:r>
          </w:p>
          <w:p w14:paraId="40CF80F2">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cs="宋体"/>
                <w:color w:val="000000" w:themeColor="text1"/>
                <w:sz w:val="24"/>
                <w:szCs w:val="24"/>
                <w:highlight w:val="none"/>
                <w:lang w:eastAsia="zh-CN"/>
                <w14:textFill>
                  <w14:solidFill>
                    <w14:schemeClr w14:val="tx1"/>
                  </w14:solidFill>
                </w14:textFill>
              </w:rPr>
              <w:t>现场施工或维护时</w:t>
            </w:r>
            <w:r>
              <w:rPr>
                <w:rFonts w:hint="eastAsia" w:ascii="宋体" w:hAnsi="宋体" w:cs="宋体"/>
                <w:color w:val="000000" w:themeColor="text1"/>
                <w:sz w:val="24"/>
                <w:szCs w:val="24"/>
                <w:highlight w:val="none"/>
                <w:lang w:val="en-US" w:eastAsia="zh-CN"/>
                <w14:textFill>
                  <w14:solidFill>
                    <w14:schemeClr w14:val="tx1"/>
                  </w14:solidFill>
                </w14:textFill>
              </w:rPr>
              <w:t>关于安全文明方面</w:t>
            </w:r>
            <w:r>
              <w:rPr>
                <w:rFonts w:hint="eastAsia" w:ascii="宋体" w:hAnsi="宋体" w:cs="宋体"/>
                <w:color w:val="000000" w:themeColor="text1"/>
                <w:sz w:val="24"/>
                <w:szCs w:val="24"/>
                <w:highlight w:val="none"/>
                <w:lang w:eastAsia="zh-CN"/>
                <w14:textFill>
                  <w14:solidFill>
                    <w14:schemeClr w14:val="tx1"/>
                  </w14:solidFill>
                </w14:textFill>
              </w:rPr>
              <w:t>的预测、预防措施；（</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快速路</w:t>
            </w:r>
            <w:r>
              <w:rPr>
                <w:rFonts w:hint="eastAsia" w:ascii="宋体" w:hAnsi="宋体" w:cs="宋体"/>
                <w:color w:val="000000" w:themeColor="text1"/>
                <w:sz w:val="24"/>
                <w:szCs w:val="24"/>
                <w:highlight w:val="none"/>
                <w:lang w:val="en-US" w:eastAsia="zh-CN"/>
                <w14:textFill>
                  <w14:solidFill>
                    <w14:schemeClr w14:val="tx1"/>
                  </w14:solidFill>
                </w14:textFill>
              </w:rPr>
              <w:t>及其他</w:t>
            </w:r>
            <w:r>
              <w:rPr>
                <w:rFonts w:hint="eastAsia" w:ascii="宋体" w:hAnsi="宋体" w:cs="宋体"/>
                <w:color w:val="000000" w:themeColor="text1"/>
                <w:sz w:val="24"/>
                <w:szCs w:val="24"/>
                <w:highlight w:val="none"/>
                <w:lang w:eastAsia="zh-CN"/>
                <w14:textFill>
                  <w14:solidFill>
                    <w14:schemeClr w14:val="tx1"/>
                  </w14:solidFill>
                </w14:textFill>
              </w:rPr>
              <w:t>重大隐患</w:t>
            </w:r>
            <w:r>
              <w:rPr>
                <w:rFonts w:hint="eastAsia" w:ascii="宋体" w:hAnsi="宋体" w:cs="宋体"/>
                <w:color w:val="000000" w:themeColor="text1"/>
                <w:sz w:val="24"/>
                <w:szCs w:val="24"/>
                <w:highlight w:val="none"/>
                <w:lang w:val="en-US" w:eastAsia="zh-CN"/>
                <w14:textFill>
                  <w14:solidFill>
                    <w14:schemeClr w14:val="tx1"/>
                  </w14:solidFill>
                </w14:textFill>
              </w:rPr>
              <w:t>点、面、</w:t>
            </w:r>
            <w:r>
              <w:rPr>
                <w:rFonts w:hint="eastAsia" w:ascii="宋体" w:hAnsi="宋体" w:cs="宋体"/>
                <w:color w:val="000000" w:themeColor="text1"/>
                <w:sz w:val="24"/>
                <w:szCs w:val="24"/>
                <w:highlight w:val="none"/>
                <w:lang w:eastAsia="zh-CN"/>
                <w14:textFill>
                  <w14:solidFill>
                    <w14:schemeClr w14:val="tx1"/>
                  </w14:solidFill>
                </w14:textFill>
              </w:rPr>
              <w:t>部位</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eastAsia="zh-CN"/>
                <w14:textFill>
                  <w14:solidFill>
                    <w14:schemeClr w14:val="tx1"/>
                  </w14:solidFill>
                </w14:textFill>
              </w:rPr>
              <w:t>巡查计划措施、</w:t>
            </w:r>
            <w:r>
              <w:rPr>
                <w:rFonts w:hint="eastAsia" w:ascii="宋体" w:hAnsi="宋体" w:cs="宋体"/>
                <w:color w:val="000000" w:themeColor="text1"/>
                <w:sz w:val="24"/>
                <w:szCs w:val="24"/>
                <w:highlight w:val="none"/>
                <w:lang w:val="en-US" w:eastAsia="zh-CN"/>
                <w14:textFill>
                  <w14:solidFill>
                    <w14:schemeClr w14:val="tx1"/>
                  </w14:solidFill>
                </w14:textFill>
              </w:rPr>
              <w:t>方案</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3）针对本项目的</w:t>
            </w:r>
            <w:r>
              <w:rPr>
                <w:rFonts w:hint="eastAsia" w:ascii="宋体" w:hAnsi="宋体" w:cs="宋体"/>
                <w:color w:val="000000" w:themeColor="text1"/>
                <w:sz w:val="24"/>
                <w:szCs w:val="24"/>
                <w:highlight w:val="none"/>
                <w:lang w:eastAsia="zh-CN"/>
                <w14:textFill>
                  <w14:solidFill>
                    <w14:schemeClr w14:val="tx1"/>
                  </w14:solidFill>
                </w14:textFill>
              </w:rPr>
              <w:t>安全规章制度；（</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维护人员</w:t>
            </w:r>
            <w:r>
              <w:rPr>
                <w:rFonts w:hint="eastAsia" w:ascii="宋体" w:hAnsi="宋体" w:cs="宋体"/>
                <w:color w:val="000000" w:themeColor="text1"/>
                <w:sz w:val="24"/>
                <w:szCs w:val="24"/>
                <w:highlight w:val="none"/>
                <w:lang w:val="en-US" w:eastAsia="zh-CN"/>
                <w14:textFill>
                  <w14:solidFill>
                    <w14:schemeClr w14:val="tx1"/>
                  </w14:solidFill>
                </w14:textFill>
              </w:rPr>
              <w:t>是否</w:t>
            </w:r>
            <w:r>
              <w:rPr>
                <w:rFonts w:hint="eastAsia" w:ascii="宋体" w:hAnsi="宋体" w:cs="宋体"/>
                <w:color w:val="000000" w:themeColor="text1"/>
                <w:sz w:val="24"/>
                <w:szCs w:val="24"/>
                <w:highlight w:val="none"/>
                <w:lang w:eastAsia="zh-CN"/>
                <w14:textFill>
                  <w14:solidFill>
                    <w14:schemeClr w14:val="tx1"/>
                  </w14:solidFill>
                </w14:textFill>
              </w:rPr>
              <w:t>进行过正规的安全教育、培训的内容、</w:t>
            </w:r>
            <w:r>
              <w:rPr>
                <w:rFonts w:hint="eastAsia" w:ascii="宋体" w:hAnsi="宋体" w:cs="宋体"/>
                <w:color w:val="000000" w:themeColor="text1"/>
                <w:sz w:val="24"/>
                <w:szCs w:val="24"/>
                <w:highlight w:val="none"/>
                <w:lang w:val="en-US" w:eastAsia="zh-CN"/>
                <w14:textFill>
                  <w14:solidFill>
                    <w14:schemeClr w14:val="tx1"/>
                  </w14:solidFill>
                </w14:textFill>
              </w:rPr>
              <w:t>记录措施（包括近期及往年的相关</w:t>
            </w:r>
            <w:r>
              <w:rPr>
                <w:rFonts w:hint="eastAsia" w:ascii="宋体" w:hAnsi="宋体" w:cs="宋体"/>
                <w:color w:val="000000" w:themeColor="text1"/>
                <w:sz w:val="24"/>
                <w:szCs w:val="24"/>
                <w:highlight w:val="none"/>
                <w:lang w:eastAsia="zh-CN"/>
                <w14:textFill>
                  <w14:solidFill>
                    <w14:schemeClr w14:val="tx1"/>
                  </w14:solidFill>
                </w14:textFill>
              </w:rPr>
              <w:t>教育、培训</w:t>
            </w:r>
            <w:r>
              <w:rPr>
                <w:rFonts w:hint="eastAsia" w:ascii="宋体" w:hAnsi="宋体" w:cs="宋体"/>
                <w:color w:val="000000" w:themeColor="text1"/>
                <w:sz w:val="24"/>
                <w:szCs w:val="24"/>
                <w:highlight w:val="none"/>
                <w:lang w:val="en-US" w:eastAsia="zh-CN"/>
                <w14:textFill>
                  <w14:solidFill>
                    <w14:schemeClr w14:val="tx1"/>
                  </w14:solidFill>
                </w14:textFill>
              </w:rPr>
              <w:t>的证明材料）</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5）车辆、设备、</w:t>
            </w:r>
            <w:r>
              <w:rPr>
                <w:rFonts w:hint="eastAsia" w:ascii="宋体" w:hAnsi="宋体" w:cs="宋体"/>
                <w:color w:val="000000" w:themeColor="text1"/>
                <w:sz w:val="24"/>
                <w:szCs w:val="24"/>
                <w:highlight w:val="none"/>
                <w:lang w:eastAsia="zh-CN"/>
                <w14:textFill>
                  <w14:solidFill>
                    <w14:schemeClr w14:val="tx1"/>
                  </w14:solidFill>
                </w14:textFill>
              </w:rPr>
              <w:t>机械</w:t>
            </w:r>
            <w:r>
              <w:rPr>
                <w:rFonts w:hint="eastAsia" w:ascii="宋体" w:hAnsi="宋体" w:cs="宋体"/>
                <w:color w:val="000000" w:themeColor="text1"/>
                <w:sz w:val="24"/>
                <w:szCs w:val="24"/>
                <w:highlight w:val="none"/>
                <w:lang w:val="en-US" w:eastAsia="zh-CN"/>
                <w14:textFill>
                  <w14:solidFill>
                    <w14:schemeClr w14:val="tx1"/>
                  </w14:solidFill>
                </w14:textFill>
              </w:rPr>
              <w:t>使用等全方位的</w:t>
            </w:r>
            <w:r>
              <w:rPr>
                <w:rFonts w:hint="eastAsia" w:ascii="宋体" w:hAnsi="宋体" w:cs="宋体"/>
                <w:color w:val="000000" w:themeColor="text1"/>
                <w:sz w:val="24"/>
                <w:szCs w:val="24"/>
                <w:highlight w:val="none"/>
                <w:lang w:eastAsia="zh-CN"/>
                <w14:textFill>
                  <w14:solidFill>
                    <w14:schemeClr w14:val="tx1"/>
                  </w14:solidFill>
                </w14:textFill>
              </w:rPr>
              <w:t>安全、现场施工安全、交通安全等</w:t>
            </w:r>
            <w:r>
              <w:rPr>
                <w:rFonts w:hint="eastAsia" w:ascii="宋体" w:hAnsi="宋体" w:cs="宋体"/>
                <w:color w:val="000000" w:themeColor="text1"/>
                <w:sz w:val="24"/>
                <w:szCs w:val="24"/>
                <w:highlight w:val="none"/>
                <w:lang w:val="en-US" w:eastAsia="zh-CN"/>
                <w14:textFill>
                  <w14:solidFill>
                    <w14:schemeClr w14:val="tx1"/>
                  </w14:solidFill>
                </w14:textFill>
              </w:rPr>
              <w:t>方面的保障措施、方案（如建立</w:t>
            </w:r>
            <w:r>
              <w:rPr>
                <w:rFonts w:hint="eastAsia" w:ascii="宋体" w:hAnsi="宋体" w:cs="宋体"/>
                <w:color w:val="000000" w:themeColor="text1"/>
                <w:sz w:val="24"/>
                <w:szCs w:val="24"/>
                <w:highlight w:val="none"/>
                <w:lang w:eastAsia="zh-CN"/>
                <w14:textFill>
                  <w14:solidFill>
                    <w14:schemeClr w14:val="tx1"/>
                  </w14:solidFill>
                </w14:textFill>
              </w:rPr>
              <w:t>自检台账</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6）关于</w:t>
            </w:r>
            <w:r>
              <w:rPr>
                <w:rFonts w:hint="eastAsia" w:ascii="宋体" w:hAnsi="宋体" w:cs="宋体"/>
                <w:color w:val="000000" w:themeColor="text1"/>
                <w:sz w:val="24"/>
                <w:szCs w:val="24"/>
                <w:highlight w:val="none"/>
                <w:lang w:eastAsia="zh-CN"/>
                <w14:textFill>
                  <w14:solidFill>
                    <w14:schemeClr w14:val="tx1"/>
                  </w14:solidFill>
                </w14:textFill>
              </w:rPr>
              <w:t>一切安全责任事故均由中标单位全部承担</w:t>
            </w:r>
            <w:r>
              <w:rPr>
                <w:rFonts w:hint="eastAsia" w:ascii="宋体" w:hAnsi="宋体" w:cs="宋体"/>
                <w:color w:val="000000" w:themeColor="text1"/>
                <w:sz w:val="24"/>
                <w:szCs w:val="24"/>
                <w:highlight w:val="none"/>
                <w:lang w:val="en-US" w:eastAsia="zh-CN"/>
                <w14:textFill>
                  <w14:solidFill>
                    <w14:schemeClr w14:val="tx1"/>
                  </w14:solidFill>
                </w14:textFill>
              </w:rPr>
              <w:t>的承诺</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7）关于</w:t>
            </w:r>
            <w:r>
              <w:rPr>
                <w:rFonts w:hint="eastAsia" w:ascii="宋体" w:hAnsi="宋体" w:cs="宋体"/>
                <w:color w:val="000000" w:themeColor="text1"/>
                <w:sz w:val="24"/>
                <w:szCs w:val="24"/>
                <w:highlight w:val="none"/>
                <w:lang w:eastAsia="zh-CN"/>
                <w14:textFill>
                  <w14:solidFill>
                    <w14:schemeClr w14:val="tx1"/>
                  </w14:solidFill>
                </w14:textFill>
              </w:rPr>
              <w:t>月度安全工作台账</w:t>
            </w:r>
            <w:r>
              <w:rPr>
                <w:rFonts w:hint="eastAsia" w:ascii="宋体" w:hAnsi="宋体" w:cs="宋体"/>
                <w:color w:val="000000" w:themeColor="text1"/>
                <w:sz w:val="24"/>
                <w:szCs w:val="24"/>
                <w:highlight w:val="none"/>
                <w:lang w:val="en-US" w:eastAsia="zh-CN"/>
                <w14:textFill>
                  <w14:solidFill>
                    <w14:schemeClr w14:val="tx1"/>
                  </w14:solidFill>
                </w14:textFill>
              </w:rPr>
              <w:t>建立</w:t>
            </w:r>
            <w:r>
              <w:rPr>
                <w:rFonts w:hint="eastAsia" w:ascii="宋体" w:hAnsi="宋体" w:cs="宋体"/>
                <w:color w:val="000000" w:themeColor="text1"/>
                <w:sz w:val="24"/>
                <w:szCs w:val="24"/>
                <w:highlight w:val="none"/>
                <w:lang w:eastAsia="zh-CN"/>
                <w14:textFill>
                  <w14:solidFill>
                    <w14:schemeClr w14:val="tx1"/>
                  </w14:solidFill>
                </w14:textFill>
              </w:rPr>
              <w:t>，开展安全检查、教育、考核等工作台账</w:t>
            </w:r>
            <w:r>
              <w:rPr>
                <w:rFonts w:hint="eastAsia" w:ascii="宋体" w:hAnsi="宋体" w:cs="宋体"/>
                <w:color w:val="000000" w:themeColor="text1"/>
                <w:sz w:val="24"/>
                <w:szCs w:val="24"/>
                <w:highlight w:val="none"/>
                <w:lang w:val="en-US" w:eastAsia="zh-CN"/>
                <w14:textFill>
                  <w14:solidFill>
                    <w14:schemeClr w14:val="tx1"/>
                  </w14:solidFill>
                </w14:textFill>
              </w:rPr>
              <w:t>建立</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包括</w:t>
            </w:r>
            <w:r>
              <w:rPr>
                <w:rFonts w:hint="eastAsia" w:ascii="宋体" w:hAnsi="宋体" w:cs="宋体"/>
                <w:color w:val="000000" w:themeColor="text1"/>
                <w:sz w:val="24"/>
                <w:szCs w:val="24"/>
                <w:highlight w:val="none"/>
                <w:lang w:eastAsia="zh-CN"/>
                <w14:textFill>
                  <w14:solidFill>
                    <w14:schemeClr w14:val="tx1"/>
                  </w14:solidFill>
                </w14:textFill>
              </w:rPr>
              <w:t>年度安全工作总结）；</w:t>
            </w:r>
            <w:r>
              <w:rPr>
                <w:rFonts w:hint="eastAsia"/>
                <w:color w:val="000000" w:themeColor="text1"/>
                <w:sz w:val="24"/>
                <w:szCs w:val="24"/>
                <w:highlight w:val="none"/>
                <w:lang w:eastAsia="zh-CN"/>
                <w14:textFill>
                  <w14:solidFill>
                    <w14:schemeClr w14:val="tx1"/>
                  </w14:solidFill>
                </w14:textFill>
              </w:rPr>
              <w:t>等方面。</w:t>
            </w:r>
          </w:p>
          <w:p w14:paraId="49BD0F0C">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针对上述要求，</w:t>
            </w:r>
            <w:r>
              <w:rPr>
                <w:rFonts w:hint="eastAsia"/>
                <w:color w:val="000000" w:themeColor="text1"/>
                <w:sz w:val="24"/>
                <w:szCs w:val="24"/>
                <w:highlight w:val="none"/>
                <w:lang w:eastAsia="zh-CN"/>
                <w14:textFill>
                  <w14:solidFill>
                    <w14:schemeClr w14:val="tx1"/>
                  </w14:solidFill>
                </w14:textFill>
              </w:rPr>
              <w:t>方案做到完全覆盖并能延展、拓展，</w:t>
            </w:r>
            <w:r>
              <w:rPr>
                <w:rFonts w:hint="eastAsia"/>
                <w:color w:val="000000" w:themeColor="text1"/>
                <w:sz w:val="24"/>
                <w:szCs w:val="24"/>
                <w:highlight w:val="none"/>
                <w:lang w:val="en-US" w:eastAsia="zh-CN"/>
                <w14:textFill>
                  <w14:solidFill>
                    <w14:schemeClr w14:val="tx1"/>
                  </w14:solidFill>
                </w14:textFill>
              </w:rPr>
              <w:t>内容全面、详实，图表详尽，非常有针对性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lang w:eastAsia="zh-CN"/>
                <w14:textFill>
                  <w14:solidFill>
                    <w14:schemeClr w14:val="tx1"/>
                  </w14:solidFill>
                </w14:textFill>
              </w:rPr>
              <w:t>分；方案仅做到完全覆盖，未能延展、拓展，</w:t>
            </w:r>
            <w:r>
              <w:rPr>
                <w:rFonts w:hint="eastAsia"/>
                <w:color w:val="000000" w:themeColor="text1"/>
                <w:sz w:val="24"/>
                <w:szCs w:val="24"/>
                <w:highlight w:val="none"/>
                <w:lang w:val="en-US" w:eastAsia="zh-CN"/>
                <w14:textFill>
                  <w14:solidFill>
                    <w14:schemeClr w14:val="tx1"/>
                  </w14:solidFill>
                </w14:textFill>
              </w:rPr>
              <w:t>内容全面、详实但针对性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性、可操作性一般的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分；方案</w:t>
            </w:r>
            <w:r>
              <w:rPr>
                <w:rFonts w:hint="eastAsia"/>
                <w:color w:val="000000" w:themeColor="text1"/>
                <w:sz w:val="24"/>
                <w:szCs w:val="24"/>
                <w:highlight w:val="none"/>
                <w:lang w:val="en-US" w:eastAsia="zh-CN"/>
                <w14:textFill>
                  <w14:solidFill>
                    <w14:schemeClr w14:val="tx1"/>
                  </w14:solidFill>
                </w14:textFill>
              </w:rPr>
              <w:t>内容不全面、不够详实具体、几乎无针对性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得2分；</w:t>
            </w:r>
            <w:r>
              <w:rPr>
                <w:rFonts w:hint="eastAsia"/>
                <w:color w:val="000000" w:themeColor="text1"/>
                <w:sz w:val="24"/>
                <w:szCs w:val="24"/>
                <w:highlight w:val="none"/>
                <w:lang w:eastAsia="zh-CN"/>
                <w14:textFill>
                  <w14:solidFill>
                    <w14:schemeClr w14:val="tx1"/>
                  </w14:solidFill>
                </w14:textFill>
              </w:rPr>
              <w:t>未提供不得分。</w:t>
            </w:r>
          </w:p>
        </w:tc>
      </w:tr>
      <w:tr w14:paraId="05601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3" w:hRule="atLeast"/>
        </w:trPr>
        <w:tc>
          <w:tcPr>
            <w:tcW w:w="660" w:type="dxa"/>
            <w:vMerge w:val="continue"/>
            <w:noWrap w:val="0"/>
            <w:vAlign w:val="center"/>
          </w:tcPr>
          <w:p w14:paraId="7F833F0A">
            <w:pPr>
              <w:widowControl/>
              <w:spacing w:line="440" w:lineRule="exact"/>
              <w:jc w:val="center"/>
              <w:rPr>
                <w:rFonts w:hint="eastAsia" w:ascii="宋体" w:hAnsi="宋体" w:cs="宋体"/>
                <w:color w:val="000000" w:themeColor="text1"/>
                <w:sz w:val="24"/>
                <w:highlight w:val="none"/>
                <w14:textFill>
                  <w14:solidFill>
                    <w14:schemeClr w14:val="tx1"/>
                  </w14:solidFill>
                </w14:textFill>
              </w:rPr>
            </w:pPr>
          </w:p>
        </w:tc>
        <w:tc>
          <w:tcPr>
            <w:tcW w:w="870" w:type="dxa"/>
            <w:vMerge w:val="continue"/>
            <w:noWrap w:val="0"/>
            <w:vAlign w:val="center"/>
          </w:tcPr>
          <w:p w14:paraId="594A5ED2">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50" w:type="dxa"/>
            <w:vMerge w:val="continue"/>
            <w:noWrap w:val="0"/>
            <w:vAlign w:val="center"/>
          </w:tcPr>
          <w:p w14:paraId="2B339B0E">
            <w:pPr>
              <w:pStyle w:val="284"/>
              <w:widowControl/>
              <w:spacing w:line="440" w:lineRule="exact"/>
              <w:jc w:val="center"/>
              <w:rPr>
                <w:rFonts w:hint="eastAsia"/>
                <w:color w:val="000000" w:themeColor="text1"/>
                <w:highlight w:val="none"/>
                <w:lang w:eastAsia="zh-CN"/>
                <w14:textFill>
                  <w14:solidFill>
                    <w14:schemeClr w14:val="tx1"/>
                  </w14:solidFill>
                </w14:textFill>
              </w:rPr>
            </w:pPr>
          </w:p>
        </w:tc>
        <w:tc>
          <w:tcPr>
            <w:tcW w:w="7485" w:type="dxa"/>
            <w:noWrap w:val="0"/>
            <w:vAlign w:val="center"/>
          </w:tcPr>
          <w:p w14:paraId="50BFE4AA">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textAlignment w:val="auto"/>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（五）服务质量保障措施、方案：8分</w:t>
            </w:r>
          </w:p>
          <w:p w14:paraId="01D19DEC">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cs="宋体"/>
                <w:color w:val="000000" w:themeColor="text1"/>
                <w:sz w:val="24"/>
                <w:szCs w:val="24"/>
                <w:highlight w:val="none"/>
                <w:lang w:eastAsia="zh-CN"/>
                <w14:textFill>
                  <w14:solidFill>
                    <w14:schemeClr w14:val="tx1"/>
                  </w14:solidFill>
                </w14:textFill>
              </w:rPr>
              <w:t>维护运营服务方案；（</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养护计划与保障措施（包括但不限于服务体系、服务内容、服务故障方案、专业技术人员技术保障，方案中承诺）；（</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eastAsia="zh-CN"/>
                <w14:textFill>
                  <w14:solidFill>
                    <w14:schemeClr w14:val="tx1"/>
                  </w14:solidFill>
                </w14:textFill>
              </w:rPr>
              <w:t>巡俢制度（日常巡俢、专项巡修、防汛期间巡俢、大型活动期间巡俢等）保障措施；（</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各种作业车辆保障（</w:t>
            </w:r>
            <w:r>
              <w:rPr>
                <w:rFonts w:hint="eastAsia" w:ascii="宋体" w:hAnsi="宋体" w:cs="宋体"/>
                <w:color w:val="000000" w:themeColor="text1"/>
                <w:sz w:val="24"/>
                <w:szCs w:val="24"/>
                <w:highlight w:val="none"/>
                <w:lang w:val="en-US" w:eastAsia="zh-CN"/>
                <w14:textFill>
                  <w14:solidFill>
                    <w14:schemeClr w14:val="tx1"/>
                  </w14:solidFill>
                </w14:textFill>
              </w:rPr>
              <w:t>包括</w:t>
            </w:r>
            <w:r>
              <w:rPr>
                <w:rFonts w:hint="eastAsia" w:ascii="宋体" w:hAnsi="宋体" w:cs="宋体"/>
                <w:color w:val="000000" w:themeColor="text1"/>
                <w:sz w:val="24"/>
                <w:szCs w:val="24"/>
                <w:highlight w:val="none"/>
                <w:lang w:eastAsia="zh-CN"/>
                <w14:textFill>
                  <w14:solidFill>
                    <w14:schemeClr w14:val="tx1"/>
                  </w14:solidFill>
                </w14:textFill>
              </w:rPr>
              <w:t>作业车辆维护、保养</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lang w:eastAsia="zh-CN"/>
                <w14:textFill>
                  <w14:solidFill>
                    <w14:schemeClr w14:val="tx1"/>
                  </w14:solidFill>
                </w14:textFill>
              </w:rPr>
              <w:t>维修工具（吊篮、保险绳、发电机、检测设备）保障措施；（</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lang w:eastAsia="zh-CN"/>
                <w14:textFill>
                  <w14:solidFill>
                    <w14:schemeClr w14:val="tx1"/>
                  </w14:solidFill>
                </w14:textFill>
              </w:rPr>
              <w:t>作业人员（高温、高空、夜间检修）保障措施</w:t>
            </w:r>
            <w:r>
              <w:rPr>
                <w:rFonts w:hint="eastAsia" w:cs="宋体"/>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等方面。</w:t>
            </w:r>
          </w:p>
          <w:p w14:paraId="06BE6F35">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针对上述要求，</w:t>
            </w:r>
            <w:r>
              <w:rPr>
                <w:rFonts w:hint="eastAsia"/>
                <w:color w:val="000000" w:themeColor="text1"/>
                <w:sz w:val="24"/>
                <w:szCs w:val="24"/>
                <w:highlight w:val="none"/>
                <w:lang w:eastAsia="zh-CN"/>
                <w14:textFill>
                  <w14:solidFill>
                    <w14:schemeClr w14:val="tx1"/>
                  </w14:solidFill>
                </w14:textFill>
              </w:rPr>
              <w:t>方案做到完全覆盖并能延展、拓展，</w:t>
            </w:r>
            <w:r>
              <w:rPr>
                <w:rFonts w:hint="eastAsia"/>
                <w:color w:val="000000" w:themeColor="text1"/>
                <w:sz w:val="24"/>
                <w:szCs w:val="24"/>
                <w:highlight w:val="none"/>
                <w:lang w:val="en-US" w:eastAsia="zh-CN"/>
                <w14:textFill>
                  <w14:solidFill>
                    <w14:schemeClr w14:val="tx1"/>
                  </w14:solidFill>
                </w14:textFill>
              </w:rPr>
              <w:t>内容全面、详实，图表详尽，非常有针对性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lang w:eastAsia="zh-CN"/>
                <w14:textFill>
                  <w14:solidFill>
                    <w14:schemeClr w14:val="tx1"/>
                  </w14:solidFill>
                </w14:textFill>
              </w:rPr>
              <w:t>分；方案仅做到完全覆盖，未能延展、拓展，</w:t>
            </w:r>
            <w:r>
              <w:rPr>
                <w:rFonts w:hint="eastAsia"/>
                <w:color w:val="000000" w:themeColor="text1"/>
                <w:sz w:val="24"/>
                <w:szCs w:val="24"/>
                <w:highlight w:val="none"/>
                <w:lang w:val="en-US" w:eastAsia="zh-CN"/>
                <w14:textFill>
                  <w14:solidFill>
                    <w14:schemeClr w14:val="tx1"/>
                  </w14:solidFill>
                </w14:textFill>
              </w:rPr>
              <w:t>内容全面、详实但针对性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性、可操作性一般的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分；方案</w:t>
            </w:r>
            <w:r>
              <w:rPr>
                <w:rFonts w:hint="eastAsia"/>
                <w:color w:val="000000" w:themeColor="text1"/>
                <w:sz w:val="24"/>
                <w:szCs w:val="24"/>
                <w:highlight w:val="none"/>
                <w:lang w:val="en-US" w:eastAsia="zh-CN"/>
                <w14:textFill>
                  <w14:solidFill>
                    <w14:schemeClr w14:val="tx1"/>
                  </w14:solidFill>
                </w14:textFill>
              </w:rPr>
              <w:t>内容不全面、不够详实具体、几乎无针对性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得2分；</w:t>
            </w:r>
            <w:r>
              <w:rPr>
                <w:rFonts w:hint="eastAsia"/>
                <w:color w:val="000000" w:themeColor="text1"/>
                <w:sz w:val="24"/>
                <w:szCs w:val="24"/>
                <w:highlight w:val="none"/>
                <w:lang w:eastAsia="zh-CN"/>
                <w14:textFill>
                  <w14:solidFill>
                    <w14:schemeClr w14:val="tx1"/>
                  </w14:solidFill>
                </w14:textFill>
              </w:rPr>
              <w:t>未提供不得分。</w:t>
            </w:r>
          </w:p>
        </w:tc>
      </w:tr>
      <w:tr w14:paraId="1BDE3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8" w:hRule="atLeast"/>
        </w:trPr>
        <w:tc>
          <w:tcPr>
            <w:tcW w:w="660" w:type="dxa"/>
            <w:vMerge w:val="continue"/>
            <w:tcBorders>
              <w:bottom w:val="single" w:color="auto" w:sz="4" w:space="0"/>
            </w:tcBorders>
            <w:noWrap w:val="0"/>
            <w:vAlign w:val="center"/>
          </w:tcPr>
          <w:p w14:paraId="390E6DCC">
            <w:pPr>
              <w:widowControl/>
              <w:spacing w:line="440" w:lineRule="exact"/>
              <w:rPr>
                <w:rFonts w:hint="eastAsia" w:ascii="宋体" w:hAnsi="宋体" w:cs="宋体"/>
                <w:color w:val="000000" w:themeColor="text1"/>
                <w:sz w:val="24"/>
                <w:highlight w:val="none"/>
                <w14:textFill>
                  <w14:solidFill>
                    <w14:schemeClr w14:val="tx1"/>
                  </w14:solidFill>
                </w14:textFill>
              </w:rPr>
            </w:pPr>
          </w:p>
        </w:tc>
        <w:tc>
          <w:tcPr>
            <w:tcW w:w="870" w:type="dxa"/>
            <w:vMerge w:val="continue"/>
            <w:noWrap w:val="0"/>
            <w:vAlign w:val="center"/>
          </w:tcPr>
          <w:p w14:paraId="67C36464">
            <w:pPr>
              <w:pStyle w:val="284"/>
              <w:widowControl/>
              <w:spacing w:line="440" w:lineRule="exact"/>
              <w:jc w:val="center"/>
              <w:rPr>
                <w:rFonts w:hint="eastAsia"/>
                <w:bCs/>
                <w:color w:val="000000" w:themeColor="text1"/>
                <w:szCs w:val="21"/>
                <w:highlight w:val="none"/>
                <w:lang w:eastAsia="zh-CN"/>
                <w14:textFill>
                  <w14:solidFill>
                    <w14:schemeClr w14:val="tx1"/>
                  </w14:solidFill>
                </w14:textFill>
              </w:rPr>
            </w:pPr>
          </w:p>
        </w:tc>
        <w:tc>
          <w:tcPr>
            <w:tcW w:w="750" w:type="dxa"/>
            <w:vMerge w:val="continue"/>
            <w:noWrap w:val="0"/>
            <w:vAlign w:val="center"/>
          </w:tcPr>
          <w:p w14:paraId="1B032289">
            <w:pPr>
              <w:pStyle w:val="284"/>
              <w:widowControl/>
              <w:spacing w:line="440" w:lineRule="exact"/>
              <w:jc w:val="center"/>
              <w:rPr>
                <w:rFonts w:hint="eastAsia"/>
                <w:bCs/>
                <w:color w:val="000000" w:themeColor="text1"/>
                <w:szCs w:val="21"/>
                <w:highlight w:val="none"/>
                <w:lang w:eastAsia="zh-CN"/>
                <w14:textFill>
                  <w14:solidFill>
                    <w14:schemeClr w14:val="tx1"/>
                  </w14:solidFill>
                </w14:textFill>
              </w:rPr>
            </w:pPr>
          </w:p>
        </w:tc>
        <w:tc>
          <w:tcPr>
            <w:tcW w:w="7485" w:type="dxa"/>
            <w:noWrap w:val="0"/>
            <w:vAlign w:val="center"/>
          </w:tcPr>
          <w:p w14:paraId="4F46433F">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textAlignment w:val="auto"/>
              <w:rPr>
                <w:rFonts w:hint="eastAsia"/>
                <w:b/>
                <w:color w:val="000000" w:themeColor="text1"/>
                <w:sz w:val="24"/>
                <w:szCs w:val="24"/>
                <w:highlight w:val="none"/>
                <w:lang w:eastAsia="zh-CN"/>
                <w14:textFill>
                  <w14:solidFill>
                    <w14:schemeClr w14:val="tx1"/>
                  </w14:solidFill>
                </w14:textFill>
              </w:rPr>
            </w:pPr>
            <w:r>
              <w:rPr>
                <w:rFonts w:hint="eastAsia"/>
                <w:b/>
                <w:color w:val="000000" w:themeColor="text1"/>
                <w:sz w:val="24"/>
                <w:szCs w:val="24"/>
                <w:highlight w:val="none"/>
                <w:lang w:eastAsia="zh-CN"/>
                <w14:textFill>
                  <w14:solidFill>
                    <w14:schemeClr w14:val="tx1"/>
                  </w14:solidFill>
                </w14:textFill>
              </w:rPr>
              <w:t>（六）</w:t>
            </w:r>
            <w:r>
              <w:rPr>
                <w:rFonts w:hint="eastAsia"/>
                <w:b/>
                <w:color w:val="000000" w:themeColor="text1"/>
                <w:sz w:val="24"/>
                <w:szCs w:val="24"/>
                <w:highlight w:val="none"/>
                <w14:textFill>
                  <w14:solidFill>
                    <w14:schemeClr w14:val="tx1"/>
                  </w14:solidFill>
                </w14:textFill>
              </w:rPr>
              <w:t>维护技术资料管理方案</w:t>
            </w:r>
            <w:r>
              <w:rPr>
                <w:rFonts w:hint="eastAsia"/>
                <w:b/>
                <w:color w:val="000000" w:themeColor="text1"/>
                <w:sz w:val="24"/>
                <w:szCs w:val="24"/>
                <w:highlight w:val="none"/>
                <w:lang w:eastAsia="zh-CN"/>
                <w14:textFill>
                  <w14:solidFill>
                    <w14:schemeClr w14:val="tx1"/>
                  </w14:solidFill>
                </w14:textFill>
              </w:rPr>
              <w:t>：8分</w:t>
            </w:r>
          </w:p>
          <w:p w14:paraId="3AA8718D">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cs="宋体"/>
                <w:color w:val="000000" w:themeColor="text1"/>
                <w:sz w:val="24"/>
                <w:szCs w:val="24"/>
                <w:highlight w:val="none"/>
                <w:lang w:eastAsia="zh-CN"/>
                <w14:textFill>
                  <w14:solidFill>
                    <w14:schemeClr w14:val="tx1"/>
                  </w14:solidFill>
                </w14:textFill>
              </w:rPr>
              <w:t>项目基础资料（</w:t>
            </w:r>
            <w:r>
              <w:rPr>
                <w:rFonts w:hint="eastAsia" w:ascii="宋体" w:hAnsi="宋体" w:cs="宋体"/>
                <w:color w:val="000000" w:themeColor="text1"/>
                <w:sz w:val="24"/>
                <w:szCs w:val="24"/>
                <w:highlight w:val="none"/>
                <w:lang w:val="en-US" w:eastAsia="zh-CN"/>
                <w14:textFill>
                  <w14:solidFill>
                    <w14:schemeClr w14:val="tx1"/>
                  </w14:solidFill>
                </w14:textFill>
              </w:rPr>
              <w:t>包括</w:t>
            </w:r>
            <w:r>
              <w:rPr>
                <w:rFonts w:hint="eastAsia" w:ascii="宋体" w:hAnsi="宋体" w:cs="宋体"/>
                <w:color w:val="000000" w:themeColor="text1"/>
                <w:sz w:val="24"/>
                <w:szCs w:val="24"/>
                <w:highlight w:val="none"/>
                <w:lang w:eastAsia="zh-CN"/>
                <w14:textFill>
                  <w14:solidFill>
                    <w14:schemeClr w14:val="tx1"/>
                  </w14:solidFill>
                </w14:textFill>
              </w:rPr>
              <w:t>配电设施 GIS 数据、供配电线路图、灯具的品牌以及设施数量等）定期更新、归档方案；（</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项目维护资料（</w:t>
            </w:r>
            <w:r>
              <w:rPr>
                <w:rFonts w:hint="eastAsia" w:ascii="宋体" w:hAnsi="宋体" w:cs="宋体"/>
                <w:color w:val="000000" w:themeColor="text1"/>
                <w:sz w:val="24"/>
                <w:szCs w:val="24"/>
                <w:highlight w:val="none"/>
                <w:lang w:val="en-US" w:eastAsia="zh-CN"/>
                <w14:textFill>
                  <w14:solidFill>
                    <w14:schemeClr w14:val="tx1"/>
                  </w14:solidFill>
                </w14:textFill>
              </w:rPr>
              <w:t>包括并不限于</w:t>
            </w:r>
            <w:r>
              <w:rPr>
                <w:rFonts w:hint="eastAsia" w:ascii="宋体" w:hAnsi="宋体" w:cs="宋体"/>
                <w:color w:val="000000" w:themeColor="text1"/>
                <w:sz w:val="24"/>
                <w:szCs w:val="24"/>
                <w:highlight w:val="none"/>
                <w:lang w:eastAsia="zh-CN"/>
                <w14:textFill>
                  <w14:solidFill>
                    <w14:schemeClr w14:val="tx1"/>
                  </w14:solidFill>
                </w14:textFill>
              </w:rPr>
              <w:t>维护台账、安全台账、维护计划等）编制、归档方案；（</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eastAsia="zh-CN"/>
                <w14:textFill>
                  <w14:solidFill>
                    <w14:schemeClr w14:val="tx1"/>
                  </w14:solidFill>
                </w14:textFill>
              </w:rPr>
              <w:t>投标人内部档案（维护工作例会、技能训练、应急演练、安全教育等）管理方案</w:t>
            </w:r>
            <w:r>
              <w:rPr>
                <w:rFonts w:hint="eastAsia" w:cs="宋体"/>
                <w:color w:val="000000" w:themeColor="text1"/>
                <w:sz w:val="24"/>
                <w:szCs w:val="24"/>
                <w:highlight w:val="none"/>
                <w:lang w:eastAsia="zh-CN"/>
                <w14:textFill>
                  <w14:solidFill>
                    <w14:schemeClr w14:val="tx1"/>
                  </w14:solidFill>
                </w14:textFill>
              </w:rPr>
              <w:t>；</w:t>
            </w:r>
            <w:r>
              <w:rPr>
                <w:rFonts w:hint="eastAsia"/>
                <w:bCs/>
                <w:color w:val="000000" w:themeColor="text1"/>
                <w:sz w:val="24"/>
                <w:szCs w:val="24"/>
                <w:highlight w:val="none"/>
                <w:lang w:eastAsia="zh-CN"/>
                <w14:textFill>
                  <w14:solidFill>
                    <w14:schemeClr w14:val="tx1"/>
                  </w14:solidFill>
                </w14:textFill>
              </w:rPr>
              <w:t>等方面。</w:t>
            </w:r>
          </w:p>
          <w:p w14:paraId="43C0F117">
            <w:pPr>
              <w:pStyle w:val="284"/>
              <w:keepNext w:val="0"/>
              <w:keepLines w:val="0"/>
              <w:pageBreakBefore w:val="0"/>
              <w:widowControl/>
              <w:kinsoku/>
              <w:wordWrap/>
              <w:overflowPunct/>
              <w:topLinePunct w:val="0"/>
              <w:autoSpaceDE/>
              <w:autoSpaceDN/>
              <w:bidi w:val="0"/>
              <w:adjustRightInd/>
              <w:snapToGrid/>
              <w:spacing w:line="340" w:lineRule="exact"/>
              <w:ind w:left="105" w:leftChars="50" w:right="105" w:rightChars="50" w:firstLine="240" w:firstLineChars="100"/>
              <w:textAlignment w:val="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针对上述要求，</w:t>
            </w:r>
            <w:r>
              <w:rPr>
                <w:rFonts w:hint="eastAsia"/>
                <w:color w:val="000000" w:themeColor="text1"/>
                <w:sz w:val="24"/>
                <w:szCs w:val="24"/>
                <w:highlight w:val="none"/>
                <w:lang w:eastAsia="zh-CN"/>
                <w14:textFill>
                  <w14:solidFill>
                    <w14:schemeClr w14:val="tx1"/>
                  </w14:solidFill>
                </w14:textFill>
              </w:rPr>
              <w:t>方案做到完全覆盖并能延展、拓展，</w:t>
            </w:r>
            <w:r>
              <w:rPr>
                <w:rFonts w:hint="eastAsia"/>
                <w:color w:val="000000" w:themeColor="text1"/>
                <w:sz w:val="24"/>
                <w:szCs w:val="24"/>
                <w:highlight w:val="none"/>
                <w:lang w:val="en-US" w:eastAsia="zh-CN"/>
                <w14:textFill>
                  <w14:solidFill>
                    <w14:schemeClr w14:val="tx1"/>
                  </w14:solidFill>
                </w14:textFill>
              </w:rPr>
              <w:t>内容全面、详实，图表详尽，非常有针对性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lang w:eastAsia="zh-CN"/>
                <w14:textFill>
                  <w14:solidFill>
                    <w14:schemeClr w14:val="tx1"/>
                  </w14:solidFill>
                </w14:textFill>
              </w:rPr>
              <w:t>分；方案仅做到完全覆盖，未能延展、拓展，</w:t>
            </w:r>
            <w:r>
              <w:rPr>
                <w:rFonts w:hint="eastAsia"/>
                <w:color w:val="000000" w:themeColor="text1"/>
                <w:sz w:val="24"/>
                <w:szCs w:val="24"/>
                <w:highlight w:val="none"/>
                <w:lang w:val="en-US" w:eastAsia="zh-CN"/>
                <w14:textFill>
                  <w14:solidFill>
                    <w14:schemeClr w14:val="tx1"/>
                  </w14:solidFill>
                </w14:textFill>
              </w:rPr>
              <w:t>内容全面、详实但针对性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性、可操作性一般的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5</w:t>
            </w:r>
            <w:r>
              <w:rPr>
                <w:rFonts w:hint="eastAsia"/>
                <w:color w:val="000000" w:themeColor="text1"/>
                <w:sz w:val="24"/>
                <w:szCs w:val="24"/>
                <w:highlight w:val="none"/>
                <w:lang w:eastAsia="zh-CN"/>
                <w14:textFill>
                  <w14:solidFill>
                    <w14:schemeClr w14:val="tx1"/>
                  </w14:solidFill>
                </w14:textFill>
              </w:rPr>
              <w:t>分；方案</w:t>
            </w:r>
            <w:r>
              <w:rPr>
                <w:rFonts w:hint="eastAsia"/>
                <w:color w:val="000000" w:themeColor="text1"/>
                <w:sz w:val="24"/>
                <w:szCs w:val="24"/>
                <w:highlight w:val="none"/>
                <w:lang w:val="en-US" w:eastAsia="zh-CN"/>
                <w14:textFill>
                  <w14:solidFill>
                    <w14:schemeClr w14:val="tx1"/>
                  </w14:solidFill>
                </w14:textFill>
              </w:rPr>
              <w:t>内容不全面、不够详实具体、几乎无针对性</w:t>
            </w:r>
            <w:r>
              <w:rPr>
                <w:rFonts w:hint="eastAsia"/>
                <w:color w:val="000000" w:themeColor="text1"/>
                <w:sz w:val="24"/>
                <w:szCs w:val="24"/>
                <w:highlight w:val="none"/>
                <w:lang w:eastAsia="zh-CN"/>
                <w14:textFill>
                  <w14:solidFill>
                    <w14:schemeClr w14:val="tx1"/>
                  </w14:solidFill>
                </w14:textFill>
              </w:rPr>
              <w:t>、合理</w:t>
            </w:r>
            <w:r>
              <w:rPr>
                <w:rFonts w:hint="eastAsia"/>
                <w:color w:val="000000" w:themeColor="text1"/>
                <w:sz w:val="24"/>
                <w:szCs w:val="24"/>
                <w:highlight w:val="none"/>
                <w:lang w:val="en-US" w:eastAsia="zh-CN"/>
                <w14:textFill>
                  <w14:solidFill>
                    <w14:schemeClr w14:val="tx1"/>
                  </w14:solidFill>
                </w14:textFill>
              </w:rPr>
              <w:t>性、可操作性的</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得2分；</w:t>
            </w:r>
            <w:r>
              <w:rPr>
                <w:rFonts w:hint="eastAsia"/>
                <w:color w:val="000000" w:themeColor="text1"/>
                <w:sz w:val="24"/>
                <w:szCs w:val="24"/>
                <w:highlight w:val="none"/>
                <w:lang w:eastAsia="zh-CN"/>
                <w14:textFill>
                  <w14:solidFill>
                    <w14:schemeClr w14:val="tx1"/>
                  </w14:solidFill>
                </w14:textFill>
              </w:rPr>
              <w:t>未提供不得分。</w:t>
            </w:r>
          </w:p>
        </w:tc>
      </w:tr>
    </w:tbl>
    <w:p w14:paraId="04FD9F0A">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r>
    </w:p>
    <w:p w14:paraId="0FF64EA1">
      <w:pPr>
        <w:widowControl/>
        <w:tabs>
          <w:tab w:val="left" w:pos="180"/>
        </w:tabs>
        <w:spacing w:line="520" w:lineRule="exact"/>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第四章  合同格式及条款</w:t>
      </w:r>
    </w:p>
    <w:p w14:paraId="0C6830E6">
      <w:pPr>
        <w:widowControl/>
        <w:tabs>
          <w:tab w:val="left" w:pos="180"/>
        </w:tabs>
        <w:spacing w:line="360" w:lineRule="auto"/>
        <w:ind w:firstLine="560" w:firstLineChars="200"/>
        <w:rPr>
          <w:rFonts w:hint="eastAsia" w:ascii="宋体" w:hAnsi="宋体" w:cs="宋体"/>
          <w:bCs/>
          <w:color w:val="000000" w:themeColor="text1"/>
          <w:sz w:val="28"/>
          <w:szCs w:val="28"/>
          <w:highlight w:val="none"/>
          <w14:textFill>
            <w14:solidFill>
              <w14:schemeClr w14:val="tx1"/>
            </w14:solidFill>
          </w14:textFill>
        </w:rPr>
      </w:pPr>
    </w:p>
    <w:p w14:paraId="3E14B97D">
      <w:pPr>
        <w:widowControl/>
        <w:tabs>
          <w:tab w:val="left" w:pos="180"/>
        </w:tabs>
        <w:spacing w:line="360" w:lineRule="auto"/>
        <w:ind w:firstLine="480" w:firstLineChars="200"/>
        <w:rPr>
          <w:rFonts w:hint="eastAsia" w:ascii="宋体" w:hAnsi="宋体" w:cs="宋体"/>
          <w:color w:val="000000" w:themeColor="text1"/>
          <w:spacing w:val="-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注:以下为招标人提出中标后签订本项目合同的条款，投标人必须实质性响应，中标投标人不得提出实质性的修改，关于专用条款将由招标人与中标投标人结合本项目具体情况协商后签订。</w:t>
      </w:r>
    </w:p>
    <w:p w14:paraId="2D87FE92">
      <w:pPr>
        <w:pStyle w:val="2"/>
        <w:widowControl/>
        <w:autoSpaceDE w:val="0"/>
        <w:autoSpaceDN w:val="0"/>
        <w:adjustRightInd w:val="0"/>
        <w:snapToGrid w:val="0"/>
        <w:spacing w:after="0" w:line="360" w:lineRule="auto"/>
        <w:ind w:firstLine="570" w:firstLineChars="200"/>
        <w:jc w:val="center"/>
        <w:textAlignment w:val="baseline"/>
        <w:rPr>
          <w:rFonts w:hint="eastAsia" w:ascii="宋体" w:hAnsi="宋体" w:cs="宋体"/>
          <w:b/>
          <w:bCs/>
          <w:color w:val="000000" w:themeColor="text1"/>
          <w:spacing w:val="2"/>
          <w:sz w:val="28"/>
          <w:szCs w:val="28"/>
          <w:highlight w:val="none"/>
          <w14:textFill>
            <w14:solidFill>
              <w14:schemeClr w14:val="tx1"/>
            </w14:solidFill>
          </w14:textFill>
        </w:rPr>
      </w:pPr>
      <w:r>
        <w:rPr>
          <w:rFonts w:hint="eastAsia" w:ascii="宋体" w:hAnsi="宋体" w:cs="宋体"/>
          <w:b/>
          <w:bCs/>
          <w:color w:val="000000" w:themeColor="text1"/>
          <w:spacing w:val="2"/>
          <w:sz w:val="28"/>
          <w:szCs w:val="28"/>
          <w:highlight w:val="none"/>
          <w14:textFill>
            <w14:solidFill>
              <w14:schemeClr w14:val="tx1"/>
            </w14:solidFill>
          </w14:textFill>
        </w:rPr>
        <w:t>一、合同协议书</w:t>
      </w:r>
    </w:p>
    <w:p w14:paraId="50818FC0">
      <w:pPr>
        <w:pStyle w:val="2"/>
        <w:widowControl/>
        <w:autoSpaceDE w:val="0"/>
        <w:autoSpaceDN w:val="0"/>
        <w:adjustRightInd w:val="0"/>
        <w:snapToGrid w:val="0"/>
        <w:spacing w:after="0" w:line="360" w:lineRule="auto"/>
        <w:textAlignment w:val="baseline"/>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3"/>
          <w:sz w:val="24"/>
          <w:szCs w:val="24"/>
          <w:highlight w:val="none"/>
          <w14:textFill>
            <w14:solidFill>
              <w14:schemeClr w14:val="tx1"/>
            </w14:solidFill>
          </w14:textFill>
        </w:rPr>
        <w:t>发包人（全称</w:t>
      </w:r>
      <w:r>
        <w:rPr>
          <w:rFonts w:hint="eastAsia" w:ascii="宋体" w:hAnsi="宋体" w:cs="宋体"/>
          <w:color w:val="000000" w:themeColor="text1"/>
          <w:spacing w:val="-8"/>
          <w:sz w:val="24"/>
          <w:szCs w:val="24"/>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pacing w:val="-8"/>
          <w:sz w:val="24"/>
          <w:szCs w:val="24"/>
          <w:highlight w:val="none"/>
          <w14:textFill>
            <w14:solidFill>
              <w14:schemeClr w14:val="tx1"/>
            </w14:solidFill>
          </w14:textFill>
        </w:rPr>
        <w:t>（</w:t>
      </w:r>
      <w:r>
        <w:rPr>
          <w:rFonts w:hint="eastAsia" w:ascii="宋体" w:hAnsi="宋体" w:cs="宋体"/>
          <w:color w:val="000000" w:themeColor="text1"/>
          <w:spacing w:val="-3"/>
          <w:sz w:val="24"/>
          <w:szCs w:val="24"/>
          <w:highlight w:val="none"/>
          <w14:textFill>
            <w14:solidFill>
              <w14:schemeClr w14:val="tx1"/>
            </w14:solidFill>
          </w14:textFill>
        </w:rPr>
        <w:t>以下简称“</w:t>
      </w:r>
      <w:r>
        <w:rPr>
          <w:rFonts w:hint="eastAsia" w:ascii="宋体" w:hAnsi="宋体" w:cs="宋体"/>
          <w:color w:val="000000" w:themeColor="text1"/>
          <w:spacing w:val="-72"/>
          <w:sz w:val="24"/>
          <w:szCs w:val="24"/>
          <w:highlight w:val="none"/>
          <w14:textFill>
            <w14:solidFill>
              <w14:schemeClr w14:val="tx1"/>
            </w14:solidFill>
          </w14:textFill>
        </w:rPr>
        <w:t xml:space="preserve"> </w:t>
      </w:r>
      <w:r>
        <w:rPr>
          <w:rFonts w:hint="eastAsia" w:ascii="宋体" w:hAnsi="宋体" w:cs="宋体"/>
          <w:color w:val="000000" w:themeColor="text1"/>
          <w:spacing w:val="-3"/>
          <w:sz w:val="24"/>
          <w:szCs w:val="24"/>
          <w:highlight w:val="none"/>
          <w14:textFill>
            <w14:solidFill>
              <w14:schemeClr w14:val="tx1"/>
            </w14:solidFill>
          </w14:textFill>
        </w:rPr>
        <w:t>甲方</w:t>
      </w:r>
      <w:r>
        <w:rPr>
          <w:rFonts w:hint="eastAsia" w:ascii="宋体" w:hAnsi="宋体" w:cs="宋体"/>
          <w:color w:val="000000" w:themeColor="text1"/>
          <w:spacing w:val="-88"/>
          <w:sz w:val="24"/>
          <w:szCs w:val="24"/>
          <w:highlight w:val="none"/>
          <w14:textFill>
            <w14:solidFill>
              <w14:schemeClr w14:val="tx1"/>
            </w14:solidFill>
          </w14:textFill>
        </w:rPr>
        <w:t xml:space="preserve"> </w:t>
      </w:r>
      <w:r>
        <w:rPr>
          <w:rFonts w:hint="eastAsia" w:ascii="宋体" w:hAnsi="宋体" w:cs="宋体"/>
          <w:color w:val="000000" w:themeColor="text1"/>
          <w:spacing w:val="-3"/>
          <w:sz w:val="24"/>
          <w:szCs w:val="24"/>
          <w:highlight w:val="none"/>
          <w14:textFill>
            <w14:solidFill>
              <w14:schemeClr w14:val="tx1"/>
            </w14:solidFill>
          </w14:textFill>
        </w:rPr>
        <w:t>”）</w:t>
      </w:r>
    </w:p>
    <w:p w14:paraId="444CFB1D">
      <w:pPr>
        <w:pStyle w:val="2"/>
        <w:widowControl/>
        <w:autoSpaceDE w:val="0"/>
        <w:autoSpaceDN w:val="0"/>
        <w:adjustRightInd w:val="0"/>
        <w:snapToGrid w:val="0"/>
        <w:spacing w:after="0" w:line="360" w:lineRule="auto"/>
        <w:textAlignment w:val="baseline"/>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1"/>
          <w:sz w:val="24"/>
          <w:szCs w:val="24"/>
          <w:highlight w:val="none"/>
          <w14:textFill>
            <w14:solidFill>
              <w14:schemeClr w14:val="tx1"/>
            </w14:solidFill>
          </w14:textFill>
        </w:rPr>
        <w:t>承包人（全称</w:t>
      </w:r>
      <w:r>
        <w:rPr>
          <w:rFonts w:hint="eastAsia" w:ascii="宋体" w:hAnsi="宋体" w:cs="宋体"/>
          <w:color w:val="000000" w:themeColor="text1"/>
          <w:spacing w:val="-11"/>
          <w:sz w:val="24"/>
          <w:szCs w:val="24"/>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pacing w:val="-11"/>
          <w:sz w:val="24"/>
          <w:szCs w:val="24"/>
          <w:highlight w:val="none"/>
          <w14:textFill>
            <w14:solidFill>
              <w14:schemeClr w14:val="tx1"/>
            </w14:solidFill>
          </w14:textFill>
        </w:rPr>
        <w:t>（</w:t>
      </w:r>
      <w:r>
        <w:rPr>
          <w:rFonts w:hint="eastAsia" w:ascii="宋体" w:hAnsi="宋体" w:cs="宋体"/>
          <w:color w:val="000000" w:themeColor="text1"/>
          <w:spacing w:val="-1"/>
          <w:sz w:val="24"/>
          <w:szCs w:val="24"/>
          <w:highlight w:val="none"/>
          <w14:textFill>
            <w14:solidFill>
              <w14:schemeClr w14:val="tx1"/>
            </w14:solidFill>
          </w14:textFill>
        </w:rPr>
        <w:t>以下简称“</w:t>
      </w:r>
      <w:r>
        <w:rPr>
          <w:rFonts w:hint="eastAsia" w:ascii="宋体" w:hAnsi="宋体" w:cs="宋体"/>
          <w:color w:val="000000" w:themeColor="text1"/>
          <w:spacing w:val="-86"/>
          <w:sz w:val="24"/>
          <w:szCs w:val="24"/>
          <w:highlight w:val="none"/>
          <w14:textFill>
            <w14:solidFill>
              <w14:schemeClr w14:val="tx1"/>
            </w14:solidFill>
          </w14:textFill>
        </w:rPr>
        <w:t xml:space="preserve"> </w:t>
      </w:r>
      <w:r>
        <w:rPr>
          <w:rFonts w:hint="eastAsia" w:ascii="宋体" w:hAnsi="宋体" w:cs="宋体"/>
          <w:color w:val="000000" w:themeColor="text1"/>
          <w:spacing w:val="-1"/>
          <w:sz w:val="24"/>
          <w:szCs w:val="24"/>
          <w:highlight w:val="none"/>
          <w14:textFill>
            <w14:solidFill>
              <w14:schemeClr w14:val="tx1"/>
            </w14:solidFill>
          </w14:textFill>
        </w:rPr>
        <w:t>乙方</w:t>
      </w:r>
      <w:r>
        <w:rPr>
          <w:rFonts w:hint="eastAsia" w:ascii="宋体" w:hAnsi="宋体" w:cs="宋体"/>
          <w:color w:val="000000" w:themeColor="text1"/>
          <w:spacing w:val="-89"/>
          <w:sz w:val="24"/>
          <w:szCs w:val="24"/>
          <w:highlight w:val="none"/>
          <w14:textFill>
            <w14:solidFill>
              <w14:schemeClr w14:val="tx1"/>
            </w14:solidFill>
          </w14:textFill>
        </w:rPr>
        <w:t xml:space="preserve"> </w:t>
      </w:r>
      <w:r>
        <w:rPr>
          <w:rFonts w:hint="eastAsia" w:ascii="宋体" w:hAnsi="宋体" w:cs="宋体"/>
          <w:color w:val="000000" w:themeColor="text1"/>
          <w:spacing w:val="-1"/>
          <w:sz w:val="24"/>
          <w:szCs w:val="24"/>
          <w:highlight w:val="none"/>
          <w14:textFill>
            <w14:solidFill>
              <w14:schemeClr w14:val="tx1"/>
            </w14:solidFill>
          </w14:textFill>
        </w:rPr>
        <w:t>”）</w:t>
      </w:r>
    </w:p>
    <w:p w14:paraId="5D25037D">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outlineLvl w:val="0"/>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甲、乙双方根据项目编号</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的</w:t>
      </w:r>
      <w:r>
        <w:rPr>
          <w:rFonts w:hint="eastAsia" w:ascii="宋体" w:hAnsi="宋体" w:eastAsia="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招标项目公开招标结果及招标文件的要求,经协商一致,达成如下合同条款。</w:t>
      </w:r>
    </w:p>
    <w:p w14:paraId="195A55FC">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2"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一、服务内容及范围:</w:t>
      </w:r>
    </w:p>
    <w:p w14:paraId="755759E4">
      <w:pPr>
        <w:pStyle w:val="2"/>
        <w:keepNext w:val="0"/>
        <w:keepLines w:val="0"/>
        <w:pageBreakBefore w:val="0"/>
        <w:widowControl/>
        <w:kinsoku/>
        <w:wordWrap/>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服务范围包括对淮安经济技术开发区主城区、徐杨片区、南马厂片区主次干道路所有灯、变压器、控制箱等设施进行养护</w:t>
      </w:r>
      <w:r>
        <w:rPr>
          <w:rFonts w:hint="eastAsia" w:ascii="宋体" w:hAnsi="宋体" w:eastAsia="宋体" w:cs="宋体"/>
          <w:color w:val="000000" w:themeColor="text1"/>
          <w:spacing w:val="-2"/>
          <w:sz w:val="24"/>
          <w:szCs w:val="24"/>
          <w:highlight w:val="none"/>
          <w14:textFill>
            <w14:solidFill>
              <w14:schemeClr w14:val="tx1"/>
            </w14:solidFill>
          </w14:textFill>
        </w:rPr>
        <w:t>，对陈旧、</w:t>
      </w:r>
      <w:r>
        <w:rPr>
          <w:rFonts w:hint="eastAsia" w:ascii="宋体" w:hAnsi="宋体" w:eastAsia="宋体" w:cs="宋体"/>
          <w:color w:val="000000" w:themeColor="text1"/>
          <w:spacing w:val="-1"/>
          <w:sz w:val="24"/>
          <w:szCs w:val="24"/>
          <w:highlight w:val="none"/>
          <w14:textFill>
            <w14:solidFill>
              <w14:schemeClr w14:val="tx1"/>
            </w14:solidFill>
          </w14:textFill>
        </w:rPr>
        <w:t>老化设施进行改造。</w:t>
      </w:r>
      <w:r>
        <w:rPr>
          <w:rFonts w:hint="eastAsia" w:ascii="宋体" w:hAnsi="宋体" w:eastAsia="宋体" w:cs="宋体"/>
          <w:color w:val="000000" w:themeColor="text1"/>
          <w:sz w:val="24"/>
          <w:szCs w:val="24"/>
          <w:highlight w:val="none"/>
          <w14:textFill>
            <w14:solidFill>
              <w14:schemeClr w14:val="tx1"/>
            </w14:solidFill>
          </w14:textFill>
        </w:rPr>
        <w:t>相关配套设施纳入养护范围，高、低压电工能熟练检测、判断、排除路灯、变压器、控制箱等照明设施故障。具体内容为：路灯共计13342基（20689盏）、变压器140台、控制箱197台、路灯工作井约480个、电缆约613384米及路灯系统等相关配套设施纳入养护范围，高、低压电工能熟练检测、判断、排除路灯变压器、控制箱等照明设施故障。</w:t>
      </w:r>
    </w:p>
    <w:p w14:paraId="03004D18">
      <w:pPr>
        <w:pStyle w:val="2"/>
        <w:keepNext w:val="0"/>
        <w:keepLines w:val="0"/>
        <w:pageBreakBefore w:val="0"/>
        <w:widowControl/>
        <w:kinsoku/>
        <w:wordWrap/>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明细详见附件清单。</w:t>
      </w:r>
    </w:p>
    <w:p w14:paraId="182B17A9">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二、合同价款、结算方式</w:t>
      </w:r>
    </w:p>
    <w:p w14:paraId="772F45EA">
      <w:pPr>
        <w:pStyle w:val="2"/>
        <w:keepNext w:val="0"/>
        <w:keepLines w:val="0"/>
        <w:pageBreakBefore w:val="0"/>
        <w:widowControl/>
        <w:kinsoku/>
        <w:wordWrap/>
        <w:topLinePunct w:val="0"/>
        <w:autoSpaceDE w:val="0"/>
        <w:autoSpaceDN w:val="0"/>
        <w:bidi w:val="0"/>
        <w:adjustRightInd w:val="0"/>
        <w:snapToGrid w:val="0"/>
        <w:spacing w:after="0" w:line="440" w:lineRule="exact"/>
        <w:ind w:firstLine="472"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1.本合同的总金额(大写)为人民币</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00"/>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元（¥:</w:t>
      </w:r>
      <w:r>
        <w:rPr>
          <w:rFonts w:hint="eastAsia" w:ascii="宋体" w:hAnsi="宋体" w:eastAsia="宋体" w:cs="宋体"/>
          <w:color w:val="000000" w:themeColor="text1"/>
          <w:spacing w:val="-2"/>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100"/>
          <w:sz w:val="24"/>
          <w:szCs w:val="24"/>
          <w:highlight w:val="non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14:textFill>
            <w14:solidFill>
              <w14:schemeClr w14:val="tx1"/>
            </w14:solidFill>
          </w14:textFill>
        </w:rPr>
        <w:t>元</w:t>
      </w:r>
      <w:r>
        <w:rPr>
          <w:rFonts w:hint="eastAsia" w:ascii="宋体" w:hAnsi="宋体" w:eastAsia="宋体" w:cs="宋体"/>
          <w:color w:val="000000" w:themeColor="text1"/>
          <w:spacing w:val="-22"/>
          <w:sz w:val="24"/>
          <w:szCs w:val="24"/>
          <w:highlight w:val="none"/>
          <w14:textFill>
            <w14:solidFill>
              <w14:schemeClr w14:val="tx1"/>
            </w14:solidFill>
          </w14:textFill>
        </w:rPr>
        <w:t>），</w:t>
      </w:r>
      <w:r>
        <w:rPr>
          <w:rFonts w:hint="eastAsia" w:ascii="宋体" w:hAnsi="宋体" w:eastAsia="宋体" w:cs="宋体"/>
          <w:color w:val="000000" w:themeColor="text1"/>
          <w:spacing w:val="-3"/>
          <w:sz w:val="24"/>
          <w:szCs w:val="24"/>
          <w:highlight w:val="none"/>
          <w14:textFill>
            <w14:solidFill>
              <w14:schemeClr w14:val="tx1"/>
            </w14:solidFill>
          </w14:textFill>
        </w:rPr>
        <w:t>分项价格详见乙方</w:t>
      </w:r>
      <w:r>
        <w:rPr>
          <w:rFonts w:hint="eastAsia" w:ascii="宋体" w:hAnsi="宋体" w:eastAsia="宋体" w:cs="宋体"/>
          <w:color w:val="000000" w:themeColor="text1"/>
          <w:spacing w:val="-2"/>
          <w:sz w:val="24"/>
          <w:szCs w:val="24"/>
          <w:highlight w:val="none"/>
          <w14:textFill>
            <w14:solidFill>
              <w14:schemeClr w14:val="tx1"/>
            </w14:solidFill>
          </w14:textFill>
        </w:rPr>
        <w:t>投标时提交的投标报价明细表。</w:t>
      </w:r>
    </w:p>
    <w:p w14:paraId="5787E4FC">
      <w:pPr>
        <w:keepNext w:val="0"/>
        <w:keepLines w:val="0"/>
        <w:pageBreakBefore w:val="0"/>
        <w:widowControl/>
        <w:kinsoku/>
        <w:wordWrap/>
        <w:overflowPunct w:val="0"/>
        <w:topLinePunct w:val="0"/>
        <w:bidi w:val="0"/>
        <w:spacing w:line="440" w:lineRule="exact"/>
        <w:ind w:firstLine="47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合同价的80%用于路灯设施的养护，20%用于路灯设施改造；改造方案须经甲方审核同意后方可实施。涉及到新购路灯、电器、设备等所有产权均归甲方所有，服务期满后乙方须全部完好移交甲方。</w:t>
      </w:r>
    </w:p>
    <w:p w14:paraId="6BC9DA60">
      <w:pPr>
        <w:pStyle w:val="2"/>
        <w:keepNext w:val="0"/>
        <w:keepLines w:val="0"/>
        <w:pageBreakBefore w:val="0"/>
        <w:widowControl/>
        <w:kinsoku/>
        <w:wordWrap/>
        <w:topLinePunct w:val="0"/>
        <w:autoSpaceDE w:val="0"/>
        <w:autoSpaceDN w:val="0"/>
        <w:bidi w:val="0"/>
        <w:adjustRightInd w:val="0"/>
        <w:snapToGrid w:val="0"/>
        <w:spacing w:after="0" w:line="440" w:lineRule="exact"/>
        <w:ind w:firstLine="472" w:firstLineChars="200"/>
        <w:textAlignment w:val="baseline"/>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3.最终以甲方安排、经甲方、审计认可的实际发生的</w:t>
      </w:r>
      <w:r>
        <w:rPr>
          <w:rFonts w:hint="eastAsia" w:ascii="宋体" w:hAnsi="宋体" w:eastAsia="宋体" w:cs="宋体"/>
          <w:color w:val="000000" w:themeColor="text1"/>
          <w:spacing w:val="-3"/>
          <w:sz w:val="24"/>
          <w:szCs w:val="24"/>
          <w:highlight w:val="none"/>
          <w14:textFill>
            <w14:solidFill>
              <w14:schemeClr w14:val="tx1"/>
            </w14:solidFill>
          </w14:textFill>
        </w:rPr>
        <w:t>工程量进行结算，合同价款相应调整。</w:t>
      </w:r>
    </w:p>
    <w:p w14:paraId="2AE1DEF9">
      <w:pPr>
        <w:pStyle w:val="2"/>
        <w:keepNext w:val="0"/>
        <w:keepLines w:val="0"/>
        <w:pageBreakBefore w:val="0"/>
        <w:widowControl/>
        <w:kinsoku/>
        <w:wordWrap/>
        <w:topLinePunct w:val="0"/>
        <w:autoSpaceDE w:val="0"/>
        <w:autoSpaceDN w:val="0"/>
        <w:bidi w:val="0"/>
        <w:adjustRightInd w:val="0"/>
        <w:snapToGrid w:val="0"/>
        <w:spacing w:after="0" w:line="440" w:lineRule="exact"/>
        <w:ind w:firstLine="472" w:firstLineChars="200"/>
        <w:textAlignment w:val="baseline"/>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4.为了方便工作顺利开展，乙方对养护区域内管养的路灯照明设施如有时间紧、任务重的时候，乙方</w:t>
      </w:r>
      <w:r>
        <w:rPr>
          <w:rFonts w:hint="eastAsia" w:ascii="宋体" w:hAnsi="宋体" w:eastAsia="宋体" w:cs="宋体"/>
          <w:color w:val="000000" w:themeColor="text1"/>
          <w:spacing w:val="-1"/>
          <w:sz w:val="24"/>
          <w:szCs w:val="24"/>
          <w:highlight w:val="none"/>
          <w14:textFill>
            <w14:solidFill>
              <w14:schemeClr w14:val="tx1"/>
            </w14:solidFill>
          </w14:textFill>
        </w:rPr>
        <w:t>有迁移、补植、拆除义务，具体款项（费用）双方另外签订合同，并按实审计下浮</w:t>
      </w:r>
      <w:r>
        <w:rPr>
          <w:rFonts w:hint="eastAsia" w:ascii="宋体" w:hAnsi="宋体" w:eastAsia="宋体" w:cs="宋体"/>
          <w:color w:val="000000" w:themeColor="text1"/>
          <w:spacing w:val="-2"/>
          <w:sz w:val="24"/>
          <w:szCs w:val="24"/>
          <w:highlight w:val="none"/>
          <w14:textFill>
            <w14:solidFill>
              <w14:schemeClr w14:val="tx1"/>
            </w14:solidFill>
          </w14:textFill>
        </w:rPr>
        <w:t>10%后的金额甲方进行支付。</w:t>
      </w:r>
    </w:p>
    <w:p w14:paraId="12184D1C">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8"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6"/>
          <w:sz w:val="24"/>
          <w:szCs w:val="24"/>
          <w:highlight w:val="none"/>
          <w14:textFill>
            <w14:solidFill>
              <w14:schemeClr w14:val="tx1"/>
            </w14:solidFill>
          </w14:textFill>
        </w:rPr>
        <w:t>三、付款方式：</w:t>
      </w:r>
    </w:p>
    <w:p w14:paraId="42A043C9">
      <w:pPr>
        <w:pStyle w:val="2"/>
        <w:keepNext w:val="0"/>
        <w:keepLines w:val="0"/>
        <w:pageBreakBefore w:val="0"/>
        <w:widowControl/>
        <w:kinsoku/>
        <w:wordWrap/>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养护费用按月支付，每月支付合同金额不高于十二</w:t>
      </w:r>
      <w:r>
        <w:rPr>
          <w:rFonts w:hint="eastAsia" w:ascii="宋体" w:hAnsi="宋体" w:eastAsia="宋体" w:cs="宋体"/>
          <w:color w:val="000000" w:themeColor="text1"/>
          <w:spacing w:val="1"/>
          <w:sz w:val="24"/>
          <w:szCs w:val="24"/>
          <w:highlight w:val="none"/>
          <w14:textFill>
            <w14:solidFill>
              <w14:schemeClr w14:val="tx1"/>
            </w14:solidFill>
          </w14:textFill>
        </w:rPr>
        <w:t>分之一；每月进行考核，执行甲方制定的《淮安经济技术开发区</w:t>
      </w:r>
      <w:r>
        <w:rPr>
          <w:rFonts w:hint="eastAsia" w:ascii="宋体" w:hAnsi="宋体" w:eastAsia="宋体" w:cs="宋体"/>
          <w:color w:val="000000" w:themeColor="text1"/>
          <w:sz w:val="24"/>
          <w:szCs w:val="24"/>
          <w:highlight w:val="none"/>
          <w14:textFill>
            <w14:solidFill>
              <w14:schemeClr w14:val="tx1"/>
            </w14:solidFill>
          </w14:textFill>
        </w:rPr>
        <w:t xml:space="preserve">城市路灯照明设施养护考 </w:t>
      </w:r>
      <w:r>
        <w:rPr>
          <w:rFonts w:hint="eastAsia" w:ascii="宋体" w:hAnsi="宋体" w:eastAsia="宋体" w:cs="宋体"/>
          <w:color w:val="000000" w:themeColor="text1"/>
          <w:spacing w:val="-1"/>
          <w:sz w:val="24"/>
          <w:szCs w:val="24"/>
          <w:highlight w:val="none"/>
          <w14:textFill>
            <w14:solidFill>
              <w14:schemeClr w14:val="tx1"/>
            </w14:solidFill>
          </w14:textFill>
        </w:rPr>
        <w:t>核办法（试行）》和相应的考核评分标准，每月支付养护费用时扣除乙方相应被罚金额，</w:t>
      </w:r>
      <w:r>
        <w:rPr>
          <w:rFonts w:hint="eastAsia" w:ascii="宋体" w:hAnsi="宋体" w:eastAsia="宋体" w:cs="宋体"/>
          <w:color w:val="000000" w:themeColor="text1"/>
          <w:spacing w:val="-53"/>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由甲方</w:t>
      </w:r>
      <w:r>
        <w:rPr>
          <w:rFonts w:hint="eastAsia" w:ascii="宋体" w:hAnsi="宋体" w:eastAsia="宋体" w:cs="宋体"/>
          <w:color w:val="000000" w:themeColor="text1"/>
          <w:spacing w:val="-6"/>
          <w:sz w:val="24"/>
          <w:szCs w:val="24"/>
          <w:highlight w:val="none"/>
          <w14:textFill>
            <w14:solidFill>
              <w14:schemeClr w14:val="tx1"/>
            </w14:solidFill>
          </w14:textFill>
        </w:rPr>
        <w:t>在下一个月的</w:t>
      </w:r>
      <w:r>
        <w:rPr>
          <w:rFonts w:hint="eastAsia" w:ascii="宋体" w:hAnsi="宋体" w:eastAsia="宋体" w:cs="宋体"/>
          <w:color w:val="000000" w:themeColor="text1"/>
          <w:spacing w:val="-3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20日前支付上一个月养护费用。</w:t>
      </w:r>
    </w:p>
    <w:p w14:paraId="041EF582">
      <w:pPr>
        <w:pStyle w:val="2"/>
        <w:keepNext w:val="0"/>
        <w:keepLines w:val="0"/>
        <w:pageBreakBefore w:val="0"/>
        <w:widowControl/>
        <w:kinsoku/>
        <w:wordWrap/>
        <w:topLinePunct w:val="0"/>
        <w:autoSpaceDE w:val="0"/>
        <w:autoSpaceDN w:val="0"/>
        <w:bidi w:val="0"/>
        <w:adjustRightInd w:val="0"/>
        <w:snapToGrid w:val="0"/>
        <w:spacing w:after="0" w:line="440" w:lineRule="exact"/>
        <w:ind w:firstLine="468" w:firstLineChars="200"/>
        <w:textAlignment w:val="baseline"/>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根据国家有关规定，乙方必须开具符合项目所在地税务机关相关要求的有效发票到甲方处收款，因票据提供不及时，以及不符合项目所在地税务机关相关要求，导致养护款不能支付的责任由乙方承担。甲方自收到乙方提交的发票后</w:t>
      </w:r>
      <w:r>
        <w:rPr>
          <w:rFonts w:hint="eastAsia" w:ascii="宋体" w:hAnsi="宋体" w:eastAsia="宋体" w:cs="宋体"/>
          <w:color w:val="000000" w:themeColor="text1"/>
          <w:spacing w:val="-20"/>
          <w:sz w:val="24"/>
          <w:szCs w:val="24"/>
          <w:highlight w:val="none"/>
          <w14:textFill>
            <w14:solidFill>
              <w14:schemeClr w14:val="tx1"/>
            </w14:solidFill>
          </w14:textFill>
        </w:rPr>
        <w:t>15</w:t>
      </w:r>
      <w:r>
        <w:rPr>
          <w:rFonts w:hint="eastAsia" w:ascii="宋体" w:hAnsi="宋体" w:eastAsia="宋体" w:cs="宋体"/>
          <w:color w:val="000000" w:themeColor="text1"/>
          <w:spacing w:val="-3"/>
          <w:sz w:val="24"/>
          <w:szCs w:val="24"/>
          <w:highlight w:val="none"/>
          <w14:textFill>
            <w14:solidFill>
              <w14:schemeClr w14:val="tx1"/>
            </w14:solidFill>
          </w14:textFill>
        </w:rPr>
        <w:t>日内完成付款。</w:t>
      </w:r>
    </w:p>
    <w:p w14:paraId="67742CF6">
      <w:pPr>
        <w:pStyle w:val="2"/>
        <w:keepNext w:val="0"/>
        <w:keepLines w:val="0"/>
        <w:pageBreakBefore w:val="0"/>
        <w:widowControl/>
        <w:kinsoku/>
        <w:wordWrap/>
        <w:topLinePunct w:val="0"/>
        <w:autoSpaceDE w:val="0"/>
        <w:autoSpaceDN w:val="0"/>
        <w:bidi w:val="0"/>
        <w:adjustRightInd w:val="0"/>
        <w:snapToGrid w:val="0"/>
        <w:spacing w:after="0" w:line="440" w:lineRule="exact"/>
        <w:ind w:firstLine="474" w:firstLineChars="200"/>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四、合同履行期限</w:t>
      </w:r>
      <w:r>
        <w:rPr>
          <w:rFonts w:hint="eastAsia" w:ascii="宋体" w:hAnsi="宋体" w:eastAsia="宋体" w:cs="宋体"/>
          <w:color w:val="000000" w:themeColor="text1"/>
          <w:sz w:val="24"/>
          <w:szCs w:val="24"/>
          <w:highlight w:val="none"/>
          <w14:textFill>
            <w14:solidFill>
              <w14:schemeClr w14:val="tx1"/>
            </w14:solidFill>
          </w14:textFill>
        </w:rPr>
        <w:t>:12个月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自2024年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2025年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日）</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79A4E7B">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4" w:firstLineChars="200"/>
        <w:textAlignment w:val="baseline"/>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项目有续签需求，在保证预算的情况下，月度考核得分均在90分以上可续签两年（一年一签）。</w:t>
      </w:r>
    </w:p>
    <w:p w14:paraId="25549660">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2"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五、履约保证金：</w:t>
      </w:r>
    </w:p>
    <w:p w14:paraId="035BF76E">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b w:val="0"/>
          <w:bCs w:val="0"/>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pacing w:val="-6"/>
          <w:sz w:val="24"/>
          <w:szCs w:val="24"/>
          <w:highlight w:val="none"/>
          <w14:textFill>
            <w14:solidFill>
              <w14:schemeClr w14:val="tx1"/>
            </w14:solidFill>
          </w14:textFill>
        </w:rPr>
        <w:t>1.乙方交纳人民币_________元作为本合同的履约保证金。（不得超过合同金额的10%）</w:t>
      </w:r>
    </w:p>
    <w:p w14:paraId="230CB0E6">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b w:val="0"/>
          <w:bCs w:val="0"/>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pacing w:val="-6"/>
          <w:sz w:val="24"/>
          <w:szCs w:val="24"/>
          <w:highlight w:val="none"/>
          <w14:textFill>
            <w14:solidFill>
              <w14:schemeClr w14:val="tx1"/>
            </w14:solidFill>
          </w14:textFill>
        </w:rPr>
        <w:t>2.乙方提供的履约保证金可以是人民币形式（银行本票、汇票、支票、电汇），或银行保函、担保公司的保证担保或保险公司的保证保险等多种形式。</w:t>
      </w:r>
    </w:p>
    <w:p w14:paraId="57BA54C5">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b w:val="0"/>
          <w:bCs w:val="0"/>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pacing w:val="-6"/>
          <w:sz w:val="24"/>
          <w:szCs w:val="24"/>
          <w:highlight w:val="none"/>
          <w14:textFill>
            <w14:solidFill>
              <w14:schemeClr w14:val="tx1"/>
            </w14:solidFill>
          </w14:textFill>
        </w:rPr>
        <w:t>3.乙方选取银行保函、担保公司的保证担保或保险公司的保证保险等形式的向</w:t>
      </w:r>
      <w:r>
        <w:rPr>
          <w:rFonts w:hint="eastAsia" w:ascii="宋体" w:hAnsi="宋体" w:cs="宋体"/>
          <w:b w:val="0"/>
          <w:bCs w:val="0"/>
          <w:color w:val="000000" w:themeColor="text1"/>
          <w:spacing w:val="-6"/>
          <w:sz w:val="24"/>
          <w:szCs w:val="24"/>
          <w:highlight w:val="none"/>
          <w:lang w:eastAsia="zh-CN"/>
          <w14:textFill>
            <w14:solidFill>
              <w14:schemeClr w14:val="tx1"/>
            </w14:solidFill>
          </w14:textFill>
        </w:rPr>
        <w:t>招标人</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缴纳的，如保函（担保、保险等）的约定期到期但乙方履约仍未结束的，乙方须进行续保。</w:t>
      </w:r>
    </w:p>
    <w:p w14:paraId="501FBC7E">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b w:val="0"/>
          <w:bCs w:val="0"/>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 4.乙方选取以履约保函（保险）形式向</w:t>
      </w:r>
      <w:r>
        <w:rPr>
          <w:rFonts w:hint="eastAsia" w:ascii="宋体" w:hAnsi="宋体" w:cs="宋体"/>
          <w:b w:val="0"/>
          <w:bCs w:val="0"/>
          <w:color w:val="000000" w:themeColor="text1"/>
          <w:spacing w:val="-6"/>
          <w:sz w:val="24"/>
          <w:szCs w:val="24"/>
          <w:highlight w:val="none"/>
          <w:lang w:eastAsia="zh-CN"/>
          <w14:textFill>
            <w14:solidFill>
              <w14:schemeClr w14:val="tx1"/>
            </w14:solidFill>
          </w14:textFill>
        </w:rPr>
        <w:t>招标人</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缴纳的，按照《关于在全省政府采购领域推行电子履约保函（保险）的通知》（苏财购【2023】150号）的要求，登录“政府采购电子履约保函（保险）平台”，选择第三方机构并提交保函（保险）申请，经审核通过后支付相关费用。</w:t>
      </w:r>
    </w:p>
    <w:p w14:paraId="632AFF5E">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b w:val="0"/>
          <w:bCs w:val="0"/>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 5.如乙方未能履行合同规定的义务，甲方有权从履约保证金中取得补偿。</w:t>
      </w:r>
    </w:p>
    <w:p w14:paraId="0217FF44">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b w:val="0"/>
          <w:bCs w:val="0"/>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 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7868E57E">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b w:val="0"/>
          <w:bCs w:val="0"/>
          <w:color w:val="000000" w:themeColor="text1"/>
          <w:spacing w:val="-6"/>
          <w:sz w:val="24"/>
          <w:szCs w:val="24"/>
          <w:highlight w:val="none"/>
          <w14:textFill>
            <w14:solidFill>
              <w14:schemeClr w14:val="tx1"/>
            </w14:solidFill>
          </w14:textFill>
        </w:rPr>
      </w:pP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 7.履约保证金在合同约定期间内不予退还或者应完全有效，履约保证金在项目验收合格后无息退还给乙方。</w:t>
      </w:r>
    </w:p>
    <w:p w14:paraId="246998C3">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8"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6"/>
          <w:sz w:val="24"/>
          <w:szCs w:val="24"/>
          <w:highlight w:val="none"/>
          <w14:textFill>
            <w14:solidFill>
              <w14:schemeClr w14:val="tx1"/>
            </w14:solidFill>
          </w14:textFill>
        </w:rPr>
        <w:t>六、质量标准、质保期</w:t>
      </w:r>
    </w:p>
    <w:p w14:paraId="747AAF00">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1.养护、维修质量标准参照国家及《淮安经济技术开发区淮安经济技术开发区城市管理</w:t>
      </w:r>
      <w:r>
        <w:rPr>
          <w:rFonts w:hint="eastAsia" w:ascii="宋体" w:hAnsi="宋体" w:eastAsia="宋体" w:cs="宋体"/>
          <w:color w:val="000000" w:themeColor="text1"/>
          <w:spacing w:val="-3"/>
          <w:sz w:val="24"/>
          <w:szCs w:val="24"/>
          <w:highlight w:val="none"/>
          <w14:textFill>
            <w14:solidFill>
              <w14:schemeClr w14:val="tx1"/>
            </w14:solidFill>
          </w14:textFill>
        </w:rPr>
        <w:t>服务中心路灯养护管理考核办法》文件对照考核的质量标准。因乙方原因养护质量达不到约定</w:t>
      </w:r>
      <w:r>
        <w:rPr>
          <w:rFonts w:hint="eastAsia" w:ascii="宋体" w:hAnsi="宋体" w:eastAsia="宋体" w:cs="宋体"/>
          <w:color w:val="000000" w:themeColor="text1"/>
          <w:spacing w:val="-2"/>
          <w:sz w:val="24"/>
          <w:szCs w:val="24"/>
          <w:highlight w:val="none"/>
          <w14:textFill>
            <w14:solidFill>
              <w14:schemeClr w14:val="tx1"/>
            </w14:solidFill>
          </w14:textFill>
        </w:rPr>
        <w:t>的质量标准，乙方承担违约责任。</w:t>
      </w:r>
    </w:p>
    <w:p w14:paraId="3DA9590C">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2.质保期：</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个月，即养护期满后</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个月内，乙方须保证养护范围内的路灯正常使用（须确保养护期满后</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个月内和后续养护单位到位的空档期及相互交接期间的路灯设施能正常运行）；该期间内不能正常运行的须免费维护、维修至能正常使用，直至新的养护单位接手为止，如果时间超过</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个月，超过</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个月所需费用双方协商解决。</w:t>
      </w:r>
    </w:p>
    <w:p w14:paraId="79B76B68">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2" w:firstLineChars="200"/>
        <w:textAlignment w:val="baseline"/>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合同价20%用于路灯设施改造</w:t>
      </w:r>
      <w:r>
        <w:rPr>
          <w:rFonts w:hint="eastAsia" w:ascii="宋体" w:hAnsi="宋体" w:cs="宋体"/>
          <w:b/>
          <w:bCs/>
          <w:color w:val="000000" w:themeColor="text1"/>
          <w:sz w:val="24"/>
          <w:szCs w:val="24"/>
          <w:highlight w:val="none"/>
          <w:lang w:val="en-US" w:eastAsia="zh-CN"/>
          <w14:textFill>
            <w14:solidFill>
              <w14:schemeClr w14:val="tx1"/>
            </w14:solidFill>
          </w14:textFill>
        </w:rPr>
        <w:t>的部分，质保期自该部分项目实施改造完成并经验收通过后12个月内免费质保。</w:t>
      </w:r>
    </w:p>
    <w:p w14:paraId="54D32DC5">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质量保证期（质保期）从乙方上报并经验收合</w:t>
      </w:r>
      <w:r>
        <w:rPr>
          <w:rFonts w:hint="eastAsia" w:ascii="宋体" w:hAnsi="宋体" w:eastAsia="宋体" w:cs="宋体"/>
          <w:color w:val="000000" w:themeColor="text1"/>
          <w:spacing w:val="-1"/>
          <w:sz w:val="24"/>
          <w:szCs w:val="24"/>
          <w:highlight w:val="none"/>
          <w14:textFill>
            <w14:solidFill>
              <w14:schemeClr w14:val="tx1"/>
            </w14:solidFill>
          </w14:textFill>
        </w:rPr>
        <w:t>格且由甲方签字确认后计算。</w:t>
      </w:r>
    </w:p>
    <w:p w14:paraId="4FA9B384">
      <w:pPr>
        <w:keepNext w:val="0"/>
        <w:keepLines w:val="0"/>
        <w:pageBreakBefore w:val="0"/>
        <w:widowControl/>
        <w:tabs>
          <w:tab w:val="left" w:pos="142"/>
        </w:tabs>
        <w:kinsoku/>
        <w:wordWrap/>
        <w:topLinePunct w:val="0"/>
        <w:bidi w:val="0"/>
        <w:spacing w:line="440" w:lineRule="exact"/>
        <w:ind w:firstLine="470"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3"/>
          <w:sz w:val="24"/>
          <w:szCs w:val="24"/>
          <w:highlight w:val="none"/>
          <w14:textFill>
            <w14:solidFill>
              <w14:schemeClr w14:val="tx1"/>
            </w14:solidFill>
          </w14:textFill>
        </w:rPr>
        <w:t>七、</w:t>
      </w:r>
      <w:r>
        <w:rPr>
          <w:rFonts w:hint="eastAsia" w:ascii="宋体" w:hAnsi="宋体" w:eastAsia="宋体" w:cs="宋体"/>
          <w:b/>
          <w:bCs/>
          <w:color w:val="000000" w:themeColor="text1"/>
          <w:sz w:val="24"/>
          <w:szCs w:val="24"/>
          <w:highlight w:val="none"/>
          <w14:textFill>
            <w14:solidFill>
              <w14:schemeClr w14:val="tx1"/>
            </w14:solidFill>
          </w14:textFill>
        </w:rPr>
        <w:t>双方权利、义务</w:t>
      </w:r>
    </w:p>
    <w:p w14:paraId="34E715D7">
      <w:pPr>
        <w:keepNext w:val="0"/>
        <w:keepLines w:val="0"/>
        <w:pageBreakBefore w:val="0"/>
        <w:widowControl/>
        <w:kinsoku/>
        <w:wordWrap/>
        <w:topLinePunct w:val="0"/>
        <w:bidi w:val="0"/>
        <w:spacing w:line="44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（一）甲方权利、义务</w:t>
      </w:r>
    </w:p>
    <w:p w14:paraId="09D5C143">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1.甲方指派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为甲方代表，全面负责日常服务作业的管理工作。</w:t>
      </w:r>
    </w:p>
    <w:p w14:paraId="678A265E">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2.甲方有按有关服务标准对乙方服务项目实施日常检查、考核、管理的权利。</w:t>
      </w:r>
    </w:p>
    <w:p w14:paraId="24F45F04">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3.甲方有权对乙方在履约时不符合合同约定的事项提出整改要求，并向乙方发出《整改通知书》，整改相关事项以《整改通知书》为准，整改完成后，报由甲方验收。整改费用由乙方承担。</w:t>
      </w:r>
    </w:p>
    <w:p w14:paraId="54728B23">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4.甲方有权对乙方用工情况进行检查，有权要求乙方按要求保障作业人员的福利待遇。甲方不承担任何由于乙方与其员工之间因劳动关系纠纷而产生的任何责任。</w:t>
      </w:r>
    </w:p>
    <w:p w14:paraId="51B8B259">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5.如遇全市性活动，甲方有权要求乙方无条件保质保量按活动要求完成工作任务。</w:t>
      </w:r>
    </w:p>
    <w:p w14:paraId="7584EDD9">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6.为保证市政设施能及时维修并保证维修后的质量，甲方有权指定维修的主要材料。</w:t>
      </w:r>
    </w:p>
    <w:p w14:paraId="60C8915C">
      <w:pPr>
        <w:pStyle w:val="62"/>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7.养护期间，必要时应协助乙方办理关于服务期间所需的各种手续；如与供电部门的协调由业主协助完成等。</w:t>
      </w:r>
    </w:p>
    <w:p w14:paraId="0F76766B">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8.应向乙方提供路灯设施巡查、养护和维修服务的相关资料。</w:t>
      </w:r>
    </w:p>
    <w:p w14:paraId="7B05C796">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9.按本合同约定支付服务费用。</w:t>
      </w:r>
    </w:p>
    <w:p w14:paraId="1958F706">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10.协调指挥汛期及冬季雨雪后除冰等自然灾害的抢险工作。</w:t>
      </w:r>
    </w:p>
    <w:p w14:paraId="48966E98">
      <w:pPr>
        <w:keepNext w:val="0"/>
        <w:keepLines w:val="0"/>
        <w:pageBreakBefore w:val="0"/>
        <w:widowControl/>
        <w:kinsoku/>
        <w:wordWrap/>
        <w:topLinePunct w:val="0"/>
        <w:bidi w:val="0"/>
        <w:spacing w:line="44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（二）乙方权利、义务</w:t>
      </w:r>
    </w:p>
    <w:p w14:paraId="4E565D2C">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1.乙方指派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为本项目负责人，具体负责服务范围内作业工作，并用书面材料报甲方备案。</w:t>
      </w:r>
    </w:p>
    <w:p w14:paraId="28DEE5DA">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2.乙方有权对甲方人员在检查考评乙方作业质量过程中的违规行为向甲方行政主管部门或市级行政主管部门举报。</w:t>
      </w:r>
    </w:p>
    <w:p w14:paraId="67EC875B">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3.乙方项目经理等有关人员必须服从甲方管理，甲方要求乙方更换其认为不称职的项目经理时乙方应无条件配合并执行。</w:t>
      </w:r>
    </w:p>
    <w:p w14:paraId="6D8C9BCA">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5.乙方必须依照本合同规定的作业形式、作业质量标准及行业有关作业规范、作业质量标准，按时、保质、保量履行合同。</w:t>
      </w:r>
    </w:p>
    <w:p w14:paraId="24489E01">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6.乙方应自觉接受甲方的检查、考核、指导和监督，岗位有证书要求的乙方人员必须持证上岗。</w:t>
      </w:r>
    </w:p>
    <w:p w14:paraId="0DED8EA7">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7.乙方及其雇用的员工应严格遵守国家的法律、法规，如果乙方及其所雇用的工人违反法律、法规和相关规定，所造成的后果自行负责，与甲方无关。</w:t>
      </w:r>
    </w:p>
    <w:p w14:paraId="3AFBC15E">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8.承包期间内，乙方所需要的作业、管理、机具停放等用房、用地由乙方自行解决，用房、用地须在开发区范围内。</w:t>
      </w:r>
    </w:p>
    <w:p w14:paraId="6A6F4A4C">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9.乙方有义务参加甲方通知的相关作业会议，通报作业情况，完善作业措施，提高作业水平。</w:t>
      </w:r>
    </w:p>
    <w:p w14:paraId="328A7E8B">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10.乙方要加强对工作人员的安全教育，按年度为巡查维修等项目人员购买人身意外伤害保险并报甲方备案，承包期内如遇人身伤亡事故，均由乙方负责，与甲方无关。</w:t>
      </w:r>
    </w:p>
    <w:p w14:paraId="3F70B321">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11.交接时，乙方应对甲方交付的所有区域路灯及附属等设施进行现状接收，进行正常养护。</w:t>
      </w:r>
    </w:p>
    <w:p w14:paraId="307C356A">
      <w:pPr>
        <w:pStyle w:val="16"/>
        <w:keepNext w:val="0"/>
        <w:keepLines w:val="0"/>
        <w:pageBreakBefore w:val="0"/>
        <w:widowControl/>
        <w:kinsoku/>
        <w:wordWrap/>
        <w:topLinePunct w:val="0"/>
        <w:bidi w:val="0"/>
        <w:spacing w:line="440" w:lineRule="exact"/>
        <w:ind w:left="0" w:right="0"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12.乙方须安排1名工作人员常驻甲方处，服从甲方工作安排，协助甲方完成项目实施，人员薪资、福利、社保、保险等由中标单位负责。如履约期间工作人员未按时到岗，甲方将停止拨付养护款项。</w:t>
      </w:r>
    </w:p>
    <w:p w14:paraId="2A662B45">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13.在日常巡查、养护和维修工作中，接到甲方通知后，乙方应无条件在24小时内按照甲方要求完成工作。</w:t>
      </w:r>
    </w:p>
    <w:p w14:paraId="18AF05B0">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14.路灯设施巡查:乙方负责对养护范围内的路灯及附属设施等进行日常检查，发现问题及时上报并做好防护措施，制止非法破坏路灯等行为。</w:t>
      </w:r>
    </w:p>
    <w:p w14:paraId="272E1727">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15.路灯维修、养护:乙方按照甲方的要求，及时对受损的灯杆、灯头、电缆、控制箱等进行维修或更换。</w:t>
      </w:r>
    </w:p>
    <w:p w14:paraId="6A8344A3">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16.建立日报制度:乙方每天及时将巡查情况通过网络上报甲方，并做好巡查记录。巡查中如发现人为损坏、占用路灯及其附属设施的情况，应立即予以制止，并在第一时间电话上报甲方。</w:t>
      </w:r>
    </w:p>
    <w:p w14:paraId="50070AEF">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17.乙方应做好统计报表，并按时上报甲方月、季度养护工作完成情况。</w:t>
      </w:r>
    </w:p>
    <w:p w14:paraId="6C12E8B7">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18.乙方必须依法为从业人员缴纳工伤险和商业险，每半年将缴纳工伤险和商业险凭证盖章后送至甲方处备案。</w:t>
      </w:r>
    </w:p>
    <w:p w14:paraId="129AB774">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19.乙方需建立相应的安全制度和人员培训档案。</w:t>
      </w:r>
    </w:p>
    <w:p w14:paraId="347030E1">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20.乙方应严格按照巡查范围、要求及巡查频率的规定进行巡查服务，并接受甲方的监督、检查、考核。</w:t>
      </w:r>
    </w:p>
    <w:p w14:paraId="5819088B">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21.乙方巡查人员巡查时必须严格按规定穿戴劳动防护用品、采取安全保护措施、按操作规程操作，正确使用巡查工具。发现问题及时上报。</w:t>
      </w:r>
    </w:p>
    <w:p w14:paraId="06475A5F">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22.发生台风、暴雨、大雪、冰雹等自然灾害后，或发生有可能对路灯及配套设施等造成较大破坏的异常情况时，乙方要及时增加巡查人员和加大巡查的密度。</w:t>
      </w:r>
    </w:p>
    <w:p w14:paraId="48251ED9">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23.乙方须对乙方人员在巡查时的安全负责，应严格要求巡查人员在巡查作业中，做好各项防护措施，由此引发的人身伤害等安全问题由乙方承担全部责任。</w:t>
      </w:r>
    </w:p>
    <w:p w14:paraId="03D3902E">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24.乙方巡查人员在正常巡查时间内因巡查不细致和不按要求的时间、地点巡查、漏查或巡查发现的问题不及时报告，以及发现的问题不进行劝阻、推委等情况所造成的损失由乙方承担。</w:t>
      </w:r>
    </w:p>
    <w:p w14:paraId="11A60B8B">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25.属乙方可以预见、预防，而乙方未预防或预防不力给甲方或第三方所造成的所有损失、后果全部由乙方承担。 </w:t>
      </w:r>
    </w:p>
    <w:p w14:paraId="6A05D165">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26.由于乙方工作失职，造成人员伤亡、设备、设施损坏的，由乙方承担一切经济和法律责任。</w:t>
      </w:r>
    </w:p>
    <w:p w14:paraId="7574167D">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27.养护作业期间，乙方要做好作业现场的安全措施，确保公共安全和作业人员安全，造成人身伤亡、财产损失，全部赔偿责任由乙方承担。</w:t>
      </w:r>
    </w:p>
    <w:p w14:paraId="55646330">
      <w:pPr>
        <w:keepNext w:val="0"/>
        <w:keepLines w:val="0"/>
        <w:pageBreakBefore w:val="0"/>
        <w:widowControl/>
        <w:kinsoku/>
        <w:wordWrap/>
        <w:topLinePunct w:val="0"/>
        <w:bidi w:val="0"/>
        <w:spacing w:line="44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28.</w:t>
      </w: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bCs/>
          <w:color w:val="000000" w:themeColor="text1"/>
          <w:sz w:val="24"/>
          <w:szCs w:val="24"/>
          <w:highlight w:val="none"/>
          <w14:textFill>
            <w14:solidFill>
              <w14:schemeClr w14:val="tx1"/>
            </w14:solidFill>
          </w14:textFill>
        </w:rPr>
        <w:t>须在本项目所在区域内适宜地点建立亮化养护基地，养护基地分别设置办公区、值班区（24小时值班）、车辆停放区、器材堆放区等区域，面积不少于300平方米。</w:t>
      </w:r>
    </w:p>
    <w:p w14:paraId="62A53144">
      <w:pPr>
        <w:keepNext w:val="0"/>
        <w:keepLines w:val="0"/>
        <w:pageBreakBefore w:val="0"/>
        <w:widowControl/>
        <w:kinsoku/>
        <w:wordWrap/>
        <w:topLinePunct w:val="0"/>
        <w:bidi w:val="0"/>
        <w:spacing w:line="440" w:lineRule="exact"/>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29.乙方在收到</w:t>
      </w:r>
      <w:r>
        <w:rPr>
          <w:rFonts w:hint="eastAsia" w:ascii="宋体" w:hAnsi="宋体" w:cs="宋体"/>
          <w:bCs/>
          <w:color w:val="000000" w:themeColor="text1"/>
          <w:sz w:val="24"/>
          <w:szCs w:val="24"/>
          <w:highlight w:val="none"/>
          <w:lang w:val="en-US" w:eastAsia="zh-CN"/>
          <w14:textFill>
            <w14:solidFill>
              <w14:schemeClr w14:val="tx1"/>
            </w14:solidFill>
          </w14:textFill>
        </w:rPr>
        <w:t>本项目</w:t>
      </w:r>
      <w:r>
        <w:rPr>
          <w:rFonts w:hint="eastAsia" w:ascii="宋体" w:hAnsi="宋体" w:eastAsia="宋体" w:cs="宋体"/>
          <w:bCs/>
          <w:color w:val="000000" w:themeColor="text1"/>
          <w:sz w:val="24"/>
          <w:szCs w:val="24"/>
          <w:highlight w:val="none"/>
          <w14:textFill>
            <w14:solidFill>
              <w14:schemeClr w14:val="tx1"/>
            </w14:solidFill>
          </w14:textFill>
        </w:rPr>
        <w:t>中标通知书后10日内，须主动与原养护单位交接项目，若出现由于项目交接不完善所造成的各种纠纷</w:t>
      </w:r>
      <w:r>
        <w:rPr>
          <w:rFonts w:hint="eastAsia" w:ascii="宋体" w:hAnsi="宋体" w:cs="宋体"/>
          <w:bCs/>
          <w:color w:val="000000" w:themeColor="text1"/>
          <w:sz w:val="24"/>
          <w:szCs w:val="24"/>
          <w:highlight w:val="none"/>
          <w:lang w:val="en-US" w:eastAsia="zh-CN"/>
          <w14:textFill>
            <w14:solidFill>
              <w14:schemeClr w14:val="tx1"/>
            </w14:solidFill>
          </w14:textFill>
        </w:rPr>
        <w:t>和费用</w:t>
      </w:r>
      <w:r>
        <w:rPr>
          <w:rFonts w:hint="eastAsia" w:ascii="宋体" w:hAnsi="宋体" w:eastAsia="宋体" w:cs="宋体"/>
          <w:bCs/>
          <w:color w:val="000000" w:themeColor="text1"/>
          <w:sz w:val="24"/>
          <w:szCs w:val="24"/>
          <w:highlight w:val="none"/>
          <w14:textFill>
            <w14:solidFill>
              <w14:schemeClr w14:val="tx1"/>
            </w14:solidFill>
          </w14:textFill>
        </w:rPr>
        <w:t>，由乙方自行解决。</w:t>
      </w:r>
    </w:p>
    <w:p w14:paraId="1824AFA3">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乙方在履行合同过程中发生重大质量、生产安全事故，或因乙方擅自停业歇业，或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p>
    <w:p w14:paraId="102871ED">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31.及时处理甲方或有关各方交办的工作。</w:t>
      </w:r>
    </w:p>
    <w:p w14:paraId="559BAEFC">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2" w:firstLineChars="200"/>
        <w:textAlignment w:val="baseline"/>
        <w:rPr>
          <w:rFonts w:hint="eastAsia" w:ascii="宋体" w:hAnsi="宋体" w:eastAsia="宋体" w:cs="宋体"/>
          <w:b/>
          <w:bCs/>
          <w:color w:val="000000" w:themeColor="text1"/>
          <w:spacing w:val="-5"/>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八、其他相关要求、规定</w:t>
      </w:r>
    </w:p>
    <w:p w14:paraId="495694D5">
      <w:pPr>
        <w:keepNext w:val="0"/>
        <w:keepLines w:val="0"/>
        <w:pageBreakBefore w:val="0"/>
        <w:widowControl/>
        <w:kinsoku/>
        <w:wordWrap/>
        <w:overflowPunct w:val="0"/>
        <w:topLinePunct w:val="0"/>
        <w:bidi w:val="0"/>
        <w:spacing w:line="480" w:lineRule="exact"/>
        <w:ind w:firstLine="462" w:firstLineChars="200"/>
        <w:rPr>
          <w:rFonts w:hint="default"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pacing w:val="-5"/>
          <w:sz w:val="24"/>
          <w:szCs w:val="24"/>
          <w:highlight w:val="none"/>
          <w14:textFill>
            <w14:solidFill>
              <w14:schemeClr w14:val="tx1"/>
            </w14:solidFill>
          </w14:textFill>
        </w:rPr>
        <w:t>人员配备</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方面</w:t>
      </w:r>
      <w:r>
        <w:rPr>
          <w:rFonts w:hint="eastAsia" w:ascii="宋体" w:hAnsi="宋体" w:eastAsia="宋体" w:cs="宋体"/>
          <w:b/>
          <w:bCs/>
          <w:color w:val="000000" w:themeColor="text1"/>
          <w:spacing w:val="-5"/>
          <w:sz w:val="24"/>
          <w:szCs w:val="24"/>
          <w:highlight w:val="none"/>
          <w14:textFill>
            <w14:solidFill>
              <w14:schemeClr w14:val="tx1"/>
            </w14:solidFill>
          </w14:textFill>
        </w:rPr>
        <w:t>：</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乙方为本项目配备的</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现场</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管理、维护</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服务</w:t>
      </w:r>
      <w:r>
        <w:rPr>
          <w:rFonts w:hint="eastAsia" w:ascii="宋体" w:hAnsi="宋体" w:eastAsia="宋体" w:cs="宋体"/>
          <w:b/>
          <w:bCs/>
          <w:color w:val="000000" w:themeColor="text1"/>
          <w:spacing w:val="-5"/>
          <w:sz w:val="24"/>
          <w:szCs w:val="24"/>
          <w:highlight w:val="none"/>
          <w14:textFill>
            <w14:solidFill>
              <w14:schemeClr w14:val="tx1"/>
            </w14:solidFill>
          </w14:textFill>
        </w:rPr>
        <w:t>人员</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应</w:t>
      </w:r>
      <w:r>
        <w:rPr>
          <w:rFonts w:hint="eastAsia" w:ascii="宋体" w:hAnsi="宋体" w:eastAsia="宋体" w:cs="宋体"/>
          <w:b/>
          <w:bCs/>
          <w:color w:val="000000" w:themeColor="text1"/>
          <w:spacing w:val="-5"/>
          <w:sz w:val="24"/>
          <w:szCs w:val="24"/>
          <w:highlight w:val="none"/>
          <w14:textFill>
            <w14:solidFill>
              <w14:schemeClr w14:val="tx1"/>
            </w14:solidFill>
          </w14:textFill>
        </w:rPr>
        <w:t>配备不少于</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18人且不少于乙方投标时承诺的人员及数量</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其中</w:t>
      </w:r>
      <w:r>
        <w:rPr>
          <w:rFonts w:hint="eastAsia" w:ascii="宋体" w:hAnsi="宋体" w:cs="宋体"/>
          <w:b/>
          <w:bCs/>
          <w:color w:val="000000" w:themeColor="text1"/>
          <w:spacing w:val="-5"/>
          <w:sz w:val="24"/>
          <w:szCs w:val="24"/>
          <w:highlight w:val="none"/>
          <w14:textFill>
            <w14:solidFill>
              <w14:schemeClr w14:val="tx1"/>
            </w14:solidFill>
          </w14:textFill>
        </w:rPr>
        <w:t>包括：</w:t>
      </w:r>
      <w:r>
        <w:rPr>
          <w:rFonts w:hint="eastAsia" w:ascii="宋体" w:hAnsi="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1）</w:t>
      </w:r>
      <w:r>
        <w:rPr>
          <w:rFonts w:hint="eastAsia" w:ascii="宋体" w:hAnsi="宋体" w:cs="宋体"/>
          <w:b/>
          <w:bCs/>
          <w:color w:val="000000" w:themeColor="text1"/>
          <w:spacing w:val="-5"/>
          <w:sz w:val="24"/>
          <w:szCs w:val="24"/>
          <w:highlight w:val="none"/>
          <w14:textFill>
            <w14:solidFill>
              <w14:schemeClr w14:val="tx1"/>
            </w14:solidFill>
          </w14:textFill>
        </w:rPr>
        <w:t>项目负责人</w:t>
      </w:r>
      <w:r>
        <w:rPr>
          <w:rFonts w:hint="eastAsia" w:ascii="宋体" w:hAnsi="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1人；（2）技术负责人，1人；（3）专职</w:t>
      </w:r>
      <w:r>
        <w:rPr>
          <w:rFonts w:hint="eastAsia" w:ascii="宋体" w:hAnsi="宋体" w:cs="宋体"/>
          <w:b/>
          <w:bCs/>
          <w:color w:val="000000" w:themeColor="text1"/>
          <w:spacing w:val="-5"/>
          <w:sz w:val="24"/>
          <w:szCs w:val="24"/>
          <w:highlight w:val="none"/>
          <w14:textFill>
            <w14:solidFill>
              <w14:schemeClr w14:val="tx1"/>
            </w14:solidFill>
          </w14:textFill>
        </w:rPr>
        <w:t>安全员</w:t>
      </w:r>
      <w:r>
        <w:rPr>
          <w:rFonts w:hint="eastAsia" w:ascii="宋体" w:hAnsi="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cs="宋体"/>
          <w:b/>
          <w:bCs/>
          <w:color w:val="000000" w:themeColor="text1"/>
          <w:spacing w:val="-5"/>
          <w:sz w:val="24"/>
          <w:szCs w:val="24"/>
          <w:highlight w:val="none"/>
          <w:lang w:val="en-US" w:eastAsia="zh-CN"/>
          <w14:textFill>
            <w14:solidFill>
              <w14:schemeClr w14:val="tx1"/>
            </w14:solidFill>
          </w14:textFill>
        </w:rPr>
        <w:t>不少于1人；（4）</w:t>
      </w:r>
      <w:r>
        <w:rPr>
          <w:rFonts w:hint="eastAsia" w:hAnsi="宋体" w:cs="宋体"/>
          <w:b/>
          <w:bCs/>
          <w:color w:val="000000" w:themeColor="text1"/>
          <w:sz w:val="24"/>
          <w:szCs w:val="24"/>
          <w:highlight w:val="none"/>
          <w:lang w:val="en-US" w:eastAsia="zh-CN"/>
          <w14:textFill>
            <w14:solidFill>
              <w14:schemeClr w14:val="tx1"/>
            </w14:solidFill>
          </w14:textFill>
        </w:rPr>
        <w:t>维护服务人员不少于15人，其中高压电工证不少于5人、低压电工证的人员不少于5人，高处作业证、熔化焊接与热切割作业证不少于2人、B2及以上驾驶证不少于2人、起重机司机证（新Q2或旧Q8）的人员不少于1人。</w:t>
      </w:r>
    </w:p>
    <w:p w14:paraId="7745A88D">
      <w:pPr>
        <w:keepNext w:val="0"/>
        <w:keepLines w:val="0"/>
        <w:pageBreakBefore w:val="0"/>
        <w:widowControl/>
        <w:kinsoku/>
        <w:wordWrap/>
        <w:overflowPunct w:val="0"/>
        <w:topLinePunct w:val="0"/>
        <w:bidi w:val="0"/>
        <w:spacing w:line="480" w:lineRule="exact"/>
        <w:ind w:firstLine="462" w:firstLineChars="200"/>
        <w:rPr>
          <w:rFonts w:hint="eastAsia" w:ascii="宋体" w:hAnsi="宋体" w:cs="宋体"/>
          <w:b w:val="0"/>
          <w:bCs w:val="0"/>
          <w:color w:val="000000" w:themeColor="text1"/>
          <w:spacing w:val="-5"/>
          <w:sz w:val="24"/>
          <w:szCs w:val="24"/>
          <w:highlight w:val="none"/>
          <w:lang w:val="en-US" w:eastAsia="zh-CN"/>
          <w14:textFill>
            <w14:solidFill>
              <w14:schemeClr w14:val="tx1"/>
            </w14:solidFill>
          </w14:textFill>
        </w:rPr>
      </w:pPr>
      <w:r>
        <w:rPr>
          <w:rFonts w:hint="eastAsia" w:ascii="宋体" w:hAnsi="宋体" w:cs="宋体"/>
          <w:b/>
          <w:bCs/>
          <w:color w:val="000000" w:themeColor="text1"/>
          <w:spacing w:val="-5"/>
          <w:sz w:val="24"/>
          <w:szCs w:val="24"/>
          <w:highlight w:val="none"/>
          <w:lang w:val="en-US" w:eastAsia="zh-CN"/>
          <w14:textFill>
            <w14:solidFill>
              <w14:schemeClr w14:val="tx1"/>
            </w14:solidFill>
          </w14:textFill>
        </w:rPr>
        <w:t>以上人员均应持证上岗，应为中标单位职工，按照工种分类，技术娴熟，能够胜任本职工作；年龄符合国家对各类人员规定上岗的合理年龄，并能完全应对本项目重大节日、重大活动保障、应急抢修等情况下的服务要求。</w:t>
      </w:r>
    </w:p>
    <w:p w14:paraId="062DC85A">
      <w:pPr>
        <w:keepNext w:val="0"/>
        <w:keepLines w:val="0"/>
        <w:pageBreakBefore w:val="0"/>
        <w:widowControl/>
        <w:kinsoku/>
        <w:wordWrap/>
        <w:overflowPunct w:val="0"/>
        <w:topLinePunct w:val="0"/>
        <w:bidi w:val="0"/>
        <w:spacing w:line="480" w:lineRule="exact"/>
        <w:ind w:firstLine="460" w:firstLineChars="20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pacing w:val="-5"/>
          <w:sz w:val="24"/>
          <w:szCs w:val="24"/>
          <w:highlight w:val="none"/>
          <w:lang w:val="en-US" w:eastAsia="zh-CN"/>
          <w14:textFill>
            <w14:solidFill>
              <w14:schemeClr w14:val="tx1"/>
            </w14:solidFill>
          </w14:textFill>
        </w:rPr>
        <w:t>乙方进场维护服务后须保证</w:t>
      </w:r>
      <w:r>
        <w:rPr>
          <w:rFonts w:hint="eastAsia" w:ascii="宋体" w:hAnsi="宋体" w:cs="宋体"/>
          <w:color w:val="000000" w:themeColor="text1"/>
          <w:sz w:val="24"/>
          <w:szCs w:val="24"/>
          <w:highlight w:val="none"/>
          <w:lang w:eastAsia="zh-CN"/>
          <w14:textFill>
            <w14:solidFill>
              <w14:schemeClr w14:val="tx1"/>
            </w14:solidFill>
          </w14:textFill>
        </w:rPr>
        <w:t>在现场设立常驻维保服务工作组并配备</w:t>
      </w:r>
      <w:r>
        <w:rPr>
          <w:rFonts w:hint="eastAsia" w:hAnsi="宋体" w:cs="宋体"/>
          <w:color w:val="000000" w:themeColor="text1"/>
          <w:sz w:val="24"/>
          <w:szCs w:val="24"/>
          <w:highlight w:val="none"/>
          <w:lang w:val="en-US" w:eastAsia="zh-CN"/>
          <w14:textFill>
            <w14:solidFill>
              <w14:schemeClr w14:val="tx1"/>
            </w14:solidFill>
          </w14:textFill>
        </w:rPr>
        <w:t>高压电工证不少于5人、低压电工证的人员不少于5人</w:t>
      </w:r>
      <w:r>
        <w:rPr>
          <w:rFonts w:hint="eastAsia" w:ascii="宋体" w:hAnsi="宋体" w:cs="宋体"/>
          <w:color w:val="000000" w:themeColor="text1"/>
          <w:sz w:val="24"/>
          <w:szCs w:val="24"/>
          <w:highlight w:val="none"/>
          <w:lang w:eastAsia="zh-CN"/>
          <w14:textFill>
            <w14:solidFill>
              <w14:schemeClr w14:val="tx1"/>
            </w14:solidFill>
          </w14:textFill>
        </w:rPr>
        <w:t>的专业人员。</w:t>
      </w:r>
    </w:p>
    <w:p w14:paraId="2BC7EC3B">
      <w:pPr>
        <w:keepNext w:val="0"/>
        <w:keepLines w:val="0"/>
        <w:pageBreakBefore w:val="0"/>
        <w:widowControl/>
        <w:kinsoku/>
        <w:wordWrap/>
        <w:overflowPunct w:val="0"/>
        <w:topLinePunct w:val="0"/>
        <w:bidi w:val="0"/>
        <w:spacing w:line="480" w:lineRule="exact"/>
        <w:ind w:firstLine="460" w:firstLineChars="200"/>
        <w:rPr>
          <w:rFonts w:hint="eastAsia" w:ascii="宋体" w:hAnsi="宋体" w:cs="宋体"/>
          <w:b w:val="0"/>
          <w:bCs w:val="0"/>
          <w:color w:val="000000" w:themeColor="text1"/>
          <w:spacing w:val="-5"/>
          <w:sz w:val="24"/>
          <w:szCs w:val="24"/>
          <w:highlight w:val="none"/>
          <w:lang w:eastAsia="zh-CN"/>
          <w14:textFill>
            <w14:solidFill>
              <w14:schemeClr w14:val="tx1"/>
            </w14:solidFill>
          </w14:textFill>
        </w:rPr>
      </w:pPr>
      <w:r>
        <w:rPr>
          <w:rFonts w:hint="eastAsia" w:ascii="宋体" w:hAnsi="宋体" w:cs="宋体"/>
          <w:b w:val="0"/>
          <w:bCs w:val="0"/>
          <w:color w:val="000000" w:themeColor="text1"/>
          <w:spacing w:val="-5"/>
          <w:sz w:val="24"/>
          <w:szCs w:val="24"/>
          <w:highlight w:val="none"/>
          <w:lang w:eastAsia="zh-CN"/>
          <w14:textFill>
            <w14:solidFill>
              <w14:schemeClr w14:val="tx1"/>
            </w14:solidFill>
          </w14:textFill>
        </w:rPr>
        <w:t>如</w:t>
      </w:r>
      <w:r>
        <w:rPr>
          <w:rFonts w:hint="eastAsia" w:ascii="宋体" w:hAnsi="宋体" w:cs="宋体"/>
          <w:b w:val="0"/>
          <w:bCs w:val="0"/>
          <w:color w:val="000000" w:themeColor="text1"/>
          <w:spacing w:val="-5"/>
          <w:sz w:val="24"/>
          <w:szCs w:val="24"/>
          <w:highlight w:val="none"/>
          <w:lang w:val="en-US" w:eastAsia="zh-CN"/>
          <w14:textFill>
            <w14:solidFill>
              <w14:schemeClr w14:val="tx1"/>
            </w14:solidFill>
          </w14:textFill>
        </w:rPr>
        <w:t>乙方投标文件中拟派项目管理、维护服务</w:t>
      </w:r>
      <w:r>
        <w:rPr>
          <w:rFonts w:hint="eastAsia" w:ascii="宋体" w:hAnsi="宋体" w:cs="宋体"/>
          <w:b w:val="0"/>
          <w:bCs w:val="0"/>
          <w:color w:val="000000" w:themeColor="text1"/>
          <w:spacing w:val="-5"/>
          <w:sz w:val="24"/>
          <w:szCs w:val="24"/>
          <w:highlight w:val="none"/>
          <w:lang w:eastAsia="zh-CN"/>
          <w14:textFill>
            <w14:solidFill>
              <w14:schemeClr w14:val="tx1"/>
            </w14:solidFill>
          </w14:textFill>
        </w:rPr>
        <w:t>人员</w:t>
      </w:r>
      <w:r>
        <w:rPr>
          <w:rFonts w:hint="eastAsia" w:ascii="宋体" w:hAnsi="宋体" w:cs="宋体"/>
          <w:b w:val="0"/>
          <w:bCs w:val="0"/>
          <w:color w:val="000000" w:themeColor="text1"/>
          <w:spacing w:val="-5"/>
          <w:sz w:val="24"/>
          <w:szCs w:val="24"/>
          <w:highlight w:val="none"/>
          <w:lang w:val="en-US" w:eastAsia="zh-CN"/>
          <w14:textFill>
            <w14:solidFill>
              <w14:schemeClr w14:val="tx1"/>
            </w14:solidFill>
          </w14:textFill>
        </w:rPr>
        <w:t>能力、</w:t>
      </w:r>
      <w:r>
        <w:rPr>
          <w:rFonts w:hint="eastAsia" w:ascii="宋体" w:hAnsi="宋体" w:cs="宋体"/>
          <w:b w:val="0"/>
          <w:bCs w:val="0"/>
          <w:color w:val="000000" w:themeColor="text1"/>
          <w:spacing w:val="-5"/>
          <w:sz w:val="24"/>
          <w:szCs w:val="24"/>
          <w:highlight w:val="none"/>
          <w:lang w:eastAsia="zh-CN"/>
          <w14:textFill>
            <w14:solidFill>
              <w14:schemeClr w14:val="tx1"/>
            </w14:solidFill>
          </w14:textFill>
        </w:rPr>
        <w:t>数量不足以满足项目</w:t>
      </w:r>
      <w:r>
        <w:rPr>
          <w:rFonts w:hint="eastAsia" w:ascii="宋体" w:hAnsi="宋体" w:cs="宋体"/>
          <w:b w:val="0"/>
          <w:bCs w:val="0"/>
          <w:color w:val="000000" w:themeColor="text1"/>
          <w:spacing w:val="-5"/>
          <w:sz w:val="24"/>
          <w:szCs w:val="24"/>
          <w:highlight w:val="none"/>
          <w:lang w:val="en-US" w:eastAsia="zh-CN"/>
          <w14:textFill>
            <w14:solidFill>
              <w14:schemeClr w14:val="tx1"/>
            </w14:solidFill>
          </w14:textFill>
        </w:rPr>
        <w:t>实际</w:t>
      </w:r>
      <w:r>
        <w:rPr>
          <w:rFonts w:hint="eastAsia" w:ascii="宋体" w:hAnsi="宋体" w:cs="宋体"/>
          <w:b w:val="0"/>
          <w:bCs w:val="0"/>
          <w:color w:val="000000" w:themeColor="text1"/>
          <w:spacing w:val="-5"/>
          <w:sz w:val="24"/>
          <w:szCs w:val="24"/>
          <w:highlight w:val="none"/>
          <w:lang w:eastAsia="zh-CN"/>
          <w14:textFill>
            <w14:solidFill>
              <w14:schemeClr w14:val="tx1"/>
            </w14:solidFill>
          </w14:textFill>
        </w:rPr>
        <w:t>服务需要时，甲方有权要求立即增加人手，做好本项目维护工作，如乙方不执行的甲方有权对其考核扣分，并进行惩处。</w:t>
      </w:r>
    </w:p>
    <w:p w14:paraId="16C6200E">
      <w:pPr>
        <w:keepNext w:val="0"/>
        <w:keepLines w:val="0"/>
        <w:pageBreakBefore w:val="0"/>
        <w:widowControl/>
        <w:kinsoku/>
        <w:wordWrap/>
        <w:overflowPunct w:val="0"/>
        <w:topLinePunct w:val="0"/>
        <w:bidi w:val="0"/>
        <w:spacing w:line="480" w:lineRule="exact"/>
        <w:ind w:firstLine="480" w:firstLineChars="200"/>
        <w:rPr>
          <w:rFonts w:hint="eastAsia" w:ascii="宋体" w:hAnsi="宋体" w:eastAsia="宋体" w:cs="宋体"/>
          <w:b w:val="0"/>
          <w:bCs w:val="0"/>
          <w:color w:val="000000" w:themeColor="text1"/>
          <w:spacing w:val="-5"/>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原则上乙方到本项目现场管理、维护服务的人员应</w:t>
      </w:r>
      <w:r>
        <w:rPr>
          <w:rFonts w:hint="eastAsia" w:ascii="宋体" w:hAnsi="宋体" w:cs="宋体"/>
          <w:color w:val="000000" w:themeColor="text1"/>
          <w:sz w:val="24"/>
          <w:szCs w:val="24"/>
          <w:highlight w:val="none"/>
          <w14:textFill>
            <w14:solidFill>
              <w14:schemeClr w14:val="tx1"/>
            </w14:solidFill>
          </w14:textFill>
        </w:rPr>
        <w:t>同投标时提供人员名册人、证一致，</w:t>
      </w:r>
      <w:r>
        <w:rPr>
          <w:rFonts w:hint="eastAsia" w:ascii="宋体" w:hAnsi="宋体" w:cs="宋体"/>
          <w:color w:val="000000" w:themeColor="text1"/>
          <w:sz w:val="24"/>
          <w:szCs w:val="24"/>
          <w:highlight w:val="none"/>
          <w:lang w:val="en-US" w:eastAsia="zh-CN"/>
          <w14:textFill>
            <w14:solidFill>
              <w14:schemeClr w14:val="tx1"/>
            </w14:solidFill>
          </w14:textFill>
        </w:rPr>
        <w:t>不得随意更换。</w:t>
      </w:r>
      <w:r>
        <w:rPr>
          <w:rFonts w:hint="eastAsia" w:ascii="宋体" w:hAnsi="宋体" w:cs="宋体"/>
          <w:color w:val="000000" w:themeColor="text1"/>
          <w:sz w:val="24"/>
          <w:szCs w:val="24"/>
          <w:highlight w:val="none"/>
          <w14:textFill>
            <w14:solidFill>
              <w14:schemeClr w14:val="tx1"/>
            </w14:solidFill>
          </w14:textFill>
        </w:rPr>
        <w:t>服务期间如有人员</w:t>
      </w:r>
      <w:r>
        <w:rPr>
          <w:rFonts w:hint="eastAsia" w:ascii="宋体" w:hAnsi="宋体" w:cs="宋体"/>
          <w:color w:val="000000" w:themeColor="text1"/>
          <w:sz w:val="24"/>
          <w:szCs w:val="24"/>
          <w:highlight w:val="none"/>
          <w:lang w:val="en-US" w:eastAsia="zh-CN"/>
          <w14:textFill>
            <w14:solidFill>
              <w14:schemeClr w14:val="tx1"/>
            </w14:solidFill>
          </w14:textFill>
        </w:rPr>
        <w:t>应特殊情况需要</w:t>
      </w:r>
      <w:r>
        <w:rPr>
          <w:rFonts w:hint="eastAsia" w:ascii="宋体" w:hAnsi="宋体" w:cs="宋体"/>
          <w:color w:val="000000" w:themeColor="text1"/>
          <w:sz w:val="24"/>
          <w:szCs w:val="24"/>
          <w:highlight w:val="none"/>
          <w14:textFill>
            <w14:solidFill>
              <w14:schemeClr w14:val="tx1"/>
            </w14:solidFill>
          </w14:textFill>
        </w:rPr>
        <w:t>变更</w:t>
      </w:r>
      <w:r>
        <w:rPr>
          <w:rFonts w:hint="eastAsia" w:ascii="宋体" w:hAnsi="宋体" w:cs="宋体"/>
          <w:color w:val="000000" w:themeColor="text1"/>
          <w:sz w:val="24"/>
          <w:szCs w:val="24"/>
          <w:highlight w:val="none"/>
          <w:lang w:val="en-US" w:eastAsia="zh-CN"/>
          <w14:textFill>
            <w14:solidFill>
              <w14:schemeClr w14:val="tx1"/>
            </w14:solidFill>
          </w14:textFill>
        </w:rPr>
        <w:t>的</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应</w:t>
      </w:r>
      <w:r>
        <w:rPr>
          <w:rFonts w:hint="eastAsia" w:ascii="宋体" w:hAnsi="宋体" w:cs="宋体"/>
          <w:color w:val="000000" w:themeColor="text1"/>
          <w:sz w:val="24"/>
          <w:szCs w:val="24"/>
          <w:highlight w:val="none"/>
          <w14:textFill>
            <w14:solidFill>
              <w14:schemeClr w14:val="tx1"/>
            </w14:solidFill>
          </w14:textFill>
        </w:rPr>
        <w:t>提前1个月向招标人递交人员变更手续</w:t>
      </w:r>
      <w:r>
        <w:rPr>
          <w:rFonts w:hint="eastAsia" w:ascii="宋体" w:hAnsi="宋体" w:cs="宋体"/>
          <w:color w:val="000000" w:themeColor="text1"/>
          <w:sz w:val="24"/>
          <w:szCs w:val="24"/>
          <w:highlight w:val="none"/>
          <w:lang w:val="en-US" w:eastAsia="zh-CN"/>
          <w14:textFill>
            <w14:solidFill>
              <w14:schemeClr w14:val="tx1"/>
            </w14:solidFill>
          </w14:textFill>
        </w:rPr>
        <w:t>并征得招标人书面同意</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如</w:t>
      </w:r>
      <w:r>
        <w:rPr>
          <w:rFonts w:hint="eastAsia" w:ascii="宋体" w:hAnsi="宋体" w:cs="宋体"/>
          <w:color w:val="000000" w:themeColor="text1"/>
          <w:sz w:val="24"/>
          <w:szCs w:val="24"/>
          <w:highlight w:val="none"/>
          <w14:textFill>
            <w14:solidFill>
              <w14:schemeClr w14:val="tx1"/>
            </w14:solidFill>
          </w14:textFill>
        </w:rPr>
        <w:t>私自更换，或者更换的人员不符合招标时要求的，招标人可以终止合同。</w:t>
      </w:r>
    </w:p>
    <w:p w14:paraId="22E77EDE">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0" w:firstLineChars="200"/>
        <w:textAlignment w:val="baseline"/>
        <w:rPr>
          <w:rFonts w:hint="default" w:ascii="宋体" w:hAnsi="宋体" w:eastAsia="宋体" w:cs="宋体"/>
          <w:b w:val="0"/>
          <w:bCs w:val="0"/>
          <w:strike/>
          <w:dstrike w:val="0"/>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val="0"/>
          <w:strike w:val="0"/>
          <w:dstrike w:val="0"/>
          <w:color w:val="000000" w:themeColor="text1"/>
          <w:spacing w:val="-5"/>
          <w:sz w:val="24"/>
          <w:szCs w:val="24"/>
          <w:highlight w:val="none"/>
          <w:lang w:val="en-US" w:eastAsia="zh-CN"/>
          <w14:textFill>
            <w14:solidFill>
              <w14:schemeClr w14:val="tx1"/>
            </w14:solidFill>
          </w14:textFill>
        </w:rPr>
        <w:t>2.</w:t>
      </w:r>
      <w:r>
        <w:rPr>
          <w:rFonts w:hint="eastAsia" w:ascii="宋体" w:hAnsi="宋体" w:cs="宋体"/>
          <w:b w:val="0"/>
          <w:bCs w:val="0"/>
          <w:strike w:val="0"/>
          <w:dstrike w:val="0"/>
          <w:color w:val="000000" w:themeColor="text1"/>
          <w:spacing w:val="-5"/>
          <w:sz w:val="24"/>
          <w:szCs w:val="24"/>
          <w:highlight w:val="none"/>
          <w:lang w:val="en-US" w:eastAsia="zh-CN"/>
          <w14:textFill>
            <w14:solidFill>
              <w14:schemeClr w14:val="tx1"/>
            </w14:solidFill>
          </w14:textFill>
        </w:rPr>
        <w:t>乙方须提供保证本项目管理、维护服务需要的车辆、设备、仪器、通讯交通工具等。</w:t>
      </w:r>
    </w:p>
    <w:p w14:paraId="7A8BC4E5">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lang w:bidi="ar"/>
          <w14:textFill>
            <w14:solidFill>
              <w14:schemeClr w14:val="tx1"/>
            </w14:solidFill>
          </w14:textFill>
        </w:rPr>
        <w:t xml:space="preserve">.路灯灯具、灯杆、光源、线路、控制开关和供电设备等所有设施均是路灯系统的组成部分，产权属于甲方所有，未经甲方同意不得移作它用。 </w:t>
      </w:r>
    </w:p>
    <w:p w14:paraId="43C8E2EC">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sz w:val="24"/>
          <w:szCs w:val="24"/>
          <w:highlight w:val="none"/>
          <w:lang w:bidi="ar"/>
          <w14:textFill>
            <w14:solidFill>
              <w14:schemeClr w14:val="tx1"/>
            </w14:solidFill>
          </w14:textFill>
        </w:rPr>
        <w:t>.乙方在签订合同生效后30天内，根据甲方要求完成《路灯系统清册》，清晰标注每支路灯安装位置、管理编号、光源规格等参数内容，经甲乙双方确认后存档。</w:t>
      </w:r>
    </w:p>
    <w:p w14:paraId="50B816FD">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.乙方须根据季节的变化或甲方要求，对路灯进行调整自动开关设定值。 </w:t>
      </w:r>
    </w:p>
    <w:p w14:paraId="2DD6C53D">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必须严格按照有关技术标准，依照有关规定，对路灯定期进行检查。按供电部门有关规定，春、秋两季定期常规检查电缆、灯具、箱变各一次，重大节日（元旦、春节、清明、五一、国庆）常规检查电缆、灯具（不包括箱变）共4次；电缆每年绝缘测试一次；箱变预防性检测每年一次。每次检测必须保留资料归档移交甲方。 </w:t>
      </w:r>
    </w:p>
    <w:p w14:paraId="518B0DF0">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7</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日常维护含灯杆、灯具、路灯、高低压配电设施、高低压电线电缆（含电缆管道）及其他电气设施维护、损坏更换及被盗修复，故障路灯必须在2小时内或在下一个路灯开启时间前完成维修或更换；对维护内容进行日常巡查，对设备的运行情况及时记录，有关灯杆、路灯表面半年清洗一次，及时清除灯柱乱张贴；灯杆、箱体及其他影响观瞻的设备表面如出现油漆脱落，必须在48小时内使用同颜色油漆修补。不得出现灯头、灯罩脱落、及灯杆倾斜、扭曲等现象。输电线路不得出现局部或全线漏电、裸线（电缆裸出地面）现象。需要做好项目资料和日志归档交给甲方。 </w:t>
      </w:r>
    </w:p>
    <w:p w14:paraId="3C1C71B8">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8</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维护管理标准要求保证亮灯率在99%或以上，灯具、路灯完好率100%，灯杆垂直度保持100%，杜绝白天亮灯的情况出现，保证路灯关启时间准确、依时；如亮灯率未达99%，甲方在应付的维护管理费中，按当月每支50元扣减。 </w:t>
      </w:r>
    </w:p>
    <w:p w14:paraId="06D303B0">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val="en-US" w:eastAsia="zh-CN" w:bidi="ar"/>
          <w14:textFill>
            <w14:solidFill>
              <w14:schemeClr w14:val="tx1"/>
            </w14:solidFill>
          </w14:textFill>
        </w:rPr>
        <w:t>9</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应做到维修及时，如遇人为性（盗窃或车辆）损坏路灯（杆）或路灯线路，乙方必须在两天内将损坏的路灯（杆）搬离现场，五天内恢复原貌，安装好新路灯（杆）及维修好路灯线路，维修过程如需挖掘市政设施，须对设施进行修复，不得以任何藉口延误时间。如发现路灯系统的灯泡、镇流器、触发器、供电控制电器、电缆等设备老化、自然损坏或被盗，乙方必须在五天内更换或修复完毕，不得以任何借口延误时间。 </w:t>
      </w:r>
    </w:p>
    <w:p w14:paraId="0E389BBE">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w:t>
      </w:r>
      <w:r>
        <w:rPr>
          <w:rFonts w:hint="eastAsia" w:ascii="宋体" w:hAnsi="宋体" w:cs="宋体"/>
          <w:color w:val="000000" w:themeColor="text1"/>
          <w:sz w:val="24"/>
          <w:szCs w:val="24"/>
          <w:highlight w:val="none"/>
          <w:lang w:val="en-US" w:eastAsia="zh-CN" w:bidi="ar"/>
          <w14:textFill>
            <w14:solidFill>
              <w14:schemeClr w14:val="tx1"/>
            </w14:solidFill>
          </w14:textFill>
        </w:rPr>
        <w:t>0</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.乙方负责工作人员的一切安全、保险、工资等，其中包括可能发生的一切工伤事故、伤亡赔偿及工作人员的作业或非作业性的人身安全等责任均由乙方负责，与甲方无关。 </w:t>
      </w:r>
    </w:p>
    <w:p w14:paraId="238C1F09">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r>
        <w:rPr>
          <w:rFonts w:hint="eastAsia" w:ascii="宋体" w:hAnsi="宋体" w:cs="宋体"/>
          <w:color w:val="000000" w:themeColor="text1"/>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.乙方必须必须按时发放员工工资，聘用人员工资待遇不得低于当地政府的最低工资待遇标准（社保、医保和意外险另算），任何劳资纠纷全部由乙方负责。 </w:t>
      </w:r>
    </w:p>
    <w:p w14:paraId="7B859760">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r>
        <w:rPr>
          <w:rFonts w:hint="eastAsia" w:ascii="宋体" w:hAnsi="宋体" w:cs="宋体"/>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.乙方必须按法律、法规及有关政策规定为其服务人员购买社会保险、意外保险等相关保险。 </w:t>
      </w:r>
    </w:p>
    <w:p w14:paraId="7D601029">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r>
        <w:rPr>
          <w:rFonts w:hint="eastAsia" w:ascii="宋体" w:hAnsi="宋体" w:cs="宋体"/>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.乙方必须执行国家劳动法的相关规定。 </w:t>
      </w:r>
    </w:p>
    <w:p w14:paraId="170CC864">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r>
        <w:rPr>
          <w:rFonts w:hint="eastAsia" w:ascii="宋体" w:hAnsi="宋体" w:cs="宋体"/>
          <w:color w:val="000000" w:themeColor="text1"/>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.乙方必须落实好安全生产的措施和配置安全作业的劳保用品。 </w:t>
      </w:r>
    </w:p>
    <w:p w14:paraId="769FFA64">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r>
        <w:rPr>
          <w:rFonts w:hint="eastAsia" w:ascii="宋体" w:hAnsi="宋体" w:cs="宋体"/>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sz w:val="24"/>
          <w:szCs w:val="24"/>
          <w:highlight w:val="none"/>
          <w:lang w:bidi="ar"/>
          <w14:textFill>
            <w14:solidFill>
              <w14:schemeClr w14:val="tx1"/>
            </w14:solidFill>
          </w14:textFill>
        </w:rPr>
        <w:t>.乙方的服务人员数量必须满足本项目的实际工作要求，且须穿着统一标识的工作服。</w:t>
      </w:r>
    </w:p>
    <w:p w14:paraId="2A73E2A4">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r>
        <w:rPr>
          <w:rFonts w:hint="eastAsia" w:ascii="宋体" w:hAnsi="宋体" w:cs="宋体"/>
          <w:color w:val="000000" w:themeColor="text1"/>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lang w:bidi="ar"/>
          <w14:textFill>
            <w14:solidFill>
              <w14:schemeClr w14:val="tx1"/>
            </w14:solidFill>
          </w14:textFill>
        </w:rPr>
        <w:t>.续签合同：甲方将根据《政府购买服务管理办法》（财政部令第102号）第十四条规定，结合考核结果决定是否续签下一年度的服务合同。考核结果为合格的，甲方可选择续签合同，服务合同每年一签，总服务期限不超过三年。服务期内月度考核连续2次或累计3次考核结果在90分（不含90分）以下为考核不合格。</w:t>
      </w:r>
    </w:p>
    <w:p w14:paraId="64F2352D">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2"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九、检查和考核</w:t>
      </w:r>
    </w:p>
    <w:p w14:paraId="3F8BC7A5">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1.乙方应认真按照约定的质量标准进行服务，随时接受甲方对进度、质量、安全的检查</w:t>
      </w:r>
      <w:r>
        <w:rPr>
          <w:rFonts w:hint="eastAsia" w:ascii="宋体" w:hAnsi="宋体" w:eastAsia="宋体" w:cs="宋体"/>
          <w:color w:val="000000" w:themeColor="text1"/>
          <w:spacing w:val="-1"/>
          <w:sz w:val="24"/>
          <w:szCs w:val="24"/>
          <w:highlight w:val="none"/>
          <w14:textFill>
            <w14:solidFill>
              <w14:schemeClr w14:val="tx1"/>
            </w14:solidFill>
          </w14:textFill>
        </w:rPr>
        <w:t>和考核，为考核提供便利条件。考核结果作为支付服务经费（合同价款）的主要依据。</w:t>
      </w:r>
    </w:p>
    <w:p w14:paraId="25D00A76">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8"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2.甲方按照质量标准进行考核。对于服务质量不符合要求的，甲方先通知整改，乙方在规定时间内不整改的或整改效果不符合要求的，由甲方派其他队伍整改，所发生的费用在乙方服务费中扣除。</w:t>
      </w:r>
    </w:p>
    <w:p w14:paraId="4E7947A8">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3.具体考核参照招标人制定的《淮安经济技术开发区城市路灯照明设施养护考核办法（试</w:t>
      </w:r>
      <w:r>
        <w:rPr>
          <w:rFonts w:hint="eastAsia" w:ascii="宋体" w:hAnsi="宋体" w:eastAsia="宋体" w:cs="宋体"/>
          <w:color w:val="000000" w:themeColor="text1"/>
          <w:spacing w:val="-2"/>
          <w:sz w:val="24"/>
          <w:szCs w:val="24"/>
          <w:highlight w:val="none"/>
          <w14:textFill>
            <w14:solidFill>
              <w14:schemeClr w14:val="tx1"/>
            </w14:solidFill>
          </w14:textFill>
        </w:rPr>
        <w:t>行）》和相应的考核评分标准。</w:t>
      </w:r>
    </w:p>
    <w:p w14:paraId="6A67D384">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十、安全文明施工与检查</w:t>
      </w:r>
    </w:p>
    <w:p w14:paraId="4C88FEA1">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1.乙方负责本项目路灯养护服务，所有安全事故由乙方负责。</w:t>
      </w:r>
    </w:p>
    <w:p w14:paraId="56A22121">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2.乙方应做好作业管理区内的安全管理工作，并随时接受甲方或行业安全检查人员依法</w:t>
      </w:r>
      <w:r>
        <w:rPr>
          <w:rFonts w:hint="eastAsia" w:ascii="宋体" w:hAnsi="宋体" w:eastAsia="宋体" w:cs="宋体"/>
          <w:color w:val="000000" w:themeColor="text1"/>
          <w:spacing w:val="-1"/>
          <w:sz w:val="24"/>
          <w:szCs w:val="24"/>
          <w:highlight w:val="none"/>
          <w14:textFill>
            <w14:solidFill>
              <w14:schemeClr w14:val="tx1"/>
            </w14:solidFill>
          </w14:textFill>
        </w:rPr>
        <w:t>实施的监督检查，采取必要安全防护措施，消除事故隐患。</w:t>
      </w:r>
    </w:p>
    <w:p w14:paraId="6A304B9A">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3.由于乙方管理不善，引起政府职能部门处罚和停工整改，或安全措施不力造成事故的</w:t>
      </w:r>
      <w:r>
        <w:rPr>
          <w:rFonts w:hint="eastAsia" w:ascii="宋体" w:hAnsi="宋体" w:eastAsia="宋体" w:cs="宋体"/>
          <w:color w:val="000000" w:themeColor="text1"/>
          <w:spacing w:val="-2"/>
          <w:sz w:val="24"/>
          <w:szCs w:val="24"/>
          <w:highlight w:val="none"/>
          <w14:textFill>
            <w14:solidFill>
              <w14:schemeClr w14:val="tx1"/>
            </w14:solidFill>
          </w14:textFill>
        </w:rPr>
        <w:t>责任和因此发生的费用，由乙方承担。</w:t>
      </w:r>
    </w:p>
    <w:p w14:paraId="5D5024AD">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4.作业人员应做好各项安全防护措施，必须规范着装上岗。在快、慢车道上施工时必须</w:t>
      </w:r>
      <w:r>
        <w:rPr>
          <w:rFonts w:hint="eastAsia" w:ascii="宋体" w:hAnsi="宋体" w:eastAsia="宋体" w:cs="宋体"/>
          <w:color w:val="000000" w:themeColor="text1"/>
          <w:spacing w:val="-4"/>
          <w:sz w:val="24"/>
          <w:szCs w:val="24"/>
          <w:highlight w:val="none"/>
          <w14:textFill>
            <w14:solidFill>
              <w14:schemeClr w14:val="tx1"/>
            </w14:solidFill>
          </w14:textFill>
        </w:rPr>
        <w:t>围挡，距施工范围前后150</w:t>
      </w:r>
      <w:r>
        <w:rPr>
          <w:rFonts w:hint="eastAsia" w:ascii="宋体" w:hAnsi="宋体" w:eastAsia="宋体" w:cs="宋体"/>
          <w:color w:val="000000" w:themeColor="text1"/>
          <w:spacing w:val="-4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米有明显的警示标志。</w:t>
      </w:r>
    </w:p>
    <w:p w14:paraId="522B9A7A">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4"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5.发生人员伤亡及其他安全事故，乙方因按有关规定立即上报有关部门并通知甲方</w:t>
      </w:r>
      <w:r>
        <w:rPr>
          <w:rFonts w:hint="eastAsia" w:ascii="宋体" w:hAnsi="宋体" w:eastAsia="宋体" w:cs="宋体"/>
          <w:color w:val="000000" w:themeColor="text1"/>
          <w:spacing w:val="-5"/>
          <w:sz w:val="24"/>
          <w:szCs w:val="24"/>
          <w:highlight w:val="none"/>
          <w14:textFill>
            <w14:solidFill>
              <w14:schemeClr w14:val="tx1"/>
            </w14:solidFill>
          </w14:textFill>
        </w:rPr>
        <w:t>代表，</w:t>
      </w:r>
      <w:r>
        <w:rPr>
          <w:rFonts w:hint="eastAsia" w:ascii="宋体" w:hAnsi="宋体" w:eastAsia="宋体" w:cs="宋体"/>
          <w:color w:val="000000" w:themeColor="text1"/>
          <w:spacing w:val="-2"/>
          <w:sz w:val="24"/>
          <w:szCs w:val="24"/>
          <w:highlight w:val="none"/>
          <w14:textFill>
            <w14:solidFill>
              <w14:schemeClr w14:val="tx1"/>
            </w14:solidFill>
          </w14:textFill>
        </w:rPr>
        <w:t>同时按政府有关部门要求处理，承担由此发生的各项费用。</w:t>
      </w:r>
    </w:p>
    <w:p w14:paraId="63714196">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十一、其它特殊情况处理</w:t>
      </w:r>
    </w:p>
    <w:p w14:paraId="5AA466E9">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2"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1.因养护违规操作或其它情况造成的人身伤害事故由乙方承担全部损失和赔偿责任；同</w:t>
      </w:r>
      <w:r>
        <w:rPr>
          <w:rFonts w:hint="eastAsia" w:ascii="宋体" w:hAnsi="宋体" w:eastAsia="宋体" w:cs="宋体"/>
          <w:color w:val="000000" w:themeColor="text1"/>
          <w:spacing w:val="-1"/>
          <w:sz w:val="24"/>
          <w:szCs w:val="24"/>
          <w:highlight w:val="none"/>
          <w14:textFill>
            <w14:solidFill>
              <w14:schemeClr w14:val="tx1"/>
            </w14:solidFill>
          </w14:textFill>
        </w:rPr>
        <w:t>时，视情况严重或取消乙方次月养护资格、次年度投标资格，且质量保证金不予退还。</w:t>
      </w:r>
    </w:p>
    <w:p w14:paraId="687C3150">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2.交通事故、施工、第三者人为损坏路灯照明设施等同类情况，由乙方</w:t>
      </w:r>
      <w:r>
        <w:rPr>
          <w:rFonts w:hint="eastAsia" w:ascii="宋体" w:hAnsi="宋体" w:eastAsia="宋体" w:cs="宋体"/>
          <w:color w:val="000000" w:themeColor="text1"/>
          <w:spacing w:val="-2"/>
          <w:sz w:val="24"/>
          <w:szCs w:val="24"/>
          <w:highlight w:val="none"/>
          <w14:textFill>
            <w14:solidFill>
              <w14:schemeClr w14:val="tx1"/>
            </w14:solidFill>
          </w14:textFill>
        </w:rPr>
        <w:t>在施工周期范围内先行予以修复，并协助淮安经济技术开发区城市管理服务中心路灯科工作人员查处肇事方，</w:t>
      </w:r>
      <w:r>
        <w:rPr>
          <w:rFonts w:hint="eastAsia" w:ascii="宋体" w:hAnsi="宋体" w:eastAsia="宋体" w:cs="宋体"/>
          <w:color w:val="000000" w:themeColor="text1"/>
          <w:spacing w:val="-3"/>
          <w:sz w:val="24"/>
          <w:szCs w:val="24"/>
          <w:highlight w:val="none"/>
          <w14:textFill>
            <w14:solidFill>
              <w14:schemeClr w14:val="tx1"/>
            </w14:solidFill>
          </w14:textFill>
        </w:rPr>
        <w:t>赔偿损失费用，用于修缮路灯相关设施；对逃逸的肇事方所造成损失，由乙方在规定的施工周期内无偿修复。</w:t>
      </w:r>
    </w:p>
    <w:p w14:paraId="648A07AF">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outlineLvl w:val="1"/>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3.发生自然灾害造成亮化设施损失的由甲方承担，</w:t>
      </w:r>
      <w:r>
        <w:rPr>
          <w:rFonts w:hint="eastAsia" w:ascii="宋体" w:hAnsi="宋体" w:eastAsia="宋体" w:cs="宋体"/>
          <w:color w:val="000000" w:themeColor="text1"/>
          <w:spacing w:val="-59"/>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自然灾害如台</w:t>
      </w:r>
      <w:r>
        <w:rPr>
          <w:rFonts w:hint="eastAsia" w:ascii="宋体" w:hAnsi="宋体" w:eastAsia="宋体" w:cs="宋体"/>
          <w:color w:val="000000" w:themeColor="text1"/>
          <w:spacing w:val="-2"/>
          <w:sz w:val="24"/>
          <w:szCs w:val="24"/>
          <w:highlight w:val="none"/>
          <w14:textFill>
            <w14:solidFill>
              <w14:schemeClr w14:val="tx1"/>
            </w14:solidFill>
          </w14:textFill>
        </w:rPr>
        <w:t>风、暴雨、雷电、冰雹等，具体等级认定，以气象部门发布的为准。</w:t>
      </w:r>
    </w:p>
    <w:p w14:paraId="1F1DF37A">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4.养护范围内的照明设施（如灯杆、电缆、控制箱、路灯变压器等）被盗和日</w:t>
      </w:r>
      <w:r>
        <w:rPr>
          <w:rFonts w:hint="eastAsia" w:ascii="宋体" w:hAnsi="宋体" w:eastAsia="宋体" w:cs="宋体"/>
          <w:color w:val="000000" w:themeColor="text1"/>
          <w:spacing w:val="-2"/>
          <w:sz w:val="24"/>
          <w:szCs w:val="24"/>
          <w:highlight w:val="none"/>
          <w14:textFill>
            <w14:solidFill>
              <w14:schemeClr w14:val="tx1"/>
            </w14:solidFill>
          </w14:textFill>
        </w:rPr>
        <w:t>常损坏由</w:t>
      </w:r>
      <w:r>
        <w:rPr>
          <w:rFonts w:hint="eastAsia" w:ascii="宋体" w:hAnsi="宋体" w:eastAsia="宋体" w:cs="宋体"/>
          <w:color w:val="000000" w:themeColor="text1"/>
          <w:spacing w:val="-3"/>
          <w:sz w:val="24"/>
          <w:szCs w:val="24"/>
          <w:highlight w:val="none"/>
          <w14:textFill>
            <w14:solidFill>
              <w14:schemeClr w14:val="tx1"/>
            </w14:solidFill>
          </w14:textFill>
        </w:rPr>
        <w:t>乙方承担，并在规定的施工周期内予以修复。特殊情况不能修复需向淮安经济技术开发区城市</w:t>
      </w:r>
      <w:r>
        <w:rPr>
          <w:rFonts w:hint="eastAsia" w:ascii="宋体" w:hAnsi="宋体" w:eastAsia="宋体" w:cs="宋体"/>
          <w:color w:val="000000" w:themeColor="text1"/>
          <w:spacing w:val="-1"/>
          <w:sz w:val="24"/>
          <w:szCs w:val="24"/>
          <w:highlight w:val="none"/>
          <w14:textFill>
            <w14:solidFill>
              <w14:schemeClr w14:val="tx1"/>
            </w14:solidFill>
          </w14:textFill>
        </w:rPr>
        <w:t>管理服务中心书面说明情况，同意后在规定</w:t>
      </w:r>
      <w:r>
        <w:rPr>
          <w:rFonts w:hint="eastAsia" w:ascii="宋体" w:hAnsi="宋体" w:eastAsia="宋体" w:cs="宋体"/>
          <w:color w:val="000000" w:themeColor="text1"/>
          <w:spacing w:val="-2"/>
          <w:sz w:val="24"/>
          <w:szCs w:val="24"/>
          <w:highlight w:val="none"/>
          <w14:textFill>
            <w14:solidFill>
              <w14:schemeClr w14:val="tx1"/>
            </w14:solidFill>
          </w14:textFill>
        </w:rPr>
        <w:t>时间内完成。</w:t>
      </w:r>
    </w:p>
    <w:p w14:paraId="594D162E">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5.对新增道路路灯养护费用按照养护中标价款同等价格进行递增，</w:t>
      </w:r>
      <w:r>
        <w:rPr>
          <w:rFonts w:hint="eastAsia" w:ascii="宋体" w:hAnsi="宋体" w:eastAsia="宋体" w:cs="宋体"/>
          <w:color w:val="000000" w:themeColor="text1"/>
          <w:spacing w:val="-2"/>
          <w:sz w:val="24"/>
          <w:szCs w:val="24"/>
          <w:highlight w:val="none"/>
          <w14:textFill>
            <w14:solidFill>
              <w14:schemeClr w14:val="tx1"/>
            </w14:solidFill>
          </w14:textFill>
        </w:rPr>
        <w:t>递增费用按照路灯数量和灯型由甲方按级申报增加养护费用。</w:t>
      </w:r>
    </w:p>
    <w:p w14:paraId="48B1F9BE">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6.乙方要及时组织人员对路灯电缆线路进行合理维护，因未</w:t>
      </w:r>
      <w:r>
        <w:rPr>
          <w:rFonts w:hint="eastAsia" w:ascii="宋体" w:hAnsi="宋体" w:eastAsia="宋体" w:cs="宋体"/>
          <w:color w:val="000000" w:themeColor="text1"/>
          <w:spacing w:val="-2"/>
          <w:sz w:val="24"/>
          <w:szCs w:val="24"/>
          <w:highlight w:val="none"/>
          <w14:textFill>
            <w14:solidFill>
              <w14:schemeClr w14:val="tx1"/>
            </w14:solidFill>
          </w14:textFill>
        </w:rPr>
        <w:t>及时维护和改造的造成</w:t>
      </w:r>
      <w:r>
        <w:rPr>
          <w:rFonts w:hint="eastAsia" w:ascii="宋体" w:hAnsi="宋体" w:eastAsia="宋体" w:cs="宋体"/>
          <w:color w:val="000000" w:themeColor="text1"/>
          <w:spacing w:val="-3"/>
          <w:sz w:val="24"/>
          <w:szCs w:val="24"/>
          <w:highlight w:val="none"/>
          <w14:textFill>
            <w14:solidFill>
              <w14:schemeClr w14:val="tx1"/>
            </w14:solidFill>
          </w14:textFill>
        </w:rPr>
        <w:t>损失由乙方承担修复费用。在养护期内需对路灯设施进行合理改造、维修、保养情况，由乙方</w:t>
      </w:r>
      <w:r>
        <w:rPr>
          <w:rFonts w:hint="eastAsia" w:ascii="宋体" w:hAnsi="宋体" w:eastAsia="宋体" w:cs="宋体"/>
          <w:color w:val="000000" w:themeColor="text1"/>
          <w:spacing w:val="-2"/>
          <w:sz w:val="24"/>
          <w:szCs w:val="24"/>
          <w:highlight w:val="none"/>
          <w14:textFill>
            <w14:solidFill>
              <w14:schemeClr w14:val="tx1"/>
            </w14:solidFill>
          </w14:textFill>
        </w:rPr>
        <w:t>自行承担相关费用。</w:t>
      </w:r>
    </w:p>
    <w:p w14:paraId="1DE93123">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7.对新建道路路灯由乙方配合甲方工作人员参与验收，验收合格后由乙方进</w:t>
      </w:r>
      <w:r>
        <w:rPr>
          <w:rFonts w:hint="eastAsia" w:ascii="宋体" w:hAnsi="宋体" w:eastAsia="宋体" w:cs="宋体"/>
          <w:color w:val="000000" w:themeColor="text1"/>
          <w:spacing w:val="-2"/>
          <w:sz w:val="24"/>
          <w:szCs w:val="24"/>
          <w:highlight w:val="none"/>
          <w14:textFill>
            <w14:solidFill>
              <w14:schemeClr w14:val="tx1"/>
            </w14:solidFill>
          </w14:textFill>
        </w:rPr>
        <w:t>行管理。养</w:t>
      </w:r>
      <w:r>
        <w:rPr>
          <w:rFonts w:hint="eastAsia" w:ascii="宋体" w:hAnsi="宋体" w:eastAsia="宋体" w:cs="宋体"/>
          <w:color w:val="000000" w:themeColor="text1"/>
          <w:spacing w:val="-3"/>
          <w:sz w:val="24"/>
          <w:szCs w:val="24"/>
          <w:highlight w:val="none"/>
          <w14:textFill>
            <w14:solidFill>
              <w14:schemeClr w14:val="tx1"/>
            </w14:solidFill>
          </w14:textFill>
        </w:rPr>
        <w:t>护期间内发生路灯设施人为破坏和被盗情况，由乙方在规定时间内修复并承担维修费用。质保</w:t>
      </w:r>
      <w:r>
        <w:rPr>
          <w:rFonts w:hint="eastAsia" w:ascii="宋体" w:hAnsi="宋体" w:eastAsia="宋体" w:cs="宋体"/>
          <w:color w:val="000000" w:themeColor="text1"/>
          <w:sz w:val="24"/>
          <w:szCs w:val="24"/>
          <w:highlight w:val="none"/>
          <w14:textFill>
            <w14:solidFill>
              <w14:schemeClr w14:val="tx1"/>
            </w14:solidFill>
          </w14:textFill>
        </w:rPr>
        <w:t>期内对路灯光源因质量原因损坏率超过2</w:t>
      </w:r>
      <w:r>
        <w:rPr>
          <w:rFonts w:hint="eastAsia" w:ascii="宋体" w:hAnsi="宋体" w:eastAsia="宋体" w:cs="宋体"/>
          <w:color w:val="000000" w:themeColor="text1"/>
          <w:spacing w:val="-25"/>
          <w:sz w:val="24"/>
          <w:szCs w:val="24"/>
          <w:highlight w:val="none"/>
          <w14:textFill>
            <w14:solidFill>
              <w14:schemeClr w14:val="tx1"/>
            </w14:solidFill>
          </w14:textFill>
        </w:rPr>
        <w:t>％</w:t>
      </w:r>
      <w:r>
        <w:rPr>
          <w:rFonts w:hint="eastAsia" w:ascii="宋体" w:hAnsi="宋体" w:eastAsia="宋体" w:cs="宋体"/>
          <w:color w:val="000000" w:themeColor="text1"/>
          <w:spacing w:val="-5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5"/>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由乙方上报淮安经济技术开发区城市管理</w:t>
      </w:r>
      <w:r>
        <w:rPr>
          <w:rFonts w:hint="eastAsia" w:ascii="宋体" w:hAnsi="宋体" w:eastAsia="宋体" w:cs="宋体"/>
          <w:color w:val="000000" w:themeColor="text1"/>
          <w:spacing w:val="-1"/>
          <w:sz w:val="24"/>
          <w:szCs w:val="24"/>
          <w:highlight w:val="none"/>
          <w14:textFill>
            <w14:solidFill>
              <w14:schemeClr w14:val="tx1"/>
            </w14:solidFill>
          </w14:textFill>
        </w:rPr>
        <w:t>服务中</w:t>
      </w:r>
      <w:r>
        <w:rPr>
          <w:rFonts w:hint="eastAsia" w:ascii="宋体" w:hAnsi="宋体" w:eastAsia="宋体" w:cs="宋体"/>
          <w:color w:val="000000" w:themeColor="text1"/>
          <w:spacing w:val="-6"/>
          <w:sz w:val="24"/>
          <w:szCs w:val="24"/>
          <w:highlight w:val="none"/>
          <w14:textFill>
            <w14:solidFill>
              <w14:schemeClr w14:val="tx1"/>
            </w14:solidFill>
          </w14:textFill>
        </w:rPr>
        <w:t>心并联系路灯施工单位在</w:t>
      </w:r>
      <w:r>
        <w:rPr>
          <w:rFonts w:hint="eastAsia" w:ascii="宋体" w:hAnsi="宋体" w:eastAsia="宋体" w:cs="宋体"/>
          <w:color w:val="000000" w:themeColor="text1"/>
          <w:spacing w:val="-45"/>
          <w:sz w:val="24"/>
          <w:szCs w:val="24"/>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2日内予以修复；因路灯施工单位未按时维修，乙方应在第</w:t>
      </w:r>
      <w:r>
        <w:rPr>
          <w:rFonts w:hint="eastAsia" w:ascii="宋体" w:hAnsi="宋体" w:eastAsia="宋体" w:cs="宋体"/>
          <w:color w:val="000000" w:themeColor="text1"/>
          <w:spacing w:val="-47"/>
          <w:sz w:val="24"/>
          <w:szCs w:val="24"/>
          <w:highlight w:val="none"/>
          <w14:textFill>
            <w14:solidFill>
              <w14:schemeClr w14:val="tx1"/>
            </w14:solidFill>
          </w14:textFill>
        </w:rPr>
        <w:t>3</w:t>
      </w:r>
      <w:r>
        <w:rPr>
          <w:rFonts w:hint="eastAsia" w:ascii="宋体" w:hAnsi="宋体" w:eastAsia="宋体" w:cs="宋体"/>
          <w:color w:val="000000" w:themeColor="text1"/>
          <w:spacing w:val="-6"/>
          <w:sz w:val="24"/>
          <w:szCs w:val="24"/>
          <w:highlight w:val="none"/>
          <w14:textFill>
            <w14:solidFill>
              <w14:schemeClr w14:val="tx1"/>
            </w14:solidFill>
          </w14:textFill>
        </w:rPr>
        <w:t>日上报</w:t>
      </w:r>
      <w:r>
        <w:rPr>
          <w:rFonts w:hint="eastAsia" w:ascii="宋体" w:hAnsi="宋体" w:eastAsia="宋体" w:cs="宋体"/>
          <w:color w:val="000000" w:themeColor="text1"/>
          <w:spacing w:val="-3"/>
          <w:sz w:val="24"/>
          <w:szCs w:val="24"/>
          <w:highlight w:val="none"/>
          <w14:textFill>
            <w14:solidFill>
              <w14:schemeClr w14:val="tx1"/>
            </w14:solidFill>
          </w14:textFill>
        </w:rPr>
        <w:t>淮安经济技术开发区城市管理服务中心；逾期未联系施工单位和上报服务中心则按照考核标准进行同等扣分。</w:t>
      </w:r>
    </w:p>
    <w:p w14:paraId="04B74524">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2"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5"/>
          <w:sz w:val="24"/>
          <w:szCs w:val="24"/>
          <w:highlight w:val="none"/>
          <w14:textFill>
            <w14:solidFill>
              <w14:schemeClr w14:val="tx1"/>
            </w14:solidFill>
          </w14:textFill>
        </w:rPr>
        <w:t>十二、违约和争议</w:t>
      </w:r>
    </w:p>
    <w:p w14:paraId="28D7B080">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1.乙方须指定专人分区分片负责管理，如因路灯设施巡查、养护和维修不善而造成损失</w:t>
      </w:r>
      <w:r>
        <w:rPr>
          <w:rFonts w:hint="eastAsia" w:ascii="宋体" w:hAnsi="宋体" w:eastAsia="宋体" w:cs="宋体"/>
          <w:color w:val="000000" w:themeColor="text1"/>
          <w:spacing w:val="-1"/>
          <w:sz w:val="24"/>
          <w:szCs w:val="24"/>
          <w:highlight w:val="none"/>
          <w14:textFill>
            <w14:solidFill>
              <w14:schemeClr w14:val="tx1"/>
            </w14:solidFill>
          </w14:textFill>
        </w:rPr>
        <w:t>的，由乙方赔偿相应损失，并按招投标文件和合同规定的事项接受处罚。</w:t>
      </w:r>
    </w:p>
    <w:p w14:paraId="6CCCF7DD">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2.在承包期内，如乙方连续10日不进行日常服务或单方中途退出服务的，甲方有权终止</w:t>
      </w:r>
      <w:r>
        <w:rPr>
          <w:rFonts w:hint="eastAsia" w:ascii="宋体" w:hAnsi="宋体" w:eastAsia="宋体" w:cs="宋体"/>
          <w:color w:val="000000" w:themeColor="text1"/>
          <w:spacing w:val="-3"/>
          <w:sz w:val="24"/>
          <w:szCs w:val="24"/>
          <w:highlight w:val="none"/>
          <w14:textFill>
            <w14:solidFill>
              <w14:schemeClr w14:val="tx1"/>
            </w14:solidFill>
          </w14:textFill>
        </w:rPr>
        <w:t>合同，并且不退还履约保证金并指派其它养护队伍进场服务，给甲方造成的全部损失由乙方承</w:t>
      </w:r>
      <w:r>
        <w:rPr>
          <w:rFonts w:hint="eastAsia" w:ascii="宋体" w:hAnsi="宋体" w:eastAsia="宋体" w:cs="宋体"/>
          <w:color w:val="000000" w:themeColor="text1"/>
          <w:spacing w:val="-9"/>
          <w:sz w:val="24"/>
          <w:szCs w:val="24"/>
          <w:highlight w:val="none"/>
          <w14:textFill>
            <w14:solidFill>
              <w14:schemeClr w14:val="tx1"/>
            </w14:solidFill>
          </w14:textFill>
        </w:rPr>
        <w:t>担。</w:t>
      </w:r>
    </w:p>
    <w:p w14:paraId="0D664AD9">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3.对某些需紧急处置的情况，在接到甲方通知后，乙方应无条件在规定时间内完成。乙</w:t>
      </w:r>
      <w:r>
        <w:rPr>
          <w:rFonts w:hint="eastAsia" w:ascii="宋体" w:hAnsi="宋体" w:eastAsia="宋体" w:cs="宋体"/>
          <w:color w:val="000000" w:themeColor="text1"/>
          <w:spacing w:val="-3"/>
          <w:sz w:val="24"/>
          <w:szCs w:val="24"/>
          <w:highlight w:val="none"/>
          <w14:textFill>
            <w14:solidFill>
              <w14:schemeClr w14:val="tx1"/>
            </w14:solidFill>
          </w14:textFill>
        </w:rPr>
        <w:t>方如处置不及时，甲方有权指派其它队伍进场，所发生的费用在乙方履约保证金扣除，不足部分由乙方补足。</w:t>
      </w:r>
    </w:p>
    <w:p w14:paraId="7967CE17">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4.上级部门考核评比等活动中一旦出现严重失分，甲方有权终止合同，并不退还履约保</w:t>
      </w:r>
      <w:r>
        <w:rPr>
          <w:rFonts w:hint="eastAsia" w:ascii="宋体" w:hAnsi="宋体" w:eastAsia="宋体" w:cs="宋体"/>
          <w:color w:val="000000" w:themeColor="text1"/>
          <w:spacing w:val="-6"/>
          <w:sz w:val="24"/>
          <w:szCs w:val="24"/>
          <w:highlight w:val="none"/>
          <w14:textFill>
            <w14:solidFill>
              <w14:schemeClr w14:val="tx1"/>
            </w14:solidFill>
          </w14:textFill>
        </w:rPr>
        <w:t>证金。</w:t>
      </w:r>
    </w:p>
    <w:p w14:paraId="2BDA5363">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5.乙方未经甲方书面同意擅自转包、分包，甲方有权</w:t>
      </w:r>
      <w:r>
        <w:rPr>
          <w:rFonts w:hint="eastAsia" w:ascii="宋体" w:hAnsi="宋体" w:eastAsia="宋体" w:cs="宋体"/>
          <w:color w:val="000000" w:themeColor="text1"/>
          <w:spacing w:val="-1"/>
          <w:sz w:val="24"/>
          <w:szCs w:val="24"/>
          <w:highlight w:val="none"/>
          <w14:textFill>
            <w14:solidFill>
              <w14:schemeClr w14:val="tx1"/>
            </w14:solidFill>
          </w14:textFill>
        </w:rPr>
        <w:t>终止合同，并不退还履约保证金。</w:t>
      </w:r>
    </w:p>
    <w:p w14:paraId="087D8E72">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pacing w:val="-1"/>
          <w:sz w:val="24"/>
          <w:szCs w:val="24"/>
          <w:highlight w:val="none"/>
          <w14:textFill>
            <w14:solidFill>
              <w14:schemeClr w14:val="tx1"/>
            </w14:solidFill>
          </w14:textFill>
        </w:rPr>
      </w:pPr>
      <w:bookmarkStart w:id="36" w:name="bookmark11"/>
      <w:bookmarkEnd w:id="36"/>
      <w:r>
        <w:rPr>
          <w:rFonts w:hint="eastAsia" w:ascii="宋体" w:hAnsi="宋体" w:eastAsia="宋体" w:cs="宋体"/>
          <w:color w:val="000000" w:themeColor="text1"/>
          <w:sz w:val="24"/>
          <w:szCs w:val="24"/>
          <w:highlight w:val="none"/>
          <w14:textFill>
            <w14:solidFill>
              <w14:schemeClr w14:val="tx1"/>
            </w14:solidFill>
          </w14:textFill>
        </w:rPr>
        <w:t>6.承包期满后，甲乙双方共同检查所有服务范围内所有路灯及附属设施，乙方未进行维</w:t>
      </w:r>
      <w:r>
        <w:rPr>
          <w:rFonts w:hint="eastAsia" w:ascii="宋体" w:hAnsi="宋体" w:eastAsia="宋体" w:cs="宋体"/>
          <w:color w:val="000000" w:themeColor="text1"/>
          <w:spacing w:val="-1"/>
          <w:sz w:val="24"/>
          <w:szCs w:val="24"/>
          <w:highlight w:val="none"/>
          <w14:textFill>
            <w14:solidFill>
              <w14:schemeClr w14:val="tx1"/>
            </w14:solidFill>
          </w14:textFill>
        </w:rPr>
        <w:t>修养护的，甲方可扣除相应的履约保证金和工程款，或恢复原状。</w:t>
      </w:r>
    </w:p>
    <w:p w14:paraId="158F8505">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7.乙方如连续两次整改不合格或全年两次考核不</w:t>
      </w:r>
      <w:r>
        <w:rPr>
          <w:rFonts w:hint="eastAsia" w:ascii="宋体" w:hAnsi="宋体" w:eastAsia="宋体" w:cs="宋体"/>
          <w:color w:val="000000" w:themeColor="text1"/>
          <w:spacing w:val="-1"/>
          <w:sz w:val="24"/>
          <w:szCs w:val="24"/>
          <w:highlight w:val="none"/>
          <w14:textFill>
            <w14:solidFill>
              <w14:schemeClr w14:val="tx1"/>
            </w14:solidFill>
          </w14:textFill>
        </w:rPr>
        <w:t>合格，甲方有权终止乙方承包合同。</w:t>
      </w:r>
    </w:p>
    <w:p w14:paraId="74BD0977">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8.乙方必须保证作业人员均具有相应的作业证书，做到持证上岗、人证相符，且不得雇</w:t>
      </w:r>
      <w:r>
        <w:rPr>
          <w:rFonts w:hint="eastAsia" w:ascii="宋体" w:hAnsi="宋体" w:eastAsia="宋体" w:cs="宋体"/>
          <w:color w:val="000000" w:themeColor="text1"/>
          <w:spacing w:val="-4"/>
          <w:sz w:val="24"/>
          <w:szCs w:val="24"/>
          <w:highlight w:val="none"/>
          <w14:textFill>
            <w14:solidFill>
              <w14:schemeClr w14:val="tx1"/>
            </w14:solidFill>
          </w14:textFill>
        </w:rPr>
        <w:t>用</w:t>
      </w:r>
      <w:r>
        <w:rPr>
          <w:rFonts w:hint="eastAsia" w:ascii="宋体" w:hAnsi="宋体" w:eastAsia="宋体" w:cs="宋体"/>
          <w:color w:val="000000" w:themeColor="text1"/>
          <w:spacing w:val="-3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18</w:t>
      </w:r>
      <w:r>
        <w:rPr>
          <w:rFonts w:hint="eastAsia" w:ascii="宋体" w:hAnsi="宋体" w:eastAsia="宋体" w:cs="宋体"/>
          <w:color w:val="000000" w:themeColor="text1"/>
          <w:spacing w:val="-42"/>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周岁以下和</w:t>
      </w:r>
      <w:r>
        <w:rPr>
          <w:rFonts w:hint="eastAsia" w:ascii="宋体" w:hAnsi="宋体" w:eastAsia="宋体" w:cs="宋体"/>
          <w:color w:val="000000" w:themeColor="text1"/>
          <w:spacing w:val="-50"/>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60</w:t>
      </w:r>
      <w:r>
        <w:rPr>
          <w:rFonts w:hint="eastAsia" w:ascii="宋体" w:hAnsi="宋体" w:eastAsia="宋体" w:cs="宋体"/>
          <w:color w:val="000000" w:themeColor="text1"/>
          <w:spacing w:val="-42"/>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周岁以上的人员从事高处作业、带电作</w:t>
      </w:r>
      <w:r>
        <w:rPr>
          <w:rFonts w:hint="eastAsia" w:ascii="宋体" w:hAnsi="宋体" w:eastAsia="宋体" w:cs="宋体"/>
          <w:color w:val="000000" w:themeColor="text1"/>
          <w:spacing w:val="-5"/>
          <w:sz w:val="24"/>
          <w:szCs w:val="24"/>
          <w:highlight w:val="none"/>
          <w14:textFill>
            <w14:solidFill>
              <w14:schemeClr w14:val="tx1"/>
            </w14:solidFill>
          </w14:textFill>
        </w:rPr>
        <w:t>业等危险性作业，否则，甲方有权</w:t>
      </w:r>
      <w:r>
        <w:rPr>
          <w:rFonts w:hint="eastAsia" w:ascii="宋体" w:hAnsi="宋体" w:eastAsia="宋体" w:cs="宋体"/>
          <w:color w:val="000000" w:themeColor="text1"/>
          <w:spacing w:val="-2"/>
          <w:sz w:val="24"/>
          <w:szCs w:val="24"/>
          <w:highlight w:val="none"/>
          <w14:textFill>
            <w14:solidFill>
              <w14:schemeClr w14:val="tx1"/>
            </w14:solidFill>
          </w14:textFill>
        </w:rPr>
        <w:t>终止合同，并不退还履约保证金。</w:t>
      </w:r>
    </w:p>
    <w:p w14:paraId="04998F26">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9.因管理措施不当，全年累计受到上级领导点名批评三次或市级及以上新闻媒体曝光三</w:t>
      </w:r>
      <w:r>
        <w:rPr>
          <w:rFonts w:hint="eastAsia" w:ascii="宋体" w:hAnsi="宋体" w:eastAsia="宋体" w:cs="宋体"/>
          <w:color w:val="000000" w:themeColor="text1"/>
          <w:spacing w:val="-1"/>
          <w:sz w:val="24"/>
          <w:szCs w:val="24"/>
          <w:highlight w:val="none"/>
          <w14:textFill>
            <w14:solidFill>
              <w14:schemeClr w14:val="tx1"/>
            </w14:solidFill>
          </w14:textFill>
        </w:rPr>
        <w:t>次的，甲方有权终止合同且向乙方索赔不少</w:t>
      </w:r>
      <w:r>
        <w:rPr>
          <w:rFonts w:hint="eastAsia" w:ascii="宋体" w:hAnsi="宋体" w:eastAsia="宋体" w:cs="宋体"/>
          <w:color w:val="000000" w:themeColor="text1"/>
          <w:spacing w:val="-2"/>
          <w:sz w:val="24"/>
          <w:szCs w:val="24"/>
          <w:highlight w:val="none"/>
          <w14:textFill>
            <w14:solidFill>
              <w14:schemeClr w14:val="tx1"/>
            </w14:solidFill>
          </w14:textFill>
        </w:rPr>
        <w:t>于</w:t>
      </w:r>
      <w:r>
        <w:rPr>
          <w:rFonts w:hint="eastAsia" w:ascii="宋体" w:hAnsi="宋体" w:eastAsia="宋体" w:cs="宋体"/>
          <w:color w:val="000000" w:themeColor="text1"/>
          <w:spacing w:val="-3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1</w:t>
      </w:r>
      <w:r>
        <w:rPr>
          <w:rFonts w:hint="eastAsia" w:ascii="宋体" w:hAnsi="宋体" w:eastAsia="宋体" w:cs="宋体"/>
          <w:color w:val="000000" w:themeColor="text1"/>
          <w:spacing w:val="-42"/>
          <w:sz w:val="24"/>
          <w:szCs w:val="24"/>
          <w:highlight w:val="none"/>
          <w14:textFill>
            <w14:solidFill>
              <w14:schemeClr w14:val="tx1"/>
            </w14:solidFill>
          </w14:textFill>
        </w:rPr>
        <w:t xml:space="preserve"> </w:t>
      </w:r>
      <w:r>
        <w:rPr>
          <w:rFonts w:hint="eastAsia" w:ascii="宋体" w:hAnsi="宋体" w:eastAsia="宋体" w:cs="宋体"/>
          <w:color w:val="000000" w:themeColor="text1"/>
          <w:spacing w:val="-2"/>
          <w:sz w:val="24"/>
          <w:szCs w:val="24"/>
          <w:highlight w:val="none"/>
          <w14:textFill>
            <w14:solidFill>
              <w14:schemeClr w14:val="tx1"/>
            </w14:solidFill>
          </w14:textFill>
        </w:rPr>
        <w:t>万元的名誉损失费，并不退还履约保证金。</w:t>
      </w:r>
    </w:p>
    <w:p w14:paraId="120BD605">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8" w:firstLineChars="200"/>
        <w:textAlignment w:val="baseline"/>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10.合同期内，本合同项目内容乙方应及时进行路灯设施巡查、养护和维修，并自行承担</w:t>
      </w:r>
      <w:r>
        <w:rPr>
          <w:rFonts w:hint="eastAsia" w:ascii="宋体" w:hAnsi="宋体" w:eastAsia="宋体" w:cs="宋体"/>
          <w:color w:val="000000" w:themeColor="text1"/>
          <w:sz w:val="24"/>
          <w:szCs w:val="24"/>
          <w:highlight w:val="none"/>
          <w14:textFill>
            <w14:solidFill>
              <w14:schemeClr w14:val="tx1"/>
            </w14:solidFill>
          </w14:textFill>
        </w:rPr>
        <w:t>所需费用。合同期限届满时，乙方未维修养护的，</w:t>
      </w:r>
      <w:r>
        <w:rPr>
          <w:rFonts w:hint="eastAsia" w:ascii="宋体" w:hAnsi="宋体" w:eastAsia="宋体" w:cs="宋体"/>
          <w:color w:val="000000" w:themeColor="text1"/>
          <w:spacing w:val="-1"/>
          <w:sz w:val="24"/>
          <w:szCs w:val="24"/>
          <w:highlight w:val="none"/>
          <w14:textFill>
            <w14:solidFill>
              <w14:schemeClr w14:val="tx1"/>
            </w14:solidFill>
          </w14:textFill>
        </w:rPr>
        <w:t>甲方可扣除相应的履约保证金和工程款。</w:t>
      </w:r>
    </w:p>
    <w:p w14:paraId="67B3E32A">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8" w:firstLineChars="200"/>
        <w:textAlignment w:val="baseline"/>
        <w:rPr>
          <w:rFonts w:hint="eastAsia" w:ascii="宋体" w:hAnsi="宋体" w:eastAsia="宋体" w:cs="宋体"/>
          <w:color w:val="000000" w:themeColor="text1"/>
          <w:spacing w:val="-5"/>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11.服务管理期限内因服务设施功能缺失或其他原因而带来一切伤亡事故，由乙方承担全</w:t>
      </w:r>
      <w:r>
        <w:rPr>
          <w:rFonts w:hint="eastAsia" w:ascii="宋体" w:hAnsi="宋体" w:eastAsia="宋体" w:cs="宋体"/>
          <w:color w:val="000000" w:themeColor="text1"/>
          <w:spacing w:val="-5"/>
          <w:sz w:val="24"/>
          <w:szCs w:val="24"/>
          <w:highlight w:val="none"/>
          <w14:textFill>
            <w14:solidFill>
              <w14:schemeClr w14:val="tx1"/>
            </w14:solidFill>
          </w14:textFill>
        </w:rPr>
        <w:t>部责任。</w:t>
      </w:r>
    </w:p>
    <w:p w14:paraId="445F8AE3">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12.乙方在作业生产过程中产生的任何安全事故由乙方自己承担，与甲方无关。</w:t>
      </w:r>
    </w:p>
    <w:p w14:paraId="1BDC84B0">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8" w:firstLineChars="200"/>
        <w:textAlignment w:val="baseline"/>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13.因乙方违约，甲方终止或解除全部合同，履约保证金不予退还，未支付的养护费，甲</w:t>
      </w:r>
      <w:r>
        <w:rPr>
          <w:rFonts w:hint="eastAsia" w:ascii="宋体" w:hAnsi="宋体" w:eastAsia="宋体" w:cs="宋体"/>
          <w:color w:val="000000" w:themeColor="text1"/>
          <w:spacing w:val="-2"/>
          <w:sz w:val="24"/>
          <w:szCs w:val="24"/>
          <w:highlight w:val="none"/>
          <w14:textFill>
            <w14:solidFill>
              <w14:schemeClr w14:val="tx1"/>
            </w14:solidFill>
          </w14:textFill>
        </w:rPr>
        <w:t>方不再支付，乙方还需按合同总价的10%向甲方支付违约金，并赔偿因此而给甲方造成的全部</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损失。</w:t>
      </w:r>
    </w:p>
    <w:p w14:paraId="4DE3FE2F">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68" w:firstLineChars="200"/>
        <w:textAlignment w:val="baseline"/>
        <w:rPr>
          <w:rFonts w:hint="eastAsia" w:ascii="宋体" w:hAnsi="宋体" w:eastAsia="宋体" w:cs="宋体"/>
          <w:color w:val="000000" w:themeColor="text1"/>
          <w:spacing w:val="-2"/>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14.凡因本合同或与本合同有关的一切争议，由双方当事人协商解决；协商不成，向甲方</w:t>
      </w:r>
      <w:r>
        <w:rPr>
          <w:rFonts w:hint="eastAsia" w:ascii="宋体" w:hAnsi="宋体" w:eastAsia="宋体" w:cs="宋体"/>
          <w:color w:val="000000" w:themeColor="text1"/>
          <w:spacing w:val="-2"/>
          <w:sz w:val="24"/>
          <w:szCs w:val="24"/>
          <w:highlight w:val="none"/>
          <w14:textFill>
            <w14:solidFill>
              <w14:schemeClr w14:val="tx1"/>
            </w14:solidFill>
          </w14:textFill>
        </w:rPr>
        <w:t>所在地人民法院提起诉讼。</w:t>
      </w:r>
    </w:p>
    <w:p w14:paraId="170418A7">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15.发生争议后，除出现以下情况的，双方都应继续履行合同，保持服务的连续性：</w:t>
      </w:r>
    </w:p>
    <w:p w14:paraId="268C3051">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（1）双方协议停止路灯设施巡查、养护和维修作业；</w:t>
      </w:r>
    </w:p>
    <w:p w14:paraId="383A9E0F">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（2）仲裁机关要求停止路灯设施巡查、养护和维修作业；</w:t>
      </w:r>
    </w:p>
    <w:p w14:paraId="6A006E0C">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6"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（3）法院要求停止路灯设施巡查、养护和维修作业。</w:t>
      </w:r>
    </w:p>
    <w:p w14:paraId="33DAB639">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8"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6"/>
          <w:sz w:val="24"/>
          <w:szCs w:val="24"/>
          <w:highlight w:val="none"/>
          <w14:textFill>
            <w14:solidFill>
              <w14:schemeClr w14:val="tx1"/>
            </w14:solidFill>
          </w14:textFill>
        </w:rPr>
        <w:t>十三、合同中止、终止</w:t>
      </w:r>
    </w:p>
    <w:p w14:paraId="327C7F91">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72"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合同范围内的服务管理项目，乙方不得采取任何形式实施分包和转包，凡违反此规定的，</w:t>
      </w:r>
      <w:r>
        <w:rPr>
          <w:rFonts w:hint="eastAsia" w:ascii="宋体" w:hAnsi="宋体" w:eastAsia="宋体" w:cs="宋体"/>
          <w:color w:val="000000" w:themeColor="text1"/>
          <w:spacing w:val="-3"/>
          <w:sz w:val="24"/>
          <w:szCs w:val="24"/>
          <w:highlight w:val="none"/>
          <w14:textFill>
            <w14:solidFill>
              <w14:schemeClr w14:val="tx1"/>
            </w14:solidFill>
          </w14:textFill>
        </w:rPr>
        <w:t>甲方将立即取消乙方的承包资格，中止或终止本合同的履行，由此产生的一切法律责任和经济</w:t>
      </w:r>
      <w:r>
        <w:rPr>
          <w:rFonts w:hint="eastAsia" w:ascii="宋体" w:hAnsi="宋体" w:eastAsia="宋体" w:cs="宋体"/>
          <w:color w:val="000000" w:themeColor="text1"/>
          <w:spacing w:val="-2"/>
          <w:sz w:val="24"/>
          <w:szCs w:val="24"/>
          <w:highlight w:val="none"/>
          <w14:textFill>
            <w14:solidFill>
              <w14:schemeClr w14:val="tx1"/>
            </w14:solidFill>
          </w14:textFill>
        </w:rPr>
        <w:t>损失由乙方承担。</w:t>
      </w:r>
    </w:p>
    <w:p w14:paraId="2DB4A5D7">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4" w:firstLineChars="200"/>
        <w:textAlignment w:val="baseline"/>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pacing w:val="-7"/>
          <w:sz w:val="24"/>
          <w:szCs w:val="24"/>
          <w:highlight w:val="none"/>
          <w14:textFill>
            <w14:solidFill>
              <w14:schemeClr w14:val="tx1"/>
            </w14:solidFill>
          </w14:textFill>
        </w:rPr>
        <w:t>十四、执行标准、规范</w:t>
      </w:r>
    </w:p>
    <w:p w14:paraId="1B4E6EF2">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1.《城市道路照明设计标准》（CJJ45-2015） </w:t>
      </w:r>
    </w:p>
    <w:p w14:paraId="6BA14CF7">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2.《城市夜景照明设计规范》(JGJ/T163-2008) </w:t>
      </w:r>
    </w:p>
    <w:p w14:paraId="2732BB9F">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3.《城市照明设施养护维修服务标准》（DB3301/T 0165-2015） </w:t>
      </w:r>
    </w:p>
    <w:p w14:paraId="15F60060">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4.《建筑电气照明装置施工与验收规范》（GB50617—2010） </w:t>
      </w:r>
    </w:p>
    <w:p w14:paraId="15B4DCCA">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5.《建筑施工高处作业安全技术规范》（JGJ80-2016） </w:t>
      </w:r>
    </w:p>
    <w:p w14:paraId="09E5440E">
      <w:pPr>
        <w:keepNext w:val="0"/>
        <w:keepLines w:val="0"/>
        <w:pageBreakBefore w:val="0"/>
        <w:widowControl/>
        <w:kinsoku/>
        <w:wordWrap/>
        <w:overflowPunct w:val="0"/>
        <w:topLinePunct w:val="0"/>
        <w:bidi w:val="0"/>
        <w:spacing w:line="440" w:lineRule="exact"/>
        <w:ind w:firstLine="480" w:firstLineChars="2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6.《城市道路照明设施养护规程》（DB32/T3699-2019） </w:t>
      </w:r>
    </w:p>
    <w:p w14:paraId="65ED41F8">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0" w:firstLineChars="200"/>
        <w:textAlignment w:val="baseline"/>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7.其他国家有关强制性标准的规定。 </w:t>
      </w:r>
    </w:p>
    <w:p w14:paraId="36E4CCEA">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82" w:firstLineChars="200"/>
        <w:textAlignment w:val="baseline"/>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如省、市相应规范标准有更新，按照最新版本执行。</w:t>
      </w:r>
    </w:p>
    <w:p w14:paraId="57BBD57B">
      <w:pPr>
        <w:pStyle w:val="2"/>
        <w:keepNext w:val="0"/>
        <w:keepLines w:val="0"/>
        <w:pageBreakBefore w:val="0"/>
        <w:widowControl/>
        <w:kinsoku/>
        <w:wordWrap/>
        <w:overflowPunct w:val="0"/>
        <w:topLinePunct w:val="0"/>
        <w:autoSpaceDE w:val="0"/>
        <w:autoSpaceDN w:val="0"/>
        <w:bidi w:val="0"/>
        <w:adjustRightInd w:val="0"/>
        <w:snapToGrid w:val="0"/>
        <w:spacing w:after="0" w:line="440" w:lineRule="exact"/>
        <w:ind w:firstLine="452" w:firstLineChars="200"/>
        <w:textAlignment w:val="baseline"/>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在本合同执行过程中如遇和国家政策、地方法规的有关规定不符时，按有关政策法规执行。</w:t>
      </w:r>
    </w:p>
    <w:p w14:paraId="5DAC1EC4">
      <w:pPr>
        <w:keepNext w:val="0"/>
        <w:keepLines w:val="0"/>
        <w:pageBreakBefore w:val="0"/>
        <w:widowControl/>
        <w:kinsoku/>
        <w:wordWrap/>
        <w:topLinePunct w:val="0"/>
        <w:bidi w:val="0"/>
        <w:spacing w:line="44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十五、合同纠纷处理</w:t>
      </w:r>
    </w:p>
    <w:p w14:paraId="7FB6E0CF">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本合同执行过程中发生纠纷，由甲乙双方协商解决，若协商不成，作如下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1  </w:t>
      </w:r>
      <w:r>
        <w:rPr>
          <w:rFonts w:hint="eastAsia" w:ascii="宋体" w:hAnsi="宋体" w:eastAsia="宋体" w:cs="宋体"/>
          <w:color w:val="000000" w:themeColor="text1"/>
          <w:sz w:val="24"/>
          <w:szCs w:val="24"/>
          <w:highlight w:val="none"/>
          <w14:textFill>
            <w14:solidFill>
              <w14:schemeClr w14:val="tx1"/>
            </w14:solidFill>
          </w14:textFill>
        </w:rPr>
        <w:t xml:space="preserve">处理: </w:t>
      </w:r>
    </w:p>
    <w:p w14:paraId="42BD4B7C">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申请仲裁。选定仲裁机构为淮安仲裁委员会。 </w:t>
      </w:r>
    </w:p>
    <w:p w14:paraId="16010951">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提起诉讼。约定由</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 xml:space="preserve">所在地法院管辖。 </w:t>
      </w:r>
    </w:p>
    <w:p w14:paraId="51DBCBEA">
      <w:pPr>
        <w:keepNext w:val="0"/>
        <w:keepLines w:val="0"/>
        <w:pageBreakBefore w:val="0"/>
        <w:widowControl/>
        <w:kinsoku/>
        <w:wordWrap/>
        <w:topLinePunct w:val="0"/>
        <w:bidi w:val="0"/>
        <w:spacing w:line="44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十六、合同生效及其它</w:t>
      </w:r>
    </w:p>
    <w:p w14:paraId="692AFA41">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1.本合同经甲、乙双方加盖电子签章后生效。</w:t>
      </w:r>
      <w:r>
        <w:rPr>
          <w:rFonts w:hint="eastAsia" w:ascii="宋体" w:hAnsi="宋体" w:eastAsia="宋体" w:cs="宋体"/>
          <w:color w:val="000000" w:themeColor="text1"/>
          <w:spacing w:val="-3"/>
          <w:sz w:val="24"/>
          <w:szCs w:val="24"/>
          <w:highlight w:val="none"/>
          <w14:textFill>
            <w14:solidFill>
              <w14:schemeClr w14:val="tx1"/>
            </w14:solidFill>
          </w14:textFill>
        </w:rPr>
        <w:t>双方履行合同全部义务，合同价款支付完毕后，本合同即告</w:t>
      </w:r>
      <w:r>
        <w:rPr>
          <w:rFonts w:hint="eastAsia" w:ascii="宋体" w:hAnsi="宋体" w:eastAsia="宋体" w:cs="宋体"/>
          <w:color w:val="000000" w:themeColor="text1"/>
          <w:spacing w:val="-6"/>
          <w:sz w:val="24"/>
          <w:szCs w:val="24"/>
          <w:highlight w:val="none"/>
          <w14:textFill>
            <w14:solidFill>
              <w14:schemeClr w14:val="tx1"/>
            </w14:solidFill>
          </w14:textFill>
        </w:rPr>
        <w:t>终止。</w:t>
      </w:r>
    </w:p>
    <w:p w14:paraId="4F615AC5">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2.如有变动，必须经甲方、乙方协商一致后，方可更改。</w:t>
      </w:r>
    </w:p>
    <w:p w14:paraId="4F040D06">
      <w:pPr>
        <w:keepNext w:val="0"/>
        <w:keepLines w:val="0"/>
        <w:pageBreakBefore w:val="0"/>
        <w:widowControl/>
        <w:kinsoku/>
        <w:wordWrap/>
        <w:topLinePunct w:val="0"/>
        <w:bidi w:val="0"/>
        <w:spacing w:line="440" w:lineRule="exact"/>
        <w:ind w:firstLine="476" w:firstLineChars="200"/>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3.如遇自然灾害和不可抗力造成损失的，经双方协商解决。本合同如有未尽事宜，双方可通过协商补充协议解决。</w:t>
      </w:r>
    </w:p>
    <w:p w14:paraId="55930B7F">
      <w:pPr>
        <w:pStyle w:val="2"/>
        <w:keepNext w:val="0"/>
        <w:keepLines w:val="0"/>
        <w:pageBreakBefore w:val="0"/>
        <w:widowControl/>
        <w:kinsoku/>
        <w:wordWrap/>
        <w:overflowPunct w:val="0"/>
        <w:topLinePunct w:val="0"/>
        <w:bidi w:val="0"/>
        <w:spacing w:after="0" w:line="440" w:lineRule="exact"/>
        <w:ind w:firstLine="476" w:firstLineChars="200"/>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4.双方约定合同份数：本合同一式陆份，甲方、乙方各执</w:t>
      </w:r>
      <w:r>
        <w:rPr>
          <w:rFonts w:hint="eastAsia" w:ascii="宋体" w:hAnsi="宋体" w:eastAsia="宋体" w:cs="宋体"/>
          <w:color w:val="000000" w:themeColor="text1"/>
          <w:spacing w:val="-2"/>
          <w:sz w:val="24"/>
          <w:szCs w:val="24"/>
          <w:highlight w:val="none"/>
          <w14:textFill>
            <w14:solidFill>
              <w14:schemeClr w14:val="tx1"/>
            </w14:solidFill>
          </w14:textFill>
        </w:rPr>
        <w:t>贰份，代理机构、监督方各执壹份。</w:t>
      </w:r>
    </w:p>
    <w:p w14:paraId="208C34C0">
      <w:pPr>
        <w:keepNext w:val="0"/>
        <w:keepLines w:val="0"/>
        <w:pageBreakBefore w:val="0"/>
        <w:widowControl/>
        <w:kinsoku/>
        <w:wordWrap/>
        <w:topLinePunct w:val="0"/>
        <w:bidi w:val="0"/>
        <w:spacing w:line="44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十七、组成本合同的文件包括：</w:t>
      </w:r>
    </w:p>
    <w:p w14:paraId="7614BDE2">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1.合同格式及条款；</w:t>
      </w:r>
    </w:p>
    <w:p w14:paraId="3CF3FD93">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2.招标文件和乙方的投标文件； </w:t>
      </w:r>
    </w:p>
    <w:p w14:paraId="43F32A00">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3.中标通知书； </w:t>
      </w:r>
    </w:p>
    <w:p w14:paraId="1D52D55E">
      <w:pPr>
        <w:keepNext w:val="0"/>
        <w:keepLines w:val="0"/>
        <w:pageBreakBefore w:val="0"/>
        <w:widowControl/>
        <w:kinsoku/>
        <w:wordWrap/>
        <w:topLinePunct w:val="0"/>
        <w:bidi w:val="0"/>
        <w:spacing w:line="44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4.甲乙双方商定的其他必要文件。 上述合同文件内容互为补充，如有不明确，由甲方负责解释。</w:t>
      </w:r>
    </w:p>
    <w:p w14:paraId="41403CCF">
      <w:pPr>
        <w:pStyle w:val="2"/>
        <w:keepNext w:val="0"/>
        <w:keepLines w:val="0"/>
        <w:pageBreakBefore w:val="0"/>
        <w:widowControl/>
        <w:kinsoku/>
        <w:wordWrap/>
        <w:topLinePunct w:val="0"/>
        <w:bidi w:val="0"/>
        <w:spacing w:after="0" w:line="440" w:lineRule="exact"/>
        <w:ind w:firstLine="440" w:firstLineChars="200"/>
        <w:rPr>
          <w:rFonts w:hint="eastAsia" w:ascii="宋体" w:hAnsi="宋体" w:eastAsia="宋体" w:cs="宋体"/>
          <w:color w:val="000000" w:themeColor="text1"/>
          <w:spacing w:val="-10"/>
          <w:sz w:val="24"/>
          <w:szCs w:val="24"/>
          <w:highlight w:val="none"/>
          <w14:textFill>
            <w14:solidFill>
              <w14:schemeClr w14:val="tx1"/>
            </w14:solidFill>
          </w14:textFill>
        </w:rPr>
      </w:pPr>
    </w:p>
    <w:p w14:paraId="7B6415F9">
      <w:pPr>
        <w:keepNext w:val="0"/>
        <w:keepLines w:val="0"/>
        <w:pageBreakBefore w:val="0"/>
        <w:widowControl/>
        <w:kinsoku/>
        <w:wordWrap/>
        <w:topLinePunct w:val="0"/>
        <w:bidi w:val="0"/>
        <w:spacing w:line="440" w:lineRule="exact"/>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附件1：安全管理协议</w:t>
      </w:r>
    </w:p>
    <w:p w14:paraId="6DE6E00B">
      <w:pPr>
        <w:keepNext w:val="0"/>
        <w:keepLines w:val="0"/>
        <w:pageBreakBefore w:val="0"/>
        <w:widowControl/>
        <w:kinsoku/>
        <w:wordWrap/>
        <w:topLinePunct w:val="0"/>
        <w:bidi w:val="0"/>
        <w:spacing w:line="440" w:lineRule="exact"/>
        <w:ind w:firstLine="482" w:firstLineChars="200"/>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附件2：</w:t>
      </w:r>
      <w:r>
        <w:rPr>
          <w:rFonts w:hint="eastAsia" w:ascii="宋体" w:hAnsi="宋体" w:eastAsia="宋体" w:cs="宋体"/>
          <w:b/>
          <w:bCs/>
          <w:color w:val="000000" w:themeColor="text1"/>
          <w:sz w:val="24"/>
          <w:szCs w:val="24"/>
          <w:highlight w:val="none"/>
          <w:lang w:bidi="ar"/>
          <w14:textFill>
            <w14:solidFill>
              <w14:schemeClr w14:val="tx1"/>
            </w14:solidFill>
          </w14:textFill>
        </w:rPr>
        <w:t>经开区主城区、徐杨片区、南马厂片路灯、变压器、控制箱</w:t>
      </w:r>
    </w:p>
    <w:p w14:paraId="7EA8E5F8">
      <w:pPr>
        <w:keepNext w:val="0"/>
        <w:keepLines w:val="0"/>
        <w:pageBreakBefore w:val="0"/>
        <w:widowControl/>
        <w:kinsoku/>
        <w:wordWrap/>
        <w:topLinePunct w:val="0"/>
        <w:bidi w:val="0"/>
        <w:spacing w:line="440" w:lineRule="exact"/>
        <w:ind w:firstLine="1446" w:firstLineChars="600"/>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详细清单</w:t>
      </w:r>
    </w:p>
    <w:p w14:paraId="27B8DCB6">
      <w:pPr>
        <w:pStyle w:val="2"/>
        <w:keepNext w:val="0"/>
        <w:keepLines w:val="0"/>
        <w:pageBreakBefore w:val="0"/>
        <w:widowControl/>
        <w:kinsoku/>
        <w:wordWrap/>
        <w:topLinePunct w:val="0"/>
        <w:bidi w:val="0"/>
        <w:spacing w:after="0" w:line="440" w:lineRule="exact"/>
        <w:ind w:firstLine="440" w:firstLineChars="200"/>
        <w:rPr>
          <w:rFonts w:hint="eastAsia" w:ascii="宋体" w:hAnsi="宋体" w:eastAsia="宋体" w:cs="宋体"/>
          <w:color w:val="000000" w:themeColor="text1"/>
          <w:spacing w:val="-10"/>
          <w:sz w:val="24"/>
          <w:szCs w:val="24"/>
          <w:highlight w:val="none"/>
          <w14:textFill>
            <w14:solidFill>
              <w14:schemeClr w14:val="tx1"/>
            </w14:solidFill>
          </w14:textFill>
        </w:rPr>
      </w:pPr>
    </w:p>
    <w:p w14:paraId="1AAE50BE">
      <w:pPr>
        <w:pStyle w:val="2"/>
        <w:keepNext w:val="0"/>
        <w:keepLines w:val="0"/>
        <w:pageBreakBefore w:val="0"/>
        <w:widowControl/>
        <w:kinsoku/>
        <w:wordWrap/>
        <w:topLinePunct w:val="0"/>
        <w:bidi w:val="0"/>
        <w:spacing w:after="0" w:line="440" w:lineRule="exact"/>
        <w:ind w:firstLine="440" w:firstLineChars="200"/>
        <w:rPr>
          <w:rFonts w:hint="eastAsia" w:ascii="宋体" w:hAnsi="宋体" w:eastAsia="宋体" w:cs="宋体"/>
          <w:color w:val="000000" w:themeColor="text1"/>
          <w:spacing w:val="-10"/>
          <w:sz w:val="24"/>
          <w:szCs w:val="24"/>
          <w:highlight w:val="none"/>
          <w14:textFill>
            <w14:solidFill>
              <w14:schemeClr w14:val="tx1"/>
            </w14:solidFill>
          </w14:textFill>
        </w:rPr>
      </w:pPr>
    </w:p>
    <w:p w14:paraId="6C2B6C21">
      <w:pPr>
        <w:pStyle w:val="2"/>
        <w:keepNext w:val="0"/>
        <w:keepLines w:val="0"/>
        <w:pageBreakBefore w:val="0"/>
        <w:widowControl/>
        <w:kinsoku/>
        <w:wordWrap/>
        <w:topLinePunct w:val="0"/>
        <w:bidi w:val="0"/>
        <w:spacing w:after="0" w:line="440" w:lineRule="exact"/>
        <w:ind w:firstLine="44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甲</w:t>
      </w:r>
      <w:r>
        <w:rPr>
          <w:rFonts w:hint="eastAsia" w:ascii="宋体" w:hAnsi="宋体" w:eastAsia="宋体" w:cs="宋体"/>
          <w:color w:val="000000" w:themeColor="text1"/>
          <w:spacing w:val="8"/>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方:                          </w:t>
      </w:r>
      <w:r>
        <w:rPr>
          <w:rFonts w:hint="eastAsia" w:ascii="宋体" w:hAnsi="宋体" w:eastAsia="宋体" w:cs="宋体"/>
          <w:color w:val="000000" w:themeColor="text1"/>
          <w:spacing w:val="-1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0"/>
          <w:sz w:val="24"/>
          <w:szCs w:val="24"/>
          <w:highlight w:val="none"/>
          <w14:textFill>
            <w14:solidFill>
              <w14:schemeClr w14:val="tx1"/>
            </w14:solidFill>
          </w14:textFill>
        </w:rPr>
        <w:t>乙</w:t>
      </w:r>
      <w:r>
        <w:rPr>
          <w:rFonts w:hint="eastAsia" w:ascii="宋体" w:hAnsi="宋体" w:eastAsia="宋体" w:cs="宋体"/>
          <w:color w:val="000000" w:themeColor="text1"/>
          <w:spacing w:val="5"/>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0"/>
          <w:sz w:val="24"/>
          <w:szCs w:val="24"/>
          <w:highlight w:val="none"/>
          <w14:textFill>
            <w14:solidFill>
              <w14:schemeClr w14:val="tx1"/>
            </w14:solidFill>
          </w14:textFill>
        </w:rPr>
        <w:t>方:</w:t>
      </w:r>
    </w:p>
    <w:p w14:paraId="524B82B5">
      <w:pPr>
        <w:pStyle w:val="2"/>
        <w:keepNext w:val="0"/>
        <w:keepLines w:val="0"/>
        <w:pageBreakBefore w:val="0"/>
        <w:widowControl/>
        <w:kinsoku/>
        <w:wordWrap/>
        <w:topLinePunct w:val="0"/>
        <w:bidi w:val="0"/>
        <w:spacing w:after="0" w:line="440" w:lineRule="exact"/>
        <w:ind w:firstLine="46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单位盖章:</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单位盖章:</w:t>
      </w:r>
    </w:p>
    <w:p w14:paraId="5EB9C251">
      <w:pPr>
        <w:pStyle w:val="2"/>
        <w:keepNext w:val="0"/>
        <w:keepLines w:val="0"/>
        <w:pageBreakBefore w:val="0"/>
        <w:widowControl/>
        <w:kinsoku/>
        <w:wordWrap/>
        <w:topLinePunct w:val="0"/>
        <w:bidi w:val="0"/>
        <w:spacing w:after="0" w:line="440" w:lineRule="exact"/>
        <w:ind w:firstLine="46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代表签字:</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代表签字:</w:t>
      </w:r>
    </w:p>
    <w:p w14:paraId="3C511B12">
      <w:pPr>
        <w:pStyle w:val="2"/>
        <w:keepNext w:val="0"/>
        <w:keepLines w:val="0"/>
        <w:pageBreakBefore w:val="0"/>
        <w:widowControl/>
        <w:kinsoku/>
        <w:wordWrap/>
        <w:topLinePunct w:val="0"/>
        <w:bidi w:val="0"/>
        <w:spacing w:after="0" w:line="440" w:lineRule="exact"/>
        <w:ind w:firstLine="46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签定日期:</w:t>
      </w:r>
      <w:r>
        <w:rPr>
          <w:rFonts w:hint="eastAsia" w:ascii="宋体" w:hAnsi="宋体" w:eastAsia="宋体" w:cs="宋体"/>
          <w:color w:val="000000" w:themeColor="text1"/>
          <w:spacing w:val="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5"/>
          <w:sz w:val="24"/>
          <w:szCs w:val="24"/>
          <w:highlight w:val="none"/>
          <w14:textFill>
            <w14:solidFill>
              <w14:schemeClr w14:val="tx1"/>
            </w14:solidFill>
          </w14:textFill>
        </w:rPr>
        <w:t>签定日期:</w:t>
      </w:r>
    </w:p>
    <w:p w14:paraId="1986F9CC">
      <w:pPr>
        <w:widowControl/>
        <w:tabs>
          <w:tab w:val="left" w:pos="180"/>
        </w:tabs>
        <w:spacing w:line="360" w:lineRule="auto"/>
        <w:ind w:firstLine="562" w:firstLineChars="200"/>
        <w:rPr>
          <w:rFonts w:hint="eastAsia" w:ascii="宋体" w:hAnsi="宋体" w:cs="宋体"/>
          <w:b/>
          <w:color w:val="000000" w:themeColor="text1"/>
          <w:sz w:val="28"/>
          <w:szCs w:val="28"/>
          <w:highlight w:val="none"/>
          <w14:textFill>
            <w14:solidFill>
              <w14:schemeClr w14:val="tx1"/>
            </w14:solidFill>
          </w14:textFill>
        </w:rPr>
      </w:pPr>
    </w:p>
    <w:p w14:paraId="3188F480">
      <w:pPr>
        <w:rPr>
          <w:rFonts w:hint="eastAsia" w:ascii="宋体" w:hAnsi="宋体" w:cs="宋体"/>
          <w:b/>
          <w:color w:val="000000" w:themeColor="text1"/>
          <w:sz w:val="36"/>
          <w:szCs w:val="36"/>
          <w:highlight w:val="none"/>
          <w14:textFill>
            <w14:solidFill>
              <w14:schemeClr w14:val="tx1"/>
            </w14:solidFill>
          </w14:textFill>
        </w:rPr>
      </w:pPr>
    </w:p>
    <w:p w14:paraId="5B2CB52F">
      <w:pP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r>
    </w:p>
    <w:p w14:paraId="091E37B5">
      <w:pPr>
        <w:widowControl/>
        <w:tabs>
          <w:tab w:val="left" w:pos="180"/>
        </w:tabs>
        <w:spacing w:line="360" w:lineRule="auto"/>
        <w:ind w:firstLine="723" w:firstLineChars="200"/>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二、合同条款（通用条款）</w:t>
      </w:r>
    </w:p>
    <w:p w14:paraId="702634B8">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1.定义</w:t>
      </w:r>
    </w:p>
    <w:p w14:paraId="4055BF17">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本合同中下列术语应解释为：</w:t>
      </w:r>
    </w:p>
    <w:p w14:paraId="30CC2F5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（1）“合同”系指甲方和乙方（以下简称合同双方）签署的、合同格式中列明的合同双方所达成的协议，包括所有的附件、附录和构成合同的所有文件。</w:t>
      </w:r>
    </w:p>
    <w:p w14:paraId="204F3D9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（2）“合同价”系指根据合同规定，乙方在完全履行合同义务后甲方应支付给乙方的价格。</w:t>
      </w:r>
    </w:p>
    <w:p w14:paraId="4AFC0DD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（3）“货物（含软件及相关服务）”系指乙方按合同要求，须向甲方提供的一切设备、机械、仪表、备件、工具、技术及手册等有关材料。</w:t>
      </w:r>
    </w:p>
    <w:p w14:paraId="6D3E24C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（4）“服务”系指根据合同规定乙方承担与供货有关的所有辅助服务，如运输、保险以及其它的服务，如安装、调试、提供技术援助、培训和其他类似的义务。</w:t>
      </w:r>
    </w:p>
    <w:p w14:paraId="16E7317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（5）“甲方”系指购买货物（含软件及相关服务）的单位。</w:t>
      </w:r>
    </w:p>
    <w:p w14:paraId="42294396">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（6）“乙方”系指根据合同规定提供货物（含软件及相关服务）和服务的</w:t>
      </w:r>
      <w:r>
        <w:rPr>
          <w:rFonts w:hint="eastAsia" w:ascii="宋体" w:hAnsi="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w:t>
      </w:r>
    </w:p>
    <w:p w14:paraId="4862495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2.技术规范</w:t>
      </w:r>
    </w:p>
    <w:p w14:paraId="36FDB19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2.1提交货物（含软件及相关服务）的技术规范应与</w:t>
      </w:r>
      <w:r>
        <w:rPr>
          <w:rFonts w:hint="eastAsia" w:ascii="宋体" w:hAnsi="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 xml:space="preserve">的技术规范和技术规范附件（如果有的话）及响应文件的规格响应表（如果被甲方接受的话）相一致。若技术规范中无相应说明，则以国家有关部门最新颁布的相应标准及规范为准。 </w:t>
      </w:r>
    </w:p>
    <w:p w14:paraId="3AE463D6">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3.专利权</w:t>
      </w:r>
    </w:p>
    <w:p w14:paraId="4E3D6B8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2731289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4.包装要求</w:t>
      </w:r>
    </w:p>
    <w:p w14:paraId="21BAE86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除合同另有规定外，乙方提供的全部货物（含软件及相关服务），均应按相应的标准保护措施进行包装，使包装适应于远距离运输、防潮、防震、防锈和防粗暴装卸，确保货物（含软件及相关服务）安全无损运抵至现场。由于包装不善所引起的货物（含软件及相关服务）锈蚀、损坏和损失均由乙方承担。</w:t>
      </w:r>
    </w:p>
    <w:p w14:paraId="5F7C05F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4.2每件包装箱内应附一份详细装箱单和质量合格证。</w:t>
      </w:r>
    </w:p>
    <w:p w14:paraId="4391CEB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5.装运标志</w:t>
      </w:r>
    </w:p>
    <w:p w14:paraId="0AFAEB2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5.1乙方应在每一包装箱邻接的四侧用不褪色的油漆以醒目的中文字样做出下列标记： </w:t>
      </w:r>
    </w:p>
    <w:p w14:paraId="6A61C015">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（1）收货人 </w:t>
      </w:r>
    </w:p>
    <w:p w14:paraId="2AE93FA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（2）合同号 </w:t>
      </w:r>
    </w:p>
    <w:p w14:paraId="4B93D3E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（3）装运标志 </w:t>
      </w:r>
    </w:p>
    <w:p w14:paraId="6D301807">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（4）收货人代号 </w:t>
      </w:r>
    </w:p>
    <w:p w14:paraId="6CA7D4A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（5）目的地 </w:t>
      </w:r>
    </w:p>
    <w:p w14:paraId="249655A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（6）货物（含软件及相关服务）名称、品目号和箱号</w:t>
      </w:r>
    </w:p>
    <w:p w14:paraId="19F4C8B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（7）毛重／净重 </w:t>
      </w:r>
    </w:p>
    <w:p w14:paraId="379523F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（8）尺寸（长X宽X高，以厘米计） </w:t>
      </w:r>
    </w:p>
    <w:p w14:paraId="5FFF237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765B2978">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5.3因缺少装运标志或者装运标志不明确导致货物在运输、装卸过程中产生的损失，乙方应承担相应的过错责任。</w:t>
      </w:r>
    </w:p>
    <w:p w14:paraId="68BC8D7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6.付款方式</w:t>
      </w:r>
    </w:p>
    <w:p w14:paraId="2CF5E08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6.1本合同以人民币付款。</w:t>
      </w:r>
    </w:p>
    <w:p w14:paraId="405396C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6.2乙方应按照与甲方签订的合同规定交货。交货后乙方向甲方提供下列单据，甲方按合同规定审核后付款：</w:t>
      </w:r>
    </w:p>
    <w:p w14:paraId="5013987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（1）发票；</w:t>
      </w:r>
    </w:p>
    <w:p w14:paraId="34C7514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（2）制造厂家出具的质量检验证书等；</w:t>
      </w:r>
    </w:p>
    <w:p w14:paraId="268C125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（3）装箱单；</w:t>
      </w:r>
    </w:p>
    <w:p w14:paraId="72288E4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（4）验收合格证；</w:t>
      </w:r>
    </w:p>
    <w:p w14:paraId="3E2D8D80">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（5）使用方加盖公章证明货物交付使用合格的验收表。</w:t>
      </w:r>
    </w:p>
    <w:p w14:paraId="7C3DED2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6.3甲方将按</w:t>
      </w:r>
      <w:r>
        <w:rPr>
          <w:rFonts w:hint="eastAsia" w:ascii="宋体" w:hAnsi="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中规定的付款方式安排付款。</w:t>
      </w:r>
    </w:p>
    <w:p w14:paraId="2BC54F8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7.伴随服务</w:t>
      </w:r>
    </w:p>
    <w:p w14:paraId="155400D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7.1乙方应按照国家有关规定和合同中所附的服务承诺提供服务。</w:t>
      </w:r>
    </w:p>
    <w:p w14:paraId="64CE3AC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7.2除第7.1条规定外，乙方还应提供下列服务：</w:t>
      </w:r>
    </w:p>
    <w:p w14:paraId="4A0F387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（1）货物的现场安装和启动监督；</w:t>
      </w:r>
    </w:p>
    <w:p w14:paraId="6F88753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（2）提供货物组装和维修所需的工具；</w:t>
      </w:r>
    </w:p>
    <w:p w14:paraId="76DC472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（3）在合同中乙方承诺的期限内对所提供货物实施运行监督、维修，但前提条件是该服务并不能免除乙方在质量保证期内应承担的义务；</w:t>
      </w:r>
    </w:p>
    <w:p w14:paraId="469469F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（4）在项目交货现场就货物的安装、启动、运行、维护对甲方人员进行培训。</w:t>
      </w:r>
    </w:p>
    <w:p w14:paraId="634E0EA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7.3伴随服务的费用应含在合同价中，不单独进行支付。</w:t>
      </w:r>
    </w:p>
    <w:p w14:paraId="0403164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8.质量保证</w:t>
      </w:r>
    </w:p>
    <w:p w14:paraId="0848F96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152117EF">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66C787F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乙方在收到通知后三天内应免费维修或更换有缺陷的货物（含软件及相关服务）或部件。 </w:t>
      </w:r>
    </w:p>
    <w:p w14:paraId="37D6A277">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8.4 如果乙方在收到通知后三天内没有弥补缺陷，甲方可采取必要的补救措施，但风险和费用将由乙方承担。</w:t>
      </w:r>
    </w:p>
    <w:p w14:paraId="346C790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8.5 除合同专用条款规定外，合同项下货物（含软件及相关服务）的质量保证期为自货物（含软件及相关服务）通过最终验收起12月。</w:t>
      </w:r>
    </w:p>
    <w:p w14:paraId="109595D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9.检验及安装</w:t>
      </w:r>
    </w:p>
    <w:p w14:paraId="3E82CFC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23B54BA0">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 </w:t>
      </w:r>
    </w:p>
    <w:p w14:paraId="2E29B70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1782049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 甲方有权提出在货物（含软件及相关服务）制造过程中派人到制造厂进行监造，乙方有义务为甲方监造人员提供方便。</w:t>
      </w:r>
    </w:p>
    <w:p w14:paraId="22A7FAB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9.5 制造厂对所供货物（含软件及相关服务）进行机械运转试验和性能试验时，必须提前通知甲方。 </w:t>
      </w:r>
    </w:p>
    <w:p w14:paraId="654B9A4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9.6 货物（含软件及相关服务）的安装按</w:t>
      </w:r>
      <w:r>
        <w:rPr>
          <w:rFonts w:hint="eastAsia" w:ascii="宋体" w:hAnsi="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要求进行。</w:t>
      </w:r>
    </w:p>
    <w:p w14:paraId="195F81E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10.索赔</w:t>
      </w:r>
    </w:p>
    <w:p w14:paraId="12CEA28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甲方有权根据甲方按检验标准自己检验的结果或当地商检部门出具的商检证书向乙方提出索赔。 </w:t>
      </w:r>
    </w:p>
    <w:p w14:paraId="146EDEA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10.2 在第 8条和第9条规定的检验期和质量保证期内，如果乙方对甲方提出的索赔和差异负有责任，乙方应按照甲方同意的下列一种或多种方式解决索赔事宜：</w:t>
      </w:r>
    </w:p>
    <w:p w14:paraId="7A31FD1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67EFEB97">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（2）根据货物（含软件及相关服务）的低劣程度、损坏程度以及甲方遭受损失的数额，经买卖双方商定降低货物（含软件及相关服务）的价格。</w:t>
      </w:r>
    </w:p>
    <w:p w14:paraId="01759818">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0042BF0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p>
    <w:p w14:paraId="038268F2">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11.拖延交货</w:t>
      </w:r>
    </w:p>
    <w:p w14:paraId="17BB3666">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乙方应按照合同专用条款中规定的交货期交货和提供服务。 </w:t>
      </w:r>
    </w:p>
    <w:p w14:paraId="6E683EAC">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如果乙方毫无理由地拖延交货，将受到以下制裁：没收履约保证金，加收违约损失赔偿和／或终止合同。 </w:t>
      </w:r>
    </w:p>
    <w:p w14:paraId="2DEF00C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617340D1">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12.误期赔偿</w:t>
      </w:r>
    </w:p>
    <w:p w14:paraId="501F3E6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3CF2B1C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13.不可抗力</w:t>
      </w:r>
    </w:p>
    <w:p w14:paraId="376F0EA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66D07AA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p>
    <w:p w14:paraId="753FBF5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14.税费</w:t>
      </w:r>
    </w:p>
    <w:p w14:paraId="226526E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14.1中国政府根据现行税法规定对甲方征收的与本合同有关的一切税费，均由甲方负担。</w:t>
      </w:r>
    </w:p>
    <w:p w14:paraId="59DB1894">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14.2中国政府根据现行税法规定对乙方征收的与本合同有关的一切税费均由乙方负担。</w:t>
      </w:r>
    </w:p>
    <w:p w14:paraId="21E199E9">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.仲裁</w:t>
      </w:r>
    </w:p>
    <w:p w14:paraId="58100953">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.1 买卖双方应通过友好协商，解决在执行本合同中所发生的或与本合同有关的一切争端，如果协商仍得不到解决，任何一方均可按《中华人民共和国仲裁法》规定提交调解和仲裁。 </w:t>
      </w:r>
    </w:p>
    <w:p w14:paraId="21CFD52E">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.2 仲裁裁决应为终局裁决，对双方均具有约束力。 </w:t>
      </w:r>
    </w:p>
    <w:p w14:paraId="6CDA6D2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仲裁费除仲裁机构另有裁决外应由败诉方负担。</w:t>
      </w:r>
    </w:p>
    <w:p w14:paraId="0E9553EB">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 在仲裁期间，除正在进行仲裁的部分外，合同其他部分继续执行。</w:t>
      </w:r>
      <w:r>
        <w:rPr>
          <w:rFonts w:hint="eastAsia" w:ascii="宋体" w:hAnsi="宋体" w:eastAsia="宋体" w:cs="宋体"/>
          <w:b/>
          <w:color w:val="000000" w:themeColor="text1"/>
          <w:sz w:val="24"/>
          <w:szCs w:val="24"/>
          <w:highlight w:val="none"/>
          <w14:textFill>
            <w14:solidFill>
              <w14:schemeClr w14:val="tx1"/>
            </w14:solidFill>
          </w14:textFill>
        </w:rPr>
        <w:t xml:space="preserve"> </w:t>
      </w:r>
    </w:p>
    <w:p w14:paraId="314877C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.违约终止合同</w:t>
      </w:r>
    </w:p>
    <w:p w14:paraId="20FBD7F7">
      <w:pPr>
        <w:pStyle w:val="265"/>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6E2C82FA">
      <w:pPr>
        <w:pStyle w:val="265"/>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（1）如果乙方未能在合同规定的期限或甲方同意延期的限期内提供全部或部分货物（含软件及相关服务）； </w:t>
      </w:r>
    </w:p>
    <w:p w14:paraId="3D8A5C32">
      <w:pPr>
        <w:pStyle w:val="265"/>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（2）如果乙方未能履行合同规定的其他义务。 </w:t>
      </w:r>
    </w:p>
    <w:p w14:paraId="06F6BDBB">
      <w:pPr>
        <w:pStyle w:val="265"/>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72346965">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.破产终止合同</w:t>
      </w:r>
    </w:p>
    <w:p w14:paraId="0862A0C6">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.1如果乙方破产或无清偿能力，甲方可在任何时候以书面形式通知乙方终止合同而不给乙方补偿。该终止合同将不损害或影响甲方和使用方已经采取或将要采取的任何行动或补救措施的权力。</w:t>
      </w:r>
    </w:p>
    <w:p w14:paraId="6720CA60">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.转让</w:t>
      </w:r>
    </w:p>
    <w:p w14:paraId="0843B837">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.1除甲方事先书面同意外，乙方不得部分转让或全部转让其应履行的合同义务。</w:t>
      </w:r>
    </w:p>
    <w:p w14:paraId="6ECCCAC7">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.合同生效及其它</w:t>
      </w:r>
    </w:p>
    <w:p w14:paraId="618B8D9A">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color w:val="000000" w:themeColor="text1"/>
          <w:sz w:val="24"/>
          <w:szCs w:val="24"/>
          <w:highlight w:val="none"/>
          <w14:textFill>
            <w14:solidFill>
              <w14:schemeClr w14:val="tx1"/>
            </w14:solidFill>
          </w14:textFill>
        </w:rPr>
        <w:t>、响应文件、本次招标的中标（成交）通知书和乙方的澄清等内容将作为本次采购合同文件的主要内容。乙方在合同履行过程中若发生服务内容缩减、服务不及时的现象，甲方有权对乙方处以适当的经济处罚。</w:t>
      </w:r>
    </w:p>
    <w:p w14:paraId="0EC7DCF6">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.2本合同经甲方、乙方授权代表签字盖章后生效</w:t>
      </w:r>
    </w:p>
    <w:p w14:paraId="1855849E">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本合同份数要求详见专用条款。</w:t>
      </w:r>
    </w:p>
    <w:p w14:paraId="16CC854A">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.4合同货物交付使用后所发生的合同纠纷，甲方与乙方进行处理。</w:t>
      </w:r>
    </w:p>
    <w:p w14:paraId="3904E0DB">
      <w:pPr>
        <w:pStyle w:val="19"/>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.5如需修改或补充合同内容，应经甲、乙双方协商，签署书面修改或补充协议。该协议将作为本合同不可分割的一部分。</w:t>
      </w:r>
    </w:p>
    <w:p w14:paraId="02B4309D">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z w:val="24"/>
          <w:szCs w:val="24"/>
          <w:highlight w:val="none"/>
          <w14:textFill>
            <w14:solidFill>
              <w14:schemeClr w14:val="tx1"/>
            </w14:solidFill>
          </w14:textFill>
        </w:rPr>
        <w:t>.6本合同应按照中华人民共和国的现行法律进行解释。</w:t>
      </w:r>
    </w:p>
    <w:p w14:paraId="1A26A591">
      <w:pPr>
        <w:widowControl/>
        <w:rPr>
          <w:rFonts w:hint="eastAsia" w:ascii="宋体" w:hAnsi="宋体" w:cs="宋体"/>
          <w:color w:val="000000" w:themeColor="text1"/>
          <w:highlight w:val="none"/>
          <w14:textFill>
            <w14:solidFill>
              <w14:schemeClr w14:val="tx1"/>
            </w14:solidFill>
          </w14:textFill>
        </w:rPr>
      </w:pPr>
    </w:p>
    <w:p w14:paraId="75CC704E">
      <w:pPr>
        <w:pStyle w:val="62"/>
        <w:rPr>
          <w:rFonts w:hint="eastAsia" w:ascii="宋体" w:hAnsi="宋体" w:cs="宋体"/>
          <w:color w:val="000000" w:themeColor="text1"/>
          <w:highlight w:val="none"/>
          <w14:textFill>
            <w14:solidFill>
              <w14:schemeClr w14:val="tx1"/>
            </w14:solidFill>
          </w14:textFill>
        </w:rPr>
      </w:pPr>
    </w:p>
    <w:p w14:paraId="3541C694">
      <w:pPr>
        <w:rPr>
          <w:rFonts w:hint="eastAsia" w:ascii="宋体" w:hAnsi="宋体" w:cs="宋体"/>
          <w:color w:val="000000" w:themeColor="text1"/>
          <w:highlight w:val="none"/>
          <w14:textFill>
            <w14:solidFill>
              <w14:schemeClr w14:val="tx1"/>
            </w14:solidFill>
          </w14:textFill>
        </w:rPr>
      </w:pPr>
    </w:p>
    <w:p w14:paraId="460B15C4">
      <w:pPr>
        <w:pStyle w:val="62"/>
        <w:rPr>
          <w:rFonts w:hint="eastAsia" w:ascii="宋体" w:hAnsi="宋体" w:cs="宋体"/>
          <w:color w:val="000000" w:themeColor="text1"/>
          <w:highlight w:val="none"/>
          <w14:textFill>
            <w14:solidFill>
              <w14:schemeClr w14:val="tx1"/>
            </w14:solidFill>
          </w14:textFill>
        </w:rPr>
      </w:pPr>
    </w:p>
    <w:p w14:paraId="2BC10773">
      <w:pPr>
        <w:spacing w:line="360" w:lineRule="auto"/>
        <w:jc w:val="left"/>
        <w:rPr>
          <w:rFonts w:hint="eastAsia" w:ascii="宋体" w:hAnsi="宋体" w:cs="宋体"/>
          <w:b/>
          <w:bCs/>
          <w:color w:val="000000" w:themeColor="text1"/>
          <w:sz w:val="28"/>
          <w:szCs w:val="28"/>
          <w:highlight w:val="none"/>
          <w14:textFill>
            <w14:solidFill>
              <w14:schemeClr w14:val="tx1"/>
            </w14:solidFill>
          </w14:textFill>
        </w:rPr>
      </w:pPr>
    </w:p>
    <w:p w14:paraId="46E09BC9">
      <w:pPr>
        <w:spacing w:line="360" w:lineRule="auto"/>
        <w:jc w:val="left"/>
        <w:rPr>
          <w:rFonts w:hint="eastAsia" w:ascii="宋体" w:hAnsi="宋体" w:cs="宋体"/>
          <w:b/>
          <w:bCs/>
          <w:color w:val="000000" w:themeColor="text1"/>
          <w:sz w:val="28"/>
          <w:szCs w:val="28"/>
          <w:highlight w:val="none"/>
          <w14:textFill>
            <w14:solidFill>
              <w14:schemeClr w14:val="tx1"/>
            </w14:solidFill>
          </w14:textFill>
        </w:rPr>
      </w:pPr>
    </w:p>
    <w:p w14:paraId="2B6F4098">
      <w:pPr>
        <w:spacing w:line="360" w:lineRule="auto"/>
        <w:jc w:val="left"/>
        <w:rPr>
          <w:rFonts w:hint="eastAsia" w:ascii="宋体" w:hAnsi="宋体" w:cs="宋体"/>
          <w:b/>
          <w:bCs/>
          <w:color w:val="000000" w:themeColor="text1"/>
          <w:sz w:val="28"/>
          <w:szCs w:val="28"/>
          <w:highlight w:val="none"/>
          <w14:textFill>
            <w14:solidFill>
              <w14:schemeClr w14:val="tx1"/>
            </w14:solidFill>
          </w14:textFill>
        </w:rPr>
      </w:pPr>
    </w:p>
    <w:p w14:paraId="1F14C1CB">
      <w:pPr>
        <w:spacing w:line="360" w:lineRule="auto"/>
        <w:jc w:val="left"/>
        <w:rPr>
          <w:rFonts w:hint="eastAsia" w:ascii="宋体" w:hAnsi="宋体" w:cs="宋体"/>
          <w:b/>
          <w:bCs/>
          <w:color w:val="000000" w:themeColor="text1"/>
          <w:sz w:val="28"/>
          <w:szCs w:val="28"/>
          <w:highlight w:val="none"/>
          <w14:textFill>
            <w14:solidFill>
              <w14:schemeClr w14:val="tx1"/>
            </w14:solidFill>
          </w14:textFill>
        </w:rPr>
      </w:pPr>
    </w:p>
    <w:p w14:paraId="49B21EB0">
      <w:pP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r>
    </w:p>
    <w:p w14:paraId="23970121">
      <w:pPr>
        <w:spacing w:line="360" w:lineRule="auto"/>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附件1：</w:t>
      </w:r>
    </w:p>
    <w:p w14:paraId="00C9960F">
      <w:pPr>
        <w:spacing w:line="520" w:lineRule="exact"/>
        <w:jc w:val="center"/>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安全生产协议</w:t>
      </w:r>
    </w:p>
    <w:p w14:paraId="43B84F0F">
      <w:pPr>
        <w:spacing w:line="52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甲方：</w:t>
      </w:r>
      <w:r>
        <w:rPr>
          <w:rFonts w:hint="eastAsia" w:ascii="宋体" w:hAnsi="宋体" w:cs="宋体"/>
          <w:color w:val="000000" w:themeColor="text1"/>
          <w:sz w:val="28"/>
          <w:szCs w:val="28"/>
          <w:highlight w:val="none"/>
          <w:u w:val="single"/>
          <w14:textFill>
            <w14:solidFill>
              <w14:schemeClr w14:val="tx1"/>
            </w14:solidFill>
          </w14:textFill>
        </w:rPr>
        <w:t xml:space="preserve">                              </w:t>
      </w:r>
    </w:p>
    <w:p w14:paraId="654911A2">
      <w:pPr>
        <w:spacing w:line="52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乙方：</w:t>
      </w:r>
      <w:r>
        <w:rPr>
          <w:rFonts w:hint="eastAsia" w:ascii="宋体" w:hAnsi="宋体" w:cs="宋体"/>
          <w:color w:val="000000" w:themeColor="text1"/>
          <w:sz w:val="28"/>
          <w:szCs w:val="28"/>
          <w:highlight w:val="none"/>
          <w:u w:val="single"/>
          <w14:textFill>
            <w14:solidFill>
              <w14:schemeClr w14:val="tx1"/>
            </w14:solidFill>
          </w14:textFill>
        </w:rPr>
        <w:t xml:space="preserve">                              </w:t>
      </w:r>
    </w:p>
    <w:p w14:paraId="320164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甲方将本项目发包给乙方，为贯彻“安全第一、预防为主”的方针，根据国家和省市有关安全生产法规，明确双方的安全生产责任，确保安全，双方在签订合同的同时，签订本协议。 </w:t>
      </w:r>
    </w:p>
    <w:p w14:paraId="37A255B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一、承包项目 </w:t>
      </w:r>
    </w:p>
    <w:p w14:paraId="2F7EC0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bCs/>
          <w:color w:val="000000" w:themeColor="text1"/>
          <w:sz w:val="24"/>
          <w:szCs w:val="24"/>
          <w:highlight w:val="none"/>
          <w14:textFill>
            <w14:solidFill>
              <w14:schemeClr w14:val="tx1"/>
            </w14:solidFill>
          </w14:textFill>
        </w:rPr>
        <w:t>经开区徐杨片区、主城区路灯养护（二次）</w:t>
      </w:r>
    </w:p>
    <w:p w14:paraId="390CAC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 淮安经济技术开发区境内</w:t>
      </w:r>
    </w:p>
    <w:p w14:paraId="5BEDD35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项目编号： </w:t>
      </w:r>
    </w:p>
    <w:p w14:paraId="440AE3D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二、项目期限 </w:t>
      </w:r>
    </w:p>
    <w:p w14:paraId="7B8887B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按照甲乙双方合同。</w:t>
      </w:r>
    </w:p>
    <w:p w14:paraId="52DAB7CD">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协议内容 </w:t>
      </w:r>
    </w:p>
    <w:p w14:paraId="637FCC6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1.乙方必须认真贯彻国家、江苏、省、市和各级劳动保护、安全生产主管部门颁发的有关安全生产、消防工作的方针、政策、严格执行有关劳动保护法规、条例、规定。 </w:t>
      </w:r>
    </w:p>
    <w:p w14:paraId="2897222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应有安全管理组织体制，包括抓安全生产的领导，各级专职和兼职的安全负责人，应有各工种的安全操作规程，特种作业人员的验证考核制度及各级安全生产岗位责任制和定期安全检查制度，安全教育制度等。 </w:t>
      </w:r>
    </w:p>
    <w:p w14:paraId="6229981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3.乙方在养护作业前首先必须做好现场围护，防止闲杂人员进入现场，发生安全事故。 </w:t>
      </w:r>
    </w:p>
    <w:p w14:paraId="5953F8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4.乙方按要求制定有针对性的安全技术措施计划、严格按关安全要求实施。乙方应落实安全生产的管理体系，安全员必须持证上岗。 </w:t>
      </w:r>
    </w:p>
    <w:p w14:paraId="368E34E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5.乙方的有关领导必须认真对职工进行安全生产制度及安全技术知识教育，增强法制观念，提高职工的安全生产思想意识和自我保护的能力，督促职工自觉遵守安全生产纪律、制度和法规。 </w:t>
      </w:r>
    </w:p>
    <w:p w14:paraId="620562D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6.乙方应组织召开管理、作业人员安全生产教育会议，介绍养护作业中有关安全、防火等规章制度及要求；乙方必须检查、督促作业人员严格遵守、认真执行。 </w:t>
      </w:r>
    </w:p>
    <w:p w14:paraId="360DEE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7.施工期间，乙方指派专职人员负责本项目的有关安全、防火工作；定期检查和处理养护作业中有关的安全、防火工作，共同预防事故发生。 </w:t>
      </w:r>
    </w:p>
    <w:p w14:paraId="586F93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8.乙方在合同期间必须严格执行和遵守安全生产、防火管理的各项规定，接受甲方的督促、检查和指导。对于查出的隐患，乙方必须限期整改，并书面报甲方。 </w:t>
      </w:r>
    </w:p>
    <w:p w14:paraId="4E4521B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9.在作业操作过程中的个人防护用品，由各方自理，甲乙双方都应督促现场人员自觉穿戴好防护用品。 </w:t>
      </w:r>
    </w:p>
    <w:p w14:paraId="4A28728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乙方人员对作业区域、作业环境、操作设施设备、工具用具等必须认真检查，发现隐患立即停止养护，并由有关单位落实整改后方准实施。进行养护则表示乙方确认作业场所、作业环境、设施设备、工具用具等符合安全要求和处于安全状态。乙方对养护过程中由于上述因素不良而导致的事故后果负全部责任。 </w:t>
      </w:r>
    </w:p>
    <w:p w14:paraId="0C50A21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11.乙方在养护作业期间所使用的各种设备以及工具等均应由乙方自备。在使用过程中，由于设备、工具因素或操作不当而造成伤亡事故，由乙方负责。 </w:t>
      </w:r>
    </w:p>
    <w:p w14:paraId="0979CA0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12.乙方的人员对现场各类安全防护设施、安全标志和警告牌，不得擅自拆除、更动。如确实需要拆除更动的，采取必要、可靠的安全措施后方能拆除。如擅自拆除所造成的后果，由乙方人员及其单位负责。 </w:t>
      </w:r>
    </w:p>
    <w:p w14:paraId="6FD210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p>
    <w:p w14:paraId="69F3670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14.乙方使用的电气设备，在使用前应先进行检测，并做好检测记录，如不符合安全规定的应及时整改，整改合格后方准使用，违反本规定或不经甲方许可，擅自乱拉电气线路造成后果的均由肇事者单位负责。 </w:t>
      </w:r>
    </w:p>
    <w:p w14:paraId="37350A1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贯彻谁养护谁负责安全的原则。乙方在养护作业过程中发生的人身伤亡、火警、火灾、机械等一切事故，均由乙方自己负责，与甲方无关。乙方人员在养护作业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 </w:t>
      </w:r>
    </w:p>
    <w:p w14:paraId="68B3500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16.乙方须为安排在本项目上进行项目管理、维护养护服务的所有人员均缴纳不低于100万元额度的意外险或其他适合险种。</w:t>
      </w:r>
    </w:p>
    <w:p w14:paraId="5964239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 xml:space="preserve">.本协议作为合同的附件，经合同甲乙双方签字、盖章有效。 </w:t>
      </w:r>
    </w:p>
    <w:p w14:paraId="21705AA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 xml:space="preserve">.本协议同合同正本同日生效，甲、乙双方必须严格执行，由于违反本协议而造成伤亡事故，由违约方承担一切责任。 </w:t>
      </w:r>
    </w:p>
    <w:p w14:paraId="3DDC3CCE">
      <w:pPr>
        <w:spacing w:line="52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p>
    <w:p w14:paraId="77D19712">
      <w:pPr>
        <w:pStyle w:val="62"/>
        <w:rPr>
          <w:rFonts w:hint="eastAsia" w:ascii="宋体" w:hAnsi="宋体" w:cs="宋体"/>
          <w:color w:val="000000" w:themeColor="text1"/>
          <w:sz w:val="24"/>
          <w:szCs w:val="24"/>
          <w:highlight w:val="none"/>
          <w14:textFill>
            <w14:solidFill>
              <w14:schemeClr w14:val="tx1"/>
            </w14:solidFill>
          </w14:textFill>
        </w:rPr>
      </w:pPr>
    </w:p>
    <w:p w14:paraId="19E45FB4">
      <w:pPr>
        <w:pStyle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甲方：（盖章）                       乙方：（盖章）</w:t>
      </w:r>
    </w:p>
    <w:p w14:paraId="4DED5E29">
      <w:pPr>
        <w:pStyle w:val="2"/>
        <w:rPr>
          <w:rFonts w:hint="eastAsia" w:ascii="宋体" w:hAnsi="宋体" w:cs="宋体"/>
          <w:color w:val="000000" w:themeColor="text1"/>
          <w:sz w:val="24"/>
          <w:szCs w:val="24"/>
          <w:highlight w:val="none"/>
          <w14:textFill>
            <w14:solidFill>
              <w14:schemeClr w14:val="tx1"/>
            </w14:solidFill>
          </w14:textFill>
        </w:rPr>
      </w:pPr>
    </w:p>
    <w:p w14:paraId="0BF0381B">
      <w:pPr>
        <w:pStyle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法定代表人或授权代表：               法定代表人或授权代表：</w:t>
      </w:r>
    </w:p>
    <w:p w14:paraId="73DF4191">
      <w:pPr>
        <w:pStyle w:val="2"/>
        <w:ind w:left="958" w:leftChars="456"/>
        <w:rPr>
          <w:rFonts w:hint="eastAsia" w:ascii="宋体" w:hAnsi="宋体" w:cs="宋体"/>
          <w:color w:val="000000" w:themeColor="text1"/>
          <w:sz w:val="24"/>
          <w:szCs w:val="24"/>
          <w:highlight w:val="none"/>
          <w14:textFill>
            <w14:solidFill>
              <w14:schemeClr w14:val="tx1"/>
            </w14:solidFill>
          </w14:textFill>
        </w:rPr>
      </w:pPr>
    </w:p>
    <w:p w14:paraId="7902383A">
      <w:pPr>
        <w:pStyle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                               日期：</w:t>
      </w:r>
    </w:p>
    <w:p w14:paraId="6102DFA1">
      <w:pPr>
        <w:pStyle w:val="2"/>
        <w:rPr>
          <w:rFonts w:hint="eastAsia" w:ascii="宋体" w:hAnsi="宋体" w:cs="宋体"/>
          <w:color w:val="000000" w:themeColor="text1"/>
          <w:highlight w:val="none"/>
          <w14:textFill>
            <w14:solidFill>
              <w14:schemeClr w14:val="tx1"/>
            </w14:solidFill>
          </w14:textFill>
        </w:rPr>
      </w:pPr>
    </w:p>
    <w:p w14:paraId="197084C7">
      <w:pPr>
        <w:pStyle w:val="2"/>
        <w:rPr>
          <w:rFonts w:hint="eastAsia" w:ascii="宋体" w:hAnsi="宋体" w:cs="宋体"/>
          <w:color w:val="000000" w:themeColor="text1"/>
          <w:highlight w:val="none"/>
          <w14:textFill>
            <w14:solidFill>
              <w14:schemeClr w14:val="tx1"/>
            </w14:solidFill>
          </w14:textFill>
        </w:rPr>
      </w:pPr>
    </w:p>
    <w:p w14:paraId="1FC3AA00">
      <w:pPr>
        <w:pStyle w:val="2"/>
        <w:rPr>
          <w:rFonts w:hint="eastAsia" w:ascii="宋体" w:hAnsi="宋体" w:cs="宋体"/>
          <w:color w:val="000000" w:themeColor="text1"/>
          <w:highlight w:val="none"/>
          <w14:textFill>
            <w14:solidFill>
              <w14:schemeClr w14:val="tx1"/>
            </w14:solidFill>
          </w14:textFill>
        </w:rPr>
      </w:pPr>
    </w:p>
    <w:p w14:paraId="26CD7295">
      <w:pPr>
        <w:pStyle w:val="2"/>
        <w:rPr>
          <w:rFonts w:hint="eastAsia" w:ascii="宋体" w:hAnsi="宋体" w:cs="宋体"/>
          <w:color w:val="000000" w:themeColor="text1"/>
          <w:highlight w:val="none"/>
          <w14:textFill>
            <w14:solidFill>
              <w14:schemeClr w14:val="tx1"/>
            </w14:solidFill>
          </w14:textFill>
        </w:rPr>
      </w:pPr>
    </w:p>
    <w:p w14:paraId="5912C3C3">
      <w:pPr>
        <w:pStyle w:val="2"/>
        <w:rPr>
          <w:rFonts w:hint="eastAsia" w:ascii="宋体" w:hAnsi="宋体" w:cs="宋体"/>
          <w:color w:val="000000" w:themeColor="text1"/>
          <w:highlight w:val="none"/>
          <w14:textFill>
            <w14:solidFill>
              <w14:schemeClr w14:val="tx1"/>
            </w14:solidFill>
          </w14:textFill>
        </w:rPr>
      </w:pPr>
    </w:p>
    <w:p w14:paraId="115320EA">
      <w:pPr>
        <w:pStyle w:val="2"/>
        <w:rPr>
          <w:rFonts w:hint="eastAsia" w:ascii="宋体" w:hAnsi="宋体" w:cs="宋体"/>
          <w:color w:val="000000" w:themeColor="text1"/>
          <w:highlight w:val="none"/>
          <w14:textFill>
            <w14:solidFill>
              <w14:schemeClr w14:val="tx1"/>
            </w14:solidFill>
          </w14:textFill>
        </w:rPr>
      </w:pPr>
    </w:p>
    <w:p w14:paraId="719333E4">
      <w:pPr>
        <w:pStyle w:val="2"/>
        <w:rPr>
          <w:rFonts w:hint="eastAsia" w:ascii="宋体" w:hAnsi="宋体" w:cs="宋体"/>
          <w:color w:val="000000" w:themeColor="text1"/>
          <w:highlight w:val="none"/>
          <w14:textFill>
            <w14:solidFill>
              <w14:schemeClr w14:val="tx1"/>
            </w14:solidFill>
          </w14:textFill>
        </w:rPr>
      </w:pPr>
    </w:p>
    <w:p w14:paraId="0F36BCC3">
      <w:pPr>
        <w:pStyle w:val="2"/>
        <w:rPr>
          <w:rFonts w:hint="eastAsia" w:ascii="宋体" w:hAnsi="宋体" w:cs="宋体"/>
          <w:color w:val="000000" w:themeColor="text1"/>
          <w:highlight w:val="none"/>
          <w14:textFill>
            <w14:solidFill>
              <w14:schemeClr w14:val="tx1"/>
            </w14:solidFill>
          </w14:textFill>
        </w:rPr>
      </w:pPr>
    </w:p>
    <w:p w14:paraId="5D8D8B17">
      <w:pPr>
        <w:pStyle w:val="2"/>
        <w:rPr>
          <w:rFonts w:hint="eastAsia" w:ascii="宋体" w:hAnsi="宋体" w:cs="宋体"/>
          <w:color w:val="000000" w:themeColor="text1"/>
          <w:highlight w:val="none"/>
          <w14:textFill>
            <w14:solidFill>
              <w14:schemeClr w14:val="tx1"/>
            </w14:solidFill>
          </w14:textFill>
        </w:rPr>
      </w:pPr>
    </w:p>
    <w:p w14:paraId="396F6965">
      <w:pPr>
        <w:pStyle w:val="2"/>
        <w:rPr>
          <w:rFonts w:hint="eastAsia" w:ascii="宋体" w:hAnsi="宋体" w:cs="宋体"/>
          <w:color w:val="000000" w:themeColor="text1"/>
          <w:highlight w:val="none"/>
          <w14:textFill>
            <w14:solidFill>
              <w14:schemeClr w14:val="tx1"/>
            </w14:solidFill>
          </w14:textFill>
        </w:rPr>
      </w:pPr>
    </w:p>
    <w:p w14:paraId="4A075772">
      <w:pPr>
        <w:pStyle w:val="2"/>
        <w:rPr>
          <w:rFonts w:hint="eastAsia" w:ascii="宋体" w:hAnsi="宋体" w:cs="宋体"/>
          <w:color w:val="000000" w:themeColor="text1"/>
          <w:highlight w:val="none"/>
          <w14:textFill>
            <w14:solidFill>
              <w14:schemeClr w14:val="tx1"/>
            </w14:solidFill>
          </w14:textFill>
        </w:rPr>
      </w:pPr>
    </w:p>
    <w:p w14:paraId="11BEFB60">
      <w:pPr>
        <w:pStyle w:val="2"/>
        <w:rPr>
          <w:rFonts w:hint="eastAsia" w:ascii="宋体" w:hAnsi="宋体" w:cs="宋体"/>
          <w:color w:val="000000" w:themeColor="text1"/>
          <w:highlight w:val="none"/>
          <w14:textFill>
            <w14:solidFill>
              <w14:schemeClr w14:val="tx1"/>
            </w14:solidFill>
          </w14:textFill>
        </w:rPr>
      </w:pPr>
    </w:p>
    <w:p w14:paraId="639D7FF9">
      <w:pPr>
        <w:pStyle w:val="2"/>
        <w:rPr>
          <w:rFonts w:hint="eastAsia" w:ascii="宋体" w:hAnsi="宋体" w:cs="宋体"/>
          <w:color w:val="000000" w:themeColor="text1"/>
          <w:highlight w:val="none"/>
          <w14:textFill>
            <w14:solidFill>
              <w14:schemeClr w14:val="tx1"/>
            </w14:solidFill>
          </w14:textFill>
        </w:rPr>
      </w:pPr>
    </w:p>
    <w:p w14:paraId="005ED4A0">
      <w:pPr>
        <w:pStyle w:val="2"/>
        <w:rPr>
          <w:rFonts w:hint="eastAsia" w:ascii="宋体" w:hAnsi="宋体" w:cs="宋体"/>
          <w:color w:val="000000" w:themeColor="text1"/>
          <w:highlight w:val="none"/>
          <w14:textFill>
            <w14:solidFill>
              <w14:schemeClr w14:val="tx1"/>
            </w14:solidFill>
          </w14:textFill>
        </w:rPr>
      </w:pPr>
    </w:p>
    <w:p w14:paraId="38C5E45A">
      <w:pPr>
        <w:pStyle w:val="2"/>
        <w:rPr>
          <w:rFonts w:hint="eastAsia" w:ascii="宋体" w:hAnsi="宋体" w:cs="宋体"/>
          <w:color w:val="000000" w:themeColor="text1"/>
          <w:highlight w:val="none"/>
          <w14:textFill>
            <w14:solidFill>
              <w14:schemeClr w14:val="tx1"/>
            </w14:solidFill>
          </w14:textFill>
        </w:rPr>
      </w:pPr>
    </w:p>
    <w:p w14:paraId="458802A3">
      <w:pPr>
        <w:widowControl/>
        <w:spacing w:line="460" w:lineRule="exact"/>
        <w:rPr>
          <w:rFonts w:hint="eastAsia" w:ascii="宋体" w:hAnsi="宋体" w:cs="宋体"/>
          <w:b/>
          <w:bCs/>
          <w:color w:val="000000" w:themeColor="text1"/>
          <w:sz w:val="28"/>
          <w:szCs w:val="28"/>
          <w:highlight w:val="none"/>
          <w14:textFill>
            <w14:solidFill>
              <w14:schemeClr w14:val="tx1"/>
            </w14:solidFill>
          </w14:textFill>
        </w:rPr>
      </w:pPr>
    </w:p>
    <w:p w14:paraId="396D12F9">
      <w:pPr>
        <w:widowControl/>
        <w:spacing w:line="460" w:lineRule="exact"/>
        <w:rPr>
          <w:rFonts w:hint="eastAsia" w:ascii="宋体" w:hAnsi="宋体" w:cs="宋体"/>
          <w:b/>
          <w:bCs/>
          <w:color w:val="000000" w:themeColor="text1"/>
          <w:sz w:val="28"/>
          <w:szCs w:val="28"/>
          <w:highlight w:val="none"/>
          <w14:textFill>
            <w14:solidFill>
              <w14:schemeClr w14:val="tx1"/>
            </w14:solidFill>
          </w14:textFill>
        </w:rPr>
      </w:pPr>
    </w:p>
    <w:p w14:paraId="778F186F">
      <w:pP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br w:type="page"/>
      </w:r>
    </w:p>
    <w:p w14:paraId="543A0C72">
      <w:pPr>
        <w:widowControl/>
        <w:spacing w:line="460" w:lineRule="exact"/>
        <w:rPr>
          <w:rFonts w:hint="eastAsia" w:ascii="宋体" w:hAnsi="宋体" w:cs="宋体"/>
          <w:color w:val="000000" w:themeColor="text1"/>
          <w:sz w:val="28"/>
          <w:szCs w:val="28"/>
          <w:highlight w:val="none"/>
          <w:lang w:bidi="ar"/>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附件2：</w:t>
      </w:r>
      <w:r>
        <w:rPr>
          <w:rFonts w:hint="eastAsia" w:ascii="宋体" w:hAnsi="宋体" w:cs="宋体"/>
          <w:color w:val="000000" w:themeColor="text1"/>
          <w:sz w:val="28"/>
          <w:szCs w:val="28"/>
          <w:highlight w:val="none"/>
          <w:lang w:bidi="ar"/>
          <w14:textFill>
            <w14:solidFill>
              <w14:schemeClr w14:val="tx1"/>
            </w14:solidFill>
          </w14:textFill>
        </w:rPr>
        <w:t>经开区主城区、徐杨片区、南马厂片路灯、变压器、控制箱详细清单</w:t>
      </w:r>
    </w:p>
    <w:p w14:paraId="1B1D7C50">
      <w:pPr>
        <w:widowControl/>
        <w:spacing w:line="460" w:lineRule="exact"/>
        <w:ind w:firstLine="562" w:firstLineChars="200"/>
        <w:rPr>
          <w:rFonts w:hint="eastAsia" w:ascii="宋体" w:hAnsi="宋体" w:cs="宋体"/>
          <w:color w:val="000000" w:themeColor="text1"/>
          <w:highlight w:val="none"/>
          <w14:textFill>
            <w14:solidFill>
              <w14:schemeClr w14:val="tx1"/>
            </w14:solidFill>
          </w14:textFill>
        </w:rPr>
        <w:sectPr>
          <w:headerReference r:id="rId6" w:type="default"/>
          <w:footerReference r:id="rId7" w:type="default"/>
          <w:pgSz w:w="11906" w:h="16839"/>
          <w:pgMar w:top="1361" w:right="1304" w:bottom="1134" w:left="1587" w:header="694" w:footer="982" w:gutter="0"/>
          <w:pgNumType w:fmt="numberInDash"/>
          <w:cols w:space="720" w:num="1"/>
          <w:docGrid w:linePitch="1" w:charSpace="0"/>
        </w:sectPr>
      </w:pPr>
      <w:r>
        <w:rPr>
          <w:rFonts w:hint="eastAsia" w:ascii="宋体" w:hAnsi="宋体" w:cs="宋体"/>
          <w:b/>
          <w:bCs/>
          <w:color w:val="000000" w:themeColor="text1"/>
          <w:sz w:val="28"/>
          <w:szCs w:val="28"/>
          <w:highlight w:val="none"/>
          <w:lang w:bidi="ar"/>
          <w14:textFill>
            <w14:solidFill>
              <w14:schemeClr w14:val="tx1"/>
            </w14:solidFill>
          </w14:textFill>
        </w:rPr>
        <w:t>详见采购需求，签订合同时同步摘录过来。</w:t>
      </w:r>
    </w:p>
    <w:p w14:paraId="6780A97D">
      <w:pPr>
        <w:pStyle w:val="216"/>
        <w:widowControl/>
        <w:spacing w:line="520" w:lineRule="exact"/>
        <w:jc w:val="center"/>
        <w:rPr>
          <w:rFonts w:hint="eastAsia" w:hAnsi="宋体" w:cs="宋体"/>
          <w:b/>
          <w:bCs/>
          <w:color w:val="000000" w:themeColor="text1"/>
          <w:sz w:val="36"/>
          <w:highlight w:val="none"/>
          <w14:textFill>
            <w14:solidFill>
              <w14:schemeClr w14:val="tx1"/>
            </w14:solidFill>
          </w14:textFill>
        </w:rPr>
      </w:pPr>
      <w:r>
        <w:rPr>
          <w:rFonts w:hint="eastAsia" w:hAnsi="宋体" w:cs="宋体"/>
          <w:b/>
          <w:bCs/>
          <w:color w:val="000000" w:themeColor="text1"/>
          <w:sz w:val="36"/>
          <w:szCs w:val="36"/>
          <w:highlight w:val="none"/>
          <w14:textFill>
            <w14:solidFill>
              <w14:schemeClr w14:val="tx1"/>
            </w14:solidFill>
          </w14:textFill>
        </w:rPr>
        <w:t>第五章  项目采购需求</w:t>
      </w:r>
    </w:p>
    <w:p w14:paraId="6787ADD7">
      <w:pPr>
        <w:keepNext w:val="0"/>
        <w:keepLines w:val="0"/>
        <w:pageBreakBefore w:val="0"/>
        <w:widowControl/>
        <w:kinsoku/>
        <w:wordWrap/>
        <w:overflowPunct w:val="0"/>
        <w:topLinePunct w:val="0"/>
        <w:bidi w:val="0"/>
        <w:spacing w:line="480" w:lineRule="exact"/>
        <w:ind w:firstLine="241" w:firstLineChars="10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一、项目概况</w:t>
      </w:r>
    </w:p>
    <w:p w14:paraId="665DF7FE">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1.项目名称:</w:t>
      </w:r>
      <w:r>
        <w:rPr>
          <w:rFonts w:hint="eastAsia" w:ascii="宋体" w:hAnsi="宋体" w:eastAsia="宋体" w:cs="宋体"/>
          <w:bCs/>
          <w:color w:val="000000" w:themeColor="text1"/>
          <w:sz w:val="24"/>
          <w:szCs w:val="24"/>
          <w:highlight w:val="none"/>
          <w14:textFill>
            <w14:solidFill>
              <w14:schemeClr w14:val="tx1"/>
            </w14:solidFill>
          </w14:textFill>
        </w:rPr>
        <w:t>经开区徐杨片区、主城区路灯养护（二次）</w:t>
      </w:r>
    </w:p>
    <w:p w14:paraId="587AA13C">
      <w:pPr>
        <w:pStyle w:val="2"/>
        <w:keepNext w:val="0"/>
        <w:keepLines w:val="0"/>
        <w:pageBreakBefore w:val="0"/>
        <w:widowControl/>
        <w:kinsoku/>
        <w:wordWrap/>
        <w:topLinePunct w:val="0"/>
        <w:autoSpaceDE w:val="0"/>
        <w:autoSpaceDN w:val="0"/>
        <w:bidi w:val="0"/>
        <w:adjustRightInd w:val="0"/>
        <w:snapToGrid w:val="0"/>
        <w:spacing w:after="0" w:line="460" w:lineRule="exact"/>
        <w:ind w:firstLine="480" w:firstLineChars="200"/>
        <w:textAlignment w:val="baseline"/>
        <w:rPr>
          <w:rFonts w:hint="eastAsia" w:ascii="宋体" w:hAnsi="宋体" w:eastAsia="宋体" w:cs="宋体"/>
          <w:color w:val="000000" w:themeColor="text1"/>
          <w:spacing w:val="-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2.服务地点：淮安经济技术开发区区域内，包括主城区、徐杨片区、南马厂片；</w:t>
      </w:r>
      <w:r>
        <w:rPr>
          <w:rFonts w:hint="eastAsia" w:ascii="宋体" w:hAnsi="宋体" w:eastAsia="宋体" w:cs="宋体"/>
          <w:color w:val="000000" w:themeColor="text1"/>
          <w:spacing w:val="-1"/>
          <w:sz w:val="24"/>
          <w:szCs w:val="24"/>
          <w:highlight w:val="none"/>
          <w14:textFill>
            <w14:solidFill>
              <w14:schemeClr w14:val="tx1"/>
            </w14:solidFill>
          </w14:textFill>
        </w:rPr>
        <w:t>具体以招标人指定为准。</w:t>
      </w:r>
    </w:p>
    <w:p w14:paraId="289AFE65">
      <w:pPr>
        <w:pStyle w:val="2"/>
        <w:keepNext w:val="0"/>
        <w:keepLines w:val="0"/>
        <w:pageBreakBefore w:val="0"/>
        <w:widowControl/>
        <w:kinsoku/>
        <w:wordWrap/>
        <w:topLinePunct w:val="0"/>
        <w:autoSpaceDE w:val="0"/>
        <w:autoSpaceDN w:val="0"/>
        <w:bidi w:val="0"/>
        <w:adjustRightInd w:val="0"/>
        <w:snapToGrid w:val="0"/>
        <w:spacing w:after="0" w:line="460" w:lineRule="exact"/>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3.本项目需要对淮安经济技术开发区主城区、徐杨片区、南马厂片区主次干道路的所有灯、变压器、控制箱等设施进行养护</w:t>
      </w:r>
      <w:r>
        <w:rPr>
          <w:rFonts w:hint="eastAsia" w:ascii="宋体" w:hAnsi="宋体" w:eastAsia="宋体" w:cs="宋体"/>
          <w:color w:val="000000" w:themeColor="text1"/>
          <w:spacing w:val="-2"/>
          <w:sz w:val="24"/>
          <w:szCs w:val="24"/>
          <w:highlight w:val="none"/>
          <w14:textFill>
            <w14:solidFill>
              <w14:schemeClr w14:val="tx1"/>
            </w14:solidFill>
          </w14:textFill>
        </w:rPr>
        <w:t>，对陈旧、</w:t>
      </w:r>
      <w:r>
        <w:rPr>
          <w:rFonts w:hint="eastAsia" w:ascii="宋体" w:hAnsi="宋体" w:eastAsia="宋体" w:cs="宋体"/>
          <w:color w:val="000000" w:themeColor="text1"/>
          <w:spacing w:val="-1"/>
          <w:sz w:val="24"/>
          <w:szCs w:val="24"/>
          <w:highlight w:val="none"/>
          <w14:textFill>
            <w14:solidFill>
              <w14:schemeClr w14:val="tx1"/>
            </w14:solidFill>
          </w14:textFill>
        </w:rPr>
        <w:t>老化设施进行改造。</w:t>
      </w:r>
      <w:r>
        <w:rPr>
          <w:rFonts w:hint="eastAsia" w:ascii="宋体" w:hAnsi="宋体" w:eastAsia="宋体" w:cs="宋体"/>
          <w:color w:val="000000" w:themeColor="text1"/>
          <w:sz w:val="24"/>
          <w:szCs w:val="24"/>
          <w:highlight w:val="none"/>
          <w14:textFill>
            <w14:solidFill>
              <w14:schemeClr w14:val="tx1"/>
            </w14:solidFill>
          </w14:textFill>
        </w:rPr>
        <w:t>相关配套设施纳入养护范围，高、低压电工能熟练检测、判断、排除路灯、变压器、控制箱等照明设施故障。具体内容为：路灯共计13342基（20689盏）、变压器140台、控制箱197台、路灯工作井约480个、电缆约613384米及路灯系统等相关配套设施纳入养护范围，高、低压电工能熟练检测、判断、排除路灯变压器、控制箱等照明设施故障。明细见附件清单。</w:t>
      </w:r>
    </w:p>
    <w:p w14:paraId="631C40DC">
      <w:pPr>
        <w:pStyle w:val="2"/>
        <w:keepNext w:val="0"/>
        <w:keepLines w:val="0"/>
        <w:pageBreakBefore w:val="0"/>
        <w:widowControl/>
        <w:kinsoku/>
        <w:wordWrap/>
        <w:topLinePunct w:val="0"/>
        <w:autoSpaceDE w:val="0"/>
        <w:autoSpaceDN w:val="0"/>
        <w:bidi w:val="0"/>
        <w:adjustRightInd w:val="0"/>
        <w:snapToGrid w:val="0"/>
        <w:spacing w:after="0" w:line="460" w:lineRule="exact"/>
        <w:ind w:firstLine="241" w:firstLineChars="100"/>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二、合同履行期限:</w:t>
      </w:r>
      <w:r>
        <w:rPr>
          <w:rFonts w:hint="eastAsia" w:ascii="宋体" w:hAnsi="宋体" w:eastAsia="宋体" w:cs="宋体"/>
          <w:color w:val="000000" w:themeColor="text1"/>
          <w:sz w:val="24"/>
          <w:szCs w:val="24"/>
          <w:highlight w:val="none"/>
          <w14:textFill>
            <w14:solidFill>
              <w14:schemeClr w14:val="tx1"/>
            </w14:solidFill>
          </w14:textFill>
        </w:rPr>
        <w:t>12个月</w:t>
      </w:r>
      <w:r>
        <w:rPr>
          <w:rFonts w:hint="eastAsia" w:ascii="宋体" w:hAnsi="宋体" w:eastAsia="宋体" w:cs="宋体"/>
          <w:color w:val="000000" w:themeColor="text1"/>
          <w:sz w:val="24"/>
          <w:szCs w:val="24"/>
          <w:highlight w:val="none"/>
          <w:lang w:val="en-US" w:eastAsia="zh-CN"/>
          <w14:textFill>
            <w14:solidFill>
              <w14:schemeClr w14:val="tx1"/>
            </w14:solidFill>
          </w14:textFill>
        </w:rPr>
        <w:t>,具体详见合同条款</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C41409E">
      <w:pPr>
        <w:pStyle w:val="2"/>
        <w:keepNext w:val="0"/>
        <w:keepLines w:val="0"/>
        <w:pageBreakBefore w:val="0"/>
        <w:widowControl/>
        <w:kinsoku/>
        <w:wordWrap/>
        <w:topLinePunct w:val="0"/>
        <w:autoSpaceDE w:val="0"/>
        <w:autoSpaceDN w:val="0"/>
        <w:bidi w:val="0"/>
        <w:adjustRightInd w:val="0"/>
        <w:snapToGrid w:val="0"/>
        <w:spacing w:after="0" w:line="460" w:lineRule="exact"/>
        <w:ind w:firstLine="474" w:firstLineChars="200"/>
        <w:textAlignment w:val="baseline"/>
        <w:rPr>
          <w:rFonts w:hint="eastAsia" w:ascii="宋体" w:hAnsi="宋体" w:eastAsia="宋体" w:cs="宋体"/>
          <w:b/>
          <w:bCs/>
          <w:color w:val="000000" w:themeColor="text1"/>
          <w:spacing w:val="-2"/>
          <w:sz w:val="24"/>
          <w:szCs w:val="24"/>
          <w:highlight w:val="none"/>
          <w14:textFill>
            <w14:solidFill>
              <w14:schemeClr w14:val="tx1"/>
            </w14:solidFill>
          </w14:textFill>
        </w:rPr>
      </w:pPr>
      <w:r>
        <w:rPr>
          <w:rFonts w:hint="eastAsia" w:ascii="宋体" w:hAnsi="宋体" w:eastAsia="宋体" w:cs="宋体"/>
          <w:b/>
          <w:bCs/>
          <w:color w:val="000000" w:themeColor="text1"/>
          <w:spacing w:val="-2"/>
          <w:sz w:val="24"/>
          <w:szCs w:val="24"/>
          <w:highlight w:val="none"/>
          <w14:textFill>
            <w14:solidFill>
              <w14:schemeClr w14:val="tx1"/>
            </w14:solidFill>
          </w14:textFill>
        </w:rPr>
        <w:t>项目有续签需求，在保证预算的情况下，月度考核得分均在90分以上可续签两年（一年一签）。</w:t>
      </w:r>
    </w:p>
    <w:p w14:paraId="66D06395">
      <w:pPr>
        <w:pStyle w:val="2"/>
        <w:keepNext w:val="0"/>
        <w:keepLines w:val="0"/>
        <w:pageBreakBefore w:val="0"/>
        <w:widowControl/>
        <w:kinsoku/>
        <w:wordWrap/>
        <w:topLinePunct w:val="0"/>
        <w:autoSpaceDE w:val="0"/>
        <w:autoSpaceDN w:val="0"/>
        <w:bidi w:val="0"/>
        <w:adjustRightInd w:val="0"/>
        <w:snapToGrid w:val="0"/>
        <w:spacing w:after="0" w:line="460" w:lineRule="exact"/>
        <w:ind w:firstLine="478"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pacing w:val="-1"/>
          <w:sz w:val="24"/>
          <w:szCs w:val="24"/>
          <w:highlight w:val="none"/>
          <w14:textFill>
            <w14:solidFill>
              <w14:schemeClr w14:val="tx1"/>
            </w14:solidFill>
          </w14:textFill>
        </w:rPr>
        <w:t>三、付款：</w:t>
      </w:r>
      <w:r>
        <w:rPr>
          <w:rFonts w:hint="eastAsia" w:ascii="宋体" w:hAnsi="宋体" w:eastAsia="宋体" w:cs="宋体"/>
          <w:color w:val="000000" w:themeColor="text1"/>
          <w:spacing w:val="-1"/>
          <w:sz w:val="24"/>
          <w:szCs w:val="24"/>
          <w:highlight w:val="none"/>
          <w14:textFill>
            <w14:solidFill>
              <w14:schemeClr w14:val="tx1"/>
            </w14:solidFill>
          </w14:textFill>
        </w:rPr>
        <w:t>本次招标养护期限为</w:t>
      </w:r>
      <w:r>
        <w:rPr>
          <w:rFonts w:hint="eastAsia" w:ascii="宋体" w:hAnsi="宋体" w:eastAsia="宋体" w:cs="宋体"/>
          <w:color w:val="000000" w:themeColor="text1"/>
          <w:spacing w:val="-1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12</w:t>
      </w:r>
      <w:r>
        <w:rPr>
          <w:rFonts w:hint="eastAsia" w:ascii="宋体" w:hAnsi="宋体" w:eastAsia="宋体" w:cs="宋体"/>
          <w:color w:val="000000" w:themeColor="text1"/>
          <w:spacing w:val="-4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个月，养护费用按月支付，每月支付合同金额不高于十二</w:t>
      </w:r>
      <w:r>
        <w:rPr>
          <w:rFonts w:hint="eastAsia" w:ascii="宋体" w:hAnsi="宋体" w:eastAsia="宋体" w:cs="宋体"/>
          <w:color w:val="000000" w:themeColor="text1"/>
          <w:spacing w:val="1"/>
          <w:sz w:val="24"/>
          <w:szCs w:val="24"/>
          <w:highlight w:val="none"/>
          <w14:textFill>
            <w14:solidFill>
              <w14:schemeClr w14:val="tx1"/>
            </w14:solidFill>
          </w14:textFill>
        </w:rPr>
        <w:t>分之一；每月进行考核，执行招标人制定的《淮安经济技术开发区</w:t>
      </w:r>
      <w:r>
        <w:rPr>
          <w:rFonts w:hint="eastAsia" w:ascii="宋体" w:hAnsi="宋体" w:eastAsia="宋体" w:cs="宋体"/>
          <w:color w:val="000000" w:themeColor="text1"/>
          <w:sz w:val="24"/>
          <w:szCs w:val="24"/>
          <w:highlight w:val="none"/>
          <w14:textFill>
            <w14:solidFill>
              <w14:schemeClr w14:val="tx1"/>
            </w14:solidFill>
          </w14:textFill>
        </w:rPr>
        <w:t>城市路灯照明设施养护考</w:t>
      </w:r>
      <w:r>
        <w:rPr>
          <w:rFonts w:hint="eastAsia" w:ascii="宋体" w:hAnsi="宋体" w:eastAsia="宋体" w:cs="宋体"/>
          <w:color w:val="000000" w:themeColor="text1"/>
          <w:spacing w:val="-1"/>
          <w:sz w:val="24"/>
          <w:szCs w:val="24"/>
          <w:highlight w:val="none"/>
          <w14:textFill>
            <w14:solidFill>
              <w14:schemeClr w14:val="tx1"/>
            </w14:solidFill>
          </w14:textFill>
        </w:rPr>
        <w:t>核办法（试行）》和相应的考核评分标准，每月支付养护费用时扣除相应被罚金额，</w:t>
      </w:r>
      <w:r>
        <w:rPr>
          <w:rFonts w:hint="eastAsia" w:ascii="宋体" w:hAnsi="宋体" w:eastAsia="宋体" w:cs="宋体"/>
          <w:color w:val="000000" w:themeColor="text1"/>
          <w:spacing w:val="-53"/>
          <w:sz w:val="24"/>
          <w:szCs w:val="24"/>
          <w:highlight w:val="none"/>
          <w14:textFill>
            <w14:solidFill>
              <w14:schemeClr w14:val="tx1"/>
            </w14:solidFill>
          </w14:textFill>
        </w:rPr>
        <w:t xml:space="preserve"> </w:t>
      </w:r>
      <w:r>
        <w:rPr>
          <w:rFonts w:hint="eastAsia" w:ascii="宋体" w:hAnsi="宋体" w:eastAsia="宋体" w:cs="宋体"/>
          <w:color w:val="000000" w:themeColor="text1"/>
          <w:spacing w:val="-1"/>
          <w:sz w:val="24"/>
          <w:szCs w:val="24"/>
          <w:highlight w:val="none"/>
          <w14:textFill>
            <w14:solidFill>
              <w14:schemeClr w14:val="tx1"/>
            </w14:solidFill>
          </w14:textFill>
        </w:rPr>
        <w:t>由招标</w:t>
      </w:r>
      <w:r>
        <w:rPr>
          <w:rFonts w:hint="eastAsia" w:ascii="宋体" w:hAnsi="宋体" w:eastAsia="宋体" w:cs="宋体"/>
          <w:color w:val="000000" w:themeColor="text1"/>
          <w:spacing w:val="-6"/>
          <w:sz w:val="24"/>
          <w:szCs w:val="24"/>
          <w:highlight w:val="none"/>
          <w14:textFill>
            <w14:solidFill>
              <w14:schemeClr w14:val="tx1"/>
            </w14:solidFill>
          </w14:textFill>
        </w:rPr>
        <w:t>人在下一个月的</w:t>
      </w:r>
      <w:r>
        <w:rPr>
          <w:rFonts w:hint="eastAsia" w:ascii="宋体" w:hAnsi="宋体" w:eastAsia="宋体" w:cs="宋体"/>
          <w:color w:val="000000" w:themeColor="text1"/>
          <w:spacing w:val="-3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20日前支付上一个月养护费用。</w:t>
      </w:r>
    </w:p>
    <w:p w14:paraId="0740C733">
      <w:pPr>
        <w:keepNext w:val="0"/>
        <w:keepLines w:val="0"/>
        <w:pageBreakBefore w:val="0"/>
        <w:widowControl/>
        <w:kinsoku/>
        <w:wordWrap/>
        <w:overflowPunct w:val="0"/>
        <w:topLinePunct w:val="0"/>
        <w:bidi w:val="0"/>
        <w:spacing w:line="460" w:lineRule="exact"/>
        <w:ind w:firstLine="241" w:firstLineChars="1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四、相关要求</w:t>
      </w:r>
    </w:p>
    <w:p w14:paraId="0CF2B344">
      <w:pPr>
        <w:keepNext w:val="0"/>
        <w:keepLines w:val="0"/>
        <w:pageBreakBefore w:val="0"/>
        <w:widowControl/>
        <w:kinsoku/>
        <w:wordWrap/>
        <w:overflowPunct w:val="0"/>
        <w:topLinePunct w:val="0"/>
        <w:bidi w:val="0"/>
        <w:spacing w:line="460" w:lineRule="exact"/>
        <w:ind w:firstLine="241" w:firstLineChars="1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中标合同价的80%用于路灯设施的养护，20%用于老旧路灯设施的改造，改造方案需经招标人审核同意后方可实施。涉及到新购路灯、电器、设备等所有产权均归招标人所有，服务期满后中标人须全部完好移交招标人。</w:t>
      </w:r>
    </w:p>
    <w:p w14:paraId="4702CC68">
      <w:pPr>
        <w:keepNext w:val="0"/>
        <w:keepLines w:val="0"/>
        <w:pageBreakBefore w:val="0"/>
        <w:widowControl/>
        <w:kinsoku/>
        <w:wordWrap/>
        <w:overflowPunct w:val="0"/>
        <w:topLinePunct w:val="0"/>
        <w:bidi w:val="0"/>
        <w:spacing w:line="460" w:lineRule="exact"/>
        <w:ind w:firstLine="241" w:firstLineChars="100"/>
        <w:rPr>
          <w:rFonts w:hint="eastAsia" w:ascii="宋体" w:hAnsi="宋体" w:eastAsia="宋体" w:cs="宋体"/>
          <w:b/>
          <w:bCs/>
          <w:color w:val="FF0000"/>
          <w:spacing w:val="-5"/>
          <w:sz w:val="24"/>
          <w:szCs w:val="24"/>
          <w:highlight w:val="none"/>
        </w:rPr>
      </w:pPr>
      <w:r>
        <w:rPr>
          <w:rFonts w:hint="eastAsia" w:ascii="宋体" w:hAnsi="宋体" w:eastAsia="宋体" w:cs="宋体"/>
          <w:b/>
          <w:bCs/>
          <w:color w:val="FF0000"/>
          <w:sz w:val="24"/>
          <w:szCs w:val="24"/>
          <w:highlight w:val="none"/>
          <w:lang w:eastAsia="zh-CN"/>
        </w:rPr>
        <w:t>（</w:t>
      </w:r>
      <w:r>
        <w:rPr>
          <w:rFonts w:hint="eastAsia" w:ascii="宋体" w:hAnsi="宋体" w:eastAsia="宋体" w:cs="宋体"/>
          <w:b/>
          <w:bCs/>
          <w:color w:val="FF0000"/>
          <w:sz w:val="24"/>
          <w:szCs w:val="24"/>
          <w:highlight w:val="none"/>
          <w:lang w:val="en-US" w:eastAsia="zh-CN"/>
        </w:rPr>
        <w:t>二）项目管理、维护服务人员及设备配备</w:t>
      </w:r>
      <w:r>
        <w:rPr>
          <w:rFonts w:hint="eastAsia" w:ascii="宋体" w:hAnsi="宋体" w:eastAsia="宋体" w:cs="宋体"/>
          <w:b/>
          <w:bCs/>
          <w:color w:val="FF0000"/>
          <w:spacing w:val="-5"/>
          <w:sz w:val="24"/>
          <w:szCs w:val="24"/>
          <w:highlight w:val="none"/>
          <w:lang w:val="en-US" w:eastAsia="zh-CN"/>
        </w:rPr>
        <w:t>要求</w:t>
      </w:r>
      <w:r>
        <w:rPr>
          <w:rFonts w:hint="eastAsia" w:ascii="宋体" w:hAnsi="宋体" w:eastAsia="宋体" w:cs="宋体"/>
          <w:b/>
          <w:bCs/>
          <w:color w:val="FF0000"/>
          <w:spacing w:val="-5"/>
          <w:sz w:val="24"/>
          <w:szCs w:val="24"/>
          <w:highlight w:val="none"/>
        </w:rPr>
        <w:t>：</w:t>
      </w:r>
    </w:p>
    <w:p w14:paraId="421B37A2">
      <w:pPr>
        <w:keepNext w:val="0"/>
        <w:keepLines w:val="0"/>
        <w:pageBreakBefore w:val="0"/>
        <w:widowControl/>
        <w:kinsoku/>
        <w:wordWrap/>
        <w:overflowPunct w:val="0"/>
        <w:topLinePunct w:val="0"/>
        <w:bidi w:val="0"/>
        <w:spacing w:line="460" w:lineRule="exact"/>
        <w:ind w:firstLine="301" w:firstLineChars="100"/>
        <w:rPr>
          <w:rFonts w:hint="eastAsia" w:ascii="宋体" w:hAnsi="宋体" w:eastAsia="宋体" w:cs="宋体"/>
          <w:b/>
          <w:bCs/>
          <w:strike/>
          <w:d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pacing w:val="-5"/>
          <w:sz w:val="24"/>
          <w:szCs w:val="24"/>
          <w:highlight w:val="none"/>
          <w14:textFill>
            <w14:solidFill>
              <w14:schemeClr w14:val="tx1"/>
            </w14:solidFill>
          </w14:textFill>
        </w:rPr>
        <w:t>人员配备</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方面</w:t>
      </w:r>
      <w:r>
        <w:rPr>
          <w:rFonts w:hint="eastAsia" w:ascii="宋体" w:hAnsi="宋体" w:eastAsia="宋体" w:cs="宋体"/>
          <w:b/>
          <w:bCs/>
          <w:color w:val="000000" w:themeColor="text1"/>
          <w:spacing w:val="-5"/>
          <w:sz w:val="24"/>
          <w:szCs w:val="24"/>
          <w:highlight w:val="none"/>
          <w14:textFill>
            <w14:solidFill>
              <w14:schemeClr w14:val="tx1"/>
            </w14:solidFill>
          </w14:textFill>
        </w:rPr>
        <w:t>：</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乙方为本项目配备的</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现场</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管理、维护</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服务</w:t>
      </w:r>
      <w:r>
        <w:rPr>
          <w:rFonts w:hint="eastAsia" w:ascii="宋体" w:hAnsi="宋体" w:eastAsia="宋体" w:cs="宋体"/>
          <w:b/>
          <w:bCs/>
          <w:color w:val="000000" w:themeColor="text1"/>
          <w:spacing w:val="-5"/>
          <w:sz w:val="24"/>
          <w:szCs w:val="24"/>
          <w:highlight w:val="none"/>
          <w14:textFill>
            <w14:solidFill>
              <w14:schemeClr w14:val="tx1"/>
            </w14:solidFill>
          </w14:textFill>
        </w:rPr>
        <w:t>人员</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应</w:t>
      </w:r>
      <w:r>
        <w:rPr>
          <w:rFonts w:hint="eastAsia" w:ascii="宋体" w:hAnsi="宋体" w:eastAsia="宋体" w:cs="宋体"/>
          <w:b/>
          <w:bCs/>
          <w:color w:val="000000" w:themeColor="text1"/>
          <w:spacing w:val="-5"/>
          <w:sz w:val="24"/>
          <w:szCs w:val="24"/>
          <w:highlight w:val="none"/>
          <w14:textFill>
            <w14:solidFill>
              <w14:schemeClr w14:val="tx1"/>
            </w14:solidFill>
          </w14:textFill>
        </w:rPr>
        <w:t>配备不少于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18人</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且不少于乙方投标时承诺的人员及数量</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其中</w:t>
      </w:r>
      <w:r>
        <w:rPr>
          <w:rFonts w:hint="eastAsia" w:ascii="宋体" w:hAnsi="宋体" w:eastAsia="宋体" w:cs="宋体"/>
          <w:b/>
          <w:bCs/>
          <w:color w:val="000000" w:themeColor="text1"/>
          <w:spacing w:val="-5"/>
          <w:sz w:val="24"/>
          <w:szCs w:val="24"/>
          <w:highlight w:val="none"/>
          <w14:textFill>
            <w14:solidFill>
              <w14:schemeClr w14:val="tx1"/>
            </w14:solidFill>
          </w14:textFill>
        </w:rPr>
        <w:t>包括：</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pacing w:val="-5"/>
          <w:sz w:val="24"/>
          <w:szCs w:val="24"/>
          <w:highlight w:val="none"/>
          <w14:textFill>
            <w14:solidFill>
              <w14:schemeClr w14:val="tx1"/>
            </w14:solidFill>
          </w14:textFill>
        </w:rPr>
        <w:t>项目负责人</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1人；（2）技术负责人，1人；（3）专职</w:t>
      </w:r>
      <w:r>
        <w:rPr>
          <w:rFonts w:hint="eastAsia" w:ascii="宋体" w:hAnsi="宋体" w:eastAsia="宋体" w:cs="宋体"/>
          <w:b/>
          <w:bCs/>
          <w:color w:val="000000" w:themeColor="text1"/>
          <w:spacing w:val="-5"/>
          <w:sz w:val="24"/>
          <w:szCs w:val="24"/>
          <w:highlight w:val="none"/>
          <w14:textFill>
            <w14:solidFill>
              <w14:schemeClr w14:val="tx1"/>
            </w14:solidFill>
          </w14:textFill>
        </w:rPr>
        <w:t>安全员</w:t>
      </w:r>
      <w:r>
        <w:rPr>
          <w:rFonts w:hint="eastAsia" w:ascii="宋体" w:hAnsi="宋体" w:eastAsia="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不少于1人；（4）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维护服务人员不少于15人，其中高压电工证不少于5人、低压电工证的人员不少于5人，高处作业证、熔化焊接与热切割作业证不少于2人、B2及以上驾驶证不少于2人、起重机司机证（新Q2或旧Q8）的人员不少于1人。</w:t>
      </w:r>
    </w:p>
    <w:p w14:paraId="1B801345">
      <w:pPr>
        <w:keepNext w:val="0"/>
        <w:keepLines w:val="0"/>
        <w:pageBreakBefore w:val="0"/>
        <w:widowControl/>
        <w:kinsoku/>
        <w:wordWrap/>
        <w:overflowPunct w:val="0"/>
        <w:topLinePunct w:val="0"/>
        <w:bidi w:val="0"/>
        <w:spacing w:line="460" w:lineRule="exact"/>
        <w:ind w:firstLine="462" w:firstLineChars="200"/>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以上人员均应持证上岗，应为中标单位职工，按照工种分类，技术娴熟，能够胜任本职工作；年龄符合国家对各类人员规定上岗的合理年龄，并能完全应对本项目重大节日、重大活动保障、应急抢修等情况下的服务要求。</w:t>
      </w:r>
    </w:p>
    <w:p w14:paraId="4D3E8183">
      <w:pPr>
        <w:keepNext w:val="0"/>
        <w:keepLines w:val="0"/>
        <w:pageBreakBefore w:val="0"/>
        <w:widowControl/>
        <w:kinsoku/>
        <w:wordWrap/>
        <w:overflowPunct w:val="0"/>
        <w:topLinePunct w:val="0"/>
        <w:bidi w:val="0"/>
        <w:spacing w:line="460" w:lineRule="exact"/>
        <w:ind w:firstLine="462" w:firstLineChars="200"/>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专职</w:t>
      </w:r>
      <w:r>
        <w:rPr>
          <w:rFonts w:hint="eastAsia" w:ascii="宋体" w:hAnsi="宋体" w:eastAsia="宋体" w:cs="宋体"/>
          <w:b/>
          <w:bCs/>
          <w:color w:val="000000" w:themeColor="text1"/>
          <w:spacing w:val="-5"/>
          <w:sz w:val="24"/>
          <w:szCs w:val="24"/>
          <w:highlight w:val="none"/>
          <w14:textFill>
            <w14:solidFill>
              <w14:schemeClr w14:val="tx1"/>
            </w14:solidFill>
          </w14:textFill>
        </w:rPr>
        <w:t>安全员</w:t>
      </w:r>
      <w:r>
        <w:rPr>
          <w:rFonts w:hint="eastAsia" w:ascii="宋体" w:hAnsi="宋体" w:cs="宋体"/>
          <w:b/>
          <w:bCs/>
          <w:color w:val="000000" w:themeColor="text1"/>
          <w:spacing w:val="-5"/>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维护服务人员</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须提供相关证书原件扫描件并加盖投标人电子签章，放入投标文件中。</w:t>
      </w:r>
    </w:p>
    <w:p w14:paraId="2C0DC129">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strike/>
          <w:dstrike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t>乙方进场维护服务后须保证</w:t>
      </w:r>
      <w:r>
        <w:rPr>
          <w:rFonts w:hint="eastAsia" w:ascii="宋体" w:hAnsi="宋体" w:eastAsia="宋体" w:cs="宋体"/>
          <w:color w:val="000000" w:themeColor="text1"/>
          <w:sz w:val="24"/>
          <w:szCs w:val="24"/>
          <w:highlight w:val="none"/>
          <w:lang w:eastAsia="zh-CN"/>
          <w14:textFill>
            <w14:solidFill>
              <w14:schemeClr w14:val="tx1"/>
            </w14:solidFill>
          </w14:textFill>
        </w:rPr>
        <w:t>在现场设立常驻维保服务工作组并配备</w:t>
      </w:r>
      <w:r>
        <w:rPr>
          <w:rFonts w:hint="eastAsia" w:ascii="宋体" w:hAnsi="宋体" w:eastAsia="宋体" w:cs="宋体"/>
          <w:color w:val="000000" w:themeColor="text1"/>
          <w:sz w:val="24"/>
          <w:szCs w:val="24"/>
          <w:highlight w:val="none"/>
          <w:lang w:val="en-US" w:eastAsia="zh-CN"/>
          <w14:textFill>
            <w14:solidFill>
              <w14:schemeClr w14:val="tx1"/>
            </w14:solidFill>
          </w14:textFill>
        </w:rPr>
        <w:t>高压电工证不少于5人、低压电工证的人员不少于5人</w:t>
      </w:r>
      <w:r>
        <w:rPr>
          <w:rFonts w:hint="eastAsia" w:ascii="宋体" w:hAnsi="宋体" w:eastAsia="宋体" w:cs="宋体"/>
          <w:color w:val="000000" w:themeColor="text1"/>
          <w:sz w:val="24"/>
          <w:szCs w:val="24"/>
          <w:highlight w:val="none"/>
          <w:lang w:eastAsia="zh-CN"/>
          <w14:textFill>
            <w14:solidFill>
              <w14:schemeClr w14:val="tx1"/>
            </w14:solidFill>
          </w14:textFill>
        </w:rPr>
        <w:t>的专业人员。</w:t>
      </w:r>
    </w:p>
    <w:p w14:paraId="1C92EF9F">
      <w:pPr>
        <w:keepNext w:val="0"/>
        <w:keepLines w:val="0"/>
        <w:pageBreakBefore w:val="0"/>
        <w:widowControl/>
        <w:kinsoku/>
        <w:wordWrap/>
        <w:overflowPunct w:val="0"/>
        <w:topLinePunct w:val="0"/>
        <w:bidi w:val="0"/>
        <w:spacing w:line="460" w:lineRule="exact"/>
        <w:ind w:firstLine="460" w:firstLineChars="200"/>
        <w:rPr>
          <w:rFonts w:hint="eastAsia" w:ascii="宋体" w:hAnsi="宋体" w:eastAsia="宋体" w:cs="宋体"/>
          <w:b w:val="0"/>
          <w:bCs w:val="0"/>
          <w:color w:val="000000" w:themeColor="text1"/>
          <w:spacing w:val="-5"/>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pacing w:val="-5"/>
          <w:sz w:val="24"/>
          <w:szCs w:val="24"/>
          <w:highlight w:val="none"/>
          <w:lang w:eastAsia="zh-CN"/>
          <w14:textFill>
            <w14:solidFill>
              <w14:schemeClr w14:val="tx1"/>
            </w14:solidFill>
          </w14:textFill>
        </w:rPr>
        <w:t>如</w:t>
      </w:r>
      <w:r>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t>投标人中标后投标文件中拟派项目管理、维护服务</w:t>
      </w:r>
      <w:r>
        <w:rPr>
          <w:rFonts w:hint="eastAsia" w:ascii="宋体" w:hAnsi="宋体" w:eastAsia="宋体" w:cs="宋体"/>
          <w:b w:val="0"/>
          <w:bCs w:val="0"/>
          <w:color w:val="000000" w:themeColor="text1"/>
          <w:spacing w:val="-5"/>
          <w:sz w:val="24"/>
          <w:szCs w:val="24"/>
          <w:highlight w:val="none"/>
          <w:lang w:eastAsia="zh-CN"/>
          <w14:textFill>
            <w14:solidFill>
              <w14:schemeClr w14:val="tx1"/>
            </w14:solidFill>
          </w14:textFill>
        </w:rPr>
        <w:t>人员</w:t>
      </w:r>
      <w:r>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t>能力、</w:t>
      </w:r>
      <w:r>
        <w:rPr>
          <w:rFonts w:hint="eastAsia" w:ascii="宋体" w:hAnsi="宋体" w:eastAsia="宋体" w:cs="宋体"/>
          <w:b w:val="0"/>
          <w:bCs w:val="0"/>
          <w:color w:val="000000" w:themeColor="text1"/>
          <w:spacing w:val="-5"/>
          <w:sz w:val="24"/>
          <w:szCs w:val="24"/>
          <w:highlight w:val="none"/>
          <w:lang w:eastAsia="zh-CN"/>
          <w14:textFill>
            <w14:solidFill>
              <w14:schemeClr w14:val="tx1"/>
            </w14:solidFill>
          </w14:textFill>
        </w:rPr>
        <w:t>数量不足以满足项目</w:t>
      </w:r>
      <w:r>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t>实际</w:t>
      </w:r>
      <w:r>
        <w:rPr>
          <w:rFonts w:hint="eastAsia" w:ascii="宋体" w:hAnsi="宋体" w:eastAsia="宋体" w:cs="宋体"/>
          <w:b w:val="0"/>
          <w:bCs w:val="0"/>
          <w:color w:val="000000" w:themeColor="text1"/>
          <w:spacing w:val="-5"/>
          <w:sz w:val="24"/>
          <w:szCs w:val="24"/>
          <w:highlight w:val="none"/>
          <w:lang w:eastAsia="zh-CN"/>
          <w14:textFill>
            <w14:solidFill>
              <w14:schemeClr w14:val="tx1"/>
            </w14:solidFill>
          </w14:textFill>
        </w:rPr>
        <w:t>服务需要时，</w:t>
      </w:r>
      <w:r>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t>招标人</w:t>
      </w:r>
      <w:r>
        <w:rPr>
          <w:rFonts w:hint="eastAsia" w:ascii="宋体" w:hAnsi="宋体" w:eastAsia="宋体" w:cs="宋体"/>
          <w:b w:val="0"/>
          <w:bCs w:val="0"/>
          <w:color w:val="000000" w:themeColor="text1"/>
          <w:spacing w:val="-5"/>
          <w:sz w:val="24"/>
          <w:szCs w:val="24"/>
          <w:highlight w:val="none"/>
          <w:lang w:eastAsia="zh-CN"/>
          <w14:textFill>
            <w14:solidFill>
              <w14:schemeClr w14:val="tx1"/>
            </w14:solidFill>
          </w14:textFill>
        </w:rPr>
        <w:t>有权要求立即增加人手，做好本项目维护工作，如</w:t>
      </w:r>
      <w:r>
        <w:rPr>
          <w:rFonts w:hint="eastAsia" w:ascii="宋体" w:hAnsi="宋体" w:eastAsia="宋体" w:cs="宋体"/>
          <w:b w:val="0"/>
          <w:bCs w:val="0"/>
          <w:color w:val="000000" w:themeColor="text1"/>
          <w:spacing w:val="-5"/>
          <w:sz w:val="24"/>
          <w:szCs w:val="24"/>
          <w:highlight w:val="none"/>
          <w:lang w:val="en-US" w:eastAsia="zh-CN"/>
          <w14:textFill>
            <w14:solidFill>
              <w14:schemeClr w14:val="tx1"/>
            </w14:solidFill>
          </w14:textFill>
        </w:rPr>
        <w:t>中标人</w:t>
      </w:r>
      <w:r>
        <w:rPr>
          <w:rFonts w:hint="eastAsia" w:ascii="宋体" w:hAnsi="宋体" w:eastAsia="宋体" w:cs="宋体"/>
          <w:b w:val="0"/>
          <w:bCs w:val="0"/>
          <w:color w:val="000000" w:themeColor="text1"/>
          <w:spacing w:val="-5"/>
          <w:sz w:val="24"/>
          <w:szCs w:val="24"/>
          <w:highlight w:val="none"/>
          <w:lang w:eastAsia="zh-CN"/>
          <w14:textFill>
            <w14:solidFill>
              <w14:schemeClr w14:val="tx1"/>
            </w14:solidFill>
          </w14:textFill>
        </w:rPr>
        <w:t>不执行的甲方有权对其考核扣分，并进行惩处。</w:t>
      </w:r>
    </w:p>
    <w:p w14:paraId="68AC1C1F">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4.原则上中标单位到本项目现场管理、维护服务的人员应</w:t>
      </w:r>
      <w:r>
        <w:rPr>
          <w:rFonts w:hint="eastAsia" w:ascii="宋体" w:hAnsi="宋体" w:eastAsia="宋体" w:cs="宋体"/>
          <w:color w:val="000000" w:themeColor="text1"/>
          <w:sz w:val="24"/>
          <w:szCs w:val="24"/>
          <w:highlight w:val="none"/>
          <w14:textFill>
            <w14:solidFill>
              <w14:schemeClr w14:val="tx1"/>
            </w14:solidFill>
          </w14:textFill>
        </w:rPr>
        <w:t>同投标时提供人员名册人、证一致，</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不得随意更换。</w:t>
      </w:r>
      <w:r>
        <w:rPr>
          <w:rFonts w:hint="eastAsia" w:ascii="宋体" w:hAnsi="宋体" w:eastAsia="宋体" w:cs="宋体"/>
          <w:color w:val="000000" w:themeColor="text1"/>
          <w:sz w:val="24"/>
          <w:szCs w:val="24"/>
          <w:highlight w:val="none"/>
          <w14:textFill>
            <w14:solidFill>
              <w14:schemeClr w14:val="tx1"/>
            </w14:solidFill>
          </w14:textFill>
        </w:rPr>
        <w:t>服务期间如有人员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应特殊情况需要</w:t>
      </w:r>
      <w:r>
        <w:rPr>
          <w:rFonts w:hint="eastAsia" w:ascii="宋体" w:hAnsi="宋体" w:eastAsia="宋体" w:cs="宋体"/>
          <w:color w:val="000000" w:themeColor="text1"/>
          <w:sz w:val="24"/>
          <w:szCs w:val="24"/>
          <w:highlight w:val="none"/>
          <w14:textFill>
            <w14:solidFill>
              <w14:schemeClr w14:val="tx1"/>
            </w14:solidFill>
          </w14:textFill>
        </w:rPr>
        <w:t>变更</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提前1个月向招标人递交人员变更手续</w:t>
      </w:r>
      <w:r>
        <w:rPr>
          <w:rFonts w:hint="eastAsia" w:ascii="宋体" w:hAnsi="宋体" w:eastAsia="宋体" w:cs="宋体"/>
          <w:color w:val="000000" w:themeColor="text1"/>
          <w:sz w:val="24"/>
          <w:szCs w:val="24"/>
          <w:highlight w:val="none"/>
          <w:lang w:val="en-US" w:eastAsia="zh-CN"/>
          <w14:textFill>
            <w14:solidFill>
              <w14:schemeClr w14:val="tx1"/>
            </w14:solidFill>
          </w14:textFill>
        </w:rPr>
        <w:t>并征得招标人书面同意</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如</w:t>
      </w:r>
      <w:r>
        <w:rPr>
          <w:rFonts w:hint="eastAsia" w:ascii="宋体" w:hAnsi="宋体" w:eastAsia="宋体" w:cs="宋体"/>
          <w:color w:val="000000" w:themeColor="text1"/>
          <w:sz w:val="24"/>
          <w:szCs w:val="24"/>
          <w:highlight w:val="none"/>
          <w14:textFill>
            <w14:solidFill>
              <w14:schemeClr w14:val="tx1"/>
            </w14:solidFill>
          </w14:textFill>
        </w:rPr>
        <w:t>私自更换，或者更换的人员不符合招标时要求的，招标人可以终止合同。</w:t>
      </w:r>
    </w:p>
    <w:p w14:paraId="54509E4A">
      <w:pPr>
        <w:pStyle w:val="2"/>
        <w:keepNext w:val="0"/>
        <w:keepLines w:val="0"/>
        <w:pageBreakBefore w:val="0"/>
        <w:widowControl/>
        <w:kinsoku/>
        <w:wordWrap/>
        <w:overflowPunct w:val="0"/>
        <w:topLinePunct w:val="0"/>
        <w:autoSpaceDE w:val="0"/>
        <w:autoSpaceDN w:val="0"/>
        <w:bidi w:val="0"/>
        <w:adjustRightInd w:val="0"/>
        <w:snapToGrid w:val="0"/>
        <w:spacing w:after="0" w:line="460" w:lineRule="exact"/>
        <w:ind w:firstLine="46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strike w:val="0"/>
          <w:dstrike w:val="0"/>
          <w:color w:val="000000" w:themeColor="text1"/>
          <w:spacing w:val="-5"/>
          <w:sz w:val="24"/>
          <w:szCs w:val="24"/>
          <w:highlight w:val="none"/>
          <w:lang w:val="en-US" w:eastAsia="zh-CN"/>
          <w14:textFill>
            <w14:solidFill>
              <w14:schemeClr w14:val="tx1"/>
            </w14:solidFill>
          </w14:textFill>
        </w:rPr>
        <w:t>5.乙方须提供保证本项目管理、维护服务需要的车辆、设备、仪器、通讯交通工具等。</w:t>
      </w:r>
    </w:p>
    <w:p w14:paraId="774C079E">
      <w:pPr>
        <w:keepNext w:val="0"/>
        <w:keepLines w:val="0"/>
        <w:pageBreakBefore w:val="0"/>
        <w:widowControl/>
        <w:kinsoku/>
        <w:wordWrap/>
        <w:overflowPunct w:val="0"/>
        <w:topLinePunct w:val="0"/>
        <w:bidi w:val="0"/>
        <w:spacing w:line="460" w:lineRule="exact"/>
        <w:ind w:firstLine="241" w:firstLineChars="100"/>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（三）项目管理、维护服务方面的要求：</w:t>
      </w:r>
    </w:p>
    <w:p w14:paraId="2390977E">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1.投标人应提供本项目的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eastAsia="宋体" w:cs="宋体"/>
          <w:color w:val="000000" w:themeColor="text1"/>
          <w:sz w:val="24"/>
          <w:szCs w:val="24"/>
          <w:highlight w:val="none"/>
          <w:lang w:eastAsia="zh-CN"/>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本项目的了解（包括对项目</w:t>
      </w:r>
      <w:r>
        <w:rPr>
          <w:rFonts w:hint="eastAsia" w:ascii="宋体" w:hAnsi="宋体" w:eastAsia="宋体" w:cs="宋体"/>
          <w:color w:val="000000" w:themeColor="text1"/>
          <w:sz w:val="24"/>
          <w:szCs w:val="24"/>
          <w:highlight w:val="none"/>
          <w:lang w:eastAsia="zh-CN"/>
          <w14:textFill>
            <w14:solidFill>
              <w14:schemeClr w14:val="tx1"/>
            </w14:solidFill>
          </w14:textFill>
        </w:rPr>
        <w:t>现场</w:t>
      </w:r>
      <w:r>
        <w:rPr>
          <w:rFonts w:hint="eastAsia" w:ascii="宋体" w:hAnsi="宋体" w:eastAsia="宋体" w:cs="宋体"/>
          <w:color w:val="000000" w:themeColor="text1"/>
          <w:sz w:val="24"/>
          <w:szCs w:val="24"/>
          <w:highlight w:val="none"/>
          <w:lang w:val="en-US" w:eastAsia="zh-CN"/>
          <w14:textFill>
            <w14:solidFill>
              <w14:schemeClr w14:val="tx1"/>
            </w14:solidFill>
          </w14:textFill>
        </w:rPr>
        <w:t>实际情况的实地</w:t>
      </w:r>
      <w:r>
        <w:rPr>
          <w:rFonts w:hint="eastAsia" w:ascii="宋体" w:hAnsi="宋体" w:eastAsia="宋体" w:cs="宋体"/>
          <w:color w:val="000000" w:themeColor="text1"/>
          <w:sz w:val="24"/>
          <w:szCs w:val="24"/>
          <w:highlight w:val="none"/>
          <w:lang w:eastAsia="zh-CN"/>
          <w14:textFill>
            <w14:solidFill>
              <w14:schemeClr w14:val="tx1"/>
            </w14:solidFill>
          </w14:textFill>
        </w:rPr>
        <w:t>了解）；（</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项目组织结构设置，</w:t>
      </w:r>
      <w:r>
        <w:rPr>
          <w:rFonts w:hint="eastAsia" w:ascii="宋体" w:hAnsi="宋体" w:eastAsia="宋体" w:cs="宋体"/>
          <w:color w:val="000000" w:themeColor="text1"/>
          <w:sz w:val="24"/>
          <w:szCs w:val="24"/>
          <w:highlight w:val="none"/>
          <w:lang w:val="en-US" w:eastAsia="zh-CN"/>
          <w14:textFill>
            <w14:solidFill>
              <w14:schemeClr w14:val="tx1"/>
            </w14:solidFill>
          </w14:textFill>
        </w:rPr>
        <w:t>人员配备，现场维护服务</w:t>
      </w:r>
      <w:r>
        <w:rPr>
          <w:rFonts w:hint="eastAsia" w:ascii="宋体" w:hAnsi="宋体" w:eastAsia="宋体" w:cs="宋体"/>
          <w:color w:val="000000" w:themeColor="text1"/>
          <w:sz w:val="24"/>
          <w:szCs w:val="24"/>
          <w:highlight w:val="none"/>
          <w:lang w:eastAsia="zh-CN"/>
          <w14:textFill>
            <w14:solidFill>
              <w14:schemeClr w14:val="tx1"/>
            </w14:solidFill>
          </w14:textFill>
        </w:rPr>
        <w:t>管理模式（</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w:t>
      </w:r>
      <w:r>
        <w:rPr>
          <w:rFonts w:hint="eastAsia" w:ascii="宋体" w:hAnsi="宋体" w:eastAsia="宋体" w:cs="宋体"/>
          <w:color w:val="000000" w:themeColor="text1"/>
          <w:sz w:val="24"/>
          <w:szCs w:val="24"/>
          <w:highlight w:val="none"/>
          <w:lang w:eastAsia="zh-CN"/>
          <w14:textFill>
            <w14:solidFill>
              <w14:schemeClr w14:val="tx1"/>
            </w14:solidFill>
          </w14:textFill>
        </w:rPr>
        <w:t>管理网络建立）；（</w:t>
      </w:r>
      <w:r>
        <w:rPr>
          <w:rFonts w:hint="eastAsia" w:ascii="宋体" w:hAnsi="宋体" w:eastAsia="宋体" w:cs="宋体"/>
          <w:color w:val="000000" w:themeColor="text1"/>
          <w:sz w:val="24"/>
          <w:szCs w:val="24"/>
          <w:highlight w:val="none"/>
          <w:lang w:val="en-US" w:eastAsia="zh-CN"/>
          <w14:textFill>
            <w14:solidFill>
              <w14:schemeClr w14:val="tx1"/>
            </w14:solidFill>
          </w14:textFill>
        </w:rPr>
        <w:t>3）信息化建设、管理方面（包括</w:t>
      </w:r>
      <w:r>
        <w:rPr>
          <w:rFonts w:hint="eastAsia" w:ascii="宋体" w:hAnsi="宋体" w:eastAsia="宋体" w:cs="宋体"/>
          <w:color w:val="000000" w:themeColor="text1"/>
          <w:sz w:val="24"/>
          <w:szCs w:val="24"/>
          <w:highlight w:val="none"/>
          <w:lang w:eastAsia="zh-CN"/>
          <w14:textFill>
            <w14:solidFill>
              <w14:schemeClr w14:val="tx1"/>
            </w14:solidFill>
          </w14:textFill>
        </w:rPr>
        <w:t>实施运行数字维护，对现有路灯监控信息化平台对接实施管理，与上级管理部门监控信息化平台对接</w:t>
      </w:r>
      <w:r>
        <w:rPr>
          <w:rFonts w:hint="eastAsia" w:ascii="宋体" w:hAnsi="宋体" w:eastAsia="宋体" w:cs="宋体"/>
          <w:color w:val="000000" w:themeColor="text1"/>
          <w:sz w:val="24"/>
          <w:szCs w:val="24"/>
          <w:highlight w:val="none"/>
          <w:lang w:val="en-US" w:eastAsia="zh-CN"/>
          <w14:textFill>
            <w14:solidFill>
              <w14:schemeClr w14:val="tx1"/>
            </w14:solidFill>
          </w14:textFill>
        </w:rPr>
        <w:t>等）；（4）绿色节能方面（包括</w:t>
      </w:r>
      <w:r>
        <w:rPr>
          <w:rFonts w:hint="eastAsia" w:ascii="宋体" w:hAnsi="宋体" w:eastAsia="宋体" w:cs="宋体"/>
          <w:color w:val="000000" w:themeColor="text1"/>
          <w:sz w:val="24"/>
          <w:szCs w:val="24"/>
          <w:highlight w:val="none"/>
          <w:lang w:eastAsia="zh-CN"/>
          <w14:textFill>
            <w14:solidFill>
              <w14:schemeClr w14:val="tx1"/>
            </w14:solidFill>
          </w14:textFill>
        </w:rPr>
        <w:t>如何加强服务中绿色低碳环保管理、绿色产品及设备使用、节能技术等）；</w:t>
      </w:r>
      <w:r>
        <w:rPr>
          <w:rFonts w:hint="eastAsia" w:ascii="宋体" w:hAnsi="宋体" w:eastAsia="宋体" w:cs="宋体"/>
          <w:color w:val="000000" w:themeColor="text1"/>
          <w:sz w:val="24"/>
          <w:szCs w:val="24"/>
          <w:highlight w:val="none"/>
          <w:lang w:val="en-US" w:eastAsia="zh-CN"/>
          <w14:textFill>
            <w14:solidFill>
              <w14:schemeClr w14:val="tx1"/>
            </w14:solidFill>
          </w14:textFill>
        </w:rPr>
        <w:t>等方面的实施方案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563BEC8">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2.投标人应提供本项目在</w:t>
      </w:r>
      <w:r>
        <w:rPr>
          <w:rFonts w:hint="eastAsia" w:ascii="宋体" w:hAnsi="宋体" w:eastAsia="宋体" w:cs="宋体"/>
          <w:color w:val="000000" w:themeColor="text1"/>
          <w:sz w:val="24"/>
          <w:szCs w:val="24"/>
          <w:highlight w:val="none"/>
          <w:lang w:eastAsia="zh-CN"/>
          <w14:textFill>
            <w14:solidFill>
              <w14:schemeClr w14:val="tx1"/>
            </w14:solidFill>
          </w14:textFill>
        </w:rPr>
        <w:t>重大节日、重大活动</w:t>
      </w:r>
      <w:r>
        <w:rPr>
          <w:rFonts w:hint="eastAsia" w:ascii="宋体" w:hAnsi="宋体" w:eastAsia="宋体" w:cs="宋体"/>
          <w:color w:val="000000" w:themeColor="text1"/>
          <w:sz w:val="24"/>
          <w:szCs w:val="24"/>
          <w:highlight w:val="none"/>
          <w:lang w:val="en-US" w:eastAsia="zh-CN"/>
          <w14:textFill>
            <w14:solidFill>
              <w14:schemeClr w14:val="tx1"/>
            </w14:solidFill>
          </w14:textFill>
        </w:rPr>
        <w:t>方面的</w:t>
      </w:r>
      <w:r>
        <w:rPr>
          <w:rFonts w:hint="eastAsia" w:ascii="宋体" w:hAnsi="宋体" w:eastAsia="宋体" w:cs="宋体"/>
          <w:color w:val="000000" w:themeColor="text1"/>
          <w:sz w:val="24"/>
          <w:szCs w:val="24"/>
          <w:highlight w:val="none"/>
          <w:lang w:eastAsia="zh-CN"/>
          <w14:textFill>
            <w14:solidFill>
              <w14:schemeClr w14:val="tx1"/>
            </w14:solidFill>
          </w14:textFill>
        </w:rPr>
        <w:t>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或方案，包括并不限于:</w:t>
      </w:r>
      <w:r>
        <w:rPr>
          <w:rFonts w:hint="eastAsia" w:ascii="宋体" w:hAnsi="宋体" w:eastAsia="宋体" w:cs="宋体"/>
          <w:color w:val="000000" w:themeColor="text1"/>
          <w:sz w:val="24"/>
          <w:szCs w:val="24"/>
          <w:highlight w:val="none"/>
          <w:lang w:eastAsia="zh-CN"/>
          <w14:textFill>
            <w14:solidFill>
              <w14:schemeClr w14:val="tx1"/>
            </w14:solidFill>
          </w14:textFill>
        </w:rPr>
        <w:t>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安排</w:t>
      </w:r>
      <w:r>
        <w:rPr>
          <w:rFonts w:hint="eastAsia" w:ascii="宋体" w:hAnsi="宋体" w:eastAsia="宋体" w:cs="宋体"/>
          <w:color w:val="000000" w:themeColor="text1"/>
          <w:sz w:val="24"/>
          <w:szCs w:val="24"/>
          <w:highlight w:val="none"/>
          <w:lang w:eastAsia="zh-CN"/>
          <w14:textFill>
            <w14:solidFill>
              <w14:schemeClr w14:val="tx1"/>
            </w14:solidFill>
          </w14:textFill>
        </w:rPr>
        <w:t>及车辆保障，安全措施，重点保障期间</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巡查、巡修措施，综合信息上报措施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等方面的措施、方案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E03850B">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3.投标人应提供本项目的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应急抢修</w:t>
      </w:r>
      <w:r>
        <w:rPr>
          <w:rFonts w:hint="eastAsia" w:ascii="宋体" w:hAnsi="宋体" w:eastAsia="宋体" w:cs="宋体"/>
          <w:color w:val="000000" w:themeColor="text1"/>
          <w:sz w:val="24"/>
          <w:szCs w:val="24"/>
          <w:highlight w:val="none"/>
          <w:lang w:val="en-US" w:eastAsia="zh-CN"/>
          <w14:textFill>
            <w14:solidFill>
              <w14:schemeClr w14:val="tx1"/>
            </w14:solidFill>
          </w14:textFill>
        </w:rPr>
        <w:t>措施、</w:t>
      </w:r>
      <w:r>
        <w:rPr>
          <w:rFonts w:hint="eastAsia" w:ascii="宋体" w:hAnsi="宋体" w:eastAsia="宋体" w:cs="宋体"/>
          <w:color w:val="000000" w:themeColor="text1"/>
          <w:sz w:val="24"/>
          <w:szCs w:val="24"/>
          <w:highlight w:val="none"/>
          <w:lang w:eastAsia="zh-CN"/>
          <w14:textFill>
            <w14:solidFill>
              <w14:schemeClr w14:val="tx1"/>
            </w14:solidFill>
          </w14:textFill>
        </w:rPr>
        <w:t>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eastAsia="宋体" w:cs="宋体"/>
          <w:color w:val="000000" w:themeColor="text1"/>
          <w:sz w:val="24"/>
          <w:szCs w:val="24"/>
          <w:highlight w:val="none"/>
          <w:lang w:eastAsia="zh-CN"/>
          <w14:textFill>
            <w14:solidFill>
              <w14:schemeClr w14:val="tx1"/>
            </w14:solidFill>
          </w14:textFill>
        </w:rPr>
        <w:t>启动城市照明应急预案后所有相关人员到岗</w:t>
      </w:r>
      <w:r>
        <w:rPr>
          <w:rFonts w:hint="eastAsia" w:ascii="宋体" w:hAnsi="宋体" w:eastAsia="宋体" w:cs="宋体"/>
          <w:color w:val="000000" w:themeColor="text1"/>
          <w:sz w:val="24"/>
          <w:szCs w:val="24"/>
          <w:highlight w:val="none"/>
          <w:lang w:val="en-US" w:eastAsia="zh-CN"/>
          <w14:textFill>
            <w14:solidFill>
              <w14:schemeClr w14:val="tx1"/>
            </w14:solidFill>
          </w14:textFill>
        </w:rPr>
        <w:t>安排</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lang w:eastAsia="zh-CN"/>
          <w14:textFill>
            <w14:solidFill>
              <w14:schemeClr w14:val="tx1"/>
            </w14:solidFill>
          </w14:textFill>
        </w:rPr>
        <w:t>实行24小时值班制）；（</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上报信息</w:t>
      </w:r>
      <w:r>
        <w:rPr>
          <w:rFonts w:hint="eastAsia" w:ascii="宋体" w:hAnsi="宋体" w:eastAsia="宋体" w:cs="宋体"/>
          <w:color w:val="000000" w:themeColor="text1"/>
          <w:sz w:val="24"/>
          <w:szCs w:val="24"/>
          <w:highlight w:val="none"/>
          <w:lang w:val="en-US" w:eastAsia="zh-CN"/>
          <w14:textFill>
            <w14:solidFill>
              <w14:schemeClr w14:val="tx1"/>
            </w14:solidFill>
          </w14:textFill>
        </w:rPr>
        <w:t>安排</w:t>
      </w:r>
      <w:r>
        <w:rPr>
          <w:rFonts w:hint="eastAsia" w:ascii="宋体" w:hAnsi="宋体" w:eastAsia="宋体" w:cs="宋体"/>
          <w:color w:val="000000" w:themeColor="text1"/>
          <w:sz w:val="24"/>
          <w:szCs w:val="24"/>
          <w:highlight w:val="none"/>
          <w:lang w:eastAsia="zh-CN"/>
          <w14:textFill>
            <w14:solidFill>
              <w14:schemeClr w14:val="tx1"/>
            </w14:solidFill>
          </w14:textFill>
        </w:rPr>
        <w:t>； （</w:t>
      </w:r>
      <w:r>
        <w:rPr>
          <w:rFonts w:hint="eastAsia" w:ascii="宋体" w:hAnsi="宋体" w:eastAsia="宋体" w:cs="宋体"/>
          <w:color w:val="000000" w:themeColor="text1"/>
          <w:sz w:val="24"/>
          <w:szCs w:val="24"/>
          <w:highlight w:val="none"/>
          <w:lang w:val="en-US" w:eastAsia="zh-CN"/>
          <w14:textFill>
            <w14:solidFill>
              <w14:schemeClr w14:val="tx1"/>
            </w14:solidFill>
          </w14:textFill>
        </w:rPr>
        <w:t>3）遇到</w:t>
      </w:r>
      <w:r>
        <w:rPr>
          <w:rFonts w:hint="eastAsia" w:ascii="宋体" w:hAnsi="宋体" w:eastAsia="宋体" w:cs="宋体"/>
          <w:color w:val="000000" w:themeColor="text1"/>
          <w:sz w:val="24"/>
          <w:szCs w:val="24"/>
          <w:highlight w:val="none"/>
          <w:lang w:eastAsia="zh-CN"/>
          <w14:textFill>
            <w14:solidFill>
              <w14:schemeClr w14:val="tx1"/>
            </w14:solidFill>
          </w14:textFill>
        </w:rPr>
        <w:t>III、II、I 级突发事故</w:t>
      </w:r>
      <w:r>
        <w:rPr>
          <w:rFonts w:hint="eastAsia" w:ascii="宋体" w:hAnsi="宋体" w:eastAsia="宋体" w:cs="宋体"/>
          <w:color w:val="000000" w:themeColor="text1"/>
          <w:sz w:val="24"/>
          <w:szCs w:val="24"/>
          <w:highlight w:val="none"/>
          <w:lang w:val="en-US" w:eastAsia="zh-CN"/>
          <w14:textFill>
            <w14:solidFill>
              <w14:schemeClr w14:val="tx1"/>
            </w14:solidFill>
          </w14:textFill>
        </w:rPr>
        <w:t>时应</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相应实施方案；（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当灾害性天气影响城市照明设施正常运行时的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应急</w:t>
      </w:r>
      <w:r>
        <w:rPr>
          <w:rFonts w:hint="eastAsia" w:ascii="宋体" w:hAnsi="宋体" w:eastAsia="宋体" w:cs="宋体"/>
          <w:color w:val="000000" w:themeColor="text1"/>
          <w:sz w:val="24"/>
          <w:szCs w:val="24"/>
          <w:highlight w:val="none"/>
          <w:lang w:eastAsia="zh-CN"/>
          <w14:textFill>
            <w14:solidFill>
              <w14:schemeClr w14:val="tx1"/>
            </w14:solidFill>
          </w14:textFill>
        </w:rPr>
        <w:t>措施方案；（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城市快速道路、滨水桥梁等不同地点发生灯杆倒塌、照明器具坠落、设施漏电等各类突发事件的处置措施、方案（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应在</w:t>
      </w:r>
      <w:r>
        <w:rPr>
          <w:rFonts w:hint="eastAsia" w:ascii="宋体" w:hAnsi="宋体" w:eastAsia="宋体" w:cs="宋体"/>
          <w:color w:val="000000" w:themeColor="text1"/>
          <w:sz w:val="24"/>
          <w:szCs w:val="24"/>
          <w:highlight w:val="none"/>
          <w:lang w:eastAsia="zh-CN"/>
          <w14:textFill>
            <w14:solidFill>
              <w14:schemeClr w14:val="tx1"/>
            </w14:solidFill>
          </w14:textFill>
        </w:rPr>
        <w:t>接报后确保30分钟内赶赴现场）；（</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应急终止后的善后、恢复重建等的措施方案；（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平时</w:t>
      </w:r>
      <w:r>
        <w:rPr>
          <w:rFonts w:hint="eastAsia" w:ascii="宋体" w:hAnsi="宋体" w:eastAsia="宋体" w:cs="宋体"/>
          <w:color w:val="000000" w:themeColor="text1"/>
          <w:sz w:val="24"/>
          <w:szCs w:val="24"/>
          <w:highlight w:val="none"/>
          <w:lang w:val="en-US" w:eastAsia="zh-CN"/>
          <w14:textFill>
            <w14:solidFill>
              <w14:schemeClr w14:val="tx1"/>
            </w14:solidFill>
          </w14:textFill>
        </w:rPr>
        <w:t>各种情况的</w:t>
      </w:r>
      <w:r>
        <w:rPr>
          <w:rFonts w:hint="eastAsia" w:ascii="宋体" w:hAnsi="宋体" w:eastAsia="宋体" w:cs="宋体"/>
          <w:color w:val="000000" w:themeColor="text1"/>
          <w:sz w:val="24"/>
          <w:szCs w:val="24"/>
          <w:highlight w:val="none"/>
          <w:lang w:eastAsia="zh-CN"/>
          <w14:textFill>
            <w14:solidFill>
              <w14:schemeClr w14:val="tx1"/>
            </w14:solidFill>
          </w14:textFill>
        </w:rPr>
        <w:t>应急演练措施方案；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方面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的应急措施、</w:t>
      </w:r>
      <w:r>
        <w:rPr>
          <w:rFonts w:hint="eastAsia" w:ascii="宋体" w:hAnsi="宋体" w:eastAsia="宋体" w:cs="宋体"/>
          <w:color w:val="000000" w:themeColor="text1"/>
          <w:sz w:val="24"/>
          <w:szCs w:val="24"/>
          <w:highlight w:val="none"/>
          <w:lang w:eastAsia="zh-CN"/>
          <w14:textFill>
            <w14:solidFill>
              <w14:schemeClr w14:val="tx1"/>
            </w14:solidFill>
          </w14:textFill>
        </w:rPr>
        <w:t>方案。</w:t>
      </w:r>
    </w:p>
    <w:p w14:paraId="33107F01">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4.投标人应提供本项目的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安全文明生产保障措施、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eastAsia="宋体" w:cs="宋体"/>
          <w:color w:val="000000" w:themeColor="text1"/>
          <w:sz w:val="24"/>
          <w:szCs w:val="24"/>
          <w:highlight w:val="none"/>
          <w:lang w:eastAsia="zh-CN"/>
          <w14:textFill>
            <w14:solidFill>
              <w14:schemeClr w14:val="tx1"/>
            </w14:solidFill>
          </w14:textFill>
        </w:rPr>
        <w:t>现场施工或维护时</w:t>
      </w:r>
      <w:r>
        <w:rPr>
          <w:rFonts w:hint="eastAsia" w:ascii="宋体" w:hAnsi="宋体" w:eastAsia="宋体" w:cs="宋体"/>
          <w:color w:val="000000" w:themeColor="text1"/>
          <w:sz w:val="24"/>
          <w:szCs w:val="24"/>
          <w:highlight w:val="none"/>
          <w:lang w:val="en-US" w:eastAsia="zh-CN"/>
          <w14:textFill>
            <w14:solidFill>
              <w14:schemeClr w14:val="tx1"/>
            </w14:solidFill>
          </w14:textFill>
        </w:rPr>
        <w:t>关于安全文明方面</w:t>
      </w:r>
      <w:r>
        <w:rPr>
          <w:rFonts w:hint="eastAsia" w:ascii="宋体" w:hAnsi="宋体" w:eastAsia="宋体" w:cs="宋体"/>
          <w:color w:val="000000" w:themeColor="text1"/>
          <w:sz w:val="24"/>
          <w:szCs w:val="24"/>
          <w:highlight w:val="none"/>
          <w:lang w:eastAsia="zh-CN"/>
          <w14:textFill>
            <w14:solidFill>
              <w14:schemeClr w14:val="tx1"/>
            </w14:solidFill>
          </w14:textFill>
        </w:rPr>
        <w:t>的预测、预防措施；（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快速路</w:t>
      </w:r>
      <w:r>
        <w:rPr>
          <w:rFonts w:hint="eastAsia" w:ascii="宋体" w:hAnsi="宋体" w:eastAsia="宋体" w:cs="宋体"/>
          <w:color w:val="000000" w:themeColor="text1"/>
          <w:sz w:val="24"/>
          <w:szCs w:val="24"/>
          <w:highlight w:val="none"/>
          <w:lang w:val="en-US" w:eastAsia="zh-CN"/>
          <w14:textFill>
            <w14:solidFill>
              <w14:schemeClr w14:val="tx1"/>
            </w14:solidFill>
          </w14:textFill>
        </w:rPr>
        <w:t>及其他</w:t>
      </w:r>
      <w:r>
        <w:rPr>
          <w:rFonts w:hint="eastAsia" w:ascii="宋体" w:hAnsi="宋体" w:eastAsia="宋体" w:cs="宋体"/>
          <w:color w:val="000000" w:themeColor="text1"/>
          <w:sz w:val="24"/>
          <w:szCs w:val="24"/>
          <w:highlight w:val="none"/>
          <w:lang w:eastAsia="zh-CN"/>
          <w14:textFill>
            <w14:solidFill>
              <w14:schemeClr w14:val="tx1"/>
            </w14:solidFill>
          </w14:textFill>
        </w:rPr>
        <w:t>重大隐患</w:t>
      </w:r>
      <w:r>
        <w:rPr>
          <w:rFonts w:hint="eastAsia" w:ascii="宋体" w:hAnsi="宋体" w:eastAsia="宋体" w:cs="宋体"/>
          <w:color w:val="000000" w:themeColor="text1"/>
          <w:sz w:val="24"/>
          <w:szCs w:val="24"/>
          <w:highlight w:val="none"/>
          <w:lang w:val="en-US" w:eastAsia="zh-CN"/>
          <w14:textFill>
            <w14:solidFill>
              <w14:schemeClr w14:val="tx1"/>
            </w14:solidFill>
          </w14:textFill>
        </w:rPr>
        <w:t>点、面、</w:t>
      </w:r>
      <w:r>
        <w:rPr>
          <w:rFonts w:hint="eastAsia" w:ascii="宋体" w:hAnsi="宋体" w:eastAsia="宋体" w:cs="宋体"/>
          <w:color w:val="000000" w:themeColor="text1"/>
          <w:sz w:val="24"/>
          <w:szCs w:val="24"/>
          <w:highlight w:val="none"/>
          <w:lang w:eastAsia="zh-CN"/>
          <w14:textFill>
            <w14:solidFill>
              <w14:schemeClr w14:val="tx1"/>
            </w14:solidFill>
          </w14:textFill>
        </w:rPr>
        <w:t>部位</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巡查计划措施、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3）针对本项目的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安全规章制度；（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维护人员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是否</w:t>
      </w:r>
      <w:r>
        <w:rPr>
          <w:rFonts w:hint="eastAsia" w:ascii="宋体" w:hAnsi="宋体" w:eastAsia="宋体" w:cs="宋体"/>
          <w:color w:val="000000" w:themeColor="text1"/>
          <w:sz w:val="24"/>
          <w:szCs w:val="24"/>
          <w:highlight w:val="none"/>
          <w:lang w:eastAsia="zh-CN"/>
          <w14:textFill>
            <w14:solidFill>
              <w14:schemeClr w14:val="tx1"/>
            </w14:solidFill>
          </w14:textFill>
        </w:rPr>
        <w:t>进行过正规的安全教育、培训的内容、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记录措施（包括近期及往年的相关</w:t>
      </w:r>
      <w:r>
        <w:rPr>
          <w:rFonts w:hint="eastAsia" w:ascii="宋体" w:hAnsi="宋体" w:eastAsia="宋体" w:cs="宋体"/>
          <w:color w:val="000000" w:themeColor="text1"/>
          <w:sz w:val="24"/>
          <w:szCs w:val="24"/>
          <w:highlight w:val="none"/>
          <w:lang w:eastAsia="zh-CN"/>
          <w14:textFill>
            <w14:solidFill>
              <w14:schemeClr w14:val="tx1"/>
            </w14:solidFill>
          </w14:textFill>
        </w:rPr>
        <w:t>教育、培训</w:t>
      </w:r>
      <w:r>
        <w:rPr>
          <w:rFonts w:hint="eastAsia" w:ascii="宋体" w:hAnsi="宋体" w:eastAsia="宋体" w:cs="宋体"/>
          <w:color w:val="000000" w:themeColor="text1"/>
          <w:sz w:val="24"/>
          <w:szCs w:val="24"/>
          <w:highlight w:val="none"/>
          <w:lang w:val="en-US" w:eastAsia="zh-CN"/>
          <w14:textFill>
            <w14:solidFill>
              <w14:schemeClr w14:val="tx1"/>
            </w14:solidFill>
          </w14:textFill>
        </w:rPr>
        <w:t>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5）车辆、设备、</w:t>
      </w:r>
      <w:r>
        <w:rPr>
          <w:rFonts w:hint="eastAsia" w:ascii="宋体" w:hAnsi="宋体" w:eastAsia="宋体" w:cs="宋体"/>
          <w:color w:val="000000" w:themeColor="text1"/>
          <w:sz w:val="24"/>
          <w:szCs w:val="24"/>
          <w:highlight w:val="none"/>
          <w:lang w:eastAsia="zh-CN"/>
          <w14:textFill>
            <w14:solidFill>
              <w14:schemeClr w14:val="tx1"/>
            </w14:solidFill>
          </w14:textFill>
        </w:rPr>
        <w:t>机械</w:t>
      </w:r>
      <w:r>
        <w:rPr>
          <w:rFonts w:hint="eastAsia" w:ascii="宋体" w:hAnsi="宋体" w:eastAsia="宋体" w:cs="宋体"/>
          <w:color w:val="000000" w:themeColor="text1"/>
          <w:sz w:val="24"/>
          <w:szCs w:val="24"/>
          <w:highlight w:val="none"/>
          <w:lang w:val="en-US" w:eastAsia="zh-CN"/>
          <w14:textFill>
            <w14:solidFill>
              <w14:schemeClr w14:val="tx1"/>
            </w14:solidFill>
          </w14:textFill>
        </w:rPr>
        <w:t>使用等全方位的</w:t>
      </w:r>
      <w:r>
        <w:rPr>
          <w:rFonts w:hint="eastAsia" w:ascii="宋体" w:hAnsi="宋体" w:eastAsia="宋体" w:cs="宋体"/>
          <w:color w:val="000000" w:themeColor="text1"/>
          <w:sz w:val="24"/>
          <w:szCs w:val="24"/>
          <w:highlight w:val="none"/>
          <w:lang w:eastAsia="zh-CN"/>
          <w14:textFill>
            <w14:solidFill>
              <w14:schemeClr w14:val="tx1"/>
            </w14:solidFill>
          </w14:textFill>
        </w:rPr>
        <w:t>安全、现场施工安全、交通安全等</w:t>
      </w:r>
      <w:r>
        <w:rPr>
          <w:rFonts w:hint="eastAsia" w:ascii="宋体" w:hAnsi="宋体" w:eastAsia="宋体" w:cs="宋体"/>
          <w:color w:val="000000" w:themeColor="text1"/>
          <w:sz w:val="24"/>
          <w:szCs w:val="24"/>
          <w:highlight w:val="none"/>
          <w:lang w:val="en-US" w:eastAsia="zh-CN"/>
          <w14:textFill>
            <w14:solidFill>
              <w14:schemeClr w14:val="tx1"/>
            </w14:solidFill>
          </w14:textFill>
        </w:rPr>
        <w:t>方面的保障措施、方案（如建立</w:t>
      </w:r>
      <w:r>
        <w:rPr>
          <w:rFonts w:hint="eastAsia" w:ascii="宋体" w:hAnsi="宋体" w:eastAsia="宋体" w:cs="宋体"/>
          <w:color w:val="000000" w:themeColor="text1"/>
          <w:sz w:val="24"/>
          <w:szCs w:val="24"/>
          <w:highlight w:val="none"/>
          <w:lang w:eastAsia="zh-CN"/>
          <w14:textFill>
            <w14:solidFill>
              <w14:schemeClr w14:val="tx1"/>
            </w14:solidFill>
          </w14:textFill>
        </w:rPr>
        <w:t>自检台账</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6）关于</w:t>
      </w:r>
      <w:r>
        <w:rPr>
          <w:rFonts w:hint="eastAsia" w:ascii="宋体" w:hAnsi="宋体" w:eastAsia="宋体" w:cs="宋体"/>
          <w:color w:val="000000" w:themeColor="text1"/>
          <w:sz w:val="24"/>
          <w:szCs w:val="24"/>
          <w:highlight w:val="none"/>
          <w:lang w:eastAsia="zh-CN"/>
          <w14:textFill>
            <w14:solidFill>
              <w14:schemeClr w14:val="tx1"/>
            </w14:solidFill>
          </w14:textFill>
        </w:rPr>
        <w:t>一切安全责任事故均由中标单位全部承担</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的承诺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7）关于</w:t>
      </w:r>
      <w:r>
        <w:rPr>
          <w:rFonts w:hint="eastAsia" w:ascii="宋体" w:hAnsi="宋体" w:eastAsia="宋体" w:cs="宋体"/>
          <w:color w:val="000000" w:themeColor="text1"/>
          <w:sz w:val="24"/>
          <w:szCs w:val="24"/>
          <w:highlight w:val="none"/>
          <w:lang w:eastAsia="zh-CN"/>
          <w14:textFill>
            <w14:solidFill>
              <w14:schemeClr w14:val="tx1"/>
            </w14:solidFill>
          </w14:textFill>
        </w:rPr>
        <w:t>月度安全工作台账</w:t>
      </w:r>
      <w:r>
        <w:rPr>
          <w:rFonts w:hint="eastAsia" w:ascii="宋体" w:hAnsi="宋体" w:eastAsia="宋体" w:cs="宋体"/>
          <w:color w:val="000000" w:themeColor="text1"/>
          <w:sz w:val="24"/>
          <w:szCs w:val="24"/>
          <w:highlight w:val="none"/>
          <w:lang w:val="en-US" w:eastAsia="zh-CN"/>
          <w14:textFill>
            <w14:solidFill>
              <w14:schemeClr w14:val="tx1"/>
            </w14:solidFill>
          </w14:textFill>
        </w:rPr>
        <w:t>建立</w:t>
      </w:r>
      <w:r>
        <w:rPr>
          <w:rFonts w:hint="eastAsia" w:ascii="宋体" w:hAnsi="宋体" w:eastAsia="宋体" w:cs="宋体"/>
          <w:color w:val="000000" w:themeColor="text1"/>
          <w:sz w:val="24"/>
          <w:szCs w:val="24"/>
          <w:highlight w:val="none"/>
          <w:lang w:eastAsia="zh-CN"/>
          <w14:textFill>
            <w14:solidFill>
              <w14:schemeClr w14:val="tx1"/>
            </w14:solidFill>
          </w14:textFill>
        </w:rPr>
        <w:t>，开展安全检查、教育、考核等工作台账</w:t>
      </w:r>
      <w:r>
        <w:rPr>
          <w:rFonts w:hint="eastAsia" w:ascii="宋体" w:hAnsi="宋体" w:eastAsia="宋体" w:cs="宋体"/>
          <w:color w:val="000000" w:themeColor="text1"/>
          <w:sz w:val="24"/>
          <w:szCs w:val="24"/>
          <w:highlight w:val="none"/>
          <w:lang w:val="en-US" w:eastAsia="zh-CN"/>
          <w14:textFill>
            <w14:solidFill>
              <w14:schemeClr w14:val="tx1"/>
            </w14:solidFill>
          </w14:textFill>
        </w:rPr>
        <w:t>建立</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w:t>
      </w:r>
      <w:r>
        <w:rPr>
          <w:rFonts w:hint="eastAsia" w:ascii="宋体" w:hAnsi="宋体" w:eastAsia="宋体" w:cs="宋体"/>
          <w:color w:val="000000" w:themeColor="text1"/>
          <w:sz w:val="24"/>
          <w:szCs w:val="24"/>
          <w:highlight w:val="none"/>
          <w:lang w:eastAsia="zh-CN"/>
          <w14:textFill>
            <w14:solidFill>
              <w14:schemeClr w14:val="tx1"/>
            </w14:solidFill>
          </w14:textFill>
        </w:rPr>
        <w:t>年度安全工作总结）；</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方面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的措施、</w:t>
      </w:r>
      <w:r>
        <w:rPr>
          <w:rFonts w:hint="eastAsia" w:ascii="宋体" w:hAnsi="宋体" w:eastAsia="宋体" w:cs="宋体"/>
          <w:color w:val="000000" w:themeColor="text1"/>
          <w:sz w:val="24"/>
          <w:szCs w:val="24"/>
          <w:highlight w:val="none"/>
          <w:lang w:eastAsia="zh-CN"/>
          <w14:textFill>
            <w14:solidFill>
              <w14:schemeClr w14:val="tx1"/>
            </w14:solidFill>
          </w14:textFill>
        </w:rPr>
        <w:t>方案。</w:t>
      </w:r>
    </w:p>
    <w:p w14:paraId="1B98E7F9">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5.投标人应提供本项目的</w:t>
      </w:r>
      <w:r>
        <w:rPr>
          <w:rFonts w:hint="eastAsia" w:ascii="宋体" w:hAnsi="宋体" w:eastAsia="宋体" w:cs="宋体"/>
          <w:color w:val="000000" w:themeColor="text1"/>
          <w:sz w:val="24"/>
          <w:szCs w:val="24"/>
          <w:highlight w:val="none"/>
          <w:lang w:eastAsia="zh-CN"/>
          <w14:textFill>
            <w14:solidFill>
              <w14:schemeClr w14:val="tx1"/>
            </w14:solidFill>
          </w14:textFill>
        </w:rPr>
        <w:t>服务质量保障措施，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eastAsia="宋体" w:cs="宋体"/>
          <w:color w:val="000000" w:themeColor="text1"/>
          <w:sz w:val="24"/>
          <w:szCs w:val="24"/>
          <w:highlight w:val="none"/>
          <w:lang w:eastAsia="zh-CN"/>
          <w14:textFill>
            <w14:solidFill>
              <w14:schemeClr w14:val="tx1"/>
            </w14:solidFill>
          </w14:textFill>
        </w:rPr>
        <w:t>维护运营服务方案；（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养护计划与保障措施（包括但不限于服务体系、服务内容、服务故障方案、专业技术人员技术保障，方案中承诺）；（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巡俢制度（日常巡俢、专项巡修、防汛期间巡俢、大型活动期间巡俢等）保障措施；（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各种作业车辆保障（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w:t>
      </w:r>
      <w:r>
        <w:rPr>
          <w:rFonts w:hint="eastAsia" w:ascii="宋体" w:hAnsi="宋体" w:eastAsia="宋体" w:cs="宋体"/>
          <w:color w:val="000000" w:themeColor="text1"/>
          <w:sz w:val="24"/>
          <w:szCs w:val="24"/>
          <w:highlight w:val="none"/>
          <w:lang w:eastAsia="zh-CN"/>
          <w14:textFill>
            <w14:solidFill>
              <w14:schemeClr w14:val="tx1"/>
            </w14:solidFill>
          </w14:textFill>
        </w:rPr>
        <w:t>作业车辆维护、保养</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维修工具（吊篮、保险绳、发电机、检测设备）保障措施；（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作业人员（高温、高空、夜间检修）保障措施；</w:t>
      </w:r>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方面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的保障措施、</w:t>
      </w:r>
      <w:r>
        <w:rPr>
          <w:rFonts w:hint="eastAsia" w:ascii="宋体" w:hAnsi="宋体" w:eastAsia="宋体" w:cs="宋体"/>
          <w:color w:val="000000" w:themeColor="text1"/>
          <w:sz w:val="24"/>
          <w:szCs w:val="24"/>
          <w:highlight w:val="none"/>
          <w:lang w:eastAsia="zh-CN"/>
          <w14:textFill>
            <w14:solidFill>
              <w14:schemeClr w14:val="tx1"/>
            </w14:solidFill>
          </w14:textFill>
        </w:rPr>
        <w:t>方案。</w:t>
      </w:r>
    </w:p>
    <w:p w14:paraId="6DB01503">
      <w:pPr>
        <w:keepNext w:val="0"/>
        <w:keepLines w:val="0"/>
        <w:pageBreakBefore w:val="0"/>
        <w:widowControl/>
        <w:kinsoku/>
        <w:wordWrap/>
        <w:overflowPunct w:val="0"/>
        <w:topLinePunct w:val="0"/>
        <w:bidi w:val="0"/>
        <w:spacing w:line="460" w:lineRule="exact"/>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6.投标人应提供本项目的</w:t>
      </w:r>
      <w:r>
        <w:rPr>
          <w:rFonts w:hint="eastAsia" w:ascii="宋体" w:hAnsi="宋体" w:eastAsia="宋体" w:cs="宋体"/>
          <w:color w:val="000000" w:themeColor="text1"/>
          <w:sz w:val="24"/>
          <w:szCs w:val="24"/>
          <w:highlight w:val="none"/>
          <w14:textFill>
            <w14:solidFill>
              <w14:schemeClr w14:val="tx1"/>
            </w14:solidFill>
          </w14:textFill>
        </w:rPr>
        <w:t>维护技术资料管理方案</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包括并不限于:（1）</w:t>
      </w:r>
      <w:r>
        <w:rPr>
          <w:rFonts w:hint="eastAsia" w:ascii="宋体" w:hAnsi="宋体" w:eastAsia="宋体" w:cs="宋体"/>
          <w:color w:val="000000" w:themeColor="text1"/>
          <w:sz w:val="24"/>
          <w:szCs w:val="24"/>
          <w:highlight w:val="none"/>
          <w:lang w:eastAsia="zh-CN"/>
          <w14:textFill>
            <w14:solidFill>
              <w14:schemeClr w14:val="tx1"/>
            </w14:solidFill>
          </w14:textFill>
        </w:rPr>
        <w:t>项目基础资料（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w:t>
      </w:r>
      <w:r>
        <w:rPr>
          <w:rFonts w:hint="eastAsia" w:ascii="宋体" w:hAnsi="宋体" w:eastAsia="宋体" w:cs="宋体"/>
          <w:color w:val="000000" w:themeColor="text1"/>
          <w:sz w:val="24"/>
          <w:szCs w:val="24"/>
          <w:highlight w:val="none"/>
          <w:lang w:eastAsia="zh-CN"/>
          <w14:textFill>
            <w14:solidFill>
              <w14:schemeClr w14:val="tx1"/>
            </w14:solidFill>
          </w14:textFill>
        </w:rPr>
        <w:t>配电设施 GIS 数据、供配电线路图、灯具的品牌以及设施数量等）定期更新、归档方案；（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项目维护资料（</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包括并不限于</w:t>
      </w:r>
      <w:r>
        <w:rPr>
          <w:rFonts w:hint="eastAsia" w:ascii="宋体" w:hAnsi="宋体" w:eastAsia="宋体" w:cs="宋体"/>
          <w:color w:val="000000" w:themeColor="text1"/>
          <w:sz w:val="24"/>
          <w:szCs w:val="24"/>
          <w:highlight w:val="none"/>
          <w:lang w:eastAsia="zh-CN"/>
          <w14:textFill>
            <w14:solidFill>
              <w14:schemeClr w14:val="tx1"/>
            </w14:solidFill>
          </w14:textFill>
        </w:rPr>
        <w:t>维护台账、安全台账、维护计划等）编制、归档方案；（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投标人内部档案（维护工作例会、技能训练、应急演练、安全教育等）管理方案；</w:t>
      </w:r>
      <w:bookmarkStart w:id="41" w:name="_GoBack"/>
      <w:bookmarkEnd w:id="41"/>
      <w:r>
        <w:rPr>
          <w:rFonts w:hint="eastAsia" w:ascii="宋体" w:hAnsi="宋体" w:eastAsia="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方面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的管理</w:t>
      </w:r>
      <w:r>
        <w:rPr>
          <w:rFonts w:hint="eastAsia" w:ascii="宋体" w:hAnsi="宋体" w:eastAsia="宋体" w:cs="宋体"/>
          <w:color w:val="000000" w:themeColor="text1"/>
          <w:sz w:val="24"/>
          <w:szCs w:val="24"/>
          <w:highlight w:val="none"/>
          <w:lang w:eastAsia="zh-CN"/>
          <w14:textFill>
            <w14:solidFill>
              <w14:schemeClr w14:val="tx1"/>
            </w14:solidFill>
          </w14:textFill>
        </w:rPr>
        <w:t>方案。</w:t>
      </w:r>
    </w:p>
    <w:p w14:paraId="491AA414">
      <w:pPr>
        <w:keepNext w:val="0"/>
        <w:keepLines w:val="0"/>
        <w:pageBreakBefore w:val="0"/>
        <w:widowControl/>
        <w:kinsoku/>
        <w:wordWrap/>
        <w:overflowPunct w:val="0"/>
        <w:topLinePunct w:val="0"/>
        <w:bidi w:val="0"/>
        <w:spacing w:line="460" w:lineRule="exact"/>
        <w:ind w:firstLine="241" w:firstLineChars="1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（四）</w:t>
      </w:r>
      <w:r>
        <w:rPr>
          <w:rFonts w:hint="eastAsia" w:ascii="宋体" w:hAnsi="宋体" w:eastAsia="宋体" w:cs="宋体"/>
          <w:color w:val="000000" w:themeColor="text1"/>
          <w:sz w:val="24"/>
          <w:szCs w:val="24"/>
          <w:highlight w:val="none"/>
          <w:lang w:bidi="ar"/>
          <w14:textFill>
            <w14:solidFill>
              <w14:schemeClr w14:val="tx1"/>
            </w14:solidFill>
          </w14:textFill>
        </w:rPr>
        <w:t>其他相关要求及执行标准、规范，详见合同条款。</w:t>
      </w:r>
    </w:p>
    <w:p w14:paraId="40F33F9F">
      <w:pPr>
        <w:keepNext w:val="0"/>
        <w:keepLines w:val="0"/>
        <w:pageBreakBefore w:val="0"/>
        <w:widowControl/>
        <w:kinsoku/>
        <w:wordWrap/>
        <w:overflowPunct w:val="0"/>
        <w:topLinePunct w:val="0"/>
        <w:bidi w:val="0"/>
        <w:spacing w:line="460" w:lineRule="exact"/>
        <w:ind w:firstLine="241" w:firstLineChars="10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五、</w:t>
      </w:r>
      <w:r>
        <w:rPr>
          <w:rFonts w:hint="eastAsia" w:ascii="宋体" w:hAnsi="宋体" w:eastAsia="宋体" w:cs="宋体"/>
          <w:color w:val="000000" w:themeColor="text1"/>
          <w:sz w:val="24"/>
          <w:szCs w:val="24"/>
          <w:highlight w:val="none"/>
          <w:lang w:bidi="ar"/>
          <w14:textFill>
            <w14:solidFill>
              <w14:schemeClr w14:val="tx1"/>
            </w14:solidFill>
          </w14:textFill>
        </w:rPr>
        <w:t>续签合同：招标人将根据《政府购买服务管理办法》（财政部令第102号）第十四条规定，结合考核结果决定是否续签下一年度的服务合同。考核结果为合格的，招标人可选择续签合同，服务合同每年一签，总服务期限不超过三年。服务期内月度考核连续2次或累计3次考核结果在90分（不含90分）以下为考核不合格。</w:t>
      </w:r>
    </w:p>
    <w:p w14:paraId="4729855E">
      <w:pPr>
        <w:rPr>
          <w:rFonts w:hint="eastAsia" w:ascii="宋体" w:hAnsi="宋体" w:cs="宋体"/>
          <w:b/>
          <w:bCs/>
          <w:color w:val="000000" w:themeColor="text1"/>
          <w:sz w:val="28"/>
          <w:szCs w:val="28"/>
          <w:highlight w:val="none"/>
          <w:lang w:bidi="ar"/>
          <w14:textFill>
            <w14:solidFill>
              <w14:schemeClr w14:val="tx1"/>
            </w14:solidFill>
          </w14:textFill>
        </w:rPr>
        <w:sectPr>
          <w:pgSz w:w="11906" w:h="16838"/>
          <w:pgMar w:top="1361" w:right="1304" w:bottom="1134" w:left="1587" w:header="851" w:footer="992" w:gutter="0"/>
          <w:pgNumType w:fmt="numberInDash"/>
          <w:cols w:space="720" w:num="1"/>
          <w:docGrid w:linePitch="360" w:charSpace="0"/>
        </w:sectPr>
      </w:pPr>
    </w:p>
    <w:p w14:paraId="64B4AE0C">
      <w:pPr>
        <w:widowControl/>
        <w:spacing w:line="520" w:lineRule="exact"/>
        <w:jc w:val="left"/>
        <w:rPr>
          <w:rFonts w:hint="eastAsia" w:ascii="宋体" w:hAnsi="宋体" w:cs="宋体"/>
          <w:b/>
          <w:bCs/>
          <w:color w:val="000000" w:themeColor="text1"/>
          <w:sz w:val="28"/>
          <w:szCs w:val="28"/>
          <w:highlight w:val="none"/>
          <w:lang w:bidi="ar"/>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附件：</w:t>
      </w:r>
      <w:r>
        <w:rPr>
          <w:rFonts w:hint="eastAsia" w:ascii="宋体" w:hAnsi="宋体" w:cs="宋体"/>
          <w:b/>
          <w:bCs/>
          <w:color w:val="000000" w:themeColor="text1"/>
          <w:sz w:val="28"/>
          <w:szCs w:val="28"/>
          <w:highlight w:val="none"/>
          <w:lang w:val="en-US" w:eastAsia="zh-CN" w:bidi="ar"/>
          <w14:textFill>
            <w14:solidFill>
              <w14:schemeClr w14:val="tx1"/>
            </w14:solidFill>
          </w14:textFill>
        </w:rPr>
        <w:t xml:space="preserve"> </w:t>
      </w:r>
      <w:r>
        <w:rPr>
          <w:rFonts w:hint="eastAsia" w:ascii="宋体" w:hAnsi="宋体" w:cs="宋体"/>
          <w:b/>
          <w:bCs/>
          <w:color w:val="000000" w:themeColor="text1"/>
          <w:sz w:val="28"/>
          <w:szCs w:val="28"/>
          <w:highlight w:val="none"/>
          <w:lang w:bidi="ar"/>
          <w14:textFill>
            <w14:solidFill>
              <w14:schemeClr w14:val="tx1"/>
            </w14:solidFill>
          </w14:textFill>
        </w:rPr>
        <w:t>经开区主城区、徐杨片区、南马厂片路灯、变压器、控制箱详细清单</w:t>
      </w:r>
    </w:p>
    <w:p w14:paraId="4FED8ABF">
      <w:pPr>
        <w:pStyle w:val="62"/>
        <w:rPr>
          <w:rFonts w:hint="eastAsia" w:ascii="宋体" w:hAnsi="宋体" w:cs="宋体"/>
          <w:color w:val="000000" w:themeColor="text1"/>
          <w:highlight w:val="none"/>
          <w14:textFill>
            <w14:solidFill>
              <w14:schemeClr w14:val="tx1"/>
            </w14:solidFill>
          </w14:textFill>
        </w:rPr>
      </w:pPr>
    </w:p>
    <w:tbl>
      <w:tblPr>
        <w:tblStyle w:val="38"/>
        <w:tblpPr w:leftFromText="180" w:rightFromText="180" w:vertAnchor="text" w:tblpXSpec="center" w:tblpY="1"/>
        <w:tblOverlap w:val="never"/>
        <w:tblW w:w="5523" w:type="pct"/>
        <w:jc w:val="center"/>
        <w:tblLayout w:type="fixed"/>
        <w:tblCellMar>
          <w:top w:w="0" w:type="dxa"/>
          <w:left w:w="108" w:type="dxa"/>
          <w:bottom w:w="0" w:type="dxa"/>
          <w:right w:w="108" w:type="dxa"/>
        </w:tblCellMar>
      </w:tblPr>
      <w:tblGrid>
        <w:gridCol w:w="534"/>
        <w:gridCol w:w="1287"/>
        <w:gridCol w:w="2297"/>
        <w:gridCol w:w="885"/>
        <w:gridCol w:w="846"/>
        <w:gridCol w:w="1335"/>
        <w:gridCol w:w="2042"/>
        <w:gridCol w:w="926"/>
        <w:gridCol w:w="1936"/>
        <w:gridCol w:w="913"/>
        <w:gridCol w:w="1743"/>
        <w:gridCol w:w="1338"/>
      </w:tblGrid>
      <w:tr w14:paraId="26A8B5D4">
        <w:tblPrEx>
          <w:tblCellMar>
            <w:top w:w="0" w:type="dxa"/>
            <w:left w:w="108" w:type="dxa"/>
            <w:bottom w:w="0" w:type="dxa"/>
            <w:right w:w="108" w:type="dxa"/>
          </w:tblCellMar>
        </w:tblPrEx>
        <w:trPr>
          <w:trHeight w:val="23" w:hRule="atLeast"/>
          <w:jc w:val="center"/>
        </w:trPr>
        <w:tc>
          <w:tcPr>
            <w:tcW w:w="5000" w:type="pct"/>
            <w:gridSpan w:val="12"/>
            <w:tcBorders>
              <w:top w:val="nil"/>
              <w:left w:val="nil"/>
              <w:bottom w:val="nil"/>
              <w:right w:val="nil"/>
            </w:tcBorders>
            <w:noWrap w:val="0"/>
            <w:vAlign w:val="center"/>
          </w:tcPr>
          <w:p w14:paraId="10CAADC9">
            <w:pPr>
              <w:widowControl/>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经开区主城区、徐杨片区、南马厂片路灯、变压器、控制箱详细清单  </w:t>
            </w:r>
            <w:r>
              <w:rPr>
                <w:rFonts w:hint="eastAsia" w:ascii="宋体" w:hAnsi="宋体" w:cs="宋体"/>
                <w:b/>
                <w:bCs/>
                <w:color w:val="000000" w:themeColor="text1"/>
                <w:szCs w:val="21"/>
                <w:highlight w:val="none"/>
                <w:lang w:bidi="ar"/>
                <w14:textFill>
                  <w14:solidFill>
                    <w14:schemeClr w14:val="tx1"/>
                  </w14:solidFill>
                </w14:textFill>
              </w:rPr>
              <w:t xml:space="preserve">                                                                 </w:t>
            </w:r>
          </w:p>
        </w:tc>
      </w:tr>
      <w:tr w14:paraId="07EEDC5B">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1222761">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序号</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3F538AD1">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名称</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0F069936">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范围</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1B95E926">
            <w:pPr>
              <w:widowControl/>
              <w:spacing w:line="260" w:lineRule="exact"/>
              <w:jc w:val="center"/>
              <w:textAlignment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路灯</w:t>
            </w:r>
          </w:p>
          <w:p w14:paraId="61C8F1B9">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数量</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0A8551EF">
            <w:pPr>
              <w:widowControl/>
              <w:spacing w:line="260" w:lineRule="exact"/>
              <w:jc w:val="center"/>
              <w:textAlignment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路灯</w:t>
            </w:r>
          </w:p>
          <w:p w14:paraId="08ACD6F4">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基数</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2BB66F69">
            <w:pPr>
              <w:widowControl/>
              <w:spacing w:line="260" w:lineRule="exact"/>
              <w:jc w:val="center"/>
              <w:textAlignment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路灯</w:t>
            </w:r>
          </w:p>
          <w:p w14:paraId="753D9D9F">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型号</w:t>
            </w:r>
          </w:p>
        </w:tc>
        <w:tc>
          <w:tcPr>
            <w:tcW w:w="635" w:type="pct"/>
            <w:vMerge w:val="restart"/>
            <w:tcBorders>
              <w:top w:val="single" w:color="000000" w:sz="4" w:space="0"/>
              <w:left w:val="single" w:color="000000" w:sz="4" w:space="0"/>
              <w:bottom w:val="nil"/>
              <w:right w:val="single" w:color="000000" w:sz="4" w:space="0"/>
            </w:tcBorders>
            <w:noWrap w:val="0"/>
            <w:vAlign w:val="center"/>
          </w:tcPr>
          <w:p w14:paraId="26E07779">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灯具功率</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0CB1701D">
            <w:pPr>
              <w:widowControl/>
              <w:spacing w:line="260" w:lineRule="exact"/>
              <w:jc w:val="center"/>
              <w:textAlignment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变压器</w:t>
            </w:r>
          </w:p>
          <w:p w14:paraId="087C07D4">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数量</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B2A52D4">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变压器型号</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0188149B">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控制箱数量</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736EB2D">
            <w:pPr>
              <w:widowControl/>
              <w:spacing w:line="260" w:lineRule="exact"/>
              <w:jc w:val="center"/>
              <w:textAlignment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电缆规格</w:t>
            </w:r>
            <w:r>
              <w:rPr>
                <w:rFonts w:hint="eastAsia" w:ascii="宋体" w:hAnsi="宋体" w:cs="宋体"/>
                <w:b/>
                <w:bCs/>
                <w:color w:val="000000" w:themeColor="text1"/>
                <w:sz w:val="18"/>
                <w:szCs w:val="18"/>
                <w:highlight w:val="none"/>
                <w:lang w:bidi="ar"/>
                <w14:textFill>
                  <w14:solidFill>
                    <w14:schemeClr w14:val="tx1"/>
                  </w14:solidFill>
                </w14:textFill>
              </w:rPr>
              <w:t>（VV5*16</w:t>
            </w:r>
            <w:r>
              <w:rPr>
                <w:rFonts w:hint="eastAsia" w:ascii="微软雅黑" w:hAnsi="微软雅黑" w:eastAsia="微软雅黑" w:cs="微软雅黑"/>
                <w:color w:val="000000" w:themeColor="text1"/>
                <w:sz w:val="18"/>
                <w:szCs w:val="18"/>
                <w:highlight w:val="none"/>
                <w:lang w:bidi="ar"/>
                <w14:textFill>
                  <w14:solidFill>
                    <w14:schemeClr w14:val="tx1"/>
                  </w14:solidFill>
                </w14:textFill>
              </w:rPr>
              <w:t>mm²</w:t>
            </w:r>
            <w:r>
              <w:rPr>
                <w:rFonts w:hint="eastAsia" w:ascii="宋体" w:hAnsi="宋体" w:cs="宋体"/>
                <w:b/>
                <w:bCs/>
                <w:color w:val="000000" w:themeColor="text1"/>
                <w:sz w:val="18"/>
                <w:szCs w:val="18"/>
                <w:highlight w:val="none"/>
                <w:lang w:bidi="ar"/>
                <w14:textFill>
                  <w14:solidFill>
                    <w14:schemeClr w14:val="tx1"/>
                  </w14:solidFill>
                </w14:textFill>
              </w:rPr>
              <w:t>）</w:t>
            </w:r>
          </w:p>
          <w:p w14:paraId="234078C2">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长度（米）</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4910DCFB">
            <w:pPr>
              <w:widowControl/>
              <w:spacing w:line="26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备注</w:t>
            </w:r>
          </w:p>
        </w:tc>
      </w:tr>
      <w:tr w14:paraId="76FA9000">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BC3E54">
            <w:pPr>
              <w:jc w:val="center"/>
              <w:rPr>
                <w:rFonts w:hint="eastAsia" w:ascii="宋体" w:hAnsi="宋体" w:cs="宋体"/>
                <w:b/>
                <w:bCs/>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F5C792">
            <w:pPr>
              <w:jc w:val="center"/>
              <w:rPr>
                <w:rFonts w:hint="eastAsia" w:ascii="宋体" w:hAnsi="宋体" w:cs="宋体"/>
                <w:b/>
                <w:bCs/>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E3FB33">
            <w:pPr>
              <w:jc w:val="center"/>
              <w:rPr>
                <w:rFonts w:hint="eastAsia" w:ascii="宋体" w:hAnsi="宋体" w:cs="宋体"/>
                <w:b/>
                <w:bCs/>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766EFB">
            <w:pPr>
              <w:jc w:val="center"/>
              <w:rPr>
                <w:rFonts w:hint="eastAsia" w:ascii="宋体" w:hAnsi="宋体" w:cs="宋体"/>
                <w:b/>
                <w:bCs/>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00F217">
            <w:pPr>
              <w:jc w:val="center"/>
              <w:rPr>
                <w:rFonts w:hint="eastAsia" w:ascii="宋体" w:hAnsi="宋体" w:cs="宋体"/>
                <w:b/>
                <w:bCs/>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3CF6AD">
            <w:pPr>
              <w:jc w:val="center"/>
              <w:rPr>
                <w:rFonts w:hint="eastAsia" w:ascii="宋体" w:hAnsi="宋体" w:cs="宋体"/>
                <w:b/>
                <w:bCs/>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nil"/>
              <w:right w:val="single" w:color="000000" w:sz="4" w:space="0"/>
            </w:tcBorders>
            <w:noWrap w:val="0"/>
            <w:vAlign w:val="center"/>
          </w:tcPr>
          <w:p w14:paraId="7300C00A">
            <w:pPr>
              <w:jc w:val="center"/>
              <w:rPr>
                <w:rFonts w:hint="eastAsia" w:ascii="宋体" w:hAnsi="宋体" w:cs="宋体"/>
                <w:b/>
                <w:bCs/>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28DB8C">
            <w:pPr>
              <w:jc w:val="center"/>
              <w:rPr>
                <w:rFonts w:hint="eastAsia" w:ascii="宋体" w:hAnsi="宋体" w:cs="宋体"/>
                <w:b/>
                <w:bCs/>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942A2A">
            <w:pPr>
              <w:jc w:val="center"/>
              <w:rPr>
                <w:rFonts w:hint="eastAsia" w:ascii="宋体" w:hAnsi="宋体" w:cs="宋体"/>
                <w:b/>
                <w:bCs/>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3C2DE4">
            <w:pPr>
              <w:jc w:val="center"/>
              <w:rPr>
                <w:rFonts w:hint="eastAsia" w:ascii="宋体" w:hAnsi="宋体" w:cs="宋体"/>
                <w:b/>
                <w:bCs/>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4B1D98">
            <w:pPr>
              <w:jc w:val="center"/>
              <w:rPr>
                <w:rFonts w:hint="eastAsia" w:ascii="宋体" w:hAnsi="宋体" w:cs="宋体"/>
                <w:b/>
                <w:bCs/>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3D30EC">
            <w:pPr>
              <w:jc w:val="center"/>
              <w:rPr>
                <w:rFonts w:hint="eastAsia" w:ascii="宋体" w:hAnsi="宋体" w:cs="宋体"/>
                <w:b/>
                <w:bCs/>
                <w:color w:val="000000" w:themeColor="text1"/>
                <w:szCs w:val="21"/>
                <w:highlight w:val="none"/>
                <w14:textFill>
                  <w14:solidFill>
                    <w14:schemeClr w14:val="tx1"/>
                  </w14:solidFill>
                </w14:textFill>
              </w:rPr>
            </w:pPr>
          </w:p>
        </w:tc>
      </w:tr>
      <w:tr w14:paraId="2FA4353E">
        <w:tblPrEx>
          <w:tblCellMar>
            <w:top w:w="0" w:type="dxa"/>
            <w:left w:w="108" w:type="dxa"/>
            <w:bottom w:w="0" w:type="dxa"/>
            <w:right w:w="108" w:type="dxa"/>
          </w:tblCellMar>
        </w:tblPrEx>
        <w:trPr>
          <w:trHeight w:val="726" w:hRule="atLeast"/>
          <w:jc w:val="center"/>
        </w:trPr>
        <w:tc>
          <w:tcPr>
            <w:tcW w:w="5000" w:type="pct"/>
            <w:gridSpan w:val="12"/>
            <w:tcBorders>
              <w:top w:val="single" w:color="000000" w:sz="4" w:space="0"/>
              <w:left w:val="single" w:color="000000" w:sz="4" w:space="0"/>
              <w:bottom w:val="single" w:color="000000" w:sz="4" w:space="0"/>
              <w:right w:val="single" w:color="000000" w:sz="4" w:space="0"/>
            </w:tcBorders>
            <w:noWrap w:val="0"/>
            <w:vAlign w:val="center"/>
          </w:tcPr>
          <w:p w14:paraId="26E8D2CB">
            <w:pPr>
              <w:widowControl/>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一、徐杨片区(含南马厂片区）</w:t>
            </w:r>
          </w:p>
        </w:tc>
      </w:tr>
      <w:tr w14:paraId="7A360894">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5BD92F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D7DC1B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深圳东路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481F5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宁连路-小吉庄</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8BE7F2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B01BDB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7A5ADA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D53141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45CC8B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1DF07D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139C4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40F9736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18847</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706CCFA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80FFEFC">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03FC83">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BD3E4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935EE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64C6784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586</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5B5889B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293</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1724802A">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3521E70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双臂135w/55w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6586F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7424E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B40F9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A203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7AF8B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250FDDD">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513DF8">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90752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FB955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EFD9A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4C733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E5E18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BFB84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6FA36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8830A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2ECB1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41AE7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1B2B4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B69DF9B">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B1590A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7486A1C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鸿海路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5A67235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深圳东路-徐杨路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84DFC8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3937CB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2562B9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0AE437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1F9951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106800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267135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2074DB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7990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7D98295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2C2396D">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FEDC36">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682F9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F878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63521F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704702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F07E60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E3CA6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单臂135W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61ECD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EE334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BA380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6207B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065C1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F3D154A">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A2F5B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45712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778B2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CBF6FA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9AE6F8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4A1EDC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76D235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83578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D75B2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85677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5DEF5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41D0F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73664AF">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43D29C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7F2A87C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富准路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27A1BAB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鸿海路-宁涟路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4EC52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29F010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AB1AA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4AA912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45DF4AD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0BB9E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4B9C91A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2D14E8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8648</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1495825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C12455A">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0DA9F1">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409BA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C1E2A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B14AD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874164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0675C8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D4BFDD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ED2DF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511F7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E1524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2CED0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A16BB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2CCDE15">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776430B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39A773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富士康路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38533F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徐州街-鸿海路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0F0AB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B3E5B4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4E078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BA83B6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42FC05B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607599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7A1B787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85E3D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7050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D50F89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9CB0220">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79CD62">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0693C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AF854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0227A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42B61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02CA74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73D25E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90A61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6FA8F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D711B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730C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CBFC0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C108F64">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C80E43">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4D72D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64EC2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BE1DA9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109B8D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7B400C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中华灯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ED821F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5火中华灯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0D9D2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B1DD4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EA05F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4FCBA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325D3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0496B52">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5853DE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247CA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富誉路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59B303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安澜路-鸿海路</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1E32A91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76</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35F0A08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76</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40B4F5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329FFD0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65EF36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620AD3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7976C48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1765FC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3572</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56869E0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96AB00F">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639DC3">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8014A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FE1EF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97454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BEFE7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9FACE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7CD56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D2BD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9EF8F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8AA15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80B51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94C60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E422A12">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3121BC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3C4C04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集贤路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E7292D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宁连路-S237</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6F8A5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376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FECA1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A4648B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50213B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07C9F8C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E4518D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283C821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3CD2BE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9024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24D250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F695547">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75B891">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804C7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AA259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47887D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1C06E0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9483B5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B5BD92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D5262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D49EA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9338A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916F7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1207B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CA9575A">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299B8DB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8429A8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膳魔师路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CE05B0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广州路-s237</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78E2860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212</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4BEBF88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212</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48CC8AC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3CA0D0CE">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33C23CDC">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E459D54">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4B6656B4">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4C2961B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9964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4D35F303">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5622C225">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DB7501">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0CF4F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7D126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A162A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F73C2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AC594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5DF63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AA4A2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6E041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9997D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A27FF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1EA6F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F69A33F">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4A52C8A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112F1E2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和畅路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5CC82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广州路-s237</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184A6B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119</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153E278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119</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398B6A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73806D5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1AE3FD9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FAC65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469F33C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624CF4F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9353</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2A40152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A76A13A">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129788">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574D0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FCB0A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0645E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CA2B8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FD3A7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44DD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534F8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1F171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3A529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CD53D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13D7D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2AEBF02">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F14955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25D947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徐杨路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6D59CF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s237-宁连路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89B923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FB77D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80C177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5F0E3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6D8FCFA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A3D4B1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EBA364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2F41AC1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12784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028517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F8952B3">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84E349">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F0000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85AE2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9D4D3F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DE9B7F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E3847B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048C07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C8B5D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071EF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C42C7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0B34D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1D19D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34AB9B6">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B7668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06325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67F47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CE7B16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180C5B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B428FE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C958D8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9AA8A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05A67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A8C8D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17722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B76D0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7BB79D2">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3F3974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8D8808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鸿盛路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083116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迎宾大道-徐杨路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F7BDF6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4A598B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6B040A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DBD43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25037CA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1BC0A0F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5C4C312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8D219E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4089</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3E4EC19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531679D">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676E9C">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78D22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6D631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EFEAF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5BCD2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A6EC26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CA530A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F8544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EFFB7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A5C92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E75FE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70DE7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3E1D889">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382FE34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87493C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安澜路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5A74E1B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枚</w:t>
            </w:r>
            <w:r>
              <w:rPr>
                <w:rFonts w:hint="eastAsia" w:ascii="宋体" w:hAnsi="宋体" w:cs="宋体"/>
                <w:color w:val="000000" w:themeColor="text1"/>
                <w:szCs w:val="21"/>
                <w:highlight w:val="none"/>
                <w:lang w:bidi="ar"/>
                <w14:textFill>
                  <w14:solidFill>
                    <w14:schemeClr w14:val="tx1"/>
                  </w14:solidFill>
                </w14:textFill>
              </w:rPr>
              <w:t>皋路-大同路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2EB92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F97661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07922C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38CBE1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5E237C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F403C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4A718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FB450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13019</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5A59685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C995129">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AE90C1">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56DE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91EAA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88B3C1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66B5A7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BABCF9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37F5A1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83968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56FE4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C7831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BF9F9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E176F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85308C2">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AEC51A">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D5092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4EB8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592D68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B88195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DBB0AD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EE38A9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377F2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F6EEA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8A5F4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9B63B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BC346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9DC4DF5">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1C52226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5E92B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咏贤路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E5ACED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红豆路-牧皋路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F6E75E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7F4142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34D72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FAA479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1FCB7F6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D848EA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4A12C7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C2ACFB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4888</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91ADA3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8347B36">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49895A7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1C8AFBF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景秀路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6598F80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富士康路-深圳东路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A0E0F3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E30782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5E7C0E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87EA26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5082C86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557A73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0AB36B1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644CAD2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2444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B6853E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C45A11F">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0441E8">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28EBF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D971D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080018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67DF3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D4D02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236F5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04C41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13B67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9C7B5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12605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FE31B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2049822">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BFC45D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39A5B60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飞耀路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666F4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徐杨路-深圳东路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3F5FCA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69D8D8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5E9E1C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9B9DA0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553712A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AB7DD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ZGS11-Z-160/10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74056C1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31F2C48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10481</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26A5FBB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D5CEA06">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166F56">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AF6D6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56A7C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B9B55E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1F203D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8289BF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DB1DEF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252C7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5E70E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8102A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EE1ED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A7BC4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EBC7EBE">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996399">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A8DA0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E13B4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D0C9A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ACF52F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6F42BC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54455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AAC88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C8772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E1C53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2D703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3940B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8302D13">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1623BBC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31DF338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广州路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2F8F4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深圳路-牧皋路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BAC55A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190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5D3648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336483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5116EC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29D279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5F6CA4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ZGS11-Z-160/10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1D9095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2E42F9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10481</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7C23882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8FACB19">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938BE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A295D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AE052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5521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48AE87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D07346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D46E83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9A23D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9D838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D1D43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84CE3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43E55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44E7194">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1DBFB1">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22ED2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E8ECB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C2E83B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FA379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CB6F10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64D95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3F32F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C3FB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1FABA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C43B6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3DFE9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8C64C6E">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7167277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A1BD4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西藏街</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C3F038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深圳路东路-黄元小区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472760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19825E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B36F45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23542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单臂200w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2E97552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55BA639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0BF196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3ED76F3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2538</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3F90BBA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889A9E6">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B5E527">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5B19D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2FAD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515C98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00358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EBB5D0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CC0079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609E3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3CAD6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721CF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6E0CE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06EA4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99BDABB">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7A3DD3F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7EF8E82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景华路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0081AA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广州路-宁连路</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1A49566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22D6AF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4C3B4B5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1951255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728177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733754F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501C3C5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21AD74E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1504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6FD81B8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27A7319">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B8A5D1">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47A2F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65F86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F8AB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92F5C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A0762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86513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C8669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A8CBD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13225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1345D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0A11D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5E6C413">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505D71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47D1372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崇民路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0F54A6F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管委会东侧</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FD684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B35E36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3E2224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1FF9CD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景观灯</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340ABD6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E68FD9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747E983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0AD362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423</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457441A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3256032">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71CE4E">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AB350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975AE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0A0BD1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DA6E76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723A1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灯泡</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87B207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9w灯泡</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1F1C3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043C6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334A0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B1301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F0777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FE06DD8">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01F0EB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19</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C3CE2B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清拖路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000C3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深圳东路-迎宾大道</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538BA22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204</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0F437B5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102</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45C496F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77D975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3593C2B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A15DDC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4E183B0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7AB8C35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4794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1CD1703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B8410D3">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66D97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E8731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7C106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F2F20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76B90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BF3FE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7A171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8EA4E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7626F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7A02B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011FD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66991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3D48EB3">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587197A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F67C1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岳阳街</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609F5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集贤路-徐杨路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36255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201EF6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8CC1D9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5298B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B7FC87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A6BB54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41FB9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2B772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1269</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4DF8F1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9822B69">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2D69D3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32AB80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宏恒胜路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31E790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西藏街-鸿海路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AEC24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A15F4A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858AF7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CAF2C7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665C085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F2778D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C9A6C8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D56ED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7990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BCAE6E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49E371B">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D2FFE4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417CD5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红豆路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6A2B31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飞耀路-鸿海路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638692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F3B5DF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D284E2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84B52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0F8A68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B1BE0B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DB33CD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349E5D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4606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778589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A36CCF0">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601116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367DE0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徐杨老街</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1F2A4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鸿海路-咏贤路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06AD3E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AAECCB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F6F4C0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9D634A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637EF4A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6044DE7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A359D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B3123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4559</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1025E51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92A972B">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29402C0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CB65E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民营路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276414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飞耀路-板闸干渠</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B2A70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8E0BDD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7839A5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E7566C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197A54F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DF606E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FB6C9F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58F1F7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611</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8C8B5C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3FE08B6">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B7C874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763C056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和顺路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721C84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寿民路-广州路</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65FDD84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6025BB2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6F7025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507281A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2707408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C2EB32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721CE47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4D840B3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28586D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ABB0604">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99FECF">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86608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E172C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D7DAD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996B1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7B167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F87EE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1EB8B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23D6F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6B767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209B0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24DB7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FDBF9F3">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FB8B6C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26</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138B6C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景飞路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0508254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景秀路-飞耀路</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5EF93A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4E4CEFA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058A953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41A5E95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47A53BE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7891855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09674B8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2937C6D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564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3448656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9549D04">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DA954">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4E2D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0CAC7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15205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CA3AF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68DA9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B861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A1736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C4385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1914D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831AE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43CAD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7D2CE5C">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0CB353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4767E9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蓝星路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11136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寿民路-广州路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9B42B7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94A246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C23F7C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1D96B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F4BB10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228A4E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DC410E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632864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611</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FB66C9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48DA610">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8B8C46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E6E05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鹏鼎路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BBE910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深圳东路-河畔路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CB2301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E44A11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BE02A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B1435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14CEE1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5294F0B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FDCD57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E8D33B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2303</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45E2D4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CC74F9A">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604A63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122534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王庄路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35CE9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都市农庄</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BD78C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3090EF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19B37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E16598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4E0EB3F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D0B2B4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282F8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1A9E4E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940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97CF43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CF2CA26">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1AD91A2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FCF9BC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盐河路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9793FE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宁连路-广州路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F0A50B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F2AA8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C1BFE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8226A9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065B99F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CB7646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E461FD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C5C32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1316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A0BC5A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6F50CDC">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581F5F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31</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23F017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黄河路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73AF7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灵秀路-安澜路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C42F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A9EAC2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8BF627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2F92AC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631996D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51B3B6F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DA9EB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F7D6E3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376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B56554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5BF0548">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75A5FA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C6640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浩源路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22845E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广州南路-青年公寓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79049E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6CC3F1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5F39E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A3663E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0B8CEA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CEC0E2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00CAAE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B87E72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564</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6352FB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62A6CA6">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BE3190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ACEF1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西安路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D6F96F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飞耀路-汇景路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20A2C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C8E27B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9CAD76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6BF2D1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20C7E96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6B07DCA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27A758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F2EFF9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1316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9E0294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69B1562">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7B3DDA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34</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8C53A8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白果路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96D32C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迎宾大道-牧皋路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E7D875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EF4002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E797B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8B5FE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C5B7B8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388159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ZGS11-Z-160/10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318B43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613BAE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2773</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15C4FB9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85E5877">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C82CD6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0CDBD6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保一路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345780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9D38D2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7868E1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5985D9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82A095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DF00DA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CC708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2A9EC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F49625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1410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04B7D6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21F45A2">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8F46B5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36</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163EA97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海口路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0F8C1B7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s237-大寨河</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DBA49BE">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A2C5FC0">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8295E2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9E4EF2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1026819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DABFEE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45A9396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21660EC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5311</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203E0014">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27E6EEA9">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EB4B3C">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9DE72">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63E0AD">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0BF9B5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BD7D17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DA3BAA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957A2E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6FAC62">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95B019">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AEBFCA">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3D3346">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296615">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691262B0">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7EBEED">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BE73A7">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BE7253">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C1C16E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37F314A">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E54888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5A493A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A3DA27">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C90DBE">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FFCADA">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1A086B">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D67CBC">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55BFEE0B">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FE9FE6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37</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639EC39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s237</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04658B71">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废黄河-迎宾大道</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0E04379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248</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4A564D2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124</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0844C00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201FE8D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0BC05BC5">
            <w:pPr>
              <w:widowControl/>
              <w:spacing w:line="240" w:lineRule="exact"/>
              <w:jc w:val="center"/>
              <w:textAlignment w:val="center"/>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840D93D">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880F52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7B9D5FC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5828</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77BBB303">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4CC2D885">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CD2435">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62E08E">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AE9A1B">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8DD19F">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79A563">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C359F8">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4DB4E4">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AF3277">
            <w:pPr>
              <w:spacing w:line="240" w:lineRule="exact"/>
              <w:jc w:val="center"/>
              <w:rPr>
                <w:rFonts w:hint="eastAsia" w:ascii="宋体" w:hAnsi="宋体" w:cs="宋体"/>
                <w:color w:val="000000" w:themeColor="text1"/>
                <w:szCs w:val="21"/>
                <w:highlight w:val="none"/>
                <w:u w:val="singl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0A2920">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F1E4E1">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74EEA4">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FDF8C0">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73547F0F">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C114149">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26FA90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弘康路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95A33F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富景路-鸿海路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FAB29C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133D0F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615831A">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756EAD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7D255072">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152E95C">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BE2FCA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7750489">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376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94C1F6B">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6DB67147">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2F32237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39</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94795C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文体路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09224A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裕民路-鸿海路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888E24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D3BB6C0">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75ACBD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1DC531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7BD07AEB">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1E146F22">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4B122E1">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B6E1C6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658</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CF13F80">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5F7340CE">
        <w:tblPrEx>
          <w:tblCellMar>
            <w:top w:w="0" w:type="dxa"/>
            <w:left w:w="108" w:type="dxa"/>
            <w:bottom w:w="0" w:type="dxa"/>
            <w:right w:w="108" w:type="dxa"/>
          </w:tblCellMar>
        </w:tblPrEx>
        <w:trPr>
          <w:trHeight w:val="170"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96E7CC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40</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4A221F1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珠海路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503618CA">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城东北路-灵秀路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DEA2BC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E014FE1">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ECEC81E">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ABD2FD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1DF2B92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7BA769C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2CD0BE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3780CC3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5217</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3D826297">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6347742A">
        <w:tblPrEx>
          <w:tblCellMar>
            <w:top w:w="0" w:type="dxa"/>
            <w:left w:w="108" w:type="dxa"/>
            <w:bottom w:w="0" w:type="dxa"/>
            <w:right w:w="108" w:type="dxa"/>
          </w:tblCellMar>
        </w:tblPrEx>
        <w:trPr>
          <w:trHeight w:val="17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20A640">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67B154">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740C5A">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BAF832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5053AA1">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453008E">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4EFB3C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A69BEA">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B21946">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6F096A">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FCB783">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63AE5">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392B7838">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C393CC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41</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1C3F5B9">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嘉兴路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C88FC4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灵秀路-城东北路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72D521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8D6F151">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F7E853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0A4E9E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B293443">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52F0E660">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31BB55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1E52CD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5734</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1F36813">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565FED80">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22CFE923">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42</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F928D60">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城东路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C44D9B4">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迎宾大道-徐杨路</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3C4D4B20">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144</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1417FECE">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72</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5F261010">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1BCE63A5">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46EC7B45">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805EBD3">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6C66E13">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8EF535B">
            <w:pPr>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3384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141AA850">
            <w:pPr>
              <w:spacing w:line="24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VV4*6mm²</w:t>
            </w:r>
          </w:p>
        </w:tc>
      </w:tr>
      <w:tr w14:paraId="20C3F2D7">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2FD0D4">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584DD7">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2345BB">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9289F5">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81F46D">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DF9059">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F7D50B">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42A595">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34AF4C">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D09047">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2066E5">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2CBCBB">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5F8F1647">
        <w:tblPrEx>
          <w:tblCellMar>
            <w:top w:w="0" w:type="dxa"/>
            <w:left w:w="108" w:type="dxa"/>
            <w:bottom w:w="0" w:type="dxa"/>
            <w:right w:w="108" w:type="dxa"/>
          </w:tblCellMar>
        </w:tblPrEx>
        <w:trPr>
          <w:trHeight w:val="17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F3A7610">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026E9C29">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规划路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84519B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深圳东路向北</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C50CF3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1DDDE3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61E861E">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07F2AE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E1F3D7C">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F06A387">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47BCD79">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ED92D7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611</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704A689">
            <w:pPr>
              <w:spacing w:line="24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VV4*6mm²</w:t>
            </w:r>
          </w:p>
        </w:tc>
      </w:tr>
      <w:tr w14:paraId="049DE447">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4B170F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44</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6BAC32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大同路(河畔路）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73C9AF4">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飞耀路-s237</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5014DE">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332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0A8138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89ABD6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4600F4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4FB172A">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8ABF70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0D7372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1A894A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7802</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4BE10F2D">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3E1359DE">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AF92CE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0009FB0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城东北路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9E94849">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深圳路-大同路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7E81A3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586960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9D84F4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52FA73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7E2A07A">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26A02FC9">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8E6595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7BBEC2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1363</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F2FE513">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31F2E9B3">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9C48D5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836C6CF">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富景路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14130F2">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迎宾大道以北</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1D673D1">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468FDD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F4DCAF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58896F0">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444A13BF">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2A5EAB0">
            <w:pPr>
              <w:spacing w:line="24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E1CE59B">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A78CA9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2397 </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1036921">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7960B232">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85F14B1">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71E6C07">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灵秀路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246754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大同路-富准路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CCFFC6D">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ADAFA6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66E955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7F72A1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6019A595">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A2589D8">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49AA960">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62222F0">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4371</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60E2286">
            <w:pPr>
              <w:spacing w:line="240" w:lineRule="exact"/>
              <w:jc w:val="center"/>
              <w:rPr>
                <w:rFonts w:hint="eastAsia" w:ascii="宋体" w:hAnsi="宋体" w:cs="宋体"/>
                <w:color w:val="000000" w:themeColor="text1"/>
                <w:szCs w:val="21"/>
                <w:highlight w:val="none"/>
                <w14:textFill>
                  <w14:solidFill>
                    <w14:schemeClr w14:val="tx1"/>
                  </w14:solidFill>
                </w14:textFill>
              </w:rPr>
            </w:pPr>
          </w:p>
        </w:tc>
      </w:tr>
      <w:tr w14:paraId="2B680CAE">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75950CC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48</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4844395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裕民路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45E3043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迎宾大道-嘉兴路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67DEB5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EF55FA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58A7E9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2E6F91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10CC59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671905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66B8091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230F4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3290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1224E38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3D6EF18">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32DE4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5B2EE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F0BE7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F6EBF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D9E2BD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2E5BB3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71D652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景观灯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15A17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CC9B2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79FD9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6384B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19BAF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99DDAC2">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D9636A">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7D3DC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066F8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C91582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9E331D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9FA146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灯泡</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37E5CA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9w灯泡</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57AD1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03A3F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BFACF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E9B22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2B102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65EB943">
        <w:tblPrEx>
          <w:tblCellMar>
            <w:top w:w="0" w:type="dxa"/>
            <w:left w:w="108" w:type="dxa"/>
            <w:bottom w:w="0" w:type="dxa"/>
            <w:right w:w="108" w:type="dxa"/>
          </w:tblCellMar>
        </w:tblPrEx>
        <w:trPr>
          <w:trHeight w:val="312"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0684E5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49</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65EB58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荷香路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6B1AE9A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深圳路-迎宾大道</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51128D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31</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26AFEA4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31</w:t>
            </w:r>
          </w:p>
        </w:tc>
        <w:tc>
          <w:tcPr>
            <w:tcW w:w="415" w:type="pct"/>
            <w:vMerge w:val="restart"/>
            <w:tcBorders>
              <w:top w:val="single" w:color="000000" w:sz="4" w:space="0"/>
              <w:left w:val="single" w:color="000000" w:sz="4" w:space="0"/>
              <w:bottom w:val="single" w:color="000000" w:sz="4" w:space="0"/>
              <w:right w:val="single" w:color="000000" w:sz="4" w:space="0"/>
            </w:tcBorders>
            <w:noWrap w:val="0"/>
            <w:vAlign w:val="center"/>
          </w:tcPr>
          <w:p w14:paraId="0AB37C2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vMerge w:val="restart"/>
            <w:tcBorders>
              <w:top w:val="single" w:color="000000" w:sz="4" w:space="0"/>
              <w:left w:val="single" w:color="000000" w:sz="4" w:space="0"/>
              <w:bottom w:val="single" w:color="000000" w:sz="4" w:space="0"/>
              <w:right w:val="single" w:color="000000" w:sz="4" w:space="0"/>
            </w:tcBorders>
            <w:noWrap w:val="0"/>
            <w:vAlign w:val="center"/>
          </w:tcPr>
          <w:p w14:paraId="3A5D5FE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6762D90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D17F3C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ABB741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8029C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1457</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30EAC7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6CB2948">
        <w:tblPrEx>
          <w:tblCellMar>
            <w:top w:w="0" w:type="dxa"/>
            <w:left w:w="108" w:type="dxa"/>
            <w:bottom w:w="0" w:type="dxa"/>
            <w:right w:w="108" w:type="dxa"/>
          </w:tblCellMar>
        </w:tblPrEx>
        <w:trPr>
          <w:trHeight w:val="312"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F69209">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A7AE9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B930F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FFB15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AFDE1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3A62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37A61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631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01AD0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C1010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5AF8F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0B009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080021B">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88619F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F78CF3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徐州街</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6DBC6E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深圳路-景华路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D8187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4ECE5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2DDCC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D0B003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2F570A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2F324B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D2D3D8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AF5615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1786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D6CC17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7B4A61A">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594290B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51</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6CF15B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寿民路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8F25CF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徐杨路-集贤路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7EAA73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151AD1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345F2C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D8C0E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2E0E913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395791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B9EE21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263770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2115</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260F1C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8157655">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5BAA7C8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948B5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扬州街</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23A94B2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集贤路-徐杨路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8F1EB6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DE30CE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1A8229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105C39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165A343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7F661E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26B242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99E47E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1316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B9D48E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E860ECB">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1DD434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1EFA00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规划路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2096ED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徐杨路-膳魔师路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653E77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1D2010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74C2EF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F2D7C2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1D14EE1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503152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062F44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D5C99D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1034</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25BA4A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06B9C7D">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1E002D8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54</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A5210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柴米路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9C68DA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南马厂大道-开明路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26F5EF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ED9CC7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C6D5BA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5CD9CA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0EC04F0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12D86B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8BF783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411E65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940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6AB1158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54250BE">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2762B9A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55</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096FE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南马厂大道</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68139B7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海口路-黄河边</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A7464B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FD0DD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869B20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6BB4DB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51CA9F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6C78146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6B0031A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4436A8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13724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7792A94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8A22949">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1C2FB0">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8D547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B00C5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32D5FC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554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6D69B9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016A67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90E42E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双臂135w/55w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39D2C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2E773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E159A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4CBF0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3EF07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80C121E">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DA9C1B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0B0029F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桂马花园</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27AF2C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西游大道-南马厂大道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9BD42C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842AA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BD42EF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ACAAC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4B05D36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3F7CB5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9C380F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77D47C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2068</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52ED83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0272DD4">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F38EBF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57</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C26465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李席路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C3677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新东花园-开祥路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2EDCB7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A9CCDF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909E6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FCE360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2765BEC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1B3DAE3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BCB563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865A59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3525</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1E5AEA9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66D1BBD">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2247565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58</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7BAB9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台南路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1586A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开福路-开祥路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5BBD4E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68D2FA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3DD369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5A5F0C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18A314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D1DE3B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3C281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A7AA0B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4888</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B12C4F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A944A05">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C8BDD0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59</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40BDFA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高雄路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F386CA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开福路-南马厂大道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286818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E15334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B641E4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11E4A3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0C2D056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E4032C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BBF6D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2B7EBC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1316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1099DD7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41FEFFD">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108AE02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60</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1CDD473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内湖路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421C5C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南马厂大道-学校</w:t>
            </w:r>
          </w:p>
        </w:tc>
        <w:tc>
          <w:tcPr>
            <w:tcW w:w="275" w:type="pct"/>
            <w:vMerge w:val="restart"/>
            <w:tcBorders>
              <w:top w:val="single" w:color="000000" w:sz="4" w:space="0"/>
              <w:left w:val="single" w:color="000000" w:sz="4" w:space="0"/>
              <w:bottom w:val="single" w:color="000000" w:sz="4" w:space="0"/>
              <w:right w:val="single" w:color="000000" w:sz="4" w:space="0"/>
            </w:tcBorders>
            <w:noWrap w:val="0"/>
            <w:vAlign w:val="center"/>
          </w:tcPr>
          <w:p w14:paraId="5CAF5EC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57CF645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2420C9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A3AFBB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475E415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287A82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886729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1A4C93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2538</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491CC1B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FAE9ACC">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5E6CB2">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9CB51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F6FCB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2ECE6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B9653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97895F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灯泡</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D64275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9w灯泡</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9953A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071F2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55953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4F74D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8F451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C4CC3BC">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BBB98E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38717BE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开明路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6F00D52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水渡口-柴米路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B3677B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69D0CD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F50C10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2820C9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52C2E92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5B617D5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02F4AE7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CA881A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4230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2E7C550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01D193A">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7987B0">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B409D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B3EBB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4B4DCB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634F5F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F9E10B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26881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69B01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B2BF0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6F2D5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63357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0F1D6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1521EC9">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623AA1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62</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18F303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新竹路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16E44C8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开祥路-开鸿路东侧</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1D3FB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79EE28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9F1A2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4CFDAE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1A8066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628BCC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9FCCED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A76D25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7570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2449EF5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43C7A4C">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E3FDA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633A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FEB19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284BDB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0D8B1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DBA9B1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945E66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797A1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12133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E90FF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19CBE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7DB1A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E0504A7">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85C6AB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63</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8138FE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王高路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23EBC23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开发大道-南马厂</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CC5657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C7A2CC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E9D210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0D0B1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207F71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3BE526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AB374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BCA77C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3384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06839D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537FC0A">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9FB60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077D1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53256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0A18BD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F255FA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D30730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EDD286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F7A3B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1ED9A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7D4AE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9AE51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75839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A94E4A7">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4D59E10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64</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4801045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水渡口大道</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525E984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西游大道-楚涟路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7B00D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C23170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708E4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AD172D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614D728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1F527B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91EF88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13AA3D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11186</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6B6D6B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0E2FDE9">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E3B694">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15CC2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A3D19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2C18F2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93285A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554A3F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714083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B80E4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EB458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13385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C9DC4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EAF46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116C589">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512960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A7A33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开福路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F19AE4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水渡口大道-高雄路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BC4F39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60AAB9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8298CB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259B5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9B44F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AF3073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069CD1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C242EA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4559</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A5FE43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ED56AB2">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B58147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E4B76D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开华路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B7C83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新竹路-水渡口大道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4B1D2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2E0385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C2589B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812667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4B44EE5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5A78D65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DD8BD8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0D6592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1786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1500D7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E4BE30F">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1DE58D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67</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20ECE5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开鸿路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245E5FE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水渡口-新竹路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749030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01AE08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876E1C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53A1E3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221E63E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6F34E2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5A9ECF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EB06F8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1504</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5E0712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5E18529">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5ED292C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68</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CC4DD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开发大道</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287B3E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s235-古黄河</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F8F509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16335F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C783E0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9C0E2B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97486C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614E83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1EBB0C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C86633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11750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FFEF44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06B509F">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1B88D9D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69</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A2AC0B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西游记大道</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4E407DD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s237-开发大道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A6E7DA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7D3CF5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0EFD8C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3BFB0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2DEEF36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5A3E09A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20231B1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19CDC0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29375</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5B4C7F7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5F0B42B">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597EE1">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18C3F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36BF0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DF525C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A0FD1B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E2965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E629F4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17936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D9750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79E0F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9DE45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A8603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8C87A45">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E80E5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C490B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8D603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E85655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775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71EB44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CD8EA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五火莲花</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BD3F34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五火莲花</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B4D24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751A4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B9BD0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91618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24294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83F85A1">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A4645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BF2FE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29900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115694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F860D3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BB50F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37224D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194FB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1F517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6065C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629EF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AA11F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F1D2FB4">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9D0A4E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70</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36FB96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台北路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C0837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老开新路-开发大道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BE9A29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51E2B6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C2E1C2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3EA235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双臂135w/55w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1A27F6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7B59D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830F50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A8D974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5076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7050EC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36982C6">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4564D8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71</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95D9E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三亚东路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710D0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飞耀路-广州路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04958C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6F085B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E13AC6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CECAB5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49A925F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5A44722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95A497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E576A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1128</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49F94D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244B7E6">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54F15E7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1E455B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保二路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6DD823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9EC75A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2F3041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343DD8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3CCDD9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7F37EB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679176F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1A702A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78A079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1504</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825248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A1EB4DF">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5D36A9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42C856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保三路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2F7028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BC2E5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7221E6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09D1D5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B856B8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413234A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501F4FD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770AB3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ADA4E1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1504</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E4EBF0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DFDE80C">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40B869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74</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902248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保四路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8F7A62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7FAC3B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46BB00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4D02E4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9BCB33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6BB578E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25135D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160F51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20BA15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423</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186D2E6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DE0170E">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B5B77F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7D4C8F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保五路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5ECC12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051C7B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B8F086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14C915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2D3BBA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329E954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E01893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A79A8C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40EDCB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1410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28A7FD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F2F6B7E">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550BAD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C90CEC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保六路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A12313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4F38DF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4E4158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CF27B0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379D17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65915CD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9E6335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2E59FF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D7FE60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423</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F1D1DD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2248019">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03B17C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77</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692725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保七路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0FF8C7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40A5E6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EFE74D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FC3823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0757C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EB9B85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174527B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8D5EC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31D5A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1269</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65CA9D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87F6902">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22B5DB5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78</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8D0E8E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保八路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990B0D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保税区</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73602D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977D19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BD8E22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C3284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2075A95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F6C47D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E44B93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54312E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846</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477D289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7C3651A">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2E53BE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79</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F1C9A0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内湖东路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CCB74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南马厂大道东侧</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2F1184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AB6F2C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FC7FEA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23844C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7C0CBB0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622F7D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114D36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9A083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329</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5B1A088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35ACAE5">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6A3ABD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80</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1C6A078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汕头路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13190F4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大连路-广州路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FE5B1C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F790D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7214AA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DB4EF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100EEFD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5A66EEA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04DA047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6AA24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2914</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0AF7924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E5A05D2">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97E26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7DD3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37318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1DF5A1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75762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47082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5EFE6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7EBAC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2ADF1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283AF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E940F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C729C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F1ED239">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5B35FA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81</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D1C3F7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老开新路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18D3E4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台北路-西游大道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DA9A90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5BD32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4A796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4F1E6A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72A3EE7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202570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099AF2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CE9197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752</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C6F176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FB45276">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9E8922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83AB9E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开祥路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83EBB4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李席路-西游大道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747793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F5A2F2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72CF53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230FE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双臂灯95w/55w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0B5805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BD4D0D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5326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A61C75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7520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3999D1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5A1E41C">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FC3D8A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B10546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开新路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77770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深圳东路-水渡口大道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7A472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194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79825E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73CA6A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5F3108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双臂135w/55w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300DED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E3FEA4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ZGS11-Z-80/10</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BB544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00B35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4559</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B74052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7DDFE3E">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278F003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84</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680C308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田港路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0B065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南马厂大道以西</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47E48C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951CD2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CDEE63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2BEB52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55B5DB9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6569217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1F3210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778FC9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3572</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7CB2B3C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B9873D4">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6EC804">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A474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9251F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F7359A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8FA2C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3C03BB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A7776B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双臂135w/55w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A791B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D2E02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6EE6A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99E2E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F8FA2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9ABC235">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32ABB7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60B6E9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高张花园</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B06B2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老开新路-西游大道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6D22B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E8A7A5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C7B607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6EB4C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79103AB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510062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A34505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3885B7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987</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064C8F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0ECA078">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2197EF5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433CD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咏贤路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4E1E52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牧皋路-和畅路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7B84E8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D090C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F30524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7C4F6B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218CE8E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B63B89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702D3C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A5A275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4700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62EA8B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180D9BF">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A12489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87</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3FBB35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迎宾大道、宁连路高架</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0EA4E6C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迎宾大道（铁路桥涵洞-京沪高速入口-徐杨路），宁连路（铁路桥-深圳路）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C0D0C7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1033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B5E102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1033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577D5E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吸顶灯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48ADD7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吸顶灯</w:t>
            </w:r>
          </w:p>
        </w:tc>
        <w:tc>
          <w:tcPr>
            <w:tcW w:w="288" w:type="pct"/>
            <w:vMerge w:val="restart"/>
            <w:tcBorders>
              <w:top w:val="single" w:color="000000" w:sz="4" w:space="0"/>
              <w:left w:val="single" w:color="000000" w:sz="4" w:space="0"/>
              <w:bottom w:val="single" w:color="000000" w:sz="4" w:space="0"/>
              <w:right w:val="single" w:color="000000" w:sz="4" w:space="0"/>
            </w:tcBorders>
            <w:noWrap w:val="0"/>
            <w:vAlign w:val="center"/>
          </w:tcPr>
          <w:p w14:paraId="266C74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6520FA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50C013D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1AD93D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28059</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3E222C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7CA500E">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1AB4F8">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6CA50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12CA5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633B61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015186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8C6F1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AF371A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双臂200w/200w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22010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541E6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6A4D1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046D1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97FBF3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FFB0B26">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5FCCE6">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36E9A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B94F0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549006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F46BD3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88B92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E359C4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单臂200w</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86B1A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86592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0D9F0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BFCB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827F0C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683D068">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0E15DC">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4AE72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55091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35005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6E9B3D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8AAADE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补角灯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91D04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补角灯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FB943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FE9D4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B579E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21AAD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A58463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D6797BB">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A156D6">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1F91F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4D3C6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01A69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8C30DF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54BCC5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综合路灯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B44F41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综合路灯</w:t>
            </w:r>
          </w:p>
        </w:tc>
        <w:tc>
          <w:tcPr>
            <w:tcW w:w="28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17B46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F47CC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846B1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B452F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ED3F57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DA91040">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9CCA74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88</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444019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达方路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6B0E13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广州路-白果路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741B88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814220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DCC76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72B9C0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6A3460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4AC138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3477D8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D394D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3055</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EC8E30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D00F7A8">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35C83D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89</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C0FBF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砖井路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DE2712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深圳路北侧</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3092F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11DB3F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15422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6FC4B7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单臂95W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5FF2FA6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11BD6C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D7BD5A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84F35C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650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3061ECD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458CBEB">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D16C5F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90</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587F6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城管局30米高灯杆</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411511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城管局内</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977786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67A63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006B52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高杆灯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BF0E39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高杆灯</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709F18E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28B2D27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8AF18B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108F7A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78D0FCB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0814168">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right w:val="single" w:color="000000" w:sz="4" w:space="0"/>
            </w:tcBorders>
            <w:noWrap w:val="0"/>
            <w:vAlign w:val="center"/>
          </w:tcPr>
          <w:p w14:paraId="60E0222D">
            <w:pPr>
              <w:widowControl/>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91</w:t>
            </w:r>
          </w:p>
        </w:tc>
        <w:tc>
          <w:tcPr>
            <w:tcW w:w="400" w:type="pct"/>
            <w:vMerge w:val="restart"/>
            <w:tcBorders>
              <w:top w:val="single" w:color="000000" w:sz="4" w:space="0"/>
              <w:left w:val="single" w:color="000000" w:sz="4" w:space="0"/>
              <w:right w:val="single" w:color="000000" w:sz="4" w:space="0"/>
            </w:tcBorders>
            <w:noWrap w:val="0"/>
            <w:vAlign w:val="center"/>
          </w:tcPr>
          <w:p w14:paraId="6885778B">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王高路</w:t>
            </w:r>
          </w:p>
        </w:tc>
        <w:tc>
          <w:tcPr>
            <w:tcW w:w="713" w:type="pct"/>
            <w:vMerge w:val="restart"/>
            <w:tcBorders>
              <w:top w:val="single" w:color="000000" w:sz="4" w:space="0"/>
              <w:left w:val="single" w:color="000000" w:sz="4" w:space="0"/>
              <w:right w:val="single" w:color="000000" w:sz="4" w:space="0"/>
            </w:tcBorders>
            <w:noWrap w:val="0"/>
            <w:vAlign w:val="center"/>
          </w:tcPr>
          <w:p w14:paraId="3DD5EDFE">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南马厂大道—开新路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31DCEDE">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D531FB3">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80D1262">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F9CD408">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双臂灯95w/150w</w:t>
            </w:r>
          </w:p>
        </w:tc>
        <w:tc>
          <w:tcPr>
            <w:tcW w:w="288" w:type="pct"/>
            <w:vMerge w:val="restart"/>
            <w:tcBorders>
              <w:top w:val="single" w:color="000000" w:sz="4" w:space="0"/>
              <w:left w:val="single" w:color="000000" w:sz="4" w:space="0"/>
              <w:right w:val="single" w:color="000000" w:sz="4" w:space="0"/>
            </w:tcBorders>
            <w:noWrap w:val="0"/>
            <w:vAlign w:val="center"/>
          </w:tcPr>
          <w:p w14:paraId="401C7150">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right w:val="single" w:color="000000" w:sz="4" w:space="0"/>
            </w:tcBorders>
            <w:noWrap w:val="0"/>
            <w:vAlign w:val="center"/>
          </w:tcPr>
          <w:p w14:paraId="0D8C7C6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right w:val="single" w:color="000000" w:sz="4" w:space="0"/>
            </w:tcBorders>
            <w:noWrap w:val="0"/>
            <w:vAlign w:val="center"/>
          </w:tcPr>
          <w:p w14:paraId="0B3503C2">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right w:val="single" w:color="000000" w:sz="4" w:space="0"/>
            </w:tcBorders>
            <w:noWrap w:val="0"/>
            <w:vAlign w:val="center"/>
          </w:tcPr>
          <w:p w14:paraId="3D02FE8C">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4970</w:t>
            </w:r>
          </w:p>
        </w:tc>
        <w:tc>
          <w:tcPr>
            <w:tcW w:w="410" w:type="pct"/>
            <w:vMerge w:val="restart"/>
            <w:tcBorders>
              <w:top w:val="single" w:color="000000" w:sz="4" w:space="0"/>
              <w:left w:val="single" w:color="000000" w:sz="4" w:space="0"/>
              <w:right w:val="single" w:color="000000" w:sz="4" w:space="0"/>
            </w:tcBorders>
            <w:noWrap w:val="0"/>
            <w:vAlign w:val="center"/>
          </w:tcPr>
          <w:p w14:paraId="4CCDC77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1AA2EFD">
        <w:tblPrEx>
          <w:tblCellMar>
            <w:top w:w="0" w:type="dxa"/>
            <w:left w:w="108" w:type="dxa"/>
            <w:bottom w:w="0" w:type="dxa"/>
            <w:right w:w="108" w:type="dxa"/>
          </w:tblCellMar>
        </w:tblPrEx>
        <w:trPr>
          <w:trHeight w:val="23" w:hRule="atLeast"/>
          <w:jc w:val="center"/>
        </w:trPr>
        <w:tc>
          <w:tcPr>
            <w:tcW w:w="166" w:type="pct"/>
            <w:vMerge w:val="continue"/>
            <w:tcBorders>
              <w:left w:val="single" w:color="000000" w:sz="4" w:space="0"/>
              <w:right w:val="single" w:color="000000" w:sz="4" w:space="0"/>
            </w:tcBorders>
            <w:noWrap w:val="0"/>
            <w:vAlign w:val="center"/>
          </w:tcPr>
          <w:p w14:paraId="1AF4D616">
            <w:pPr>
              <w:widowControl/>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400" w:type="pct"/>
            <w:vMerge w:val="continue"/>
            <w:tcBorders>
              <w:left w:val="single" w:color="000000" w:sz="4" w:space="0"/>
              <w:right w:val="single" w:color="000000" w:sz="4" w:space="0"/>
            </w:tcBorders>
            <w:noWrap w:val="0"/>
            <w:vAlign w:val="center"/>
          </w:tcPr>
          <w:p w14:paraId="54ACC1FC">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713" w:type="pct"/>
            <w:vMerge w:val="continue"/>
            <w:tcBorders>
              <w:left w:val="single" w:color="000000" w:sz="4" w:space="0"/>
              <w:right w:val="single" w:color="000000" w:sz="4" w:space="0"/>
            </w:tcBorders>
            <w:noWrap w:val="0"/>
            <w:vAlign w:val="center"/>
          </w:tcPr>
          <w:p w14:paraId="02AD7CD9">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188B25A">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D740170">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8DB2D1C">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合杆</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CA9E18B">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合杆150w</w:t>
            </w:r>
          </w:p>
        </w:tc>
        <w:tc>
          <w:tcPr>
            <w:tcW w:w="288" w:type="pct"/>
            <w:vMerge w:val="continue"/>
            <w:tcBorders>
              <w:left w:val="single" w:color="000000" w:sz="4" w:space="0"/>
              <w:right w:val="single" w:color="000000" w:sz="4" w:space="0"/>
            </w:tcBorders>
            <w:noWrap w:val="0"/>
            <w:vAlign w:val="center"/>
          </w:tcPr>
          <w:p w14:paraId="19408CC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left w:val="single" w:color="000000" w:sz="4" w:space="0"/>
              <w:right w:val="single" w:color="000000" w:sz="4" w:space="0"/>
            </w:tcBorders>
            <w:noWrap w:val="0"/>
            <w:vAlign w:val="center"/>
          </w:tcPr>
          <w:p w14:paraId="3DA8C75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left w:val="single" w:color="000000" w:sz="4" w:space="0"/>
              <w:right w:val="single" w:color="000000" w:sz="4" w:space="0"/>
            </w:tcBorders>
            <w:noWrap w:val="0"/>
            <w:vAlign w:val="center"/>
          </w:tcPr>
          <w:p w14:paraId="418FD97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left w:val="single" w:color="000000" w:sz="4" w:space="0"/>
              <w:right w:val="single" w:color="000000" w:sz="4" w:space="0"/>
            </w:tcBorders>
            <w:noWrap w:val="0"/>
            <w:vAlign w:val="center"/>
          </w:tcPr>
          <w:p w14:paraId="61EA4B3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left w:val="single" w:color="000000" w:sz="4" w:space="0"/>
              <w:right w:val="single" w:color="000000" w:sz="4" w:space="0"/>
            </w:tcBorders>
            <w:noWrap w:val="0"/>
            <w:vAlign w:val="center"/>
          </w:tcPr>
          <w:p w14:paraId="7304905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C0E2E4C">
        <w:tblPrEx>
          <w:tblCellMar>
            <w:top w:w="0" w:type="dxa"/>
            <w:left w:w="108" w:type="dxa"/>
            <w:bottom w:w="0" w:type="dxa"/>
            <w:right w:w="108" w:type="dxa"/>
          </w:tblCellMar>
        </w:tblPrEx>
        <w:trPr>
          <w:trHeight w:val="23" w:hRule="atLeast"/>
          <w:jc w:val="center"/>
        </w:trPr>
        <w:tc>
          <w:tcPr>
            <w:tcW w:w="166" w:type="pct"/>
            <w:vMerge w:val="continue"/>
            <w:tcBorders>
              <w:left w:val="single" w:color="000000" w:sz="4" w:space="0"/>
              <w:bottom w:val="single" w:color="000000" w:sz="4" w:space="0"/>
              <w:right w:val="single" w:color="000000" w:sz="4" w:space="0"/>
            </w:tcBorders>
            <w:noWrap w:val="0"/>
            <w:vAlign w:val="center"/>
          </w:tcPr>
          <w:p w14:paraId="2FE5402D">
            <w:pPr>
              <w:widowControl/>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400" w:type="pct"/>
            <w:vMerge w:val="continue"/>
            <w:tcBorders>
              <w:left w:val="single" w:color="000000" w:sz="4" w:space="0"/>
              <w:bottom w:val="single" w:color="000000" w:sz="4" w:space="0"/>
              <w:right w:val="single" w:color="000000" w:sz="4" w:space="0"/>
            </w:tcBorders>
            <w:noWrap w:val="0"/>
            <w:vAlign w:val="center"/>
          </w:tcPr>
          <w:p w14:paraId="250B8553">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713" w:type="pct"/>
            <w:vMerge w:val="continue"/>
            <w:tcBorders>
              <w:left w:val="single" w:color="000000" w:sz="4" w:space="0"/>
              <w:bottom w:val="single" w:color="000000" w:sz="4" w:space="0"/>
              <w:right w:val="single" w:color="000000" w:sz="4" w:space="0"/>
            </w:tcBorders>
            <w:noWrap w:val="0"/>
            <w:vAlign w:val="center"/>
          </w:tcPr>
          <w:p w14:paraId="5B7545F3">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88A1BE4">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AB76D7D">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165EC40">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8EBDE23">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中杆灯200W</w:t>
            </w:r>
          </w:p>
        </w:tc>
        <w:tc>
          <w:tcPr>
            <w:tcW w:w="288" w:type="pct"/>
            <w:vMerge w:val="continue"/>
            <w:tcBorders>
              <w:left w:val="single" w:color="000000" w:sz="4" w:space="0"/>
              <w:bottom w:val="single" w:color="000000" w:sz="4" w:space="0"/>
              <w:right w:val="single" w:color="000000" w:sz="4" w:space="0"/>
            </w:tcBorders>
            <w:noWrap w:val="0"/>
            <w:vAlign w:val="center"/>
          </w:tcPr>
          <w:p w14:paraId="57FC0C9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left w:val="single" w:color="000000" w:sz="4" w:space="0"/>
              <w:bottom w:val="single" w:color="000000" w:sz="4" w:space="0"/>
              <w:right w:val="single" w:color="000000" w:sz="4" w:space="0"/>
            </w:tcBorders>
            <w:noWrap w:val="0"/>
            <w:vAlign w:val="center"/>
          </w:tcPr>
          <w:p w14:paraId="0DB53C2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left w:val="single" w:color="000000" w:sz="4" w:space="0"/>
              <w:bottom w:val="single" w:color="000000" w:sz="4" w:space="0"/>
              <w:right w:val="single" w:color="000000" w:sz="4" w:space="0"/>
            </w:tcBorders>
            <w:noWrap w:val="0"/>
            <w:vAlign w:val="center"/>
          </w:tcPr>
          <w:p w14:paraId="3B2CA26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left w:val="single" w:color="000000" w:sz="4" w:space="0"/>
              <w:bottom w:val="single" w:color="000000" w:sz="4" w:space="0"/>
              <w:right w:val="single" w:color="000000" w:sz="4" w:space="0"/>
            </w:tcBorders>
            <w:noWrap w:val="0"/>
            <w:vAlign w:val="center"/>
          </w:tcPr>
          <w:p w14:paraId="5A35610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left w:val="single" w:color="000000" w:sz="4" w:space="0"/>
              <w:bottom w:val="single" w:color="000000" w:sz="4" w:space="0"/>
              <w:right w:val="single" w:color="000000" w:sz="4" w:space="0"/>
            </w:tcBorders>
            <w:noWrap w:val="0"/>
            <w:vAlign w:val="center"/>
          </w:tcPr>
          <w:p w14:paraId="23E0814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CD51BB2">
        <w:tblPrEx>
          <w:tblCellMar>
            <w:top w:w="0" w:type="dxa"/>
            <w:left w:w="108" w:type="dxa"/>
            <w:bottom w:w="0" w:type="dxa"/>
            <w:right w:w="108" w:type="dxa"/>
          </w:tblCellMar>
        </w:tblPrEx>
        <w:trPr>
          <w:trHeight w:val="520"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1B6A27EE">
            <w:pPr>
              <w:widowControl/>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F95381C">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开明路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136ADC7">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王高路—新竹路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903E85">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5EA1705">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A403CBE">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00A7DC1">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双臂灯95w/150w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161F6B2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7361E3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FDF0F7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2E3CBB5">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700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DDF495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7034206">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right w:val="single" w:color="000000" w:sz="4" w:space="0"/>
            </w:tcBorders>
            <w:noWrap w:val="0"/>
            <w:vAlign w:val="center"/>
          </w:tcPr>
          <w:p w14:paraId="6BE3CAD3">
            <w:pPr>
              <w:widowControl/>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93</w:t>
            </w:r>
          </w:p>
        </w:tc>
        <w:tc>
          <w:tcPr>
            <w:tcW w:w="400" w:type="pct"/>
            <w:vMerge w:val="restart"/>
            <w:tcBorders>
              <w:top w:val="single" w:color="000000" w:sz="4" w:space="0"/>
              <w:left w:val="single" w:color="000000" w:sz="4" w:space="0"/>
              <w:right w:val="single" w:color="000000" w:sz="4" w:space="0"/>
            </w:tcBorders>
            <w:noWrap w:val="0"/>
            <w:vAlign w:val="center"/>
          </w:tcPr>
          <w:p w14:paraId="4007C37B">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天合路</w:t>
            </w:r>
          </w:p>
        </w:tc>
        <w:tc>
          <w:tcPr>
            <w:tcW w:w="713" w:type="pct"/>
            <w:vMerge w:val="restart"/>
            <w:tcBorders>
              <w:top w:val="single" w:color="000000" w:sz="4" w:space="0"/>
              <w:left w:val="single" w:color="000000" w:sz="4" w:space="0"/>
              <w:right w:val="single" w:color="000000" w:sz="4" w:space="0"/>
            </w:tcBorders>
            <w:noWrap w:val="0"/>
            <w:vAlign w:val="center"/>
          </w:tcPr>
          <w:p w14:paraId="2E0B4A1F">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新竹路—台南路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BD56937">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8C9AEA0">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E5A32A0">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双臂灯95w/150w</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46BA859">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双臂灯95w/150w</w:t>
            </w:r>
          </w:p>
        </w:tc>
        <w:tc>
          <w:tcPr>
            <w:tcW w:w="288" w:type="pct"/>
            <w:vMerge w:val="restart"/>
            <w:tcBorders>
              <w:top w:val="single" w:color="000000" w:sz="4" w:space="0"/>
              <w:left w:val="single" w:color="000000" w:sz="4" w:space="0"/>
              <w:right w:val="single" w:color="000000" w:sz="4" w:space="0"/>
            </w:tcBorders>
            <w:noWrap w:val="0"/>
            <w:vAlign w:val="center"/>
          </w:tcPr>
          <w:p w14:paraId="75E105FB">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right w:val="single" w:color="000000" w:sz="4" w:space="0"/>
            </w:tcBorders>
            <w:noWrap w:val="0"/>
            <w:vAlign w:val="center"/>
          </w:tcPr>
          <w:p w14:paraId="35542E6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single" w:color="000000" w:sz="4" w:space="0"/>
              <w:right w:val="single" w:color="000000" w:sz="4" w:space="0"/>
            </w:tcBorders>
            <w:noWrap w:val="0"/>
            <w:vAlign w:val="center"/>
          </w:tcPr>
          <w:p w14:paraId="2649BE7A">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right w:val="single" w:color="000000" w:sz="4" w:space="0"/>
            </w:tcBorders>
            <w:noWrap w:val="0"/>
            <w:vAlign w:val="center"/>
          </w:tcPr>
          <w:p w14:paraId="07808DF0">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3560</w:t>
            </w:r>
          </w:p>
        </w:tc>
        <w:tc>
          <w:tcPr>
            <w:tcW w:w="410" w:type="pct"/>
            <w:vMerge w:val="restart"/>
            <w:tcBorders>
              <w:top w:val="single" w:color="000000" w:sz="4" w:space="0"/>
              <w:left w:val="single" w:color="000000" w:sz="4" w:space="0"/>
              <w:right w:val="single" w:color="000000" w:sz="4" w:space="0"/>
            </w:tcBorders>
            <w:noWrap w:val="0"/>
            <w:vAlign w:val="center"/>
          </w:tcPr>
          <w:p w14:paraId="7849E5E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3744DFA">
        <w:tblPrEx>
          <w:tblCellMar>
            <w:top w:w="0" w:type="dxa"/>
            <w:left w:w="108" w:type="dxa"/>
            <w:bottom w:w="0" w:type="dxa"/>
            <w:right w:w="108" w:type="dxa"/>
          </w:tblCellMar>
        </w:tblPrEx>
        <w:trPr>
          <w:trHeight w:val="23" w:hRule="atLeast"/>
          <w:jc w:val="center"/>
        </w:trPr>
        <w:tc>
          <w:tcPr>
            <w:tcW w:w="166" w:type="pct"/>
            <w:vMerge w:val="continue"/>
            <w:tcBorders>
              <w:left w:val="single" w:color="000000" w:sz="4" w:space="0"/>
              <w:right w:val="single" w:color="000000" w:sz="4" w:space="0"/>
            </w:tcBorders>
            <w:noWrap w:val="0"/>
            <w:vAlign w:val="center"/>
          </w:tcPr>
          <w:p w14:paraId="6403E362">
            <w:pPr>
              <w:widowControl/>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400" w:type="pct"/>
            <w:vMerge w:val="continue"/>
            <w:tcBorders>
              <w:left w:val="single" w:color="000000" w:sz="4" w:space="0"/>
              <w:right w:val="single" w:color="000000" w:sz="4" w:space="0"/>
            </w:tcBorders>
            <w:noWrap w:val="0"/>
            <w:vAlign w:val="center"/>
          </w:tcPr>
          <w:p w14:paraId="61F7E389">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713" w:type="pct"/>
            <w:vMerge w:val="continue"/>
            <w:tcBorders>
              <w:left w:val="single" w:color="000000" w:sz="4" w:space="0"/>
              <w:right w:val="single" w:color="000000" w:sz="4" w:space="0"/>
            </w:tcBorders>
            <w:noWrap w:val="0"/>
            <w:vAlign w:val="center"/>
          </w:tcPr>
          <w:p w14:paraId="60522F3A">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B81DEB6">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6E8C6B8">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D8FD0E2">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合杆</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17F6ABA">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合杆150w</w:t>
            </w:r>
          </w:p>
        </w:tc>
        <w:tc>
          <w:tcPr>
            <w:tcW w:w="288" w:type="pct"/>
            <w:vMerge w:val="continue"/>
            <w:tcBorders>
              <w:left w:val="single" w:color="000000" w:sz="4" w:space="0"/>
              <w:right w:val="single" w:color="000000" w:sz="4" w:space="0"/>
            </w:tcBorders>
            <w:noWrap w:val="0"/>
            <w:vAlign w:val="center"/>
          </w:tcPr>
          <w:p w14:paraId="3763DEF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left w:val="single" w:color="000000" w:sz="4" w:space="0"/>
              <w:right w:val="single" w:color="000000" w:sz="4" w:space="0"/>
            </w:tcBorders>
            <w:noWrap w:val="0"/>
            <w:vAlign w:val="center"/>
          </w:tcPr>
          <w:p w14:paraId="37E54C9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left w:val="single" w:color="000000" w:sz="4" w:space="0"/>
              <w:right w:val="single" w:color="000000" w:sz="4" w:space="0"/>
            </w:tcBorders>
            <w:noWrap w:val="0"/>
            <w:vAlign w:val="center"/>
          </w:tcPr>
          <w:p w14:paraId="04878D6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left w:val="single" w:color="000000" w:sz="4" w:space="0"/>
              <w:right w:val="single" w:color="000000" w:sz="4" w:space="0"/>
            </w:tcBorders>
            <w:noWrap w:val="0"/>
            <w:vAlign w:val="center"/>
          </w:tcPr>
          <w:p w14:paraId="5EE169C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left w:val="single" w:color="000000" w:sz="4" w:space="0"/>
              <w:right w:val="single" w:color="000000" w:sz="4" w:space="0"/>
            </w:tcBorders>
            <w:noWrap w:val="0"/>
            <w:vAlign w:val="center"/>
          </w:tcPr>
          <w:p w14:paraId="4EBC153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F96005B">
        <w:tblPrEx>
          <w:tblCellMar>
            <w:top w:w="0" w:type="dxa"/>
            <w:left w:w="108" w:type="dxa"/>
            <w:bottom w:w="0" w:type="dxa"/>
            <w:right w:w="108" w:type="dxa"/>
          </w:tblCellMar>
        </w:tblPrEx>
        <w:trPr>
          <w:trHeight w:val="23" w:hRule="atLeast"/>
          <w:jc w:val="center"/>
        </w:trPr>
        <w:tc>
          <w:tcPr>
            <w:tcW w:w="166" w:type="pct"/>
            <w:vMerge w:val="continue"/>
            <w:tcBorders>
              <w:left w:val="single" w:color="000000" w:sz="4" w:space="0"/>
              <w:bottom w:val="single" w:color="000000" w:sz="4" w:space="0"/>
              <w:right w:val="single" w:color="000000" w:sz="4" w:space="0"/>
            </w:tcBorders>
            <w:noWrap w:val="0"/>
            <w:vAlign w:val="center"/>
          </w:tcPr>
          <w:p w14:paraId="7EEA305A">
            <w:pPr>
              <w:widowControl/>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400" w:type="pct"/>
            <w:vMerge w:val="continue"/>
            <w:tcBorders>
              <w:left w:val="single" w:color="000000" w:sz="4" w:space="0"/>
              <w:bottom w:val="single" w:color="000000" w:sz="4" w:space="0"/>
              <w:right w:val="single" w:color="000000" w:sz="4" w:space="0"/>
            </w:tcBorders>
            <w:noWrap w:val="0"/>
            <w:vAlign w:val="center"/>
          </w:tcPr>
          <w:p w14:paraId="7BE4FCBD">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713" w:type="pct"/>
            <w:vMerge w:val="continue"/>
            <w:tcBorders>
              <w:left w:val="single" w:color="000000" w:sz="4" w:space="0"/>
              <w:bottom w:val="single" w:color="000000" w:sz="4" w:space="0"/>
              <w:right w:val="single" w:color="000000" w:sz="4" w:space="0"/>
            </w:tcBorders>
            <w:noWrap w:val="0"/>
            <w:vAlign w:val="center"/>
          </w:tcPr>
          <w:p w14:paraId="5658CC7C">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34253CA">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BD8F7B4">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0CA0DFE">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BF43278">
            <w:pPr>
              <w:widowControl/>
              <w:spacing w:line="280" w:lineRule="exact"/>
              <w:jc w:val="center"/>
              <w:textAlignment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中杆灯200W</w:t>
            </w:r>
          </w:p>
        </w:tc>
        <w:tc>
          <w:tcPr>
            <w:tcW w:w="288" w:type="pct"/>
            <w:vMerge w:val="continue"/>
            <w:tcBorders>
              <w:left w:val="single" w:color="000000" w:sz="4" w:space="0"/>
              <w:bottom w:val="single" w:color="000000" w:sz="4" w:space="0"/>
              <w:right w:val="single" w:color="000000" w:sz="4" w:space="0"/>
            </w:tcBorders>
            <w:noWrap w:val="0"/>
            <w:vAlign w:val="center"/>
          </w:tcPr>
          <w:p w14:paraId="12DC5B1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left w:val="single" w:color="000000" w:sz="4" w:space="0"/>
              <w:bottom w:val="single" w:color="000000" w:sz="4" w:space="0"/>
              <w:right w:val="single" w:color="000000" w:sz="4" w:space="0"/>
            </w:tcBorders>
            <w:noWrap w:val="0"/>
            <w:vAlign w:val="center"/>
          </w:tcPr>
          <w:p w14:paraId="1A6DE73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left w:val="single" w:color="000000" w:sz="4" w:space="0"/>
              <w:bottom w:val="single" w:color="000000" w:sz="4" w:space="0"/>
              <w:right w:val="single" w:color="000000" w:sz="4" w:space="0"/>
            </w:tcBorders>
            <w:noWrap w:val="0"/>
            <w:vAlign w:val="center"/>
          </w:tcPr>
          <w:p w14:paraId="66BA844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left w:val="single" w:color="000000" w:sz="4" w:space="0"/>
              <w:bottom w:val="single" w:color="000000" w:sz="4" w:space="0"/>
              <w:right w:val="single" w:color="000000" w:sz="4" w:space="0"/>
            </w:tcBorders>
            <w:noWrap w:val="0"/>
            <w:vAlign w:val="center"/>
          </w:tcPr>
          <w:p w14:paraId="175160E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left w:val="single" w:color="000000" w:sz="4" w:space="0"/>
              <w:bottom w:val="single" w:color="000000" w:sz="4" w:space="0"/>
              <w:right w:val="single" w:color="000000" w:sz="4" w:space="0"/>
            </w:tcBorders>
            <w:noWrap w:val="0"/>
            <w:vAlign w:val="center"/>
          </w:tcPr>
          <w:p w14:paraId="489C14C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4A980ED">
        <w:tblPrEx>
          <w:tblCellMar>
            <w:top w:w="0" w:type="dxa"/>
            <w:left w:w="108" w:type="dxa"/>
            <w:bottom w:w="0" w:type="dxa"/>
            <w:right w:w="108" w:type="dxa"/>
          </w:tblCellMar>
        </w:tblPrEx>
        <w:trPr>
          <w:trHeight w:val="23" w:hRule="atLeast"/>
          <w:jc w:val="center"/>
        </w:trPr>
        <w:tc>
          <w:tcPr>
            <w:tcW w:w="1280" w:type="pct"/>
            <w:gridSpan w:val="3"/>
            <w:tcBorders>
              <w:top w:val="single" w:color="000000" w:sz="4" w:space="0"/>
              <w:left w:val="single" w:color="000000" w:sz="4" w:space="0"/>
              <w:bottom w:val="single" w:color="000000" w:sz="4" w:space="0"/>
              <w:right w:val="single" w:color="000000" w:sz="4" w:space="0"/>
            </w:tcBorders>
            <w:noWrap/>
            <w:vAlign w:val="center"/>
          </w:tcPr>
          <w:p w14:paraId="5A25A9B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合计</w:t>
            </w:r>
          </w:p>
        </w:tc>
        <w:tc>
          <w:tcPr>
            <w:tcW w:w="275" w:type="pct"/>
            <w:tcBorders>
              <w:top w:val="single" w:color="000000" w:sz="4" w:space="0"/>
              <w:left w:val="single" w:color="000000" w:sz="4" w:space="0"/>
              <w:bottom w:val="single" w:color="000000" w:sz="4" w:space="0"/>
              <w:right w:val="single" w:color="000000" w:sz="4" w:space="0"/>
            </w:tcBorders>
            <w:noWrap/>
            <w:vAlign w:val="center"/>
          </w:tcPr>
          <w:p w14:paraId="00F1611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15373</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410C53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9859</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51FE583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35" w:type="pct"/>
            <w:tcBorders>
              <w:top w:val="single" w:color="000000" w:sz="4" w:space="0"/>
              <w:left w:val="single" w:color="000000" w:sz="4" w:space="0"/>
              <w:bottom w:val="single" w:color="000000" w:sz="4" w:space="0"/>
              <w:right w:val="single" w:color="000000" w:sz="4" w:space="0"/>
            </w:tcBorders>
            <w:noWrap/>
            <w:vAlign w:val="center"/>
          </w:tcPr>
          <w:p w14:paraId="43CA49F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50CE5C9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100</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20CDDBB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ign w:val="center"/>
          </w:tcPr>
          <w:p w14:paraId="7B1577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115</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107F457A">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411874</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35ACEE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60F0CDD">
        <w:tblPrEx>
          <w:tblCellMar>
            <w:top w:w="0" w:type="dxa"/>
            <w:left w:w="108" w:type="dxa"/>
            <w:bottom w:w="0" w:type="dxa"/>
            <w:right w:w="108" w:type="dxa"/>
          </w:tblCellMar>
        </w:tblPrEx>
        <w:trPr>
          <w:trHeight w:val="529" w:hRule="atLeast"/>
          <w:jc w:val="center"/>
        </w:trPr>
        <w:tc>
          <w:tcPr>
            <w:tcW w:w="5000" w:type="pct"/>
            <w:gridSpan w:val="12"/>
            <w:tcBorders>
              <w:top w:val="single" w:color="000000" w:sz="4" w:space="0"/>
              <w:left w:val="single" w:color="000000" w:sz="4" w:space="0"/>
              <w:bottom w:val="single" w:color="000000" w:sz="4" w:space="0"/>
              <w:right w:val="single" w:color="000000" w:sz="4" w:space="0"/>
            </w:tcBorders>
            <w:noWrap w:val="0"/>
            <w:vAlign w:val="center"/>
          </w:tcPr>
          <w:p w14:paraId="558A54B5">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 w:val="32"/>
                <w:szCs w:val="32"/>
                <w:highlight w:val="none"/>
                <w:lang w:bidi="ar"/>
                <w14:textFill>
                  <w14:solidFill>
                    <w14:schemeClr w14:val="tx1"/>
                  </w14:solidFill>
                </w14:textFill>
              </w:rPr>
              <w:t>二、主城区</w:t>
            </w:r>
          </w:p>
        </w:tc>
      </w:tr>
      <w:tr w14:paraId="17AE5A99">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1FC8AB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F78116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5B2BF46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翔宇大道—宁连路高架</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ED238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D24080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0D5BA8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50747F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LED双臂200w+95w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3D1C37F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1FA926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51BB2D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2707A3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15200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0C3AE19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96266A9">
        <w:tblPrEx>
          <w:tblCellMar>
            <w:top w:w="0" w:type="dxa"/>
            <w:left w:w="108" w:type="dxa"/>
            <w:bottom w:w="0" w:type="dxa"/>
            <w:right w:w="108" w:type="dxa"/>
          </w:tblCellMar>
        </w:tblPrEx>
        <w:trPr>
          <w:trHeight w:val="450"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10DCFA">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1DC05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D6C80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3A687C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D3112A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628B95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路灯杆顶上</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E84D2A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14WLED蓝色节能灯</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309FF0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11555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39BA04D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0E884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470D5AE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3222E18">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4A573F">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7A5DB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109A4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C5165F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F711B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170ED1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88C5B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CA4FA8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B4BFF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6EB44FD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B7F4D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5A58D51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AAB2C6D">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378AD96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30869ED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南京路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4E59461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宁连路—深圳路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52F6C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336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8283B3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E6736A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1FE3FA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LED双臂95w+50w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2BC071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11EF95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12C3238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1D566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16400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63C68CE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942955E">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03124B">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8DD56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6C1BF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551DEE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6AA15F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B8274D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4F1E4A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LED双臂95W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324C335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1C90D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390CC4D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2D5F9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7A3095A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C8BD794">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7EB0B4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019FCA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福州路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F4CBD4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深圳路-三亚路向南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1B87FC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7FB816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C8680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3F15B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LED单臂95w </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1FA5C58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86B0E5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2D63F7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61F072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8200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16C7232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428FCE1">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1F6E03">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1D746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BE5C1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19A5E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70ECCB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A3D1E8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B427EA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LED双臂95W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A6957D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822B9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5540D59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1E95E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15D706C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E2E998D">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40D2DFD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6F23160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合肥路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72EC73C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三亚路—深圳路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FAECC2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C7E07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85668F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48F7A4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241ADC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823DA8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S11-M-160KVA/10 S11-M-160KVA/10 </w:t>
            </w:r>
          </w:p>
        </w:tc>
        <w:tc>
          <w:tcPr>
            <w:tcW w:w="284" w:type="pct"/>
            <w:vMerge w:val="restart"/>
            <w:tcBorders>
              <w:top w:val="single" w:color="000000" w:sz="4" w:space="0"/>
              <w:left w:val="nil"/>
              <w:bottom w:val="single" w:color="000000" w:sz="4" w:space="0"/>
              <w:right w:val="single" w:color="000000" w:sz="4" w:space="0"/>
            </w:tcBorders>
            <w:noWrap/>
            <w:vAlign w:val="center"/>
          </w:tcPr>
          <w:p w14:paraId="2B15CC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2FBBA7A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13600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118AC8E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04764B6">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F5E210">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4AC41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CE2C4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3C3622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120A7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2E8CA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CE28C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074CC0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4BB0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467E387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5C6BC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5D12403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2E61EAB">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FD74C7">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52D25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3E6B5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FB92E9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ED5DC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C7178A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FBA170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LED双臂95W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5EEF705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8050C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19F01EE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44343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3AC234F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F6BF68C">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18232A1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6B866E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韩泰路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2751013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台州路—珠海路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0003F3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234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86F780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B00421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BAFAD6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LED单臂150W+50W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68B7A87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ABE872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278881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C162B0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11200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34DC821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AABEA04">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EBDB30">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764C4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31CBA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61E97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4BF1A4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00C3D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8E0B00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75EDC02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D9FC4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5204811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C5A71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6C7F4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ED8E0C3">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F04C14">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8306B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7FD5B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0A327A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10FC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9EEA75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618613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52FF9E8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52B23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7788FF8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63281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44C2A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311C8A7">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21476E4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79EBE1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珠海路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77393F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南昌路—韩泰路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848ECF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7C49E5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E4BF3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2CFC4B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258ACA8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976673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284" w:type="pct"/>
            <w:vMerge w:val="restart"/>
            <w:tcBorders>
              <w:top w:val="single" w:color="000000" w:sz="4" w:space="0"/>
              <w:left w:val="nil"/>
              <w:bottom w:val="single" w:color="000000" w:sz="4" w:space="0"/>
              <w:right w:val="single" w:color="000000" w:sz="4" w:space="0"/>
            </w:tcBorders>
            <w:noWrap/>
            <w:vAlign w:val="center"/>
          </w:tcPr>
          <w:p w14:paraId="1E7CAA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EE445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3020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012E60E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C3E4967">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74C60E">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59ECA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E5796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2A1A5F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7B78D2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43FB34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4A600C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LED三臂100W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22C1A32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C5632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37756CE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F8F26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36A843C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73858BA">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nil"/>
            </w:tcBorders>
            <w:noWrap w:val="0"/>
            <w:vAlign w:val="center"/>
          </w:tcPr>
          <w:p w14:paraId="191F651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7</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77AC7E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济南路</w:t>
            </w:r>
          </w:p>
        </w:tc>
        <w:tc>
          <w:tcPr>
            <w:tcW w:w="713" w:type="pct"/>
            <w:vMerge w:val="restart"/>
            <w:tcBorders>
              <w:top w:val="single" w:color="000000" w:sz="4" w:space="0"/>
              <w:left w:val="nil"/>
              <w:bottom w:val="single" w:color="000000" w:sz="4" w:space="0"/>
              <w:right w:val="single" w:color="000000" w:sz="4" w:space="0"/>
            </w:tcBorders>
            <w:noWrap w:val="0"/>
            <w:vAlign w:val="center"/>
          </w:tcPr>
          <w:p w14:paraId="3CA66C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厦门路-珠海路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DB01B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93682F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C2800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A85C006">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LED双臂100w+50w，200W+50W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416EFFC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2BE93A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29B78BD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77064A5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2960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70CAFDC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EDD6227">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nil"/>
            </w:tcBorders>
            <w:noWrap w:val="0"/>
            <w:vAlign w:val="center"/>
          </w:tcPr>
          <w:p w14:paraId="17D45CFA">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65352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nil"/>
              <w:bottom w:val="single" w:color="000000" w:sz="4" w:space="0"/>
              <w:right w:val="single" w:color="000000" w:sz="4" w:space="0"/>
            </w:tcBorders>
            <w:noWrap w:val="0"/>
            <w:vAlign w:val="center"/>
          </w:tcPr>
          <w:p w14:paraId="792857C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7185C7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42F21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918606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00EB76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LED单臂50w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E35362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52810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0F6779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34356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3061D1F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5EB0CCE">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EBF3FA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F719B1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汕头路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AFEC65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三亚路—翔宇大道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50AA0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11BD05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566AC1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7C771F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2A37901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0DD1652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2EAF219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0AE16BF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9200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1C4788F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56F7335">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CA82FC">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5EDBE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90105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1F4CC5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889095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602A75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BF3126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6E50907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69D64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7A9AC31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E6605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6F9B1B0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C942D6E">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6E4972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F5DC30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大连路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2A961E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南京路—翔宇大道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1C42EA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8F60FB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8BE39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F8C263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1E2F795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599AC4B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27906A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BC65D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3800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56E8985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E2C33BF">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B68E97">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E5727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96422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0B9ED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DD2049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0FD7A5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434BA2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LED单臂50W </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07A0AC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C4440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59AC5F9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A3595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10AE35A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102EE03">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7F59400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37DEC4C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青岛路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FBE84D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南京路—翔宇大道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AF46D3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29401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6E5FE9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FB9A00E">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LED双臂灯100W+50W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7711B1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1BE90A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192BF0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15B2A1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9200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0494DB4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25EAAD1">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8DD17A">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A8D12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7D1B1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2A67E4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0A448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445B0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63E47F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4850967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75E11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4EF306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D3733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6DA4A6B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3CDD609">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4D1D5C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4E29EC3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厦门路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6E990E0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南京路—翔宇大道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02E3E5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421CE0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06D478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BCB915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LED双臂150W+50W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3F8A8CF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73041F0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7E0133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6759F83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10000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7217037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4C81EB8">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79FD49">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39C67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5BFB2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4EC155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8447A1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A9DD71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812D13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LED单臂95w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37CF8F6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571C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03F54A8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24233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7C442F0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1547DEA">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3A72D85">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05BD56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机场路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316BFE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济南路-翔宇大道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D47A64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A6F972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C67704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883431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698E10D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52F2CC3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tcBorders>
              <w:top w:val="single" w:color="000000" w:sz="4" w:space="0"/>
              <w:left w:val="nil"/>
              <w:bottom w:val="single" w:color="000000" w:sz="4" w:space="0"/>
              <w:right w:val="single" w:color="000000" w:sz="4" w:space="0"/>
            </w:tcBorders>
            <w:noWrap/>
            <w:vAlign w:val="center"/>
          </w:tcPr>
          <w:p w14:paraId="064456E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D83540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4400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B57291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C863AF2">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4B6B66A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13</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14E9D7A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威海路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137F4CE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南京路—苏州路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1CD242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C6300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F8B31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0B1D0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6B42A3D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166D96F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402395C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4A37A7F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8800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505B5A9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F556B8A">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09E880">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E3724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E3E7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CA8B72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0CB7DF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701D69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BA0CF7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20B5A85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E4DF7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291C21D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D980C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254993A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7CF35EC">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397F2D6">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1B117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无锡路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BCBAB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厦门路—珠海路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4A5AF4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114DC0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C48BBC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0E541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129B90C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1F0B28E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6A68ACE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E207E7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2600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5689B1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1AAFE43">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E0B077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BCF83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苏州路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B41497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厦门路—珠海路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50787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CBDCC8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0316D2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0123720">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LED单臂200w+100w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2E14FE9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nil"/>
              <w:right w:val="single" w:color="000000" w:sz="4" w:space="0"/>
            </w:tcBorders>
            <w:noWrap w:val="0"/>
            <w:vAlign w:val="center"/>
          </w:tcPr>
          <w:p w14:paraId="39BE45A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57171D4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nil"/>
              <w:right w:val="single" w:color="000000" w:sz="4" w:space="0"/>
            </w:tcBorders>
            <w:noWrap w:val="0"/>
            <w:vAlign w:val="center"/>
          </w:tcPr>
          <w:p w14:paraId="57768B7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2610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75FC80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9556577">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AA692D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154710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康二路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82BFBF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Style w:val="288"/>
                <w:color w:val="000000" w:themeColor="text1"/>
                <w:highlight w:val="none"/>
                <w:lang w:bidi="ar"/>
                <w14:textFill>
                  <w14:solidFill>
                    <w14:schemeClr w14:val="tx1"/>
                  </w14:solidFill>
                </w14:textFill>
              </w:rPr>
              <w:t>康城路—张海祥</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5B8322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5DD337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93B33A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18ABB0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041BEC5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42FDB29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0D5502A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50969C0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275</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AB5EB7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D162DD4">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048E77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DBEAAF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南昌路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2BA320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C40C80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192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2E6AEA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9684C7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80D96E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6AB39B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1CB0B62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tcBorders>
              <w:top w:val="single" w:color="000000" w:sz="4" w:space="0"/>
              <w:left w:val="nil"/>
              <w:bottom w:val="single" w:color="000000" w:sz="4" w:space="0"/>
              <w:right w:val="single" w:color="000000" w:sz="4" w:space="0"/>
            </w:tcBorders>
            <w:noWrap/>
            <w:vAlign w:val="center"/>
          </w:tcPr>
          <w:p w14:paraId="6E3A05F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A784D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8400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C0CDA2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C1C010B">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540B951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901B2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火车站广场</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531B5C7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火车站广场内</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EE2844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BA5146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A12DD9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4387E1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499EEEC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57511DB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7D2149B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3BF26E5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609</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1ADE748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05BF0CE">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FE0583">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4D8EF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F2792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B1B2E1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E8179A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D6B17A3">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中杆灯+高杆灯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8A18EBC">
            <w:pPr>
              <w:widowControl/>
              <w:spacing w:line="24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LED双臂100w+200w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26F0187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2C11F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7747255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88B24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5069551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BC64C6A">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ign w:val="center"/>
          </w:tcPr>
          <w:p w14:paraId="5111E1D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19</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7F9A91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浦东路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32F8246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台州路-深圳路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4468F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394564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CECBA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D1E3D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LED单臂  100w  </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7158943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496047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01E5937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60FDA0E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4400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6079505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42C116D">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ign w:val="center"/>
          </w:tcPr>
          <w:p w14:paraId="3F5A249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0240F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37D0A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B70EE7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0C572A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5AE774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FC5B93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4B7FB21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A3273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218CDCE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AFF34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2C2BE31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0D106E3">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6F9580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90DDD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深圳小区</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477209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区内道路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593B8F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7CA2B3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DEC6C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9DE14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1174160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80F08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6FACCDA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83526B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452</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E190DA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E636710">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638027E">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13A867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威海小区</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2E9C6B7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区内道路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5C3BB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8DC126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316616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庭院灯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72C520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LED节能灯 40W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3A3E8DA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DC5D32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0BE2020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79ADFF8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888</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2D506F6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63B67A3">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093644">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3EF8C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48A5F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5F53BD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31967F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7016D7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CAB548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4955E9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19BD5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32039EF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01C4F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5C564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6FFC84D">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6AA4B01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0E3D053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山阳小区</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465D72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区内主干道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6A0C1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7DFBE2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99D3DE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大刀臂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77920E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527059D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6D56D37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16926D5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C95BC0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902</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8903AA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25DB0C3">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FBF040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91866D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小康城八区</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0CE9A9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剑兰宾馆后道路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98B618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971314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0C3543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26E9B8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04180B8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ED28A3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28C5647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8A29D4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473</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D7C0DD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E31D6EE">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7EDB232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24</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020A8B2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常州路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1592A6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26B6A4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E11363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C4EA2C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8898DB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3F72180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766AD55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tcBorders>
              <w:top w:val="single" w:color="000000" w:sz="4" w:space="0"/>
              <w:left w:val="nil"/>
              <w:bottom w:val="single" w:color="000000" w:sz="4" w:space="0"/>
              <w:right w:val="single" w:color="000000" w:sz="4" w:space="0"/>
            </w:tcBorders>
            <w:noWrap/>
            <w:vAlign w:val="center"/>
          </w:tcPr>
          <w:p w14:paraId="43AFD8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B26F0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689</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EA3DB7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2DBB7335">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D59387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707CC07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康育路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78A061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机场路-珠海路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481A01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83C685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D9D30A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916863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5A9A158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08E4CF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tcBorders>
              <w:top w:val="single" w:color="000000" w:sz="4" w:space="0"/>
              <w:left w:val="nil"/>
              <w:bottom w:val="single" w:color="000000" w:sz="4" w:space="0"/>
              <w:right w:val="single" w:color="000000" w:sz="4" w:space="0"/>
            </w:tcBorders>
            <w:noWrap/>
            <w:vAlign w:val="center"/>
          </w:tcPr>
          <w:p w14:paraId="4825CAD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0B3029B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2200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2F8FD73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61548BC">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503038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402EE1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康乐路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1302B4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康城路-珠海路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9E9C4F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CD0CFC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86047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D4CB34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3E18A0F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2EBB819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0E4A920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00C64B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292</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57587F2">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VV4*16mm²</w:t>
            </w:r>
          </w:p>
        </w:tc>
      </w:tr>
      <w:tr w14:paraId="124BB942">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nil"/>
              <w:right w:val="single" w:color="000000" w:sz="4" w:space="0"/>
            </w:tcBorders>
            <w:noWrap w:val="0"/>
            <w:vAlign w:val="center"/>
          </w:tcPr>
          <w:p w14:paraId="2E0A145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400" w:type="pct"/>
            <w:vMerge w:val="restart"/>
            <w:tcBorders>
              <w:top w:val="single" w:color="000000" w:sz="4" w:space="0"/>
              <w:left w:val="single" w:color="000000" w:sz="4" w:space="0"/>
              <w:bottom w:val="nil"/>
              <w:right w:val="single" w:color="000000" w:sz="4" w:space="0"/>
            </w:tcBorders>
            <w:noWrap w:val="0"/>
            <w:vAlign w:val="center"/>
          </w:tcPr>
          <w:p w14:paraId="0725480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康城路</w:t>
            </w:r>
          </w:p>
        </w:tc>
        <w:tc>
          <w:tcPr>
            <w:tcW w:w="713" w:type="pct"/>
            <w:vMerge w:val="restart"/>
            <w:tcBorders>
              <w:top w:val="single" w:color="000000" w:sz="4" w:space="0"/>
              <w:left w:val="single" w:color="000000" w:sz="4" w:space="0"/>
              <w:bottom w:val="nil"/>
              <w:right w:val="single" w:color="000000" w:sz="4" w:space="0"/>
            </w:tcBorders>
            <w:noWrap w:val="0"/>
            <w:vAlign w:val="center"/>
          </w:tcPr>
          <w:p w14:paraId="36703A7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济南路-翔宇大道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F76B10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EED4CC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E40079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F69506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5F931BB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2315A4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44E72C3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79BE9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3200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6BBD0A41">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VV4*16mm²</w:t>
            </w:r>
          </w:p>
        </w:tc>
      </w:tr>
      <w:tr w14:paraId="66D8C87A">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nil"/>
              <w:right w:val="single" w:color="000000" w:sz="4" w:space="0"/>
            </w:tcBorders>
            <w:noWrap w:val="0"/>
            <w:vAlign w:val="center"/>
          </w:tcPr>
          <w:p w14:paraId="5383C93C">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nil"/>
              <w:right w:val="single" w:color="000000" w:sz="4" w:space="0"/>
            </w:tcBorders>
            <w:noWrap w:val="0"/>
            <w:vAlign w:val="center"/>
          </w:tcPr>
          <w:p w14:paraId="401EB02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nil"/>
              <w:right w:val="single" w:color="000000" w:sz="4" w:space="0"/>
            </w:tcBorders>
            <w:noWrap w:val="0"/>
            <w:vAlign w:val="center"/>
          </w:tcPr>
          <w:p w14:paraId="50E7624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625107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C7F906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DC6572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85C1D0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LED单臂+双臂150W+100W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6AD2F1C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C5984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3C7FECB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DC0F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2B0CAC8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86FB96E">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D0706E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61850F6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宁连路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64EEC01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铁路涵洞-翔宇大道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57C479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6182B4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C02F0D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CA16F3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restart"/>
            <w:tcBorders>
              <w:top w:val="single" w:color="000000" w:sz="4" w:space="0"/>
              <w:left w:val="single" w:color="000000" w:sz="4" w:space="0"/>
              <w:bottom w:val="single" w:color="000000" w:sz="4" w:space="0"/>
              <w:right w:val="nil"/>
            </w:tcBorders>
            <w:noWrap/>
            <w:vAlign w:val="center"/>
          </w:tcPr>
          <w:p w14:paraId="1D2202D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F39F0E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nil"/>
            </w:tcBorders>
            <w:noWrap/>
            <w:vAlign w:val="center"/>
          </w:tcPr>
          <w:p w14:paraId="395D94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single" w:color="000000" w:sz="4" w:space="0"/>
              <w:bottom w:val="single" w:color="000000" w:sz="4" w:space="0"/>
              <w:right w:val="single" w:color="000000" w:sz="4" w:space="0"/>
            </w:tcBorders>
            <w:noWrap w:val="0"/>
            <w:vAlign w:val="center"/>
          </w:tcPr>
          <w:p w14:paraId="491812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7600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538F432A">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74D960E">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0D122E">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4ED07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9057D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A78B14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CC7CD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00FB1D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04B846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continue"/>
            <w:tcBorders>
              <w:top w:val="single" w:color="000000" w:sz="4" w:space="0"/>
              <w:left w:val="single" w:color="000000" w:sz="4" w:space="0"/>
              <w:bottom w:val="single" w:color="000000" w:sz="4" w:space="0"/>
              <w:right w:val="nil"/>
            </w:tcBorders>
            <w:noWrap/>
            <w:vAlign w:val="center"/>
          </w:tcPr>
          <w:p w14:paraId="4177987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6A0A5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nil"/>
            </w:tcBorders>
            <w:noWrap/>
            <w:vAlign w:val="center"/>
          </w:tcPr>
          <w:p w14:paraId="078EA2D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378A2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27228C8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C6B0BB0">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9198771">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29</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E8AE12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黄元路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3B4136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黄元小区-宁连路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5BFF5F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FB43B8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9AFF25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468635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95w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7C52E36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3769AF5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tcBorders>
              <w:top w:val="single" w:color="000000" w:sz="4" w:space="0"/>
              <w:left w:val="nil"/>
              <w:bottom w:val="single" w:color="000000" w:sz="4" w:space="0"/>
              <w:right w:val="single" w:color="000000" w:sz="4" w:space="0"/>
            </w:tcBorders>
            <w:noWrap/>
            <w:vAlign w:val="center"/>
          </w:tcPr>
          <w:p w14:paraId="147A9D0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8E9DC9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2920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166ED08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C98B601">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ign w:val="center"/>
          </w:tcPr>
          <w:p w14:paraId="1DDE48B9">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AE9152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三亚路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4A03D65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汕头路-翔宇大道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6E029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5AC6D0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D43277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FEBC7A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2EEE61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nil"/>
              <w:bottom w:val="single" w:color="000000" w:sz="4" w:space="0"/>
              <w:right w:val="nil"/>
            </w:tcBorders>
            <w:noWrap w:val="0"/>
            <w:vAlign w:val="center"/>
          </w:tcPr>
          <w:p w14:paraId="5655753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0EBE6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542" w:type="pct"/>
            <w:vMerge w:val="restart"/>
            <w:tcBorders>
              <w:top w:val="single" w:color="000000" w:sz="4" w:space="0"/>
              <w:left w:val="nil"/>
              <w:bottom w:val="single" w:color="000000" w:sz="4" w:space="0"/>
              <w:right w:val="single" w:color="000000" w:sz="4" w:space="0"/>
            </w:tcBorders>
            <w:noWrap w:val="0"/>
            <w:vAlign w:val="center"/>
          </w:tcPr>
          <w:p w14:paraId="68F52AB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5000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397CC4E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A244EA3">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ign w:val="center"/>
          </w:tcPr>
          <w:p w14:paraId="38C74AF9">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A2BB5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2F0CD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AFDD94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87BB2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D65191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1EF3D6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1EB7D8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nil"/>
            </w:tcBorders>
            <w:noWrap w:val="0"/>
            <w:vAlign w:val="center"/>
          </w:tcPr>
          <w:p w14:paraId="303362C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3653A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5DB4C44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6CAA234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D47C7FB">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ign w:val="center"/>
          </w:tcPr>
          <w:p w14:paraId="3E2E2BC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90F0A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898DF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88422E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5A9682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1F4953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12A1C0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95w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4D3564E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nil"/>
            </w:tcBorders>
            <w:noWrap w:val="0"/>
            <w:vAlign w:val="center"/>
          </w:tcPr>
          <w:p w14:paraId="350733E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4C27D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594CE46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2900F29D">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1C23A63">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4A77B0A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5D1C43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机场路小区</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6784723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小区内部道路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52EBC5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ADF26C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4CA32B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540DA09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3F345FF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2036BAC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306D96A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539199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659</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3DC8A18">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58059AD">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98DF94">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DE64C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6CBD9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966D9F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C1BD62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D989D2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大刀臂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A35D5F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2C14ECB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1E7FC19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6139DD4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7BD9240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726F47A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9C8155F">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548BE64">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AA4870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鼎立大酒店内西路</w:t>
            </w:r>
          </w:p>
        </w:tc>
        <w:tc>
          <w:tcPr>
            <w:tcW w:w="713" w:type="pct"/>
            <w:tcBorders>
              <w:top w:val="single" w:color="000000" w:sz="4" w:space="0"/>
              <w:left w:val="single" w:color="000000" w:sz="4" w:space="0"/>
              <w:bottom w:val="nil"/>
              <w:right w:val="single" w:color="000000" w:sz="4" w:space="0"/>
            </w:tcBorders>
            <w:noWrap w:val="0"/>
            <w:vAlign w:val="center"/>
          </w:tcPr>
          <w:p w14:paraId="35D65E21">
            <w:pPr>
              <w:widowControl/>
              <w:spacing w:line="280" w:lineRule="exact"/>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厦门路-威海路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02513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34A0FB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A9A11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中华灯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45BB3D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50w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094ACF8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7962EA7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377A7AF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6D64E22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495</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1D57A35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3990FFD">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067EB207">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33</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602DA9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鼎立大酒店内东路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0F4F006">
            <w:pPr>
              <w:widowControl/>
              <w:spacing w:line="280" w:lineRule="exact"/>
              <w:jc w:val="left"/>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厦门路-威海路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FDE70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26E774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42430F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35DED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LED单臂100w </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58E3E32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18DBA8B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ign w:val="center"/>
          </w:tcPr>
          <w:p w14:paraId="39F0301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17848B7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330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2340D44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62DBCBE">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nil"/>
              <w:right w:val="single" w:color="000000" w:sz="4" w:space="0"/>
            </w:tcBorders>
            <w:noWrap w:val="0"/>
            <w:vAlign w:val="center"/>
          </w:tcPr>
          <w:p w14:paraId="4AD4A3EC">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34</w:t>
            </w:r>
          </w:p>
        </w:tc>
        <w:tc>
          <w:tcPr>
            <w:tcW w:w="400" w:type="pct"/>
            <w:vMerge w:val="restart"/>
            <w:tcBorders>
              <w:top w:val="single" w:color="000000" w:sz="4" w:space="0"/>
              <w:left w:val="single" w:color="000000" w:sz="4" w:space="0"/>
              <w:bottom w:val="nil"/>
              <w:right w:val="single" w:color="000000" w:sz="4" w:space="0"/>
            </w:tcBorders>
            <w:noWrap w:val="0"/>
            <w:vAlign w:val="center"/>
          </w:tcPr>
          <w:p w14:paraId="4CC0C5B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新村中心街</w:t>
            </w:r>
          </w:p>
        </w:tc>
        <w:tc>
          <w:tcPr>
            <w:tcW w:w="713" w:type="pct"/>
            <w:vMerge w:val="restart"/>
            <w:tcBorders>
              <w:top w:val="single" w:color="000000" w:sz="4" w:space="0"/>
              <w:left w:val="single" w:color="000000" w:sz="4" w:space="0"/>
              <w:bottom w:val="nil"/>
              <w:right w:val="single" w:color="000000" w:sz="4" w:space="0"/>
            </w:tcBorders>
            <w:noWrap w:val="0"/>
            <w:vAlign w:val="center"/>
          </w:tcPr>
          <w:p w14:paraId="553CFB3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新村居委会内</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269EC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31F638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C45F8D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3E1A82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LED单臂  100w  </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70915AD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20EC067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639B1A4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DF4036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479</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324C6DB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1B6D63E">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nil"/>
              <w:right w:val="single" w:color="000000" w:sz="4" w:space="0"/>
            </w:tcBorders>
            <w:noWrap w:val="0"/>
            <w:vAlign w:val="center"/>
          </w:tcPr>
          <w:p w14:paraId="764F923E">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nil"/>
              <w:right w:val="single" w:color="000000" w:sz="4" w:space="0"/>
            </w:tcBorders>
            <w:noWrap w:val="0"/>
            <w:vAlign w:val="center"/>
          </w:tcPr>
          <w:p w14:paraId="39F9021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nil"/>
              <w:right w:val="single" w:color="000000" w:sz="4" w:space="0"/>
            </w:tcBorders>
            <w:noWrap w:val="0"/>
            <w:vAlign w:val="center"/>
          </w:tcPr>
          <w:p w14:paraId="3DD0A54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7432E8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EC9FD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42BAC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大刀臂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A57B9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LED单臂  100w  </w:t>
            </w:r>
          </w:p>
        </w:tc>
        <w:tc>
          <w:tcPr>
            <w:tcW w:w="288" w:type="pct"/>
            <w:tcBorders>
              <w:top w:val="single" w:color="000000" w:sz="4" w:space="0"/>
              <w:left w:val="single" w:color="000000" w:sz="4" w:space="0"/>
              <w:bottom w:val="nil"/>
              <w:right w:val="single" w:color="000000" w:sz="4" w:space="0"/>
            </w:tcBorders>
            <w:noWrap/>
            <w:vAlign w:val="center"/>
          </w:tcPr>
          <w:p w14:paraId="3AD945D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nil"/>
              <w:right w:val="single" w:color="000000" w:sz="4" w:space="0"/>
            </w:tcBorders>
            <w:noWrap/>
            <w:vAlign w:val="center"/>
          </w:tcPr>
          <w:p w14:paraId="7F54D7F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nil"/>
              <w:right w:val="single" w:color="000000" w:sz="4" w:space="0"/>
            </w:tcBorders>
            <w:noWrap/>
            <w:vAlign w:val="center"/>
          </w:tcPr>
          <w:p w14:paraId="0EF8DEE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nil"/>
              <w:bottom w:val="nil"/>
              <w:right w:val="single" w:color="000000" w:sz="4" w:space="0"/>
            </w:tcBorders>
            <w:noWrap w:val="0"/>
            <w:vAlign w:val="center"/>
          </w:tcPr>
          <w:p w14:paraId="4BD888C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tcBorders>
              <w:top w:val="single" w:color="000000" w:sz="4" w:space="0"/>
              <w:left w:val="single" w:color="000000" w:sz="4" w:space="0"/>
              <w:bottom w:val="nil"/>
              <w:right w:val="single" w:color="000000" w:sz="4" w:space="0"/>
            </w:tcBorders>
            <w:noWrap/>
            <w:vAlign w:val="center"/>
          </w:tcPr>
          <w:p w14:paraId="094C00C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804DAFF">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268B81BD">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35</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5973B41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大连路延伸</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4AAABB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南京路-汕头路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05A7D9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D591E7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986BE6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503957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100W+100W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399EE23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nil"/>
              <w:bottom w:val="single" w:color="000000" w:sz="4" w:space="0"/>
              <w:right w:val="single" w:color="000000" w:sz="4" w:space="0"/>
            </w:tcBorders>
            <w:noWrap w:val="0"/>
            <w:vAlign w:val="center"/>
          </w:tcPr>
          <w:p w14:paraId="0E3ECBE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48AD047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nil"/>
              <w:bottom w:val="single" w:color="000000" w:sz="4" w:space="0"/>
              <w:right w:val="single" w:color="000000" w:sz="4" w:space="0"/>
            </w:tcBorders>
            <w:noWrap w:val="0"/>
            <w:vAlign w:val="center"/>
          </w:tcPr>
          <w:p w14:paraId="3DD45DC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479</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64065AA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C1FBDFF">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CCC6D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17011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ADEB6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E6121E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22F016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09AD4E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09B23F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LED单臂50w  </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7E63019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32B0B69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4F49D0E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428367B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1E3A749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4E7BCD1">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E56C6D">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5E20C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F5C2D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B4E72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EA4CAF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A8C51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ED93AE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497D8F1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5710075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7B11CA5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508DBCE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40D415A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54CBBF3">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09625B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36</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0EF429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武汉路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4FE81C5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汕头路-迎宾大道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B6A20A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022278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4D99C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190730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3C99CBD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nil"/>
              <w:bottom w:val="single" w:color="000000" w:sz="4" w:space="0"/>
              <w:right w:val="single" w:color="000000" w:sz="4" w:space="0"/>
            </w:tcBorders>
            <w:noWrap w:val="0"/>
            <w:vAlign w:val="center"/>
          </w:tcPr>
          <w:p w14:paraId="52A96BA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47DEF63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nil"/>
              <w:bottom w:val="single" w:color="000000" w:sz="4" w:space="0"/>
              <w:right w:val="single" w:color="000000" w:sz="4" w:space="0"/>
            </w:tcBorders>
            <w:noWrap w:val="0"/>
            <w:vAlign w:val="center"/>
          </w:tcPr>
          <w:p w14:paraId="33D8A0E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5859</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39D2D525">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VV4*6mm²</w:t>
            </w:r>
          </w:p>
        </w:tc>
      </w:tr>
      <w:tr w14:paraId="53628284">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C3FB02">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DC97A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3AF3D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9218AC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75D3E8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28C8F7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B0E11D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200W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296AD66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6F2426C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3073D6D2">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03B87F8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1C0443B3">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83E0057">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501B733">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37</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2504C13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依水路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54D900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青岛路-厦门路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D40777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3C723D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0DCF8B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0A5144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3B37033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72D7978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70639E2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CC5C9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5420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A8B895A">
            <w:pPr>
              <w:spacing w:line="28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VV4*6mm²</w:t>
            </w:r>
          </w:p>
        </w:tc>
      </w:tr>
      <w:tr w14:paraId="455D0086">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12A1EB0B">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38</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6A7C0F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马庄小区</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E3058D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小区内部道路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41B5B4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A7BC56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1EE3ED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4A39B4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14ACA1B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32F3BD3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39CB87C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63F95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314</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49B0F31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E9581CB">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729559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39</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3460966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汇云路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2ADF666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三亚路以南</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C06D4D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02616F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AA093C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9924C0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0F95E5D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106B856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0AA2C85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799F69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450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573153F4">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BB3A33A">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nil"/>
              <w:right w:val="single" w:color="000000" w:sz="4" w:space="0"/>
            </w:tcBorders>
            <w:noWrap w:val="0"/>
            <w:vAlign w:val="center"/>
          </w:tcPr>
          <w:p w14:paraId="31C17F5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40</w:t>
            </w:r>
          </w:p>
        </w:tc>
        <w:tc>
          <w:tcPr>
            <w:tcW w:w="400" w:type="pct"/>
            <w:vMerge w:val="restart"/>
            <w:tcBorders>
              <w:top w:val="single" w:color="000000" w:sz="4" w:space="0"/>
              <w:left w:val="single" w:color="000000" w:sz="4" w:space="0"/>
              <w:bottom w:val="nil"/>
              <w:right w:val="single" w:color="000000" w:sz="4" w:space="0"/>
            </w:tcBorders>
            <w:noWrap w:val="0"/>
            <w:vAlign w:val="center"/>
          </w:tcPr>
          <w:p w14:paraId="43D9F8D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台州路</w:t>
            </w:r>
          </w:p>
        </w:tc>
        <w:tc>
          <w:tcPr>
            <w:tcW w:w="713" w:type="pct"/>
            <w:vMerge w:val="restart"/>
            <w:tcBorders>
              <w:top w:val="single" w:color="000000" w:sz="4" w:space="0"/>
              <w:left w:val="single" w:color="000000" w:sz="4" w:space="0"/>
              <w:bottom w:val="nil"/>
              <w:right w:val="single" w:color="000000" w:sz="4" w:space="0"/>
            </w:tcBorders>
            <w:noWrap w:val="0"/>
            <w:vAlign w:val="center"/>
          </w:tcPr>
          <w:p w14:paraId="343B276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合肥路-翔宇大道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C8DB9E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6F96E1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2DE7B8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10068E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100W+200W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2DFA72B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nil"/>
              <w:bottom w:val="single" w:color="000000" w:sz="4" w:space="0"/>
              <w:right w:val="single" w:color="000000" w:sz="4" w:space="0"/>
            </w:tcBorders>
            <w:noWrap/>
            <w:vAlign w:val="center"/>
          </w:tcPr>
          <w:p w14:paraId="13B5376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494B705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nil"/>
              <w:bottom w:val="single" w:color="000000" w:sz="4" w:space="0"/>
              <w:right w:val="single" w:color="000000" w:sz="4" w:space="0"/>
            </w:tcBorders>
            <w:noWrap w:val="0"/>
            <w:vAlign w:val="center"/>
          </w:tcPr>
          <w:p w14:paraId="20DC95C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740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2364E15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36937FD">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nil"/>
              <w:right w:val="single" w:color="000000" w:sz="4" w:space="0"/>
            </w:tcBorders>
            <w:noWrap w:val="0"/>
            <w:vAlign w:val="center"/>
          </w:tcPr>
          <w:p w14:paraId="1A096BF0">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nil"/>
              <w:right w:val="single" w:color="000000" w:sz="4" w:space="0"/>
            </w:tcBorders>
            <w:noWrap w:val="0"/>
            <w:vAlign w:val="center"/>
          </w:tcPr>
          <w:p w14:paraId="36D27AE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nil"/>
              <w:right w:val="single" w:color="000000" w:sz="4" w:space="0"/>
            </w:tcBorders>
            <w:noWrap w:val="0"/>
            <w:vAlign w:val="center"/>
          </w:tcPr>
          <w:p w14:paraId="3E85671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15B3B6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10F5B4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EC7BCE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F028A8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6C04511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1B99745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40557E9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4FCE6E6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3115F815">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C75F6A0">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04C2FD20">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41</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3CE4EF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汕头小区</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2D076AE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小区内部道路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EF6011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9D18D9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A650C2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大刀臂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D3535B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3432101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restart"/>
            <w:tcBorders>
              <w:top w:val="single" w:color="000000" w:sz="4" w:space="0"/>
              <w:left w:val="nil"/>
              <w:bottom w:val="single" w:color="000000" w:sz="4" w:space="0"/>
              <w:right w:val="single" w:color="000000" w:sz="4" w:space="0"/>
            </w:tcBorders>
            <w:noWrap/>
            <w:vAlign w:val="center"/>
          </w:tcPr>
          <w:p w14:paraId="333777A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1F978E3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nil"/>
              <w:bottom w:val="single" w:color="000000" w:sz="4" w:space="0"/>
              <w:right w:val="single" w:color="000000" w:sz="4" w:space="0"/>
            </w:tcBorders>
            <w:noWrap w:val="0"/>
            <w:vAlign w:val="center"/>
          </w:tcPr>
          <w:p w14:paraId="3C179D1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5720</w:t>
            </w:r>
          </w:p>
        </w:tc>
        <w:tc>
          <w:tcPr>
            <w:tcW w:w="410" w:type="pct"/>
            <w:vMerge w:val="restart"/>
            <w:tcBorders>
              <w:top w:val="single" w:color="000000" w:sz="4" w:space="0"/>
              <w:left w:val="single" w:color="000000" w:sz="4" w:space="0"/>
              <w:bottom w:val="single" w:color="000000" w:sz="4" w:space="0"/>
              <w:right w:val="single" w:color="000000" w:sz="4" w:space="0"/>
            </w:tcBorders>
            <w:noWrap w:val="0"/>
            <w:vAlign w:val="center"/>
          </w:tcPr>
          <w:p w14:paraId="38939AB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814D718">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E91998">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3CCD1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A2060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0C34DE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785153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76B859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214887F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5E6B343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4A561A2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77AC8BA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702C9FB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F60B3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7323F82">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43363CF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42</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160D076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山前小区</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4ED0DC3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小区内部道路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C64E2D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29F0DF5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5C5A6B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大刀臂</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479013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183EA9B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44073EC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20C0229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323AA4A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780</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5FAF89D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E40CB92">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1559125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43</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778F153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兴南路</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1D6BE22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福州路-合肥路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CAAB97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783CD6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9</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167B54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1B088F0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2807DF4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p>
        </w:tc>
        <w:tc>
          <w:tcPr>
            <w:tcW w:w="602" w:type="pct"/>
            <w:vMerge w:val="restart"/>
            <w:tcBorders>
              <w:top w:val="single" w:color="000000" w:sz="4" w:space="0"/>
              <w:left w:val="nil"/>
              <w:bottom w:val="single" w:color="000000" w:sz="4" w:space="0"/>
              <w:right w:val="single" w:color="000000" w:sz="4" w:space="0"/>
            </w:tcBorders>
            <w:noWrap/>
            <w:vAlign w:val="center"/>
          </w:tcPr>
          <w:p w14:paraId="2434200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restart"/>
            <w:tcBorders>
              <w:top w:val="single" w:color="000000" w:sz="4" w:space="0"/>
              <w:left w:val="nil"/>
              <w:bottom w:val="single" w:color="000000" w:sz="4" w:space="0"/>
              <w:right w:val="single" w:color="000000" w:sz="4" w:space="0"/>
            </w:tcBorders>
            <w:noWrap/>
            <w:vAlign w:val="center"/>
          </w:tcPr>
          <w:p w14:paraId="29FEF4D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restart"/>
            <w:tcBorders>
              <w:top w:val="single" w:color="000000" w:sz="4" w:space="0"/>
              <w:left w:val="nil"/>
              <w:bottom w:val="single" w:color="000000" w:sz="4" w:space="0"/>
              <w:right w:val="single" w:color="000000" w:sz="4" w:space="0"/>
            </w:tcBorders>
            <w:noWrap w:val="0"/>
            <w:vAlign w:val="center"/>
          </w:tcPr>
          <w:p w14:paraId="334B115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323</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3381AEB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87C8B29">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48CD7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34111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896FD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4AE1D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B6CB06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B9ACEB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0A97DD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CB5A5B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47445FA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7BA3FAD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10590F8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0AFC45B7">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72A7786D">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nil"/>
              <w:right w:val="single" w:color="000000" w:sz="4" w:space="0"/>
            </w:tcBorders>
            <w:noWrap w:val="0"/>
            <w:vAlign w:val="center"/>
          </w:tcPr>
          <w:p w14:paraId="7968E3F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44</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237DF4C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合育路</w:t>
            </w:r>
          </w:p>
        </w:tc>
        <w:tc>
          <w:tcPr>
            <w:tcW w:w="713" w:type="pct"/>
            <w:vMerge w:val="restart"/>
            <w:tcBorders>
              <w:top w:val="single" w:color="000000" w:sz="4" w:space="0"/>
              <w:left w:val="single" w:color="000000" w:sz="4" w:space="0"/>
              <w:bottom w:val="nil"/>
              <w:right w:val="single" w:color="000000" w:sz="4" w:space="0"/>
            </w:tcBorders>
            <w:noWrap w:val="0"/>
            <w:vAlign w:val="center"/>
          </w:tcPr>
          <w:p w14:paraId="39CB755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黄元路-韩泰路</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4E09EA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F32878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3AC054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366FBE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5E1008F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000000" w:sz="4" w:space="0"/>
              <w:left w:val="nil"/>
              <w:bottom w:val="single" w:color="000000" w:sz="4" w:space="0"/>
              <w:right w:val="single" w:color="000000" w:sz="4" w:space="0"/>
            </w:tcBorders>
            <w:noWrap w:val="0"/>
            <w:vAlign w:val="center"/>
          </w:tcPr>
          <w:p w14:paraId="7E47514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737B653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000000" w:sz="4" w:space="0"/>
              <w:left w:val="nil"/>
              <w:bottom w:val="single" w:color="000000" w:sz="4" w:space="0"/>
              <w:right w:val="single" w:color="000000" w:sz="4" w:space="0"/>
            </w:tcBorders>
            <w:noWrap w:val="0"/>
            <w:vAlign w:val="center"/>
          </w:tcPr>
          <w:p w14:paraId="7AA7BF2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4741</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50308A6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0EB7E0B7">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nil"/>
              <w:right w:val="single" w:color="000000" w:sz="4" w:space="0"/>
            </w:tcBorders>
            <w:noWrap w:val="0"/>
            <w:vAlign w:val="center"/>
          </w:tcPr>
          <w:p w14:paraId="3E3EAEAB">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9A7D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nil"/>
              <w:right w:val="single" w:color="000000" w:sz="4" w:space="0"/>
            </w:tcBorders>
            <w:noWrap w:val="0"/>
            <w:vAlign w:val="center"/>
          </w:tcPr>
          <w:p w14:paraId="347171D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610A8B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102C08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9FE0CC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16DF1A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19CF91C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185E169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4CB2BD0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0355505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5A45FA6B">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6DB0745">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nil"/>
              <w:right w:val="single" w:color="000000" w:sz="4" w:space="0"/>
            </w:tcBorders>
            <w:noWrap w:val="0"/>
            <w:vAlign w:val="center"/>
          </w:tcPr>
          <w:p w14:paraId="274D6D98">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8A882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nil"/>
              <w:right w:val="single" w:color="000000" w:sz="4" w:space="0"/>
            </w:tcBorders>
            <w:noWrap w:val="0"/>
            <w:vAlign w:val="center"/>
          </w:tcPr>
          <w:p w14:paraId="1321B70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256CB9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653B9E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108A7F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AC28AF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009F3E9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7CCA292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2818B86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74AA508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4E5FAE39">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A4E2A63">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single" w:color="000000" w:sz="4" w:space="0"/>
              <w:right w:val="single" w:color="000000" w:sz="4" w:space="0"/>
            </w:tcBorders>
            <w:noWrap w:val="0"/>
            <w:vAlign w:val="center"/>
          </w:tcPr>
          <w:p w14:paraId="3A448098">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45</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185AED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香岸路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D150FF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大连路-迎宾大道</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C8661C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C1747D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799078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A9298F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25305EC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nil"/>
              <w:bottom w:val="single" w:color="000000" w:sz="4" w:space="0"/>
              <w:right w:val="single" w:color="000000" w:sz="4" w:space="0"/>
            </w:tcBorders>
            <w:noWrap/>
            <w:vAlign w:val="center"/>
          </w:tcPr>
          <w:p w14:paraId="5E175BC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nil"/>
              <w:bottom w:val="single" w:color="000000" w:sz="4" w:space="0"/>
              <w:right w:val="single" w:color="000000" w:sz="4" w:space="0"/>
            </w:tcBorders>
            <w:noWrap/>
            <w:vAlign w:val="center"/>
          </w:tcPr>
          <w:p w14:paraId="6B0C92D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4254382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391</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6102897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18DB6869">
        <w:tblPrEx>
          <w:tblCellMar>
            <w:top w:w="0" w:type="dxa"/>
            <w:left w:w="108" w:type="dxa"/>
            <w:bottom w:w="0" w:type="dxa"/>
            <w:right w:w="108" w:type="dxa"/>
          </w:tblCellMar>
        </w:tblPrEx>
        <w:trPr>
          <w:trHeight w:val="23" w:hRule="atLeast"/>
          <w:jc w:val="center"/>
        </w:trPr>
        <w:tc>
          <w:tcPr>
            <w:tcW w:w="166" w:type="pct"/>
            <w:tcBorders>
              <w:top w:val="single" w:color="000000" w:sz="4" w:space="0"/>
              <w:left w:val="single" w:color="000000" w:sz="4" w:space="0"/>
              <w:bottom w:val="nil"/>
              <w:right w:val="single" w:color="000000" w:sz="4" w:space="0"/>
            </w:tcBorders>
            <w:noWrap w:val="0"/>
            <w:vAlign w:val="center"/>
          </w:tcPr>
          <w:p w14:paraId="2FD80C8A">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46</w:t>
            </w:r>
          </w:p>
        </w:tc>
        <w:tc>
          <w:tcPr>
            <w:tcW w:w="400" w:type="pct"/>
            <w:tcBorders>
              <w:top w:val="single" w:color="000000" w:sz="4" w:space="0"/>
              <w:left w:val="single" w:color="000000" w:sz="4" w:space="0"/>
              <w:bottom w:val="single" w:color="000000" w:sz="4" w:space="0"/>
              <w:right w:val="single" w:color="000000" w:sz="4" w:space="0"/>
            </w:tcBorders>
            <w:noWrap w:val="0"/>
            <w:vAlign w:val="center"/>
          </w:tcPr>
          <w:p w14:paraId="5357CAC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月牙路</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DF6187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三亚路-大连路延伸</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886A88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61C2273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12</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FB53E5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120EFE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tcBorders>
              <w:top w:val="single" w:color="000000" w:sz="4" w:space="0"/>
              <w:left w:val="single" w:color="000000" w:sz="4" w:space="0"/>
              <w:bottom w:val="single" w:color="000000" w:sz="4" w:space="0"/>
              <w:right w:val="single" w:color="000000" w:sz="4" w:space="0"/>
            </w:tcBorders>
            <w:noWrap w:val="0"/>
            <w:vAlign w:val="center"/>
          </w:tcPr>
          <w:p w14:paraId="480DB88D">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tcBorders>
              <w:top w:val="single" w:color="000000" w:sz="4" w:space="0"/>
              <w:left w:val="single" w:color="000000" w:sz="4" w:space="0"/>
              <w:bottom w:val="single" w:color="000000" w:sz="4" w:space="0"/>
              <w:right w:val="single" w:color="000000" w:sz="4" w:space="0"/>
            </w:tcBorders>
            <w:noWrap w:val="0"/>
            <w:vAlign w:val="center"/>
          </w:tcPr>
          <w:p w14:paraId="68E5FAC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DEF2B57">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tcBorders>
              <w:top w:val="single" w:color="000000" w:sz="4" w:space="0"/>
              <w:left w:val="single" w:color="000000" w:sz="4" w:space="0"/>
              <w:bottom w:val="single" w:color="000000" w:sz="4" w:space="0"/>
              <w:right w:val="single" w:color="000000" w:sz="4" w:space="0"/>
            </w:tcBorders>
            <w:noWrap w:val="0"/>
            <w:vAlign w:val="center"/>
          </w:tcPr>
          <w:p w14:paraId="294BC51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5200</w:t>
            </w:r>
          </w:p>
        </w:tc>
        <w:tc>
          <w:tcPr>
            <w:tcW w:w="410" w:type="pct"/>
            <w:tcBorders>
              <w:top w:val="single" w:color="000000" w:sz="4" w:space="0"/>
              <w:left w:val="single" w:color="000000" w:sz="4" w:space="0"/>
              <w:bottom w:val="single" w:color="000000" w:sz="4" w:space="0"/>
              <w:right w:val="single" w:color="000000" w:sz="4" w:space="0"/>
            </w:tcBorders>
            <w:noWrap w:val="0"/>
            <w:vAlign w:val="center"/>
          </w:tcPr>
          <w:p w14:paraId="01414B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新增</w:t>
            </w:r>
          </w:p>
        </w:tc>
      </w:tr>
      <w:tr w14:paraId="130DA2BA">
        <w:tblPrEx>
          <w:tblCellMar>
            <w:top w:w="0" w:type="dxa"/>
            <w:left w:w="108" w:type="dxa"/>
            <w:bottom w:w="0" w:type="dxa"/>
            <w:right w:w="108" w:type="dxa"/>
          </w:tblCellMar>
        </w:tblPrEx>
        <w:trPr>
          <w:trHeight w:val="23" w:hRule="atLeast"/>
          <w:jc w:val="center"/>
        </w:trPr>
        <w:tc>
          <w:tcPr>
            <w:tcW w:w="166" w:type="pct"/>
            <w:vMerge w:val="restart"/>
            <w:tcBorders>
              <w:top w:val="single" w:color="000000" w:sz="4" w:space="0"/>
              <w:left w:val="single" w:color="000000" w:sz="4" w:space="0"/>
              <w:bottom w:val="single" w:color="000000" w:sz="4" w:space="0"/>
              <w:right w:val="single" w:color="000000" w:sz="4" w:space="0"/>
            </w:tcBorders>
            <w:noWrap w:val="0"/>
            <w:vAlign w:val="center"/>
          </w:tcPr>
          <w:p w14:paraId="6CE76D12">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47</w:t>
            </w:r>
          </w:p>
        </w:tc>
        <w:tc>
          <w:tcPr>
            <w:tcW w:w="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639521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迎宾大道高架</w:t>
            </w:r>
          </w:p>
        </w:tc>
        <w:tc>
          <w:tcPr>
            <w:tcW w:w="713" w:type="pct"/>
            <w:vMerge w:val="restart"/>
            <w:tcBorders>
              <w:top w:val="single" w:color="000000" w:sz="4" w:space="0"/>
              <w:left w:val="single" w:color="000000" w:sz="4" w:space="0"/>
              <w:bottom w:val="single" w:color="000000" w:sz="4" w:space="0"/>
              <w:right w:val="single" w:color="000000" w:sz="4" w:space="0"/>
            </w:tcBorders>
            <w:noWrap w:val="0"/>
            <w:vAlign w:val="center"/>
          </w:tcPr>
          <w:p w14:paraId="1486070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宁连路高架-迎宾高架</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8FB5F9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7AEDAA2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321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04FF02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吸顶灯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6AF64E9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restart"/>
            <w:tcBorders>
              <w:top w:val="single" w:color="000000" w:sz="4" w:space="0"/>
              <w:left w:val="single" w:color="000000" w:sz="4" w:space="0"/>
              <w:bottom w:val="single" w:color="000000" w:sz="4" w:space="0"/>
              <w:right w:val="single" w:color="000000" w:sz="4" w:space="0"/>
            </w:tcBorders>
            <w:noWrap/>
            <w:vAlign w:val="center"/>
          </w:tcPr>
          <w:p w14:paraId="097715C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602" w:type="pct"/>
            <w:vMerge w:val="restart"/>
            <w:tcBorders>
              <w:top w:val="single" w:color="000000" w:sz="4" w:space="0"/>
              <w:left w:val="nil"/>
              <w:bottom w:val="single" w:color="000000" w:sz="4" w:space="0"/>
              <w:right w:val="single" w:color="000000" w:sz="4" w:space="0"/>
            </w:tcBorders>
            <w:noWrap w:val="0"/>
            <w:vAlign w:val="center"/>
          </w:tcPr>
          <w:p w14:paraId="7467D09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000000" w:sz="4" w:space="0"/>
              <w:left w:val="nil"/>
              <w:bottom w:val="single" w:color="000000" w:sz="4" w:space="0"/>
              <w:right w:val="single" w:color="000000" w:sz="4" w:space="0"/>
            </w:tcBorders>
            <w:noWrap/>
            <w:vAlign w:val="center"/>
          </w:tcPr>
          <w:p w14:paraId="5B02EAB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w:t>
            </w:r>
          </w:p>
        </w:tc>
        <w:tc>
          <w:tcPr>
            <w:tcW w:w="542" w:type="pct"/>
            <w:vMerge w:val="restart"/>
            <w:tcBorders>
              <w:top w:val="single" w:color="000000" w:sz="4" w:space="0"/>
              <w:left w:val="nil"/>
              <w:bottom w:val="single" w:color="000000" w:sz="4" w:space="0"/>
              <w:right w:val="single" w:color="000000" w:sz="4" w:space="0"/>
            </w:tcBorders>
            <w:noWrap w:val="0"/>
            <w:vAlign w:val="center"/>
          </w:tcPr>
          <w:p w14:paraId="36CEC91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1240</w:t>
            </w:r>
          </w:p>
        </w:tc>
        <w:tc>
          <w:tcPr>
            <w:tcW w:w="410" w:type="pct"/>
            <w:vMerge w:val="restart"/>
            <w:tcBorders>
              <w:top w:val="single" w:color="000000" w:sz="4" w:space="0"/>
              <w:left w:val="single" w:color="000000" w:sz="4" w:space="0"/>
              <w:bottom w:val="single" w:color="000000" w:sz="4" w:space="0"/>
              <w:right w:val="single" w:color="000000" w:sz="4" w:space="0"/>
            </w:tcBorders>
            <w:noWrap/>
            <w:vAlign w:val="center"/>
          </w:tcPr>
          <w:p w14:paraId="56AE6F4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5A4645F">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3FF978">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DB12B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02A5F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B42ECA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B263C6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48</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A34E61E">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FF2289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02799AF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011DC8C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5A51682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2D22424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3DF56B21">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34FC230A">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5A240C">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90B66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E8D9E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3F94E6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28</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839123C">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71FEF2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30E29ED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LED双臂100w+50w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787D88C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68F122D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648CDAD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5133E0A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2A33F23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31AA33F">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A98E05">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C9C8D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64021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10901D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0B16E5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EB0F84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补脚灯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BF3FDA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058A965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730EADE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296CCFA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16494F1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0DFDA2D0">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618BB5E">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38A50C">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21C8D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10242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371B69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81</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0543018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27</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7C1EB7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综合灯杆</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059F067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000000" w:sz="4" w:space="0"/>
              <w:right w:val="single" w:color="000000" w:sz="4" w:space="0"/>
            </w:tcBorders>
            <w:noWrap/>
            <w:vAlign w:val="center"/>
          </w:tcPr>
          <w:p w14:paraId="61FA7AF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000000" w:sz="4" w:space="0"/>
              <w:right w:val="single" w:color="000000" w:sz="4" w:space="0"/>
            </w:tcBorders>
            <w:noWrap w:val="0"/>
            <w:vAlign w:val="center"/>
          </w:tcPr>
          <w:p w14:paraId="4A8BAA9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000000" w:sz="4" w:space="0"/>
              <w:right w:val="single" w:color="000000" w:sz="4" w:space="0"/>
            </w:tcBorders>
            <w:noWrap/>
            <w:vAlign w:val="center"/>
          </w:tcPr>
          <w:p w14:paraId="1BFF8AD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000000" w:sz="4" w:space="0"/>
              <w:right w:val="single" w:color="000000" w:sz="4" w:space="0"/>
            </w:tcBorders>
            <w:noWrap w:val="0"/>
            <w:vAlign w:val="center"/>
          </w:tcPr>
          <w:p w14:paraId="1434B82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000000" w:sz="4" w:space="0"/>
              <w:right w:val="single" w:color="000000" w:sz="4" w:space="0"/>
            </w:tcBorders>
            <w:noWrap/>
            <w:vAlign w:val="center"/>
          </w:tcPr>
          <w:p w14:paraId="7B87E78F">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4843EE5A">
        <w:tblPrEx>
          <w:tblCellMar>
            <w:top w:w="0" w:type="dxa"/>
            <w:left w:w="108" w:type="dxa"/>
            <w:bottom w:w="0" w:type="dxa"/>
            <w:right w:w="108" w:type="dxa"/>
          </w:tblCellMar>
        </w:tblPrEx>
        <w:trPr>
          <w:trHeight w:val="23" w:hRule="atLeast"/>
          <w:jc w:val="center"/>
        </w:trPr>
        <w:tc>
          <w:tcPr>
            <w:tcW w:w="166" w:type="pct"/>
            <w:vMerge w:val="continue"/>
            <w:tcBorders>
              <w:top w:val="single" w:color="000000" w:sz="4" w:space="0"/>
              <w:left w:val="single" w:color="000000" w:sz="4" w:space="0"/>
              <w:bottom w:val="single" w:color="auto" w:sz="4" w:space="0"/>
              <w:right w:val="single" w:color="000000" w:sz="4" w:space="0"/>
            </w:tcBorders>
            <w:noWrap w:val="0"/>
            <w:vAlign w:val="center"/>
          </w:tcPr>
          <w:p w14:paraId="502C72E2">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000000" w:sz="4" w:space="0"/>
              <w:left w:val="single" w:color="000000" w:sz="4" w:space="0"/>
              <w:bottom w:val="single" w:color="auto" w:sz="4" w:space="0"/>
              <w:right w:val="single" w:color="000000" w:sz="4" w:space="0"/>
            </w:tcBorders>
            <w:noWrap w:val="0"/>
            <w:vAlign w:val="center"/>
          </w:tcPr>
          <w:p w14:paraId="04B9461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000000" w:sz="4" w:space="0"/>
              <w:left w:val="single" w:color="000000" w:sz="4" w:space="0"/>
              <w:bottom w:val="single" w:color="auto" w:sz="4" w:space="0"/>
              <w:right w:val="single" w:color="000000" w:sz="4" w:space="0"/>
            </w:tcBorders>
            <w:noWrap w:val="0"/>
            <w:vAlign w:val="center"/>
          </w:tcPr>
          <w:p w14:paraId="639B0BC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47628D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30</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A2A98FD">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10</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AD49851">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407CC33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000000" w:sz="4" w:space="0"/>
              <w:left w:val="single" w:color="000000" w:sz="4" w:space="0"/>
              <w:bottom w:val="single" w:color="auto" w:sz="4" w:space="0"/>
              <w:right w:val="single" w:color="000000" w:sz="4" w:space="0"/>
            </w:tcBorders>
            <w:noWrap/>
            <w:vAlign w:val="center"/>
          </w:tcPr>
          <w:p w14:paraId="6A55C8F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000000" w:sz="4" w:space="0"/>
              <w:left w:val="nil"/>
              <w:bottom w:val="single" w:color="auto" w:sz="4" w:space="0"/>
              <w:right w:val="single" w:color="000000" w:sz="4" w:space="0"/>
            </w:tcBorders>
            <w:noWrap w:val="0"/>
            <w:vAlign w:val="center"/>
          </w:tcPr>
          <w:p w14:paraId="20F80D80">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000000" w:sz="4" w:space="0"/>
              <w:left w:val="nil"/>
              <w:bottom w:val="single" w:color="auto" w:sz="4" w:space="0"/>
              <w:right w:val="single" w:color="000000" w:sz="4" w:space="0"/>
            </w:tcBorders>
            <w:noWrap/>
            <w:vAlign w:val="center"/>
          </w:tcPr>
          <w:p w14:paraId="1291F75F">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000000" w:sz="4" w:space="0"/>
              <w:left w:val="nil"/>
              <w:bottom w:val="single" w:color="auto" w:sz="4" w:space="0"/>
              <w:right w:val="single" w:color="000000" w:sz="4" w:space="0"/>
            </w:tcBorders>
            <w:noWrap w:val="0"/>
            <w:vAlign w:val="center"/>
          </w:tcPr>
          <w:p w14:paraId="440A773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000000" w:sz="4" w:space="0"/>
              <w:left w:val="single" w:color="000000" w:sz="4" w:space="0"/>
              <w:bottom w:val="single" w:color="auto" w:sz="4" w:space="0"/>
              <w:right w:val="single" w:color="000000" w:sz="4" w:space="0"/>
            </w:tcBorders>
            <w:noWrap/>
            <w:vAlign w:val="center"/>
          </w:tcPr>
          <w:p w14:paraId="15332246">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AB1CB1C">
        <w:tblPrEx>
          <w:tblCellMar>
            <w:top w:w="0" w:type="dxa"/>
            <w:left w:w="108" w:type="dxa"/>
            <w:bottom w:w="0" w:type="dxa"/>
            <w:right w:w="108" w:type="dxa"/>
          </w:tblCellMar>
        </w:tblPrEx>
        <w:trPr>
          <w:trHeight w:val="23" w:hRule="atLeast"/>
          <w:jc w:val="center"/>
        </w:trPr>
        <w:tc>
          <w:tcPr>
            <w:tcW w:w="166" w:type="pct"/>
            <w:vMerge w:val="restart"/>
            <w:tcBorders>
              <w:top w:val="single" w:color="auto" w:sz="4" w:space="0"/>
              <w:left w:val="single" w:color="auto" w:sz="4" w:space="0"/>
              <w:bottom w:val="single" w:color="auto" w:sz="4" w:space="0"/>
              <w:right w:val="single" w:color="000000" w:sz="4" w:space="0"/>
            </w:tcBorders>
            <w:noWrap w:val="0"/>
            <w:vAlign w:val="center"/>
          </w:tcPr>
          <w:p w14:paraId="4FE2E67F">
            <w:pPr>
              <w:widowControl/>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48</w:t>
            </w:r>
          </w:p>
        </w:tc>
        <w:tc>
          <w:tcPr>
            <w:tcW w:w="400" w:type="pct"/>
            <w:vMerge w:val="restart"/>
            <w:tcBorders>
              <w:top w:val="single" w:color="auto" w:sz="4" w:space="0"/>
              <w:left w:val="single" w:color="000000" w:sz="4" w:space="0"/>
              <w:bottom w:val="single" w:color="auto" w:sz="4" w:space="0"/>
              <w:right w:val="single" w:color="000000" w:sz="4" w:space="0"/>
            </w:tcBorders>
            <w:noWrap w:val="0"/>
            <w:vAlign w:val="center"/>
          </w:tcPr>
          <w:p w14:paraId="1407B56A">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宁连路高架</w:t>
            </w:r>
          </w:p>
        </w:tc>
        <w:tc>
          <w:tcPr>
            <w:tcW w:w="713" w:type="pct"/>
            <w:vMerge w:val="restart"/>
            <w:tcBorders>
              <w:top w:val="single" w:color="auto" w:sz="4" w:space="0"/>
              <w:left w:val="single" w:color="000000" w:sz="4" w:space="0"/>
              <w:bottom w:val="single" w:color="auto" w:sz="4" w:space="0"/>
              <w:right w:val="single" w:color="auto" w:sz="4" w:space="0"/>
            </w:tcBorders>
            <w:noWrap w:val="0"/>
            <w:vAlign w:val="center"/>
          </w:tcPr>
          <w:p w14:paraId="604FE4EC">
            <w:pPr>
              <w:widowControl/>
              <w:spacing w:line="280" w:lineRule="exact"/>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深圳路-铁路涵洞</w:t>
            </w:r>
          </w:p>
        </w:tc>
        <w:tc>
          <w:tcPr>
            <w:tcW w:w="275" w:type="pct"/>
            <w:tcBorders>
              <w:top w:val="single" w:color="000000" w:sz="4" w:space="0"/>
              <w:left w:val="single" w:color="auto" w:sz="4" w:space="0"/>
              <w:bottom w:val="single" w:color="000000" w:sz="4" w:space="0"/>
              <w:right w:val="single" w:color="000000" w:sz="4" w:space="0"/>
            </w:tcBorders>
            <w:noWrap w:val="0"/>
            <w:vAlign w:val="center"/>
          </w:tcPr>
          <w:p w14:paraId="71CF8F2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144</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4A6E6FC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144</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96AD5B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吸顶灯</w:t>
            </w:r>
          </w:p>
        </w:tc>
        <w:tc>
          <w:tcPr>
            <w:tcW w:w="635" w:type="pct"/>
            <w:tcBorders>
              <w:top w:val="single" w:color="000000" w:sz="4" w:space="0"/>
              <w:left w:val="single" w:color="000000" w:sz="4" w:space="0"/>
              <w:bottom w:val="single" w:color="000000" w:sz="4" w:space="0"/>
              <w:right w:val="single" w:color="auto" w:sz="4" w:space="0"/>
            </w:tcBorders>
            <w:noWrap w:val="0"/>
            <w:vAlign w:val="center"/>
          </w:tcPr>
          <w:p w14:paraId="5218FE0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restart"/>
            <w:tcBorders>
              <w:top w:val="single" w:color="auto" w:sz="4" w:space="0"/>
              <w:left w:val="single" w:color="auto" w:sz="4" w:space="0"/>
              <w:bottom w:val="single" w:color="auto" w:sz="4" w:space="0"/>
              <w:right w:val="single" w:color="000000" w:sz="4" w:space="0"/>
            </w:tcBorders>
            <w:noWrap/>
            <w:vAlign w:val="center"/>
          </w:tcPr>
          <w:p w14:paraId="6948228B">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602" w:type="pct"/>
            <w:vMerge w:val="restart"/>
            <w:tcBorders>
              <w:top w:val="single" w:color="auto" w:sz="4" w:space="0"/>
              <w:left w:val="nil"/>
              <w:bottom w:val="single" w:color="auto" w:sz="4" w:space="0"/>
              <w:right w:val="single" w:color="000000" w:sz="4" w:space="0"/>
            </w:tcBorders>
            <w:noWrap w:val="0"/>
            <w:vAlign w:val="center"/>
          </w:tcPr>
          <w:p w14:paraId="53016DA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S11-M-160KVA/10</w:t>
            </w:r>
          </w:p>
        </w:tc>
        <w:tc>
          <w:tcPr>
            <w:tcW w:w="284" w:type="pct"/>
            <w:vMerge w:val="restart"/>
            <w:tcBorders>
              <w:top w:val="single" w:color="auto" w:sz="4" w:space="0"/>
              <w:left w:val="nil"/>
              <w:bottom w:val="single" w:color="auto" w:sz="4" w:space="0"/>
              <w:right w:val="single" w:color="000000" w:sz="4" w:space="0"/>
            </w:tcBorders>
            <w:noWrap/>
            <w:vAlign w:val="center"/>
          </w:tcPr>
          <w:p w14:paraId="748E9537">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w:t>
            </w:r>
          </w:p>
        </w:tc>
        <w:tc>
          <w:tcPr>
            <w:tcW w:w="542" w:type="pct"/>
            <w:vMerge w:val="restart"/>
            <w:tcBorders>
              <w:top w:val="single" w:color="auto" w:sz="4" w:space="0"/>
              <w:left w:val="nil"/>
              <w:bottom w:val="single" w:color="auto" w:sz="4" w:space="0"/>
              <w:right w:val="single" w:color="000000" w:sz="4" w:space="0"/>
            </w:tcBorders>
            <w:noWrap w:val="0"/>
            <w:vAlign w:val="center"/>
          </w:tcPr>
          <w:p w14:paraId="38F4388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8400</w:t>
            </w:r>
          </w:p>
        </w:tc>
        <w:tc>
          <w:tcPr>
            <w:tcW w:w="410" w:type="pct"/>
            <w:vMerge w:val="restart"/>
            <w:tcBorders>
              <w:top w:val="single" w:color="auto" w:sz="4" w:space="0"/>
              <w:left w:val="single" w:color="000000" w:sz="4" w:space="0"/>
              <w:bottom w:val="single" w:color="auto" w:sz="4" w:space="0"/>
              <w:right w:val="single" w:color="auto" w:sz="4" w:space="0"/>
            </w:tcBorders>
            <w:noWrap/>
            <w:vAlign w:val="center"/>
          </w:tcPr>
          <w:p w14:paraId="6FF87852">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012A654">
        <w:tblPrEx>
          <w:tblCellMar>
            <w:top w:w="0" w:type="dxa"/>
            <w:left w:w="108" w:type="dxa"/>
            <w:bottom w:w="0" w:type="dxa"/>
            <w:right w:w="108" w:type="dxa"/>
          </w:tblCellMar>
        </w:tblPrEx>
        <w:trPr>
          <w:trHeight w:val="23" w:hRule="atLeast"/>
          <w:jc w:val="center"/>
        </w:trPr>
        <w:tc>
          <w:tcPr>
            <w:tcW w:w="166" w:type="pct"/>
            <w:vMerge w:val="continue"/>
            <w:tcBorders>
              <w:top w:val="single" w:color="auto" w:sz="4" w:space="0"/>
              <w:left w:val="single" w:color="auto" w:sz="4" w:space="0"/>
              <w:bottom w:val="single" w:color="auto" w:sz="4" w:space="0"/>
              <w:right w:val="single" w:color="000000" w:sz="4" w:space="0"/>
            </w:tcBorders>
            <w:noWrap w:val="0"/>
            <w:vAlign w:val="center"/>
          </w:tcPr>
          <w:p w14:paraId="2B04D30C">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auto" w:sz="4" w:space="0"/>
              <w:left w:val="single" w:color="000000" w:sz="4" w:space="0"/>
              <w:bottom w:val="single" w:color="auto" w:sz="4" w:space="0"/>
              <w:right w:val="single" w:color="000000" w:sz="4" w:space="0"/>
            </w:tcBorders>
            <w:noWrap w:val="0"/>
            <w:vAlign w:val="center"/>
          </w:tcPr>
          <w:p w14:paraId="51F3D17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auto" w:sz="4" w:space="0"/>
              <w:left w:val="single" w:color="000000" w:sz="4" w:space="0"/>
              <w:bottom w:val="single" w:color="auto" w:sz="4" w:space="0"/>
              <w:right w:val="single" w:color="auto" w:sz="4" w:space="0"/>
            </w:tcBorders>
            <w:noWrap w:val="0"/>
            <w:vAlign w:val="center"/>
          </w:tcPr>
          <w:p w14:paraId="2F12F75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auto" w:sz="4" w:space="0"/>
              <w:bottom w:val="single" w:color="000000" w:sz="4" w:space="0"/>
              <w:right w:val="single" w:color="000000" w:sz="4" w:space="0"/>
            </w:tcBorders>
            <w:noWrap w:val="0"/>
            <w:vAlign w:val="center"/>
          </w:tcPr>
          <w:p w14:paraId="54BC7C05">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146</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10633E39">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146</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1A8A1E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单臂灯</w:t>
            </w:r>
          </w:p>
        </w:tc>
        <w:tc>
          <w:tcPr>
            <w:tcW w:w="635" w:type="pct"/>
            <w:tcBorders>
              <w:top w:val="single" w:color="000000" w:sz="4" w:space="0"/>
              <w:left w:val="single" w:color="000000" w:sz="4" w:space="0"/>
              <w:bottom w:val="single" w:color="000000" w:sz="4" w:space="0"/>
              <w:right w:val="single" w:color="auto" w:sz="4" w:space="0"/>
            </w:tcBorders>
            <w:noWrap w:val="0"/>
            <w:vAlign w:val="center"/>
          </w:tcPr>
          <w:p w14:paraId="2E90065F">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auto" w:sz="4" w:space="0"/>
              <w:left w:val="single" w:color="auto" w:sz="4" w:space="0"/>
              <w:bottom w:val="single" w:color="auto" w:sz="4" w:space="0"/>
              <w:right w:val="single" w:color="000000" w:sz="4" w:space="0"/>
            </w:tcBorders>
            <w:noWrap/>
            <w:vAlign w:val="center"/>
          </w:tcPr>
          <w:p w14:paraId="63109BC6">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auto" w:sz="4" w:space="0"/>
              <w:left w:val="nil"/>
              <w:bottom w:val="single" w:color="auto" w:sz="4" w:space="0"/>
              <w:right w:val="single" w:color="000000" w:sz="4" w:space="0"/>
            </w:tcBorders>
            <w:noWrap w:val="0"/>
            <w:vAlign w:val="center"/>
          </w:tcPr>
          <w:p w14:paraId="02FE964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auto" w:sz="4" w:space="0"/>
              <w:left w:val="nil"/>
              <w:bottom w:val="single" w:color="auto" w:sz="4" w:space="0"/>
              <w:right w:val="single" w:color="000000" w:sz="4" w:space="0"/>
            </w:tcBorders>
            <w:noWrap/>
            <w:vAlign w:val="center"/>
          </w:tcPr>
          <w:p w14:paraId="511162C4">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auto" w:sz="4" w:space="0"/>
              <w:left w:val="nil"/>
              <w:bottom w:val="single" w:color="auto" w:sz="4" w:space="0"/>
              <w:right w:val="single" w:color="000000" w:sz="4" w:space="0"/>
            </w:tcBorders>
            <w:noWrap w:val="0"/>
            <w:vAlign w:val="center"/>
          </w:tcPr>
          <w:p w14:paraId="2AF66E1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auto" w:sz="4" w:space="0"/>
              <w:left w:val="single" w:color="000000" w:sz="4" w:space="0"/>
              <w:bottom w:val="single" w:color="auto" w:sz="4" w:space="0"/>
              <w:right w:val="single" w:color="auto" w:sz="4" w:space="0"/>
            </w:tcBorders>
            <w:noWrap/>
            <w:vAlign w:val="center"/>
          </w:tcPr>
          <w:p w14:paraId="50CC7C9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08C9FF3">
        <w:tblPrEx>
          <w:tblCellMar>
            <w:top w:w="0" w:type="dxa"/>
            <w:left w:w="108" w:type="dxa"/>
            <w:bottom w:w="0" w:type="dxa"/>
            <w:right w:w="108" w:type="dxa"/>
          </w:tblCellMar>
        </w:tblPrEx>
        <w:trPr>
          <w:trHeight w:val="23" w:hRule="atLeast"/>
          <w:jc w:val="center"/>
        </w:trPr>
        <w:tc>
          <w:tcPr>
            <w:tcW w:w="166" w:type="pct"/>
            <w:vMerge w:val="continue"/>
            <w:tcBorders>
              <w:top w:val="single" w:color="auto" w:sz="4" w:space="0"/>
              <w:left w:val="single" w:color="auto" w:sz="4" w:space="0"/>
              <w:bottom w:val="single" w:color="auto" w:sz="4" w:space="0"/>
              <w:right w:val="single" w:color="000000" w:sz="4" w:space="0"/>
            </w:tcBorders>
            <w:noWrap w:val="0"/>
            <w:vAlign w:val="center"/>
          </w:tcPr>
          <w:p w14:paraId="47CE9A89">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auto" w:sz="4" w:space="0"/>
              <w:left w:val="single" w:color="000000" w:sz="4" w:space="0"/>
              <w:bottom w:val="single" w:color="auto" w:sz="4" w:space="0"/>
              <w:right w:val="single" w:color="000000" w:sz="4" w:space="0"/>
            </w:tcBorders>
            <w:noWrap w:val="0"/>
            <w:vAlign w:val="center"/>
          </w:tcPr>
          <w:p w14:paraId="63F7584A">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auto" w:sz="4" w:space="0"/>
              <w:left w:val="single" w:color="000000" w:sz="4" w:space="0"/>
              <w:bottom w:val="single" w:color="auto" w:sz="4" w:space="0"/>
              <w:right w:val="single" w:color="auto" w:sz="4" w:space="0"/>
            </w:tcBorders>
            <w:noWrap w:val="0"/>
            <w:vAlign w:val="center"/>
          </w:tcPr>
          <w:p w14:paraId="24641AF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auto" w:sz="4" w:space="0"/>
              <w:bottom w:val="single" w:color="000000" w:sz="4" w:space="0"/>
              <w:right w:val="single" w:color="000000" w:sz="4" w:space="0"/>
            </w:tcBorders>
            <w:noWrap w:val="0"/>
            <w:vAlign w:val="center"/>
          </w:tcPr>
          <w:p w14:paraId="33B3D366">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22</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534E16B4">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11</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44F7F93">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双臂灯</w:t>
            </w:r>
          </w:p>
        </w:tc>
        <w:tc>
          <w:tcPr>
            <w:tcW w:w="635" w:type="pct"/>
            <w:tcBorders>
              <w:top w:val="single" w:color="000000" w:sz="4" w:space="0"/>
              <w:left w:val="single" w:color="000000" w:sz="4" w:space="0"/>
              <w:bottom w:val="single" w:color="000000" w:sz="4" w:space="0"/>
              <w:right w:val="single" w:color="auto" w:sz="4" w:space="0"/>
            </w:tcBorders>
            <w:noWrap w:val="0"/>
            <w:vAlign w:val="center"/>
          </w:tcPr>
          <w:p w14:paraId="1B7217D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LED双臂00w+50w</w:t>
            </w:r>
          </w:p>
        </w:tc>
        <w:tc>
          <w:tcPr>
            <w:tcW w:w="288" w:type="pct"/>
            <w:vMerge w:val="continue"/>
            <w:tcBorders>
              <w:top w:val="single" w:color="auto" w:sz="4" w:space="0"/>
              <w:left w:val="single" w:color="auto" w:sz="4" w:space="0"/>
              <w:bottom w:val="single" w:color="auto" w:sz="4" w:space="0"/>
              <w:right w:val="single" w:color="000000" w:sz="4" w:space="0"/>
            </w:tcBorders>
            <w:noWrap/>
            <w:vAlign w:val="center"/>
          </w:tcPr>
          <w:p w14:paraId="26AFE1B3">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auto" w:sz="4" w:space="0"/>
              <w:left w:val="nil"/>
              <w:bottom w:val="single" w:color="auto" w:sz="4" w:space="0"/>
              <w:right w:val="single" w:color="000000" w:sz="4" w:space="0"/>
            </w:tcBorders>
            <w:noWrap w:val="0"/>
            <w:vAlign w:val="center"/>
          </w:tcPr>
          <w:p w14:paraId="4AC41009">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auto" w:sz="4" w:space="0"/>
              <w:left w:val="nil"/>
              <w:bottom w:val="single" w:color="auto" w:sz="4" w:space="0"/>
              <w:right w:val="single" w:color="000000" w:sz="4" w:space="0"/>
            </w:tcBorders>
            <w:noWrap/>
            <w:vAlign w:val="center"/>
          </w:tcPr>
          <w:p w14:paraId="3902026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auto" w:sz="4" w:space="0"/>
              <w:left w:val="nil"/>
              <w:bottom w:val="single" w:color="auto" w:sz="4" w:space="0"/>
              <w:right w:val="single" w:color="000000" w:sz="4" w:space="0"/>
            </w:tcBorders>
            <w:noWrap w:val="0"/>
            <w:vAlign w:val="center"/>
          </w:tcPr>
          <w:p w14:paraId="6770591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auto" w:sz="4" w:space="0"/>
              <w:left w:val="single" w:color="000000" w:sz="4" w:space="0"/>
              <w:bottom w:val="single" w:color="auto" w:sz="4" w:space="0"/>
              <w:right w:val="single" w:color="auto" w:sz="4" w:space="0"/>
            </w:tcBorders>
            <w:noWrap/>
            <w:vAlign w:val="center"/>
          </w:tcPr>
          <w:p w14:paraId="2FDC175C">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64F77D2A">
        <w:tblPrEx>
          <w:tblCellMar>
            <w:top w:w="0" w:type="dxa"/>
            <w:left w:w="108" w:type="dxa"/>
            <w:bottom w:w="0" w:type="dxa"/>
            <w:right w:w="108" w:type="dxa"/>
          </w:tblCellMar>
        </w:tblPrEx>
        <w:trPr>
          <w:trHeight w:val="23" w:hRule="atLeast"/>
          <w:jc w:val="center"/>
        </w:trPr>
        <w:tc>
          <w:tcPr>
            <w:tcW w:w="166" w:type="pct"/>
            <w:vMerge w:val="continue"/>
            <w:tcBorders>
              <w:top w:val="single" w:color="auto" w:sz="4" w:space="0"/>
              <w:left w:val="single" w:color="auto" w:sz="4" w:space="0"/>
              <w:bottom w:val="single" w:color="auto" w:sz="4" w:space="0"/>
              <w:right w:val="single" w:color="000000" w:sz="4" w:space="0"/>
            </w:tcBorders>
            <w:noWrap w:val="0"/>
            <w:vAlign w:val="center"/>
          </w:tcPr>
          <w:p w14:paraId="6730A1CF">
            <w:pPr>
              <w:jc w:val="center"/>
              <w:rPr>
                <w:rFonts w:hint="eastAsia" w:ascii="宋体" w:hAnsi="宋体" w:cs="宋体"/>
                <w:color w:val="000000" w:themeColor="text1"/>
                <w:szCs w:val="21"/>
                <w:highlight w:val="none"/>
                <w14:textFill>
                  <w14:solidFill>
                    <w14:schemeClr w14:val="tx1"/>
                  </w14:solidFill>
                </w14:textFill>
              </w:rPr>
            </w:pPr>
          </w:p>
        </w:tc>
        <w:tc>
          <w:tcPr>
            <w:tcW w:w="400" w:type="pct"/>
            <w:vMerge w:val="continue"/>
            <w:tcBorders>
              <w:top w:val="single" w:color="auto" w:sz="4" w:space="0"/>
              <w:left w:val="single" w:color="000000" w:sz="4" w:space="0"/>
              <w:bottom w:val="single" w:color="auto" w:sz="4" w:space="0"/>
              <w:right w:val="single" w:color="000000" w:sz="4" w:space="0"/>
            </w:tcBorders>
            <w:noWrap w:val="0"/>
            <w:vAlign w:val="center"/>
          </w:tcPr>
          <w:p w14:paraId="5EA264CE">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713" w:type="pct"/>
            <w:vMerge w:val="continue"/>
            <w:tcBorders>
              <w:top w:val="single" w:color="auto" w:sz="4" w:space="0"/>
              <w:left w:val="single" w:color="000000" w:sz="4" w:space="0"/>
              <w:bottom w:val="single" w:color="auto" w:sz="4" w:space="0"/>
              <w:right w:val="single" w:color="auto" w:sz="4" w:space="0"/>
            </w:tcBorders>
            <w:noWrap w:val="0"/>
            <w:vAlign w:val="center"/>
          </w:tcPr>
          <w:p w14:paraId="60906F6B">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75" w:type="pct"/>
            <w:tcBorders>
              <w:top w:val="single" w:color="000000" w:sz="4" w:space="0"/>
              <w:left w:val="single" w:color="auto" w:sz="4" w:space="0"/>
              <w:bottom w:val="nil"/>
              <w:right w:val="single" w:color="000000" w:sz="4" w:space="0"/>
            </w:tcBorders>
            <w:noWrap w:val="0"/>
            <w:vAlign w:val="center"/>
          </w:tcPr>
          <w:p w14:paraId="18AD35C0">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15</w:t>
            </w:r>
          </w:p>
        </w:tc>
        <w:tc>
          <w:tcPr>
            <w:tcW w:w="263" w:type="pct"/>
            <w:tcBorders>
              <w:top w:val="single" w:color="000000" w:sz="4" w:space="0"/>
              <w:left w:val="single" w:color="000000" w:sz="4" w:space="0"/>
              <w:bottom w:val="nil"/>
              <w:right w:val="single" w:color="000000" w:sz="4" w:space="0"/>
            </w:tcBorders>
            <w:noWrap w:val="0"/>
            <w:vAlign w:val="center"/>
          </w:tcPr>
          <w:p w14:paraId="063D6DB8">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5</w:t>
            </w:r>
          </w:p>
        </w:tc>
        <w:tc>
          <w:tcPr>
            <w:tcW w:w="415" w:type="pct"/>
            <w:tcBorders>
              <w:top w:val="single" w:color="000000" w:sz="4" w:space="0"/>
              <w:left w:val="single" w:color="000000" w:sz="4" w:space="0"/>
              <w:bottom w:val="nil"/>
              <w:right w:val="single" w:color="000000" w:sz="4" w:space="0"/>
            </w:tcBorders>
            <w:noWrap w:val="0"/>
            <w:vAlign w:val="center"/>
          </w:tcPr>
          <w:p w14:paraId="608E0A5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中杆灯</w:t>
            </w:r>
          </w:p>
        </w:tc>
        <w:tc>
          <w:tcPr>
            <w:tcW w:w="635" w:type="pct"/>
            <w:tcBorders>
              <w:top w:val="single" w:color="000000" w:sz="4" w:space="0"/>
              <w:left w:val="single" w:color="000000" w:sz="4" w:space="0"/>
              <w:bottom w:val="nil"/>
              <w:right w:val="single" w:color="auto" w:sz="4" w:space="0"/>
            </w:tcBorders>
            <w:noWrap w:val="0"/>
            <w:vAlign w:val="center"/>
          </w:tcPr>
          <w:p w14:paraId="50438AC2">
            <w:pPr>
              <w:widowControl/>
              <w:spacing w:line="280" w:lineRule="exact"/>
              <w:jc w:val="center"/>
              <w:textAlignment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LED单臂  100W</w:t>
            </w:r>
          </w:p>
        </w:tc>
        <w:tc>
          <w:tcPr>
            <w:tcW w:w="288" w:type="pct"/>
            <w:vMerge w:val="continue"/>
            <w:tcBorders>
              <w:top w:val="single" w:color="auto" w:sz="4" w:space="0"/>
              <w:left w:val="single" w:color="auto" w:sz="4" w:space="0"/>
              <w:bottom w:val="single" w:color="auto" w:sz="4" w:space="0"/>
              <w:right w:val="single" w:color="000000" w:sz="4" w:space="0"/>
            </w:tcBorders>
            <w:noWrap/>
            <w:vAlign w:val="center"/>
          </w:tcPr>
          <w:p w14:paraId="7B744168">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602" w:type="pct"/>
            <w:vMerge w:val="continue"/>
            <w:tcBorders>
              <w:top w:val="single" w:color="auto" w:sz="4" w:space="0"/>
              <w:left w:val="nil"/>
              <w:bottom w:val="single" w:color="auto" w:sz="4" w:space="0"/>
              <w:right w:val="single" w:color="000000" w:sz="4" w:space="0"/>
            </w:tcBorders>
            <w:noWrap w:val="0"/>
            <w:vAlign w:val="center"/>
          </w:tcPr>
          <w:p w14:paraId="16FC5231">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284" w:type="pct"/>
            <w:vMerge w:val="continue"/>
            <w:tcBorders>
              <w:top w:val="single" w:color="auto" w:sz="4" w:space="0"/>
              <w:left w:val="nil"/>
              <w:bottom w:val="single" w:color="auto" w:sz="4" w:space="0"/>
              <w:right w:val="single" w:color="000000" w:sz="4" w:space="0"/>
            </w:tcBorders>
            <w:noWrap/>
            <w:vAlign w:val="center"/>
          </w:tcPr>
          <w:p w14:paraId="3A3D9B3C">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542" w:type="pct"/>
            <w:vMerge w:val="continue"/>
            <w:tcBorders>
              <w:top w:val="single" w:color="auto" w:sz="4" w:space="0"/>
              <w:left w:val="nil"/>
              <w:bottom w:val="single" w:color="auto" w:sz="4" w:space="0"/>
              <w:right w:val="single" w:color="000000" w:sz="4" w:space="0"/>
            </w:tcBorders>
            <w:noWrap w:val="0"/>
            <w:vAlign w:val="center"/>
          </w:tcPr>
          <w:p w14:paraId="2D3311E5">
            <w:pPr>
              <w:spacing w:line="280" w:lineRule="exact"/>
              <w:jc w:val="center"/>
              <w:rPr>
                <w:rFonts w:hint="eastAsia" w:ascii="宋体" w:hAnsi="宋体" w:cs="宋体"/>
                <w:color w:val="000000" w:themeColor="text1"/>
                <w:szCs w:val="21"/>
                <w:highlight w:val="none"/>
                <w14:textFill>
                  <w14:solidFill>
                    <w14:schemeClr w14:val="tx1"/>
                  </w14:solidFill>
                </w14:textFill>
              </w:rPr>
            </w:pPr>
          </w:p>
        </w:tc>
        <w:tc>
          <w:tcPr>
            <w:tcW w:w="410" w:type="pct"/>
            <w:vMerge w:val="continue"/>
            <w:tcBorders>
              <w:top w:val="single" w:color="auto" w:sz="4" w:space="0"/>
              <w:left w:val="single" w:color="000000" w:sz="4" w:space="0"/>
              <w:bottom w:val="single" w:color="auto" w:sz="4" w:space="0"/>
              <w:right w:val="single" w:color="auto" w:sz="4" w:space="0"/>
            </w:tcBorders>
            <w:noWrap/>
            <w:vAlign w:val="center"/>
          </w:tcPr>
          <w:p w14:paraId="7B02F90E">
            <w:pPr>
              <w:spacing w:line="280" w:lineRule="exact"/>
              <w:jc w:val="center"/>
              <w:rPr>
                <w:rFonts w:hint="eastAsia" w:ascii="宋体" w:hAnsi="宋体" w:cs="宋体"/>
                <w:color w:val="000000" w:themeColor="text1"/>
                <w:szCs w:val="21"/>
                <w:highlight w:val="none"/>
                <w14:textFill>
                  <w14:solidFill>
                    <w14:schemeClr w14:val="tx1"/>
                  </w14:solidFill>
                </w14:textFill>
              </w:rPr>
            </w:pPr>
          </w:p>
        </w:tc>
      </w:tr>
      <w:tr w14:paraId="5DB62149">
        <w:tblPrEx>
          <w:tblCellMar>
            <w:top w:w="0" w:type="dxa"/>
            <w:left w:w="108" w:type="dxa"/>
            <w:bottom w:w="0" w:type="dxa"/>
            <w:right w:w="108" w:type="dxa"/>
          </w:tblCellMar>
        </w:tblPrEx>
        <w:trPr>
          <w:trHeight w:val="425" w:hRule="atLeast"/>
          <w:jc w:val="center"/>
        </w:trPr>
        <w:tc>
          <w:tcPr>
            <w:tcW w:w="1280" w:type="pct"/>
            <w:gridSpan w:val="3"/>
            <w:tcBorders>
              <w:top w:val="single" w:color="auto" w:sz="4" w:space="0"/>
              <w:left w:val="single" w:color="000000" w:sz="4" w:space="0"/>
              <w:bottom w:val="single" w:color="000000" w:sz="4" w:space="0"/>
              <w:right w:val="single" w:color="000000" w:sz="4" w:space="0"/>
            </w:tcBorders>
            <w:noWrap w:val="0"/>
            <w:vAlign w:val="center"/>
          </w:tcPr>
          <w:p w14:paraId="01272DEE">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合计</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EE876EF">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5323</w:t>
            </w:r>
          </w:p>
        </w:tc>
        <w:tc>
          <w:tcPr>
            <w:tcW w:w="263" w:type="pct"/>
            <w:tcBorders>
              <w:top w:val="single" w:color="000000" w:sz="4" w:space="0"/>
              <w:left w:val="single" w:color="000000" w:sz="4" w:space="0"/>
              <w:bottom w:val="single" w:color="000000" w:sz="4" w:space="0"/>
              <w:right w:val="single" w:color="000000" w:sz="4" w:space="0"/>
            </w:tcBorders>
            <w:noWrap w:val="0"/>
            <w:vAlign w:val="center"/>
          </w:tcPr>
          <w:p w14:paraId="32B5F2CF">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3483</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3329474">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c>
          <w:tcPr>
            <w:tcW w:w="635" w:type="pct"/>
            <w:tcBorders>
              <w:top w:val="single" w:color="000000" w:sz="4" w:space="0"/>
              <w:left w:val="single" w:color="000000" w:sz="4" w:space="0"/>
              <w:bottom w:val="single" w:color="000000" w:sz="4" w:space="0"/>
              <w:right w:val="single" w:color="000000" w:sz="4" w:space="0"/>
            </w:tcBorders>
            <w:noWrap w:val="0"/>
            <w:vAlign w:val="center"/>
          </w:tcPr>
          <w:p w14:paraId="7342D315">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c>
          <w:tcPr>
            <w:tcW w:w="288" w:type="pct"/>
            <w:tcBorders>
              <w:top w:val="single" w:color="auto" w:sz="4" w:space="0"/>
              <w:left w:val="single" w:color="000000" w:sz="4" w:space="0"/>
              <w:bottom w:val="single" w:color="000000" w:sz="4" w:space="0"/>
              <w:right w:val="single" w:color="000000" w:sz="4" w:space="0"/>
            </w:tcBorders>
            <w:noWrap w:val="0"/>
            <w:vAlign w:val="center"/>
          </w:tcPr>
          <w:p w14:paraId="1CE665E9">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40</w:t>
            </w:r>
          </w:p>
        </w:tc>
        <w:tc>
          <w:tcPr>
            <w:tcW w:w="602" w:type="pct"/>
            <w:tcBorders>
              <w:top w:val="single" w:color="auto" w:sz="4" w:space="0"/>
              <w:left w:val="single" w:color="000000" w:sz="4" w:space="0"/>
              <w:bottom w:val="single" w:color="000000" w:sz="4" w:space="0"/>
              <w:right w:val="single" w:color="000000" w:sz="4" w:space="0"/>
            </w:tcBorders>
            <w:noWrap w:val="0"/>
            <w:vAlign w:val="center"/>
          </w:tcPr>
          <w:p w14:paraId="497D7DE0">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c>
          <w:tcPr>
            <w:tcW w:w="284" w:type="pct"/>
            <w:tcBorders>
              <w:top w:val="single" w:color="auto" w:sz="4" w:space="0"/>
              <w:left w:val="single" w:color="000000" w:sz="4" w:space="0"/>
              <w:bottom w:val="single" w:color="000000" w:sz="4" w:space="0"/>
              <w:right w:val="single" w:color="000000" w:sz="4" w:space="0"/>
            </w:tcBorders>
            <w:noWrap w:val="0"/>
            <w:vAlign w:val="center"/>
          </w:tcPr>
          <w:p w14:paraId="711E23DA">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82</w:t>
            </w:r>
          </w:p>
        </w:tc>
        <w:tc>
          <w:tcPr>
            <w:tcW w:w="542" w:type="pct"/>
            <w:tcBorders>
              <w:top w:val="single" w:color="auto" w:sz="4" w:space="0"/>
              <w:left w:val="single" w:color="000000" w:sz="4" w:space="0"/>
              <w:bottom w:val="single" w:color="000000" w:sz="4" w:space="0"/>
              <w:right w:val="single" w:color="000000" w:sz="4" w:space="0"/>
            </w:tcBorders>
            <w:noWrap w:val="0"/>
            <w:vAlign w:val="center"/>
          </w:tcPr>
          <w:p w14:paraId="49C3AA41">
            <w:pPr>
              <w:widowControl/>
              <w:spacing w:line="280" w:lineRule="exact"/>
              <w:jc w:val="center"/>
              <w:textAlignment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201510</w:t>
            </w:r>
          </w:p>
        </w:tc>
        <w:tc>
          <w:tcPr>
            <w:tcW w:w="410" w:type="pct"/>
            <w:tcBorders>
              <w:top w:val="single" w:color="auto" w:sz="4" w:space="0"/>
              <w:left w:val="single" w:color="000000" w:sz="4" w:space="0"/>
              <w:bottom w:val="single" w:color="000000" w:sz="4" w:space="0"/>
              <w:right w:val="single" w:color="000000" w:sz="4" w:space="0"/>
            </w:tcBorders>
            <w:noWrap w:val="0"/>
            <w:vAlign w:val="center"/>
          </w:tcPr>
          <w:p w14:paraId="5EC5137D">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r>
      <w:tr w14:paraId="659485B7">
        <w:tblPrEx>
          <w:tblCellMar>
            <w:top w:w="0" w:type="dxa"/>
            <w:left w:w="108" w:type="dxa"/>
            <w:bottom w:w="0" w:type="dxa"/>
            <w:right w:w="108" w:type="dxa"/>
          </w:tblCellMar>
        </w:tblPrEx>
        <w:trPr>
          <w:trHeight w:val="475" w:hRule="atLeast"/>
          <w:jc w:val="center"/>
        </w:trPr>
        <w:tc>
          <w:tcPr>
            <w:tcW w:w="1280" w:type="pct"/>
            <w:gridSpan w:val="3"/>
            <w:tcBorders>
              <w:top w:val="single" w:color="000000" w:sz="4" w:space="0"/>
              <w:left w:val="single" w:color="000000" w:sz="4" w:space="0"/>
              <w:bottom w:val="single" w:color="000000" w:sz="4" w:space="0"/>
              <w:right w:val="single" w:color="000000" w:sz="4" w:space="0"/>
            </w:tcBorders>
            <w:noWrap w:val="0"/>
            <w:vAlign w:val="center"/>
          </w:tcPr>
          <w:p w14:paraId="3648BEDF">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总计</w:t>
            </w:r>
          </w:p>
        </w:tc>
        <w:tc>
          <w:tcPr>
            <w:tcW w:w="275" w:type="pct"/>
            <w:tcBorders>
              <w:top w:val="single" w:color="000000" w:sz="4" w:space="0"/>
              <w:left w:val="single" w:color="000000" w:sz="4" w:space="0"/>
              <w:bottom w:val="single" w:color="000000" w:sz="4" w:space="0"/>
              <w:right w:val="single" w:color="000000" w:sz="4" w:space="0"/>
            </w:tcBorders>
            <w:noWrap/>
            <w:vAlign w:val="center"/>
          </w:tcPr>
          <w:p w14:paraId="72D380A2">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20689</w:t>
            </w:r>
          </w:p>
        </w:tc>
        <w:tc>
          <w:tcPr>
            <w:tcW w:w="263" w:type="pct"/>
            <w:tcBorders>
              <w:top w:val="single" w:color="000000" w:sz="4" w:space="0"/>
              <w:left w:val="single" w:color="000000" w:sz="4" w:space="0"/>
              <w:bottom w:val="single" w:color="000000" w:sz="4" w:space="0"/>
              <w:right w:val="single" w:color="000000" w:sz="4" w:space="0"/>
            </w:tcBorders>
            <w:noWrap/>
            <w:vAlign w:val="center"/>
          </w:tcPr>
          <w:p w14:paraId="50A20337">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13342</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7C4CC9ED">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c>
          <w:tcPr>
            <w:tcW w:w="635" w:type="pct"/>
            <w:tcBorders>
              <w:top w:val="single" w:color="000000" w:sz="4" w:space="0"/>
              <w:left w:val="single" w:color="000000" w:sz="4" w:space="0"/>
              <w:bottom w:val="single" w:color="000000" w:sz="4" w:space="0"/>
              <w:right w:val="single" w:color="000000" w:sz="4" w:space="0"/>
            </w:tcBorders>
            <w:noWrap/>
            <w:vAlign w:val="center"/>
          </w:tcPr>
          <w:p w14:paraId="214B104B">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c>
          <w:tcPr>
            <w:tcW w:w="288" w:type="pct"/>
            <w:tcBorders>
              <w:top w:val="single" w:color="000000" w:sz="4" w:space="0"/>
              <w:left w:val="single" w:color="000000" w:sz="4" w:space="0"/>
              <w:bottom w:val="single" w:color="000000" w:sz="4" w:space="0"/>
              <w:right w:val="single" w:color="000000" w:sz="4" w:space="0"/>
            </w:tcBorders>
            <w:noWrap/>
            <w:vAlign w:val="center"/>
          </w:tcPr>
          <w:p w14:paraId="5CBDA09B">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140</w:t>
            </w:r>
          </w:p>
        </w:tc>
        <w:tc>
          <w:tcPr>
            <w:tcW w:w="602" w:type="pct"/>
            <w:tcBorders>
              <w:top w:val="single" w:color="000000" w:sz="4" w:space="0"/>
              <w:left w:val="single" w:color="000000" w:sz="4" w:space="0"/>
              <w:bottom w:val="single" w:color="000000" w:sz="4" w:space="0"/>
              <w:right w:val="single" w:color="000000" w:sz="4" w:space="0"/>
            </w:tcBorders>
            <w:noWrap/>
            <w:vAlign w:val="center"/>
          </w:tcPr>
          <w:p w14:paraId="5ECA22FD">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c>
          <w:tcPr>
            <w:tcW w:w="284" w:type="pct"/>
            <w:tcBorders>
              <w:top w:val="single" w:color="000000" w:sz="4" w:space="0"/>
              <w:left w:val="single" w:color="000000" w:sz="4" w:space="0"/>
              <w:bottom w:val="single" w:color="000000" w:sz="4" w:space="0"/>
              <w:right w:val="single" w:color="000000" w:sz="4" w:space="0"/>
            </w:tcBorders>
            <w:noWrap/>
            <w:vAlign w:val="center"/>
          </w:tcPr>
          <w:p w14:paraId="62D8EFD5">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197</w:t>
            </w:r>
          </w:p>
        </w:tc>
        <w:tc>
          <w:tcPr>
            <w:tcW w:w="542" w:type="pct"/>
            <w:tcBorders>
              <w:top w:val="single" w:color="000000" w:sz="4" w:space="0"/>
              <w:left w:val="single" w:color="000000" w:sz="4" w:space="0"/>
              <w:bottom w:val="single" w:color="000000" w:sz="4" w:space="0"/>
              <w:right w:val="single" w:color="000000" w:sz="4" w:space="0"/>
            </w:tcBorders>
            <w:noWrap/>
            <w:vAlign w:val="center"/>
          </w:tcPr>
          <w:p w14:paraId="26DF15CA">
            <w:pPr>
              <w:widowControl/>
              <w:spacing w:line="280" w:lineRule="exact"/>
              <w:jc w:val="center"/>
              <w:textAlignment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613384 </w:t>
            </w:r>
          </w:p>
        </w:tc>
        <w:tc>
          <w:tcPr>
            <w:tcW w:w="410" w:type="pct"/>
            <w:tcBorders>
              <w:top w:val="single" w:color="000000" w:sz="4" w:space="0"/>
              <w:left w:val="single" w:color="000000" w:sz="4" w:space="0"/>
              <w:bottom w:val="single" w:color="000000" w:sz="4" w:space="0"/>
              <w:right w:val="single" w:color="000000" w:sz="4" w:space="0"/>
            </w:tcBorders>
            <w:noWrap/>
            <w:vAlign w:val="center"/>
          </w:tcPr>
          <w:p w14:paraId="045ACA2B">
            <w:pPr>
              <w:widowControl/>
              <w:spacing w:line="280" w:lineRule="exact"/>
              <w:jc w:val="center"/>
              <w:textAlignment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p>
        </w:tc>
      </w:tr>
    </w:tbl>
    <w:p w14:paraId="50C59B07">
      <w:pPr>
        <w:widowControl/>
        <w:spacing w:line="720" w:lineRule="exact"/>
        <w:jc w:val="center"/>
        <w:rPr>
          <w:rFonts w:hint="eastAsia" w:ascii="宋体" w:hAnsi="宋体" w:cs="宋体"/>
          <w:b/>
          <w:bCs/>
          <w:color w:val="000000" w:themeColor="text1"/>
          <w:sz w:val="52"/>
          <w:szCs w:val="52"/>
          <w:highlight w:val="none"/>
          <w14:textFill>
            <w14:solidFill>
              <w14:schemeClr w14:val="tx1"/>
            </w14:solidFill>
          </w14:textFill>
        </w:rPr>
      </w:pPr>
    </w:p>
    <w:p w14:paraId="795B6931">
      <w:pPr>
        <w:widowControl/>
        <w:spacing w:line="720" w:lineRule="exact"/>
        <w:jc w:val="center"/>
        <w:rPr>
          <w:rFonts w:hint="eastAsia" w:ascii="宋体" w:hAnsi="宋体" w:cs="宋体"/>
          <w:b/>
          <w:bCs/>
          <w:color w:val="000000" w:themeColor="text1"/>
          <w:sz w:val="52"/>
          <w:szCs w:val="52"/>
          <w:highlight w:val="none"/>
          <w14:textFill>
            <w14:solidFill>
              <w14:schemeClr w14:val="tx1"/>
            </w14:solidFill>
          </w14:textFill>
        </w:rPr>
      </w:pPr>
    </w:p>
    <w:p w14:paraId="6068B097">
      <w:pPr>
        <w:widowControl/>
        <w:spacing w:line="720" w:lineRule="exact"/>
        <w:jc w:val="center"/>
        <w:rPr>
          <w:rFonts w:hint="eastAsia" w:ascii="宋体" w:hAnsi="宋体" w:cs="宋体"/>
          <w:b/>
          <w:bCs/>
          <w:color w:val="000000" w:themeColor="text1"/>
          <w:sz w:val="52"/>
          <w:szCs w:val="52"/>
          <w:highlight w:val="none"/>
          <w14:textFill>
            <w14:solidFill>
              <w14:schemeClr w14:val="tx1"/>
            </w14:solidFill>
          </w14:textFill>
        </w:rPr>
      </w:pPr>
    </w:p>
    <w:p w14:paraId="0EF11EF5">
      <w:pPr>
        <w:widowControl/>
        <w:spacing w:line="720" w:lineRule="exact"/>
        <w:jc w:val="center"/>
        <w:rPr>
          <w:rFonts w:hint="eastAsia" w:ascii="宋体" w:hAnsi="宋体" w:cs="宋体"/>
          <w:b/>
          <w:bCs/>
          <w:color w:val="000000" w:themeColor="text1"/>
          <w:sz w:val="52"/>
          <w:szCs w:val="52"/>
          <w:highlight w:val="none"/>
          <w14:textFill>
            <w14:solidFill>
              <w14:schemeClr w14:val="tx1"/>
            </w14:solidFill>
          </w14:textFill>
        </w:rPr>
      </w:pPr>
    </w:p>
    <w:p w14:paraId="2A631AE6">
      <w:pPr>
        <w:widowControl/>
        <w:spacing w:line="720" w:lineRule="exact"/>
        <w:jc w:val="center"/>
        <w:rPr>
          <w:rFonts w:hint="eastAsia" w:ascii="宋体" w:hAnsi="宋体" w:cs="宋体"/>
          <w:b/>
          <w:bCs/>
          <w:color w:val="000000" w:themeColor="text1"/>
          <w:sz w:val="52"/>
          <w:szCs w:val="52"/>
          <w:highlight w:val="none"/>
          <w14:textFill>
            <w14:solidFill>
              <w14:schemeClr w14:val="tx1"/>
            </w14:solidFill>
          </w14:textFill>
        </w:rPr>
        <w:sectPr>
          <w:pgSz w:w="16838" w:h="11906" w:orient="landscape"/>
          <w:pgMar w:top="1587" w:right="1361" w:bottom="1304" w:left="1134" w:header="850" w:footer="992" w:gutter="0"/>
          <w:pgNumType w:fmt="numberInDash"/>
          <w:cols w:space="720" w:num="1"/>
          <w:docGrid w:linePitch="360" w:charSpace="0"/>
        </w:sectPr>
      </w:pPr>
    </w:p>
    <w:p w14:paraId="4520424B">
      <w:pPr>
        <w:widowControl/>
        <w:spacing w:line="720" w:lineRule="exact"/>
        <w:jc w:val="center"/>
        <w:rPr>
          <w:rFonts w:hint="eastAsia" w:ascii="宋体" w:hAnsi="宋体" w:cs="宋体"/>
          <w:b/>
          <w:bCs/>
          <w:color w:val="000000" w:themeColor="text1"/>
          <w:sz w:val="52"/>
          <w:szCs w:val="52"/>
          <w:highlight w:val="none"/>
          <w14:textFill>
            <w14:solidFill>
              <w14:schemeClr w14:val="tx1"/>
            </w14:solidFill>
          </w14:textFill>
        </w:rPr>
      </w:pPr>
    </w:p>
    <w:p w14:paraId="5702A656">
      <w:pPr>
        <w:widowControl/>
        <w:spacing w:line="720" w:lineRule="exact"/>
        <w:jc w:val="center"/>
        <w:rPr>
          <w:rFonts w:hint="eastAsia" w:ascii="宋体" w:hAnsi="宋体" w:cs="宋体"/>
          <w:b/>
          <w:bCs/>
          <w:color w:val="000000" w:themeColor="text1"/>
          <w:sz w:val="52"/>
          <w:szCs w:val="52"/>
          <w:highlight w:val="none"/>
          <w14:textFill>
            <w14:solidFill>
              <w14:schemeClr w14:val="tx1"/>
            </w14:solidFill>
          </w14:textFill>
        </w:rPr>
      </w:pPr>
    </w:p>
    <w:p w14:paraId="3817E56B">
      <w:pPr>
        <w:widowControl/>
        <w:spacing w:line="720" w:lineRule="exact"/>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52"/>
          <w:szCs w:val="52"/>
          <w:highlight w:val="none"/>
          <w14:textFill>
            <w14:solidFill>
              <w14:schemeClr w14:val="tx1"/>
            </w14:solidFill>
          </w14:textFill>
        </w:rPr>
        <w:t xml:space="preserve">第六章  </w:t>
      </w:r>
      <w:r>
        <w:rPr>
          <w:rFonts w:hint="eastAsia" w:ascii="宋体" w:hAnsi="宋体" w:cs="宋体"/>
          <w:b/>
          <w:bCs/>
          <w:color w:val="000000" w:themeColor="text1"/>
          <w:sz w:val="52"/>
          <w:szCs w:val="52"/>
          <w:highlight w:val="none"/>
          <w14:textFill>
            <w14:solidFill>
              <w14:schemeClr w14:val="tx1"/>
            </w14:solidFill>
          </w14:textFill>
        </w:rPr>
        <w:tab/>
      </w:r>
      <w:r>
        <w:rPr>
          <w:rFonts w:hint="eastAsia" w:ascii="宋体" w:hAnsi="宋体" w:cs="宋体"/>
          <w:b/>
          <w:bCs/>
          <w:color w:val="000000" w:themeColor="text1"/>
          <w:sz w:val="52"/>
          <w:szCs w:val="52"/>
          <w:highlight w:val="none"/>
          <w14:textFill>
            <w14:solidFill>
              <w14:schemeClr w14:val="tx1"/>
            </w14:solidFill>
          </w14:textFill>
        </w:rPr>
        <w:t>投</w:t>
      </w:r>
      <w:r>
        <w:rPr>
          <w:rFonts w:hint="eastAsia" w:ascii="宋体" w:hAnsi="宋体" w:cs="宋体"/>
          <w:b/>
          <w:bCs/>
          <w:color w:val="000000" w:themeColor="text1"/>
          <w:sz w:val="52"/>
          <w:szCs w:val="52"/>
          <w:highlight w:val="none"/>
          <w14:textFill>
            <w14:solidFill>
              <w14:schemeClr w14:val="tx1"/>
            </w14:solidFill>
          </w14:textFill>
        </w:rPr>
        <w:tab/>
      </w:r>
      <w:r>
        <w:rPr>
          <w:rFonts w:hint="eastAsia" w:ascii="宋体" w:hAnsi="宋体" w:cs="宋体"/>
          <w:b/>
          <w:bCs/>
          <w:color w:val="000000" w:themeColor="text1"/>
          <w:sz w:val="52"/>
          <w:szCs w:val="52"/>
          <w:highlight w:val="none"/>
          <w14:textFill>
            <w14:solidFill>
              <w14:schemeClr w14:val="tx1"/>
            </w14:solidFill>
          </w14:textFill>
        </w:rPr>
        <w:t>标</w:t>
      </w:r>
      <w:r>
        <w:rPr>
          <w:rFonts w:hint="eastAsia" w:ascii="宋体" w:hAnsi="宋体" w:cs="宋体"/>
          <w:b/>
          <w:bCs/>
          <w:color w:val="000000" w:themeColor="text1"/>
          <w:sz w:val="52"/>
          <w:szCs w:val="52"/>
          <w:highlight w:val="none"/>
          <w14:textFill>
            <w14:solidFill>
              <w14:schemeClr w14:val="tx1"/>
            </w14:solidFill>
          </w14:textFill>
        </w:rPr>
        <w:tab/>
      </w:r>
      <w:r>
        <w:rPr>
          <w:rFonts w:hint="eastAsia" w:ascii="宋体" w:hAnsi="宋体" w:cs="宋体"/>
          <w:b/>
          <w:bCs/>
          <w:color w:val="000000" w:themeColor="text1"/>
          <w:sz w:val="52"/>
          <w:szCs w:val="52"/>
          <w:highlight w:val="none"/>
          <w14:textFill>
            <w14:solidFill>
              <w14:schemeClr w14:val="tx1"/>
            </w14:solidFill>
          </w14:textFill>
        </w:rPr>
        <w:t>文</w:t>
      </w:r>
      <w:r>
        <w:rPr>
          <w:rFonts w:hint="eastAsia" w:ascii="宋体" w:hAnsi="宋体" w:cs="宋体"/>
          <w:b/>
          <w:bCs/>
          <w:color w:val="000000" w:themeColor="text1"/>
          <w:sz w:val="52"/>
          <w:szCs w:val="52"/>
          <w:highlight w:val="none"/>
          <w14:textFill>
            <w14:solidFill>
              <w14:schemeClr w14:val="tx1"/>
            </w14:solidFill>
          </w14:textFill>
        </w:rPr>
        <w:tab/>
      </w:r>
      <w:r>
        <w:rPr>
          <w:rFonts w:hint="eastAsia" w:ascii="宋体" w:hAnsi="宋体" w:cs="宋体"/>
          <w:b/>
          <w:bCs/>
          <w:color w:val="000000" w:themeColor="text1"/>
          <w:sz w:val="52"/>
          <w:szCs w:val="52"/>
          <w:highlight w:val="none"/>
          <w14:textFill>
            <w14:solidFill>
              <w14:schemeClr w14:val="tx1"/>
            </w14:solidFill>
          </w14:textFill>
        </w:rPr>
        <w:t>件</w:t>
      </w:r>
    </w:p>
    <w:p w14:paraId="701175E8">
      <w:pPr>
        <w:pStyle w:val="216"/>
        <w:widowControl/>
        <w:rPr>
          <w:rFonts w:hint="eastAsia" w:hAnsi="宋体" w:cs="宋体"/>
          <w:color w:val="000000" w:themeColor="text1"/>
          <w:sz w:val="44"/>
          <w:szCs w:val="44"/>
          <w:highlight w:val="none"/>
          <w14:textFill>
            <w14:solidFill>
              <w14:schemeClr w14:val="tx1"/>
            </w14:solidFill>
          </w14:textFill>
        </w:rPr>
      </w:pPr>
    </w:p>
    <w:p w14:paraId="78BD3F0A">
      <w:pPr>
        <w:pStyle w:val="216"/>
        <w:widowControl/>
        <w:rPr>
          <w:rFonts w:hint="eastAsia" w:hAnsi="宋体" w:cs="宋体"/>
          <w:color w:val="000000" w:themeColor="text1"/>
          <w:sz w:val="32"/>
          <w:highlight w:val="none"/>
          <w14:textFill>
            <w14:solidFill>
              <w14:schemeClr w14:val="tx1"/>
            </w14:solidFill>
          </w14:textFill>
        </w:rPr>
      </w:pPr>
    </w:p>
    <w:p w14:paraId="7A0A5CBB">
      <w:pPr>
        <w:pStyle w:val="216"/>
        <w:widowControl/>
        <w:rPr>
          <w:rFonts w:hint="eastAsia" w:hAnsi="宋体" w:cs="宋体"/>
          <w:color w:val="000000" w:themeColor="text1"/>
          <w:sz w:val="32"/>
          <w:highlight w:val="none"/>
          <w14:textFill>
            <w14:solidFill>
              <w14:schemeClr w14:val="tx1"/>
            </w14:solidFill>
          </w14:textFill>
        </w:rPr>
      </w:pPr>
    </w:p>
    <w:p w14:paraId="4A332347">
      <w:pPr>
        <w:pStyle w:val="216"/>
        <w:widowControl/>
        <w:rPr>
          <w:rFonts w:hint="eastAsia" w:hAnsi="宋体" w:cs="宋体"/>
          <w:color w:val="000000" w:themeColor="text1"/>
          <w:sz w:val="32"/>
          <w:highlight w:val="none"/>
          <w14:textFill>
            <w14:solidFill>
              <w14:schemeClr w14:val="tx1"/>
            </w14:solidFill>
          </w14:textFill>
        </w:rPr>
      </w:pPr>
    </w:p>
    <w:p w14:paraId="66A4B30B">
      <w:pPr>
        <w:pStyle w:val="216"/>
        <w:widowControl/>
        <w:rPr>
          <w:rFonts w:hint="eastAsia" w:hAnsi="宋体" w:cs="宋体"/>
          <w:color w:val="000000" w:themeColor="text1"/>
          <w:sz w:val="32"/>
          <w:highlight w:val="none"/>
          <w14:textFill>
            <w14:solidFill>
              <w14:schemeClr w14:val="tx1"/>
            </w14:solidFill>
          </w14:textFill>
        </w:rPr>
      </w:pPr>
    </w:p>
    <w:p w14:paraId="45BDE738">
      <w:pPr>
        <w:widowControl/>
        <w:spacing w:line="400" w:lineRule="exact"/>
        <w:ind w:firstLine="1084"/>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项目名称:</w:t>
      </w:r>
    </w:p>
    <w:p w14:paraId="65CAEB1F">
      <w:pPr>
        <w:pStyle w:val="216"/>
        <w:widowControl/>
        <w:rPr>
          <w:rFonts w:hint="eastAsia" w:hAnsi="宋体" w:cs="宋体"/>
          <w:color w:val="000000" w:themeColor="text1"/>
          <w:sz w:val="32"/>
          <w:szCs w:val="32"/>
          <w:highlight w:val="none"/>
          <w14:textFill>
            <w14:solidFill>
              <w14:schemeClr w14:val="tx1"/>
            </w14:solidFill>
          </w14:textFill>
        </w:rPr>
      </w:pPr>
    </w:p>
    <w:p w14:paraId="6DAEC91E">
      <w:pPr>
        <w:pStyle w:val="216"/>
        <w:widowControl/>
        <w:rPr>
          <w:rFonts w:hint="eastAsia" w:hAnsi="宋体" w:cs="宋体"/>
          <w:b/>
          <w:color w:val="000000" w:themeColor="text1"/>
          <w:sz w:val="32"/>
          <w:szCs w:val="32"/>
          <w:highlight w:val="none"/>
          <w14:textFill>
            <w14:solidFill>
              <w14:schemeClr w14:val="tx1"/>
            </w14:solidFill>
          </w14:textFill>
        </w:rPr>
      </w:pPr>
    </w:p>
    <w:p w14:paraId="5880A66F">
      <w:pPr>
        <w:pStyle w:val="216"/>
        <w:widowControl/>
        <w:ind w:firstLine="1066"/>
        <w:rPr>
          <w:rFonts w:hint="eastAsia" w:hAnsi="宋体" w:cs="宋体"/>
          <w:b/>
          <w:color w:val="000000" w:themeColor="text1"/>
          <w:sz w:val="32"/>
          <w:szCs w:val="32"/>
          <w:highlight w:val="none"/>
          <w14:textFill>
            <w14:solidFill>
              <w14:schemeClr w14:val="tx1"/>
            </w14:solidFill>
          </w14:textFill>
        </w:rPr>
      </w:pPr>
    </w:p>
    <w:p w14:paraId="0474E34E">
      <w:pPr>
        <w:pStyle w:val="216"/>
        <w:widowControl/>
        <w:ind w:firstLine="1066"/>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项目编号:</w:t>
      </w:r>
    </w:p>
    <w:p w14:paraId="6AA096B0">
      <w:pPr>
        <w:widowControl/>
        <w:spacing w:line="400" w:lineRule="exact"/>
        <w:rPr>
          <w:rFonts w:hint="eastAsia" w:ascii="宋体" w:hAnsi="宋体" w:cs="宋体"/>
          <w:color w:val="000000" w:themeColor="text1"/>
          <w:sz w:val="32"/>
          <w:szCs w:val="32"/>
          <w:highlight w:val="none"/>
          <w14:textFill>
            <w14:solidFill>
              <w14:schemeClr w14:val="tx1"/>
            </w14:solidFill>
          </w14:textFill>
        </w:rPr>
      </w:pPr>
    </w:p>
    <w:p w14:paraId="77DB42B3">
      <w:pPr>
        <w:widowControl/>
        <w:spacing w:line="400" w:lineRule="exact"/>
        <w:rPr>
          <w:rFonts w:hint="eastAsia" w:ascii="宋体" w:hAnsi="宋体" w:cs="宋体"/>
          <w:color w:val="000000" w:themeColor="text1"/>
          <w:sz w:val="32"/>
          <w:szCs w:val="32"/>
          <w:highlight w:val="none"/>
          <w14:textFill>
            <w14:solidFill>
              <w14:schemeClr w14:val="tx1"/>
            </w14:solidFill>
          </w14:textFill>
        </w:rPr>
      </w:pPr>
    </w:p>
    <w:p w14:paraId="2A38BCBF">
      <w:pPr>
        <w:widowControl/>
        <w:spacing w:line="400" w:lineRule="exact"/>
        <w:rPr>
          <w:rFonts w:hint="eastAsia" w:ascii="宋体" w:hAnsi="宋体" w:cs="宋体"/>
          <w:color w:val="000000" w:themeColor="text1"/>
          <w:sz w:val="32"/>
          <w:szCs w:val="32"/>
          <w:highlight w:val="none"/>
          <w14:textFill>
            <w14:solidFill>
              <w14:schemeClr w14:val="tx1"/>
            </w14:solidFill>
          </w14:textFill>
        </w:rPr>
      </w:pPr>
    </w:p>
    <w:p w14:paraId="3A57B5E4">
      <w:pPr>
        <w:widowControl/>
        <w:spacing w:line="400" w:lineRule="exact"/>
        <w:rPr>
          <w:rFonts w:hint="eastAsia" w:ascii="宋体" w:hAnsi="宋体" w:cs="宋体"/>
          <w:color w:val="000000" w:themeColor="text1"/>
          <w:sz w:val="32"/>
          <w:szCs w:val="32"/>
          <w:highlight w:val="none"/>
          <w14:textFill>
            <w14:solidFill>
              <w14:schemeClr w14:val="tx1"/>
            </w14:solidFill>
          </w14:textFill>
        </w:rPr>
      </w:pPr>
    </w:p>
    <w:p w14:paraId="2AEE95A9">
      <w:pPr>
        <w:widowControl/>
        <w:spacing w:line="400" w:lineRule="exact"/>
        <w:rPr>
          <w:rFonts w:hint="eastAsia" w:ascii="宋体" w:hAnsi="宋体" w:cs="宋体"/>
          <w:color w:val="000000" w:themeColor="text1"/>
          <w:sz w:val="32"/>
          <w:szCs w:val="32"/>
          <w:highlight w:val="none"/>
          <w14:textFill>
            <w14:solidFill>
              <w14:schemeClr w14:val="tx1"/>
            </w14:solidFill>
          </w14:textFill>
        </w:rPr>
      </w:pPr>
    </w:p>
    <w:p w14:paraId="5F76AC49">
      <w:pPr>
        <w:widowControl/>
        <w:spacing w:line="400" w:lineRule="exact"/>
        <w:rPr>
          <w:rFonts w:hint="eastAsia" w:ascii="宋体" w:hAnsi="宋体" w:cs="宋体"/>
          <w:color w:val="000000" w:themeColor="text1"/>
          <w:sz w:val="32"/>
          <w:szCs w:val="32"/>
          <w:highlight w:val="none"/>
          <w14:textFill>
            <w14:solidFill>
              <w14:schemeClr w14:val="tx1"/>
            </w14:solidFill>
          </w14:textFill>
        </w:rPr>
      </w:pPr>
    </w:p>
    <w:p w14:paraId="31052932">
      <w:pPr>
        <w:widowControl/>
        <w:spacing w:line="400" w:lineRule="exact"/>
        <w:ind w:firstLine="1066"/>
        <w:rPr>
          <w:rFonts w:hint="eastAsia" w:ascii="宋体" w:hAnsi="宋体" w:cs="宋体"/>
          <w:b/>
          <w:bCs/>
          <w:color w:val="000000" w:themeColor="text1"/>
          <w:sz w:val="32"/>
          <w:szCs w:val="32"/>
          <w:highlight w:val="none"/>
          <w14:textFill>
            <w14:solidFill>
              <w14:schemeClr w14:val="tx1"/>
            </w14:solidFill>
          </w14:textFill>
        </w:rPr>
      </w:pPr>
    </w:p>
    <w:p w14:paraId="74F1403A">
      <w:pPr>
        <w:widowControl/>
        <w:spacing w:line="400" w:lineRule="exact"/>
        <w:ind w:firstLine="1066"/>
        <w:rPr>
          <w:rFonts w:hint="eastAsia" w:ascii="宋体" w:hAnsi="宋体" w:cs="宋体"/>
          <w:b/>
          <w:bCs/>
          <w:color w:val="000000" w:themeColor="text1"/>
          <w:sz w:val="32"/>
          <w:szCs w:val="32"/>
          <w:highlight w:val="none"/>
          <w14:textFill>
            <w14:solidFill>
              <w14:schemeClr w14:val="tx1"/>
            </w14:solidFill>
          </w14:textFill>
        </w:rPr>
      </w:pPr>
    </w:p>
    <w:p w14:paraId="3992F18A">
      <w:pPr>
        <w:widowControl/>
        <w:spacing w:line="400" w:lineRule="exact"/>
        <w:ind w:firstLine="1285" w:firstLineChars="40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投 标 人:</w:t>
      </w:r>
    </w:p>
    <w:p w14:paraId="5F61E389">
      <w:pPr>
        <w:pStyle w:val="216"/>
        <w:widowControl/>
        <w:ind w:firstLine="1904"/>
        <w:rPr>
          <w:rFonts w:hint="eastAsia" w:hAnsi="宋体" w:cs="宋体"/>
          <w:color w:val="000000" w:themeColor="text1"/>
          <w:sz w:val="32"/>
          <w:highlight w:val="none"/>
          <w14:textFill>
            <w14:solidFill>
              <w14:schemeClr w14:val="tx1"/>
            </w14:solidFill>
          </w14:textFill>
        </w:rPr>
      </w:pPr>
    </w:p>
    <w:p w14:paraId="42C7BB70">
      <w:pPr>
        <w:pStyle w:val="216"/>
        <w:widowControl/>
        <w:ind w:firstLine="1904"/>
        <w:rPr>
          <w:rFonts w:hint="eastAsia" w:hAnsi="宋体" w:cs="宋体"/>
          <w:color w:val="000000" w:themeColor="text1"/>
          <w:sz w:val="32"/>
          <w:highlight w:val="none"/>
          <w14:textFill>
            <w14:solidFill>
              <w14:schemeClr w14:val="tx1"/>
            </w14:solidFill>
          </w14:textFill>
        </w:rPr>
      </w:pPr>
    </w:p>
    <w:p w14:paraId="197CE14C">
      <w:pPr>
        <w:pStyle w:val="216"/>
        <w:widowControl/>
        <w:ind w:firstLine="1904"/>
        <w:rPr>
          <w:rFonts w:hint="eastAsia" w:hAnsi="宋体" w:cs="宋体"/>
          <w:color w:val="000000" w:themeColor="text1"/>
          <w:sz w:val="32"/>
          <w:highlight w:val="none"/>
          <w14:textFill>
            <w14:solidFill>
              <w14:schemeClr w14:val="tx1"/>
            </w14:solidFill>
          </w14:textFill>
        </w:rPr>
      </w:pPr>
    </w:p>
    <w:p w14:paraId="6A8F0C39">
      <w:pPr>
        <w:pStyle w:val="216"/>
        <w:widowControl/>
        <w:jc w:val="center"/>
        <w:rPr>
          <w:rFonts w:hint="eastAsia" w:hAnsi="宋体" w:cs="宋体"/>
          <w:b/>
          <w:color w:val="000000" w:themeColor="text1"/>
          <w:sz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二0二四年</w:t>
      </w:r>
      <w:r>
        <w:rPr>
          <w:rFonts w:hint="eastAsia" w:hAnsi="宋体" w:cs="宋体"/>
          <w:b/>
          <w:color w:val="000000" w:themeColor="text1"/>
          <w:sz w:val="32"/>
          <w:szCs w:val="32"/>
          <w:highlight w:val="none"/>
          <w14:textFill>
            <w14:solidFill>
              <w14:schemeClr w14:val="tx1"/>
            </w14:solidFill>
          </w14:textFill>
        </w:rPr>
        <w:tab/>
      </w:r>
      <w:r>
        <w:rPr>
          <w:rFonts w:hint="eastAsia" w:hAnsi="宋体" w:cs="宋体"/>
          <w:b/>
          <w:color w:val="000000" w:themeColor="text1"/>
          <w:sz w:val="32"/>
          <w:szCs w:val="32"/>
          <w:highlight w:val="none"/>
          <w14:textFill>
            <w14:solidFill>
              <w14:schemeClr w14:val="tx1"/>
            </w14:solidFill>
          </w14:textFill>
        </w:rPr>
        <w:tab/>
      </w:r>
      <w:r>
        <w:rPr>
          <w:rFonts w:hint="eastAsia" w:hAnsi="宋体" w:cs="宋体"/>
          <w:b/>
          <w:color w:val="000000" w:themeColor="text1"/>
          <w:sz w:val="32"/>
          <w:szCs w:val="32"/>
          <w:highlight w:val="none"/>
          <w14:textFill>
            <w14:solidFill>
              <w14:schemeClr w14:val="tx1"/>
            </w14:solidFill>
          </w14:textFill>
        </w:rPr>
        <w:t>月</w:t>
      </w:r>
      <w:r>
        <w:rPr>
          <w:rFonts w:hint="eastAsia" w:hAnsi="宋体" w:cs="宋体"/>
          <w:b/>
          <w:color w:val="000000" w:themeColor="text1"/>
          <w:sz w:val="32"/>
          <w:szCs w:val="32"/>
          <w:highlight w:val="none"/>
          <w14:textFill>
            <w14:solidFill>
              <w14:schemeClr w14:val="tx1"/>
            </w14:solidFill>
          </w14:textFill>
        </w:rPr>
        <w:tab/>
      </w:r>
      <w:r>
        <w:rPr>
          <w:rFonts w:hint="eastAsia" w:hAnsi="宋体" w:cs="宋体"/>
          <w:b/>
          <w:color w:val="000000" w:themeColor="text1"/>
          <w:sz w:val="32"/>
          <w:szCs w:val="32"/>
          <w:highlight w:val="none"/>
          <w14:textFill>
            <w14:solidFill>
              <w14:schemeClr w14:val="tx1"/>
            </w14:solidFill>
          </w14:textFill>
        </w:rPr>
        <w:tab/>
      </w:r>
      <w:r>
        <w:rPr>
          <w:rFonts w:hint="eastAsia" w:hAnsi="宋体" w:cs="宋体"/>
          <w:b/>
          <w:color w:val="000000" w:themeColor="text1"/>
          <w:sz w:val="32"/>
          <w:szCs w:val="32"/>
          <w:highlight w:val="none"/>
          <w14:textFill>
            <w14:solidFill>
              <w14:schemeClr w14:val="tx1"/>
            </w14:solidFill>
          </w14:textFill>
        </w:rPr>
        <w:t>日</w:t>
      </w:r>
    </w:p>
    <w:p w14:paraId="2128F7B3">
      <w:pPr>
        <w:widowControl/>
        <w:spacing w:line="600" w:lineRule="exact"/>
        <w:rPr>
          <w:rFonts w:hint="eastAsia" w:ascii="宋体" w:hAnsi="宋体" w:cs="宋体"/>
          <w:b/>
          <w:bCs/>
          <w:color w:val="000000" w:themeColor="text1"/>
          <w:sz w:val="28"/>
          <w:szCs w:val="28"/>
          <w:highlight w:val="none"/>
          <w:lang w:val="zh-CN"/>
          <w14:textFill>
            <w14:solidFill>
              <w14:schemeClr w14:val="tx1"/>
            </w14:solidFill>
          </w14:textFill>
        </w:rPr>
      </w:pPr>
    </w:p>
    <w:p w14:paraId="6FA00A95">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7B94DF82">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5A36E12A">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4DD68521">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一、投标函</w:t>
      </w:r>
    </w:p>
    <w:p w14:paraId="77F62C5D">
      <w:pPr>
        <w:pStyle w:val="216"/>
        <w:widowControl/>
        <w:spacing w:line="440" w:lineRule="exact"/>
        <w:ind w:left="560" w:hanging="480" w:hanging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u w:val="single"/>
          <w14:textFill>
            <w14:solidFill>
              <w14:schemeClr w14:val="tx1"/>
            </w14:solidFill>
          </w14:textFill>
        </w:rPr>
        <w:t xml:space="preserve">   （招标人单位名称）    </w:t>
      </w:r>
      <w:r>
        <w:rPr>
          <w:rFonts w:hint="eastAsia" w:hAnsi="宋体" w:cs="宋体"/>
          <w:color w:val="000000" w:themeColor="text1"/>
          <w:sz w:val="24"/>
          <w:szCs w:val="24"/>
          <w:highlight w:val="none"/>
          <w14:textFill>
            <w14:solidFill>
              <w14:schemeClr w14:val="tx1"/>
            </w14:solidFill>
          </w14:textFill>
        </w:rPr>
        <w:t>:</w:t>
      </w:r>
    </w:p>
    <w:p w14:paraId="56088321">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采购项目（项目编号:</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）招标文件（包括更正公告、如果有的话）收悉，我们经详细审阅和研究，现决定参加投标。同时，正式授权下述签字人</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（姓名和职务）代表</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（投标人单位名称），全权处理本次项目投标的有关事宜。</w:t>
      </w:r>
    </w:p>
    <w:p w14:paraId="10BA7F19">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1.一旦我方中标，我方将派出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（姓名、证书、证书号、身份证号）作为本项目的项目负责人（项目经理）。</w:t>
      </w:r>
    </w:p>
    <w:p w14:paraId="4E1173DF">
      <w:pPr>
        <w:pStyle w:val="273"/>
        <w:widowControl/>
        <w:spacing w:before="0" w:after="0" w:line="440" w:lineRule="exact"/>
        <w:ind w:firstLine="480" w:firstLineChars="20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.我公司不存在“负责人为同一人或者存在直接控股、管理关系的不同</w:t>
      </w:r>
      <w:r>
        <w:rPr>
          <w:rFonts w:hint="eastAsia" w:ascii="宋体" w:hAnsi="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，同时参加同一合同项下的政府采购活动”的情况。</w:t>
      </w:r>
    </w:p>
    <w:p w14:paraId="40491536">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.我公司没有为本项目提供整体设计、规范编制或者项目管理、监理、检测等服务。</w:t>
      </w:r>
    </w:p>
    <w:p w14:paraId="69FB4EE6">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.参加本次采购活动前，我方没有被“信用中国”网站、“中国政府采购网”列入失信被执行人名单、重大税收违法案件当事人名单、政府采购严重违法失信行为记录名单。</w:t>
      </w:r>
    </w:p>
    <w:p w14:paraId="78650198">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.我们接受招标文件的所有的条款和规定。</w:t>
      </w:r>
    </w:p>
    <w:p w14:paraId="17DD5D34">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p>
    <w:p w14:paraId="12A9B7E2">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.我们理解，你们无义务必须接受投标价最低的投标。同时也理解你们不承担我们本次投标的费用。</w:t>
      </w:r>
    </w:p>
    <w:p w14:paraId="2123AA65">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.我们同意向贵方提供贵方可能要求的与投标有关的任何证据或资料，并保证所提供的都是真实的、准确的。</w:t>
      </w:r>
    </w:p>
    <w:p w14:paraId="5A8E739C">
      <w:pPr>
        <w:pStyle w:val="273"/>
        <w:widowControl/>
        <w:spacing w:before="0" w:after="0" w:line="440" w:lineRule="exact"/>
        <w:ind w:firstLine="480" w:firstLineChars="20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.一旦我方中标，我方将根据招标文件的规定，严格履行合同的责任和义务，并保证在按招标文件中规定的时间内供货，并完成项目的施工、调试、交付买方验收、使用。</w:t>
      </w:r>
    </w:p>
    <w:p w14:paraId="6C5143A6">
      <w:pPr>
        <w:pStyle w:val="273"/>
        <w:widowControl/>
        <w:spacing w:before="0" w:after="0" w:line="640" w:lineRule="exact"/>
        <w:ind w:left="0" w:leftChars="0" w:firstLine="3120" w:firstLineChars="1300"/>
        <w:jc w:val="both"/>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投标人名称（电子签章）:</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7DD24120">
      <w:pPr>
        <w:pStyle w:val="273"/>
        <w:widowControl/>
        <w:spacing w:before="0" w:after="0" w:line="640" w:lineRule="exact"/>
        <w:ind w:firstLine="2940"/>
        <w:jc w:val="both"/>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邮编:</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4D2D6D42">
      <w:pPr>
        <w:pStyle w:val="273"/>
        <w:widowControl/>
        <w:spacing w:before="0" w:after="0" w:line="640" w:lineRule="exact"/>
        <w:ind w:firstLine="2940"/>
        <w:jc w:val="both"/>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传真: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12E0EE52">
      <w:pPr>
        <w:pStyle w:val="273"/>
        <w:widowControl/>
        <w:spacing w:before="0" w:after="0" w:line="640" w:lineRule="exact"/>
        <w:ind w:firstLine="294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日</w:t>
      </w:r>
    </w:p>
    <w:p w14:paraId="77CB8B2E">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1DCF8B03">
      <w:pPr>
        <w:pStyle w:val="216"/>
        <w:widowControl/>
        <w:spacing w:line="640" w:lineRule="exact"/>
        <w:jc w:val="center"/>
        <w:rPr>
          <w:rFonts w:hint="eastAsia" w:hAnsi="宋体" w:cs="宋体"/>
          <w:b/>
          <w:color w:val="000000" w:themeColor="text1"/>
          <w:sz w:val="44"/>
          <w:szCs w:val="44"/>
          <w:highlight w:val="none"/>
          <w14:textFill>
            <w14:solidFill>
              <w14:schemeClr w14:val="tx1"/>
            </w14:solidFill>
          </w14:textFill>
        </w:rPr>
      </w:pPr>
      <w:r>
        <w:rPr>
          <w:rFonts w:hint="eastAsia" w:hAnsi="宋体" w:cs="宋体"/>
          <w:b/>
          <w:color w:val="000000" w:themeColor="text1"/>
          <w:sz w:val="44"/>
          <w:szCs w:val="44"/>
          <w:highlight w:val="none"/>
          <w14:textFill>
            <w14:solidFill>
              <w14:schemeClr w14:val="tx1"/>
            </w14:solidFill>
          </w14:textFill>
        </w:rPr>
        <w:t>二、开标一览表</w:t>
      </w:r>
    </w:p>
    <w:p w14:paraId="0696C4B2">
      <w:pPr>
        <w:widowControl/>
        <w:spacing w:line="440" w:lineRule="exact"/>
        <w:ind w:firstLine="3036"/>
        <w:rPr>
          <w:rFonts w:hint="eastAsia" w:ascii="宋体" w:hAnsi="宋体" w:cs="宋体"/>
          <w:b/>
          <w:color w:val="000000" w:themeColor="text1"/>
          <w:sz w:val="32"/>
          <w:szCs w:val="32"/>
          <w:highlight w:val="none"/>
          <w14:textFill>
            <w14:solidFill>
              <w14:schemeClr w14:val="tx1"/>
            </w14:solidFill>
          </w14:textFill>
        </w:rPr>
      </w:pPr>
    </w:p>
    <w:tbl>
      <w:tblPr>
        <w:tblStyle w:val="38"/>
        <w:tblW w:w="88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88"/>
        <w:gridCol w:w="7111"/>
      </w:tblGrid>
      <w:tr w14:paraId="39E3B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48" w:hRule="exact"/>
        </w:trPr>
        <w:tc>
          <w:tcPr>
            <w:tcW w:w="1788" w:type="dxa"/>
            <w:noWrap w:val="0"/>
            <w:vAlign w:val="center"/>
          </w:tcPr>
          <w:p w14:paraId="04F32D11">
            <w:pPr>
              <w:widowControl/>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项目名称</w:t>
            </w:r>
          </w:p>
        </w:tc>
        <w:tc>
          <w:tcPr>
            <w:tcW w:w="7111" w:type="dxa"/>
            <w:noWrap w:val="0"/>
            <w:vAlign w:val="center"/>
          </w:tcPr>
          <w:p w14:paraId="2AAA2431">
            <w:pPr>
              <w:widowControl/>
              <w:rPr>
                <w:rFonts w:hint="eastAsia" w:ascii="宋体" w:hAnsi="宋体" w:cs="宋体"/>
                <w:color w:val="000000" w:themeColor="text1"/>
                <w:sz w:val="28"/>
                <w:szCs w:val="28"/>
                <w:highlight w:val="none"/>
                <w14:textFill>
                  <w14:solidFill>
                    <w14:schemeClr w14:val="tx1"/>
                  </w14:solidFill>
                </w14:textFill>
              </w:rPr>
            </w:pPr>
          </w:p>
        </w:tc>
      </w:tr>
      <w:tr w14:paraId="0BAF5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00" w:hRule="atLeast"/>
        </w:trPr>
        <w:tc>
          <w:tcPr>
            <w:tcW w:w="1788" w:type="dxa"/>
            <w:noWrap w:val="0"/>
            <w:vAlign w:val="center"/>
          </w:tcPr>
          <w:p w14:paraId="073E44B4">
            <w:pPr>
              <w:widowControl/>
              <w:spacing w:line="720" w:lineRule="exact"/>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投标报价</w:t>
            </w:r>
          </w:p>
          <w:p w14:paraId="4A72B5E9">
            <w:pPr>
              <w:widowControl/>
              <w:spacing w:line="720" w:lineRule="exact"/>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总计</w:t>
            </w:r>
          </w:p>
        </w:tc>
        <w:tc>
          <w:tcPr>
            <w:tcW w:w="7111" w:type="dxa"/>
            <w:noWrap w:val="0"/>
            <w:vAlign w:val="center"/>
          </w:tcPr>
          <w:p w14:paraId="5E262439">
            <w:pPr>
              <w:widowControl/>
              <w:spacing w:line="720" w:lineRule="exact"/>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（小写）¥</w:t>
            </w:r>
            <w:r>
              <w:rPr>
                <w:rFonts w:hint="eastAsia" w:ascii="宋体" w:hAnsi="宋体" w:cs="宋体"/>
                <w:color w:val="000000" w:themeColor="text1"/>
                <w:sz w:val="28"/>
                <w:szCs w:val="28"/>
                <w:highlight w:val="none"/>
                <w:u w:val="single"/>
                <w14:textFill>
                  <w14:solidFill>
                    <w14:schemeClr w14:val="tx1"/>
                  </w14:solidFill>
                </w14:textFill>
              </w:rPr>
              <w:t xml:space="preserve">                                  </w:t>
            </w:r>
          </w:p>
          <w:p w14:paraId="33BDB08F">
            <w:pPr>
              <w:widowControl/>
              <w:spacing w:line="72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拾</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万</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仟</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佰</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拾</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元整</w:t>
            </w:r>
          </w:p>
        </w:tc>
      </w:tr>
      <w:tr w14:paraId="631CC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267" w:hRule="atLeast"/>
        </w:trPr>
        <w:tc>
          <w:tcPr>
            <w:tcW w:w="1788" w:type="dxa"/>
            <w:noWrap w:val="0"/>
            <w:vAlign w:val="center"/>
          </w:tcPr>
          <w:p w14:paraId="6AD94097">
            <w:pPr>
              <w:widowControl/>
              <w:spacing w:line="520" w:lineRule="exact"/>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服务时间</w:t>
            </w:r>
          </w:p>
        </w:tc>
        <w:tc>
          <w:tcPr>
            <w:tcW w:w="7111" w:type="dxa"/>
            <w:noWrap w:val="0"/>
            <w:vAlign w:val="center"/>
          </w:tcPr>
          <w:p w14:paraId="78BE577B">
            <w:pPr>
              <w:widowControl/>
              <w:spacing w:line="520" w:lineRule="exact"/>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按招标文件要求执行。</w:t>
            </w:r>
          </w:p>
        </w:tc>
      </w:tr>
    </w:tbl>
    <w:p w14:paraId="15FF5A2A">
      <w:pPr>
        <w:widowControl/>
        <w:spacing w:line="440" w:lineRule="exact"/>
        <w:ind w:firstLine="411"/>
        <w:rPr>
          <w:rFonts w:hint="eastAsia" w:ascii="宋体" w:hAnsi="宋体" w:cs="宋体"/>
          <w:color w:val="000000" w:themeColor="text1"/>
          <w:sz w:val="28"/>
          <w:szCs w:val="28"/>
          <w:highlight w:val="none"/>
          <w14:textFill>
            <w14:solidFill>
              <w14:schemeClr w14:val="tx1"/>
            </w14:solidFill>
          </w14:textFill>
        </w:rPr>
      </w:pPr>
      <w:bookmarkStart w:id="37" w:name="_Toc157775459"/>
      <w:bookmarkStart w:id="38" w:name="_Toc136924766"/>
    </w:p>
    <w:p w14:paraId="23E5EF04">
      <w:pPr>
        <w:widowControl/>
        <w:spacing w:line="440" w:lineRule="exact"/>
        <w:ind w:firstLine="411"/>
        <w:rPr>
          <w:rFonts w:hint="eastAsia" w:ascii="宋体" w:hAnsi="宋体" w:cs="宋体"/>
          <w:color w:val="000000" w:themeColor="text1"/>
          <w:sz w:val="28"/>
          <w:szCs w:val="28"/>
          <w:highlight w:val="none"/>
          <w14:textFill>
            <w14:solidFill>
              <w14:schemeClr w14:val="tx1"/>
            </w14:solidFill>
          </w14:textFill>
        </w:rPr>
      </w:pPr>
    </w:p>
    <w:bookmarkEnd w:id="37"/>
    <w:bookmarkEnd w:id="38"/>
    <w:p w14:paraId="711F93BD">
      <w:pPr>
        <w:pStyle w:val="216"/>
        <w:widowControl/>
        <w:ind w:firstLine="2875"/>
        <w:rPr>
          <w:rFonts w:hint="eastAsia" w:hAnsi="宋体" w:cs="宋体"/>
          <w:b/>
          <w:color w:val="000000" w:themeColor="text1"/>
          <w:sz w:val="32"/>
          <w:szCs w:val="32"/>
          <w:highlight w:val="none"/>
          <w14:textFill>
            <w14:solidFill>
              <w14:schemeClr w14:val="tx1"/>
            </w14:solidFill>
          </w14:textFill>
        </w:rPr>
      </w:pPr>
      <w:bookmarkStart w:id="39" w:name="_Toc157775468"/>
    </w:p>
    <w:p w14:paraId="4E03CBC3">
      <w:pPr>
        <w:pStyle w:val="216"/>
        <w:widowControl/>
        <w:ind w:firstLine="2875"/>
        <w:rPr>
          <w:rFonts w:hint="eastAsia" w:hAnsi="宋体" w:cs="宋体"/>
          <w:b/>
          <w:color w:val="000000" w:themeColor="text1"/>
          <w:sz w:val="32"/>
          <w:szCs w:val="32"/>
          <w:highlight w:val="none"/>
          <w14:textFill>
            <w14:solidFill>
              <w14:schemeClr w14:val="tx1"/>
            </w14:solidFill>
          </w14:textFill>
        </w:rPr>
      </w:pPr>
    </w:p>
    <w:p w14:paraId="676D65E7">
      <w:pPr>
        <w:pStyle w:val="216"/>
        <w:widowControl/>
        <w:ind w:firstLine="2875"/>
        <w:rPr>
          <w:rFonts w:hint="eastAsia" w:hAnsi="宋体" w:cs="宋体"/>
          <w:b/>
          <w:color w:val="000000" w:themeColor="text1"/>
          <w:sz w:val="32"/>
          <w:szCs w:val="32"/>
          <w:highlight w:val="none"/>
          <w14:textFill>
            <w14:solidFill>
              <w14:schemeClr w14:val="tx1"/>
            </w14:solidFill>
          </w14:textFill>
        </w:rPr>
      </w:pPr>
    </w:p>
    <w:p w14:paraId="3CE53E60">
      <w:pPr>
        <w:pStyle w:val="273"/>
        <w:widowControl/>
        <w:spacing w:before="0" w:after="0" w:line="640" w:lineRule="exact"/>
        <w:ind w:firstLine="2940"/>
        <w:jc w:val="both"/>
        <w:rPr>
          <w:rFonts w:hint="eastAsia" w:ascii="宋体" w:hAnsi="宋体" w:cs="宋体"/>
          <w:color w:val="000000" w:themeColor="text1"/>
          <w:sz w:val="28"/>
          <w:highlight w:val="none"/>
          <w:u w:val="singl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投标人名称（电子签章）:</w:t>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p>
    <w:p w14:paraId="09C91319">
      <w:pPr>
        <w:pStyle w:val="273"/>
        <w:widowControl/>
        <w:spacing w:before="0" w:after="0" w:line="640" w:lineRule="exact"/>
        <w:ind w:firstLine="2940"/>
        <w:jc w:val="both"/>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地址:</w:t>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邮编:</w:t>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14:textFill>
            <w14:solidFill>
              <w14:schemeClr w14:val="tx1"/>
            </w14:solidFill>
          </w14:textFill>
        </w:rPr>
        <w:tab/>
      </w:r>
    </w:p>
    <w:p w14:paraId="13ADA54D">
      <w:pPr>
        <w:pStyle w:val="273"/>
        <w:widowControl/>
        <w:spacing w:before="0" w:after="0" w:line="640" w:lineRule="exact"/>
        <w:ind w:firstLine="2940"/>
        <w:jc w:val="both"/>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电话:</w:t>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传真:</w:t>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r>
        <w:rPr>
          <w:rFonts w:hint="eastAsia" w:ascii="宋体" w:hAnsi="宋体" w:cs="宋体"/>
          <w:color w:val="000000" w:themeColor="text1"/>
          <w:sz w:val="28"/>
          <w:szCs w:val="28"/>
          <w:highlight w:val="none"/>
          <w:u w:val="single"/>
          <w14:textFill>
            <w14:solidFill>
              <w14:schemeClr w14:val="tx1"/>
            </w14:solidFill>
          </w14:textFill>
        </w:rPr>
        <w:tab/>
      </w:r>
    </w:p>
    <w:p w14:paraId="562B7C65">
      <w:pPr>
        <w:pStyle w:val="273"/>
        <w:widowControl/>
        <w:spacing w:before="0" w:after="0" w:line="640" w:lineRule="exact"/>
        <w:ind w:firstLine="2940"/>
        <w:jc w:val="both"/>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日期:</w:t>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14:textFill>
            <w14:solidFill>
              <w14:schemeClr w14:val="tx1"/>
            </w14:solidFill>
          </w14:textFill>
        </w:rPr>
        <w:t>年</w:t>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14:textFill>
            <w14:solidFill>
              <w14:schemeClr w14:val="tx1"/>
            </w14:solidFill>
          </w14:textFill>
        </w:rPr>
        <w:t>月</w:t>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14:textFill>
            <w14:solidFill>
              <w14:schemeClr w14:val="tx1"/>
            </w14:solidFill>
          </w14:textFill>
        </w:rPr>
        <w:t>日</w:t>
      </w:r>
    </w:p>
    <w:p w14:paraId="002D67B7">
      <w:pPr>
        <w:pStyle w:val="216"/>
        <w:widowControl/>
        <w:rPr>
          <w:rFonts w:hint="eastAsia" w:hAnsi="宋体" w:cs="宋体"/>
          <w:b/>
          <w:color w:val="000000" w:themeColor="text1"/>
          <w:sz w:val="32"/>
          <w:szCs w:val="32"/>
          <w:highlight w:val="none"/>
          <w14:textFill>
            <w14:solidFill>
              <w14:schemeClr w14:val="tx1"/>
            </w14:solidFill>
          </w14:textFill>
        </w:rPr>
      </w:pPr>
    </w:p>
    <w:p w14:paraId="3856FC2A">
      <w:pPr>
        <w:pStyle w:val="216"/>
        <w:widowControl/>
        <w:rPr>
          <w:rFonts w:hint="eastAsia" w:hAnsi="宋体" w:cs="宋体"/>
          <w:b/>
          <w:color w:val="000000" w:themeColor="text1"/>
          <w:sz w:val="32"/>
          <w:szCs w:val="32"/>
          <w:highlight w:val="none"/>
          <w14:textFill>
            <w14:solidFill>
              <w14:schemeClr w14:val="tx1"/>
            </w14:solidFill>
          </w14:textFill>
        </w:rPr>
      </w:pPr>
    </w:p>
    <w:p w14:paraId="1A0E4726">
      <w:pPr>
        <w:widowControl/>
        <w:spacing w:line="520" w:lineRule="exact"/>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bidi="ar"/>
          <w14:textFill>
            <w14:solidFill>
              <w14:schemeClr w14:val="tx1"/>
            </w14:solidFill>
          </w14:textFill>
        </w:rPr>
        <w:t xml:space="preserve">注: </w:t>
      </w:r>
    </w:p>
    <w:p w14:paraId="7356BD97">
      <w:pPr>
        <w:widowControl/>
        <w:spacing w:line="520" w:lineRule="exact"/>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bidi="ar"/>
          <w14:textFill>
            <w14:solidFill>
              <w14:schemeClr w14:val="tx1"/>
            </w14:solidFill>
          </w14:textFill>
        </w:rPr>
        <w:t xml:space="preserve">（1）投标报价总计为招标文件第二章第 11 条所述内容。 </w:t>
      </w:r>
    </w:p>
    <w:p w14:paraId="7731616C">
      <w:pPr>
        <w:widowControl/>
        <w:spacing w:line="520" w:lineRule="exact"/>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bidi="ar"/>
          <w14:textFill>
            <w14:solidFill>
              <w14:schemeClr w14:val="tx1"/>
            </w14:solidFill>
          </w14:textFill>
        </w:rPr>
        <w:t>（2）开标一览表格式不得自行改动。</w:t>
      </w:r>
    </w:p>
    <w:p w14:paraId="5F7BCB74">
      <w:pPr>
        <w:pStyle w:val="216"/>
        <w:widowControl/>
        <w:rPr>
          <w:rFonts w:hint="eastAsia" w:hAnsi="宋体" w:cs="宋体"/>
          <w:b/>
          <w:color w:val="000000" w:themeColor="text1"/>
          <w:sz w:val="32"/>
          <w:szCs w:val="32"/>
          <w:highlight w:val="none"/>
          <w14:textFill>
            <w14:solidFill>
              <w14:schemeClr w14:val="tx1"/>
            </w14:solidFill>
          </w14:textFill>
        </w:rPr>
        <w:sectPr>
          <w:pgSz w:w="11906" w:h="16838"/>
          <w:pgMar w:top="1361" w:right="1304" w:bottom="1134" w:left="1587" w:header="850" w:footer="992" w:gutter="0"/>
          <w:pgNumType w:fmt="numberInDash"/>
          <w:cols w:space="720" w:num="1"/>
          <w:docGrid w:linePitch="360" w:charSpace="0"/>
        </w:sectPr>
      </w:pPr>
    </w:p>
    <w:p w14:paraId="512B1D90">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三、投标报价明细表</w:t>
      </w:r>
    </w:p>
    <w:p w14:paraId="22B2ED52">
      <w:pPr>
        <w:pStyle w:val="216"/>
        <w:widowControl/>
        <w:spacing w:line="640" w:lineRule="exact"/>
        <w:rPr>
          <w:rFonts w:hint="eastAsia" w:hAnsi="宋体" w:cs="宋体"/>
          <w:b/>
          <w:color w:val="000000" w:themeColor="text1"/>
          <w:sz w:val="24"/>
          <w:szCs w:val="24"/>
          <w:highlight w:val="none"/>
          <w:u w:val="singl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项目名称：</w:t>
      </w:r>
      <w:r>
        <w:rPr>
          <w:rFonts w:hint="eastAsia" w:hAnsi="宋体" w:cs="宋体"/>
          <w:bCs/>
          <w:color w:val="000000" w:themeColor="text1"/>
          <w:sz w:val="24"/>
          <w:szCs w:val="24"/>
          <w:highlight w:val="none"/>
          <w:u w:val="single"/>
          <w14:textFill>
            <w14:solidFill>
              <w14:schemeClr w14:val="tx1"/>
            </w14:solidFill>
          </w14:textFill>
        </w:rPr>
        <w:t xml:space="preserve">                  </w:t>
      </w:r>
    </w:p>
    <w:tbl>
      <w:tblPr>
        <w:tblStyle w:val="38"/>
        <w:tblW w:w="937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37"/>
        <w:gridCol w:w="2533"/>
        <w:gridCol w:w="1506"/>
        <w:gridCol w:w="1404"/>
        <w:gridCol w:w="1440"/>
        <w:gridCol w:w="1352"/>
      </w:tblGrid>
      <w:tr w14:paraId="446453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11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9A40CB">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序号</w:t>
            </w:r>
          </w:p>
        </w:tc>
        <w:tc>
          <w:tcPr>
            <w:tcW w:w="25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FB4955">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服务（项目）名称</w:t>
            </w:r>
          </w:p>
        </w:tc>
        <w:tc>
          <w:tcPr>
            <w:tcW w:w="150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D4886D">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费用构成</w:t>
            </w:r>
          </w:p>
        </w:tc>
        <w:tc>
          <w:tcPr>
            <w:tcW w:w="14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5415BC">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单价（元）</w:t>
            </w:r>
          </w:p>
        </w:tc>
        <w:tc>
          <w:tcPr>
            <w:tcW w:w="14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FDE460">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合计（元）</w:t>
            </w:r>
          </w:p>
        </w:tc>
        <w:tc>
          <w:tcPr>
            <w:tcW w:w="13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B2085B">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备注</w:t>
            </w:r>
          </w:p>
        </w:tc>
      </w:tr>
      <w:tr w14:paraId="7D5135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8" w:hRule="atLeast"/>
        </w:trPr>
        <w:tc>
          <w:tcPr>
            <w:tcW w:w="11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6BE4F4">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5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5EAA97">
            <w:pPr>
              <w:widowControl/>
              <w:pBdr>
                <w:top w:val="none" w:color="000000" w:sz="0" w:space="0"/>
                <w:left w:val="none" w:color="000000" w:sz="0" w:space="0"/>
                <w:bottom w:val="none" w:color="000000" w:sz="0" w:space="0"/>
                <w:right w:val="none" w:color="000000" w:sz="0" w:space="0"/>
              </w:pBdr>
              <w:spacing w:line="360" w:lineRule="exact"/>
              <w:ind w:firstLine="236"/>
              <w:jc w:val="center"/>
              <w:rPr>
                <w:rFonts w:hint="eastAsia" w:ascii="宋体" w:hAnsi="宋体" w:cs="宋体"/>
                <w:color w:val="000000" w:themeColor="text1"/>
                <w:sz w:val="24"/>
                <w:szCs w:val="24"/>
                <w:highlight w:val="none"/>
                <w14:textFill>
                  <w14:solidFill>
                    <w14:schemeClr w14:val="tx1"/>
                  </w14:solidFill>
                </w14:textFill>
              </w:rPr>
            </w:pPr>
          </w:p>
        </w:tc>
        <w:tc>
          <w:tcPr>
            <w:tcW w:w="15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C9C984">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5F3959">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5870D5">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E56932">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r>
      <w:tr w14:paraId="2F0C5C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8" w:hRule="atLeast"/>
        </w:trPr>
        <w:tc>
          <w:tcPr>
            <w:tcW w:w="11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777FA5">
            <w:pPr>
              <w:widowControl/>
              <w:pBdr>
                <w:top w:val="none" w:color="000000" w:sz="0" w:space="0"/>
                <w:left w:val="none" w:color="000000" w:sz="0" w:space="0"/>
                <w:bottom w:val="none" w:color="000000" w:sz="0" w:space="0"/>
                <w:right w:val="none" w:color="000000" w:sz="0" w:space="0"/>
              </w:pBdr>
              <w:spacing w:line="36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5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DD0010">
            <w:pPr>
              <w:widowControl/>
              <w:pBdr>
                <w:top w:val="none" w:color="000000" w:sz="0" w:space="0"/>
                <w:left w:val="none" w:color="000000" w:sz="0" w:space="0"/>
                <w:bottom w:val="none" w:color="000000" w:sz="0" w:space="0"/>
                <w:right w:val="none" w:color="000000" w:sz="0" w:space="0"/>
              </w:pBdr>
              <w:spacing w:line="360" w:lineRule="exact"/>
              <w:ind w:firstLine="236"/>
              <w:jc w:val="center"/>
              <w:rPr>
                <w:rFonts w:hint="eastAsia" w:ascii="宋体" w:hAnsi="宋体" w:cs="宋体"/>
                <w:color w:val="000000" w:themeColor="text1"/>
                <w:sz w:val="24"/>
                <w:szCs w:val="24"/>
                <w:highlight w:val="none"/>
                <w14:textFill>
                  <w14:solidFill>
                    <w14:schemeClr w14:val="tx1"/>
                  </w14:solidFill>
                </w14:textFill>
              </w:rPr>
            </w:pPr>
          </w:p>
        </w:tc>
        <w:tc>
          <w:tcPr>
            <w:tcW w:w="15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DF140E">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4FC35F">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44AFA8">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275242">
            <w:pPr>
              <w:widowControl/>
              <w:pBdr>
                <w:top w:val="none" w:color="000000" w:sz="0" w:space="0"/>
                <w:left w:val="none" w:color="000000" w:sz="0" w:space="0"/>
                <w:bottom w:val="none" w:color="000000" w:sz="0" w:space="0"/>
                <w:right w:val="none" w:color="000000" w:sz="0" w:space="0"/>
              </w:pBdr>
              <w:spacing w:line="360" w:lineRule="exact"/>
              <w:ind w:firstLine="235"/>
              <w:jc w:val="center"/>
              <w:rPr>
                <w:rFonts w:hint="eastAsia" w:ascii="宋体" w:hAnsi="宋体" w:cs="宋体"/>
                <w:color w:val="000000" w:themeColor="text1"/>
                <w:sz w:val="24"/>
                <w:szCs w:val="24"/>
                <w:highlight w:val="none"/>
                <w14:textFill>
                  <w14:solidFill>
                    <w14:schemeClr w14:val="tx1"/>
                  </w14:solidFill>
                </w14:textFill>
              </w:rPr>
            </w:pPr>
          </w:p>
        </w:tc>
      </w:tr>
      <w:tr w14:paraId="0B0A32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8" w:hRule="atLeast"/>
        </w:trPr>
        <w:tc>
          <w:tcPr>
            <w:tcW w:w="11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DCED39">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p>
        </w:tc>
        <w:tc>
          <w:tcPr>
            <w:tcW w:w="25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F28947">
            <w:pPr>
              <w:widowControl/>
              <w:pBdr>
                <w:top w:val="none" w:color="000000" w:sz="0" w:space="0"/>
                <w:left w:val="none" w:color="000000" w:sz="0" w:space="0"/>
                <w:bottom w:val="none" w:color="000000" w:sz="0" w:space="0"/>
                <w:right w:val="none" w:color="000000" w:sz="0" w:space="0"/>
              </w:pBdr>
              <w:spacing w:line="439" w:lineRule="atLeast"/>
              <w:ind w:firstLine="236"/>
              <w:jc w:val="center"/>
              <w:rPr>
                <w:rFonts w:hint="eastAsia" w:ascii="宋体" w:hAnsi="宋体" w:cs="宋体"/>
                <w:color w:val="000000" w:themeColor="text1"/>
                <w:sz w:val="24"/>
                <w:szCs w:val="24"/>
                <w:highlight w:val="none"/>
                <w14:textFill>
                  <w14:solidFill>
                    <w14:schemeClr w14:val="tx1"/>
                  </w14:solidFill>
                </w14:textFill>
              </w:rPr>
            </w:pPr>
          </w:p>
        </w:tc>
        <w:tc>
          <w:tcPr>
            <w:tcW w:w="150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B745BF">
            <w:pPr>
              <w:widowControl/>
              <w:pBdr>
                <w:top w:val="none" w:color="000000" w:sz="0" w:space="0"/>
                <w:left w:val="none" w:color="000000" w:sz="0" w:space="0"/>
                <w:bottom w:val="none" w:color="000000" w:sz="0" w:space="0"/>
                <w:right w:val="none" w:color="000000" w:sz="0" w:space="0"/>
              </w:pBdr>
              <w:spacing w:line="439" w:lineRule="atLeas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4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FE08D0">
            <w:pPr>
              <w:widowControl/>
              <w:pBdr>
                <w:top w:val="none" w:color="000000" w:sz="0" w:space="0"/>
                <w:left w:val="none" w:color="000000" w:sz="0" w:space="0"/>
                <w:bottom w:val="none" w:color="000000" w:sz="0" w:space="0"/>
                <w:right w:val="none" w:color="000000" w:sz="0" w:space="0"/>
              </w:pBdr>
              <w:spacing w:line="439" w:lineRule="atLeas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40B804">
            <w:pPr>
              <w:widowControl/>
              <w:pBdr>
                <w:top w:val="none" w:color="000000" w:sz="0" w:space="0"/>
                <w:left w:val="none" w:color="000000" w:sz="0" w:space="0"/>
                <w:bottom w:val="none" w:color="000000" w:sz="0" w:space="0"/>
                <w:right w:val="none" w:color="000000" w:sz="0" w:space="0"/>
              </w:pBdr>
              <w:spacing w:line="439" w:lineRule="atLeast"/>
              <w:ind w:firstLine="235"/>
              <w:jc w:val="center"/>
              <w:rPr>
                <w:rFonts w:hint="eastAsia" w:ascii="宋体" w:hAnsi="宋体" w:cs="宋体"/>
                <w:color w:val="000000" w:themeColor="text1"/>
                <w:sz w:val="24"/>
                <w:szCs w:val="24"/>
                <w:highlight w:val="none"/>
                <w14:textFill>
                  <w14:solidFill>
                    <w14:schemeClr w14:val="tx1"/>
                  </w14:solidFill>
                </w14:textFill>
              </w:rPr>
            </w:pPr>
          </w:p>
        </w:tc>
        <w:tc>
          <w:tcPr>
            <w:tcW w:w="1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DEC95B">
            <w:pPr>
              <w:widowControl/>
              <w:pBdr>
                <w:top w:val="none" w:color="000000" w:sz="0" w:space="0"/>
                <w:left w:val="none" w:color="000000" w:sz="0" w:space="0"/>
                <w:bottom w:val="none" w:color="000000" w:sz="0" w:space="0"/>
                <w:right w:val="none" w:color="000000" w:sz="0" w:space="0"/>
              </w:pBdr>
              <w:spacing w:line="439" w:lineRule="atLeast"/>
              <w:ind w:firstLine="235"/>
              <w:jc w:val="center"/>
              <w:rPr>
                <w:rFonts w:hint="eastAsia" w:ascii="宋体" w:hAnsi="宋体" w:cs="宋体"/>
                <w:color w:val="000000" w:themeColor="text1"/>
                <w:sz w:val="24"/>
                <w:szCs w:val="24"/>
                <w:highlight w:val="none"/>
                <w14:textFill>
                  <w14:solidFill>
                    <w14:schemeClr w14:val="tx1"/>
                  </w14:solidFill>
                </w14:textFill>
              </w:rPr>
            </w:pPr>
          </w:p>
        </w:tc>
      </w:tr>
      <w:tr w14:paraId="262CE4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1" w:hRule="atLeast"/>
        </w:trPr>
        <w:tc>
          <w:tcPr>
            <w:tcW w:w="6580" w:type="dxa"/>
            <w:gridSpan w:val="4"/>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7C188D">
            <w:pPr>
              <w:widowControl/>
              <w:pBdr>
                <w:top w:val="none" w:color="000000" w:sz="0" w:space="0"/>
                <w:left w:val="none" w:color="000000" w:sz="0" w:space="0"/>
                <w:bottom w:val="none" w:color="000000" w:sz="0" w:space="0"/>
                <w:right w:val="none" w:color="000000" w:sz="0" w:space="0"/>
              </w:pBdr>
              <w:spacing w:line="439" w:lineRule="atLeast"/>
              <w:ind w:firstLine="442"/>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费用合计</w:t>
            </w: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CBF36D">
            <w:pPr>
              <w:widowControl/>
              <w:pBdr>
                <w:top w:val="none" w:color="000000" w:sz="0" w:space="0"/>
                <w:left w:val="none" w:color="000000" w:sz="0" w:space="0"/>
                <w:bottom w:val="none" w:color="000000" w:sz="0" w:space="0"/>
                <w:right w:val="none" w:color="000000" w:sz="0" w:space="0"/>
              </w:pBdr>
              <w:spacing w:line="439" w:lineRule="atLeast"/>
              <w:ind w:firstLine="440"/>
              <w:jc w:val="center"/>
              <w:rPr>
                <w:rFonts w:hint="eastAsia" w:ascii="宋体" w:hAnsi="宋体" w:cs="宋体"/>
                <w:color w:val="000000" w:themeColor="text1"/>
                <w:sz w:val="24"/>
                <w:szCs w:val="24"/>
                <w:highlight w:val="none"/>
                <w14:textFill>
                  <w14:solidFill>
                    <w14:schemeClr w14:val="tx1"/>
                  </w14:solidFill>
                </w14:textFill>
              </w:rPr>
            </w:pPr>
          </w:p>
        </w:tc>
        <w:tc>
          <w:tcPr>
            <w:tcW w:w="13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4412EE">
            <w:pPr>
              <w:widowControl/>
              <w:pBdr>
                <w:top w:val="none" w:color="000000" w:sz="0" w:space="0"/>
                <w:left w:val="none" w:color="000000" w:sz="0" w:space="0"/>
                <w:bottom w:val="none" w:color="000000" w:sz="0" w:space="0"/>
                <w:right w:val="none" w:color="000000" w:sz="0" w:space="0"/>
              </w:pBdr>
              <w:spacing w:line="439" w:lineRule="atLeast"/>
              <w:ind w:firstLine="215"/>
              <w:jc w:val="center"/>
              <w:rPr>
                <w:rFonts w:hint="eastAsia" w:ascii="宋体" w:hAnsi="宋体" w:cs="宋体"/>
                <w:color w:val="000000" w:themeColor="text1"/>
                <w:sz w:val="24"/>
                <w:szCs w:val="24"/>
                <w:highlight w:val="none"/>
                <w14:textFill>
                  <w14:solidFill>
                    <w14:schemeClr w14:val="tx1"/>
                  </w14:solidFill>
                </w14:textFill>
              </w:rPr>
            </w:pPr>
          </w:p>
        </w:tc>
      </w:tr>
    </w:tbl>
    <w:p w14:paraId="1AD325D5">
      <w:pPr>
        <w:pStyle w:val="216"/>
        <w:widowControl/>
        <w:rPr>
          <w:rFonts w:hint="eastAsia" w:hAnsi="宋体" w:cs="宋体"/>
          <w:b/>
          <w:color w:val="000000" w:themeColor="text1"/>
          <w:sz w:val="32"/>
          <w:szCs w:val="32"/>
          <w:highlight w:val="none"/>
          <w14:textFill>
            <w14:solidFill>
              <w14:schemeClr w14:val="tx1"/>
            </w14:solidFill>
          </w14:textFill>
        </w:rPr>
      </w:pPr>
    </w:p>
    <w:p w14:paraId="55ED0DCE">
      <w:pPr>
        <w:pStyle w:val="216"/>
        <w:widowControl/>
        <w:spacing w:line="440" w:lineRule="exact"/>
        <w:ind w:firstLine="241" w:firstLineChars="100"/>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备注：</w:t>
      </w:r>
    </w:p>
    <w:p w14:paraId="3AD2DA9A">
      <w:pPr>
        <w:pStyle w:val="216"/>
        <w:widowControl/>
        <w:spacing w:line="440" w:lineRule="exact"/>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1.此表为表样，行数可自行添加，但表式不变；</w:t>
      </w:r>
    </w:p>
    <w:p w14:paraId="0538BEA0">
      <w:pPr>
        <w:pStyle w:val="216"/>
        <w:widowControl/>
        <w:spacing w:line="440" w:lineRule="exact"/>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2.上述表中的单价为全费用单价，应包括招标人需求的养护维护服务、质量保证费用及后期服务费用，项目在指定地点实施所需的人工费、材料费、车辆、设备、仪器、交通工具、通讯、食宿、劳保、福利、服装等费用和所有相关税金、管理费、利润及为完成整个项目所产生的其它所有费用。</w:t>
      </w:r>
    </w:p>
    <w:p w14:paraId="47325E62">
      <w:pPr>
        <w:pStyle w:val="216"/>
        <w:widowControl/>
        <w:spacing w:line="440" w:lineRule="exact"/>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3.“投标报价明细表”中“费用合计（投标总报价）”数额应当与“开标一览表”中“投标报价总计”数额一致。</w:t>
      </w:r>
    </w:p>
    <w:p w14:paraId="4ACBD77F">
      <w:pPr>
        <w:pStyle w:val="216"/>
        <w:widowControl/>
        <w:spacing w:line="440" w:lineRule="exact"/>
        <w:ind w:firstLine="411"/>
        <w:rPr>
          <w:rFonts w:hint="eastAsia" w:hAnsi="宋体" w:cs="宋体"/>
          <w:color w:val="000000" w:themeColor="text1"/>
          <w:sz w:val="24"/>
          <w:szCs w:val="24"/>
          <w:highlight w:val="none"/>
          <w14:textFill>
            <w14:solidFill>
              <w14:schemeClr w14:val="tx1"/>
            </w14:solidFill>
          </w14:textFill>
        </w:rPr>
      </w:pPr>
    </w:p>
    <w:p w14:paraId="01CC0AA9">
      <w:pPr>
        <w:pStyle w:val="216"/>
        <w:widowControl/>
        <w:spacing w:line="440" w:lineRule="exact"/>
        <w:rPr>
          <w:rFonts w:hint="eastAsia" w:hAnsi="宋体" w:cs="宋体"/>
          <w:b/>
          <w:color w:val="000000" w:themeColor="text1"/>
          <w:sz w:val="24"/>
          <w:szCs w:val="24"/>
          <w:highlight w:val="none"/>
          <w14:textFill>
            <w14:solidFill>
              <w14:schemeClr w14:val="tx1"/>
            </w14:solidFill>
          </w14:textFill>
        </w:rPr>
      </w:pPr>
    </w:p>
    <w:p w14:paraId="28217876">
      <w:pPr>
        <w:pStyle w:val="216"/>
        <w:widowControl/>
        <w:spacing w:line="440" w:lineRule="exact"/>
        <w:rPr>
          <w:rFonts w:hint="eastAsia" w:hAnsi="宋体" w:cs="宋体"/>
          <w:b/>
          <w:color w:val="000000" w:themeColor="text1"/>
          <w:sz w:val="24"/>
          <w:szCs w:val="24"/>
          <w:highlight w:val="none"/>
          <w14:textFill>
            <w14:solidFill>
              <w14:schemeClr w14:val="tx1"/>
            </w14:solidFill>
          </w14:textFill>
        </w:rPr>
      </w:pPr>
    </w:p>
    <w:p w14:paraId="5F40A950">
      <w:pPr>
        <w:pStyle w:val="216"/>
        <w:widowControl/>
        <w:spacing w:line="440" w:lineRule="exact"/>
        <w:rPr>
          <w:rFonts w:hint="eastAsia" w:hAnsi="宋体" w:cs="宋体"/>
          <w:b/>
          <w:color w:val="000000" w:themeColor="text1"/>
          <w:sz w:val="24"/>
          <w:szCs w:val="24"/>
          <w:highlight w:val="none"/>
          <w14:textFill>
            <w14:solidFill>
              <w14:schemeClr w14:val="tx1"/>
            </w14:solidFill>
          </w14:textFill>
        </w:rPr>
      </w:pPr>
    </w:p>
    <w:p w14:paraId="409A1AB5">
      <w:pPr>
        <w:pStyle w:val="273"/>
        <w:widowControl/>
        <w:spacing w:before="0" w:after="0" w:line="640" w:lineRule="exact"/>
        <w:ind w:firstLine="2940"/>
        <w:jc w:val="both"/>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投标人名称（电子签章）:</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3670A6EF">
      <w:pPr>
        <w:pStyle w:val="273"/>
        <w:widowControl/>
        <w:spacing w:before="0" w:after="0" w:line="640" w:lineRule="exact"/>
        <w:ind w:firstLine="2940"/>
        <w:jc w:val="both"/>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地址:</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邮编:</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0595E479">
      <w:pPr>
        <w:pStyle w:val="273"/>
        <w:widowControl/>
        <w:spacing w:before="0" w:after="0" w:line="640" w:lineRule="exact"/>
        <w:ind w:firstLine="2940"/>
        <w:jc w:val="both"/>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传真: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p>
    <w:p w14:paraId="4430678B">
      <w:pPr>
        <w:pStyle w:val="273"/>
        <w:widowControl/>
        <w:spacing w:before="0" w:after="0" w:line="640" w:lineRule="exact"/>
        <w:ind w:firstLine="2940"/>
        <w:jc w:val="both"/>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日期:</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日</w:t>
      </w:r>
    </w:p>
    <w:p w14:paraId="6B654239">
      <w:pPr>
        <w:pStyle w:val="216"/>
        <w:widowControl/>
        <w:spacing w:line="440" w:lineRule="exact"/>
        <w:rPr>
          <w:rFonts w:hint="eastAsia" w:hAnsi="宋体" w:cs="宋体"/>
          <w:b/>
          <w:color w:val="000000" w:themeColor="text1"/>
          <w:sz w:val="24"/>
          <w:szCs w:val="24"/>
          <w:highlight w:val="none"/>
          <w14:textFill>
            <w14:solidFill>
              <w14:schemeClr w14:val="tx1"/>
            </w14:solidFill>
          </w14:textFill>
        </w:rPr>
        <w:sectPr>
          <w:pgSz w:w="11906" w:h="16838"/>
          <w:pgMar w:top="1361" w:right="1304" w:bottom="1134" w:left="1587" w:header="850" w:footer="992" w:gutter="0"/>
          <w:pgNumType w:fmt="numberInDash"/>
          <w:cols w:space="720" w:num="1"/>
          <w:docGrid w:linePitch="360" w:charSpace="0"/>
        </w:sectPr>
      </w:pPr>
    </w:p>
    <w:bookmarkEnd w:id="39"/>
    <w:p w14:paraId="1AA1A2C3">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四、服务响应偏离表</w:t>
      </w:r>
    </w:p>
    <w:p w14:paraId="0BF7117F">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（根据招标文件第五章项目采购需求的内容填写）</w:t>
      </w:r>
    </w:p>
    <w:p w14:paraId="549E45A4">
      <w:pPr>
        <w:widowControl/>
        <w:pBdr>
          <w:top w:val="none" w:color="000000" w:sz="0" w:space="0"/>
          <w:left w:val="none" w:color="000000" w:sz="0" w:space="0"/>
          <w:bottom w:val="none" w:color="000000" w:sz="0" w:space="0"/>
          <w:right w:val="none" w:color="000000" w:sz="0" w:space="0"/>
        </w:pBdr>
        <w:spacing w:line="439"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项目名称：</w:t>
      </w:r>
      <w:r>
        <w:rPr>
          <w:rFonts w:hint="eastAsia" w:ascii="宋体" w:hAnsi="宋体" w:cs="宋体"/>
          <w:bCs/>
          <w:color w:val="000000" w:themeColor="text1"/>
          <w:sz w:val="28"/>
          <w:szCs w:val="28"/>
          <w:highlight w:val="none"/>
          <w:u w:val="single"/>
          <w14:textFill>
            <w14:solidFill>
              <w14:schemeClr w14:val="tx1"/>
            </w14:solidFill>
          </w14:textFill>
        </w:rPr>
        <w:t xml:space="preserve">                  </w:t>
      </w:r>
    </w:p>
    <w:tbl>
      <w:tblPr>
        <w:tblStyle w:val="38"/>
        <w:tblW w:w="93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77"/>
        <w:gridCol w:w="3642"/>
        <w:gridCol w:w="2373"/>
        <w:gridCol w:w="1174"/>
        <w:gridCol w:w="1411"/>
      </w:tblGrid>
      <w:tr w14:paraId="432804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3"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420F7FD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序号</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74BD51F5">
            <w:pPr>
              <w:widowControl/>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采购要求</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7A631D3E">
            <w:pPr>
              <w:widowControl/>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响应标准</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81A8B56">
            <w:pPr>
              <w:widowControl/>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是否</w:t>
            </w:r>
          </w:p>
          <w:p w14:paraId="755679BB">
            <w:pPr>
              <w:widowControl/>
              <w:pBdr>
                <w:top w:val="none" w:color="000000" w:sz="0" w:space="0"/>
                <w:left w:val="none" w:color="000000" w:sz="0" w:space="0"/>
                <w:bottom w:val="none" w:color="000000" w:sz="0" w:space="0"/>
                <w:right w:val="none" w:color="000000" w:sz="0" w:space="0"/>
              </w:pBdr>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偏离</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E834A30">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备注</w:t>
            </w:r>
          </w:p>
        </w:tc>
      </w:tr>
      <w:tr w14:paraId="601747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2E50C07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47586328">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64461DA">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886478B">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7324CBB9">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04A2BF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4CB9A81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2</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34EBCB59">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FE95805">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3E0CC162">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6C12A7D9">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486CC1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3CC822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3</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766E4209">
            <w:pPr>
              <w:widowControl/>
              <w:pBdr>
                <w:top w:val="none" w:color="000000" w:sz="0" w:space="0"/>
                <w:left w:val="none" w:color="000000" w:sz="0" w:space="0"/>
                <w:bottom w:val="none" w:color="000000" w:sz="0" w:space="0"/>
                <w:right w:val="none" w:color="000000" w:sz="0" w:space="0"/>
              </w:pBdr>
              <w:ind w:firstLine="43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3F05C7CD">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4F65078A">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2E30152C">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7221E1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7F2A8AFE">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4</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E07E1B2">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CDA2E47">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68C4DED1">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30F2873">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041EF2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2AF5CF5E">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5</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0F5E635C">
            <w:pPr>
              <w:widowControl/>
              <w:pBdr>
                <w:top w:val="none" w:color="000000" w:sz="0" w:space="0"/>
                <w:left w:val="none" w:color="000000" w:sz="0" w:space="0"/>
                <w:bottom w:val="none" w:color="000000" w:sz="0" w:space="0"/>
                <w:right w:val="none" w:color="000000" w:sz="0" w:space="0"/>
              </w:pBdr>
              <w:ind w:firstLine="43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0CA36F0D">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8D51628">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C646064">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2BB6BD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EE123E6">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6</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03491795">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0B81A4B">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350F5BC2">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731D10D6">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1D9F3C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39221BF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7</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23D7DE36">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491E4BD">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6734D15">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A0DF5A9">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03D4F4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0198DB1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8</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79621D15">
            <w:pPr>
              <w:widowControl/>
              <w:pBdr>
                <w:top w:val="none" w:color="000000" w:sz="0" w:space="0"/>
                <w:left w:val="none" w:color="000000" w:sz="0" w:space="0"/>
                <w:bottom w:val="none" w:color="000000" w:sz="0" w:space="0"/>
                <w:right w:val="none" w:color="000000" w:sz="0" w:space="0"/>
              </w:pBdr>
              <w:ind w:firstLine="43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0BCFD35">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0BD54A36">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237164C0">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50D3EF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400266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9</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00C354D9">
            <w:pPr>
              <w:widowControl/>
              <w:pBdr>
                <w:top w:val="none" w:color="000000" w:sz="0" w:space="0"/>
                <w:left w:val="none" w:color="000000" w:sz="0" w:space="0"/>
                <w:bottom w:val="none" w:color="000000" w:sz="0" w:space="0"/>
                <w:right w:val="none" w:color="000000" w:sz="0" w:space="0"/>
              </w:pBdr>
              <w:ind w:firstLine="43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797A3E0">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363F9853">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494A68DA">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r w14:paraId="6C7D40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77"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6DEEF05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10</w:t>
            </w:r>
          </w:p>
        </w:tc>
        <w:tc>
          <w:tcPr>
            <w:tcW w:w="3642"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25F34788">
            <w:pPr>
              <w:widowControl/>
              <w:pBdr>
                <w:top w:val="none" w:color="000000" w:sz="0" w:space="0"/>
                <w:left w:val="none" w:color="000000" w:sz="0" w:space="0"/>
                <w:bottom w:val="none" w:color="000000" w:sz="0" w:space="0"/>
                <w:right w:val="none" w:color="000000" w:sz="0" w:space="0"/>
              </w:pBdr>
              <w:ind w:firstLine="43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6"/>
                <w:sz w:val="22"/>
                <w:highlight w:val="none"/>
                <w14:textFill>
                  <w14:solidFill>
                    <w14:schemeClr w14:val="tx1"/>
                  </w14:solidFill>
                </w14:textFill>
              </w:rPr>
              <w:t> </w:t>
            </w:r>
          </w:p>
        </w:tc>
        <w:tc>
          <w:tcPr>
            <w:tcW w:w="2373"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5ED37213">
            <w:pPr>
              <w:widowControl/>
              <w:pBdr>
                <w:top w:val="none" w:color="000000" w:sz="0" w:space="0"/>
                <w:left w:val="none" w:color="000000" w:sz="0" w:space="0"/>
                <w:bottom w:val="none" w:color="000000" w:sz="0" w:space="0"/>
                <w:right w:val="none" w:color="000000" w:sz="0" w:space="0"/>
              </w:pBdr>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174"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1106D8CA">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c>
          <w:tcPr>
            <w:tcW w:w="1411" w:type="dxa"/>
            <w:tcBorders>
              <w:top w:val="single" w:color="auto" w:sz="4" w:space="0"/>
              <w:left w:val="single" w:color="auto" w:sz="4" w:space="0"/>
              <w:bottom w:val="single" w:color="auto" w:sz="4" w:space="0"/>
              <w:right w:val="single" w:color="auto" w:sz="4" w:space="0"/>
            </w:tcBorders>
            <w:noWrap w:val="0"/>
            <w:tcMar>
              <w:top w:w="0" w:type="dxa"/>
              <w:left w:w="3" w:type="dxa"/>
              <w:bottom w:w="0" w:type="dxa"/>
              <w:right w:w="3" w:type="dxa"/>
            </w:tcMar>
            <w:vAlign w:val="center"/>
          </w:tcPr>
          <w:p w14:paraId="653DD8C6">
            <w:pPr>
              <w:widowControl/>
              <w:pBdr>
                <w:top w:val="none" w:color="000000" w:sz="0" w:space="0"/>
                <w:left w:val="none" w:color="000000" w:sz="0" w:space="0"/>
                <w:bottom w:val="none" w:color="000000" w:sz="0" w:space="0"/>
                <w:right w:val="none" w:color="000000" w:sz="0" w:space="0"/>
              </w:pBdr>
              <w:spacing w:line="85" w:lineRule="atLeast"/>
              <w:ind w:firstLine="44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w:t>
            </w:r>
          </w:p>
        </w:tc>
      </w:tr>
    </w:tbl>
    <w:p w14:paraId="12A0A110">
      <w:pPr>
        <w:widowControl/>
        <w:pBdr>
          <w:top w:val="none" w:color="000000" w:sz="0" w:space="0"/>
          <w:left w:val="none" w:color="000000" w:sz="0" w:space="0"/>
          <w:bottom w:val="none" w:color="000000" w:sz="0" w:space="0"/>
          <w:right w:val="none" w:color="000000" w:sz="0" w:space="0"/>
        </w:pBdr>
        <w:spacing w:line="439" w:lineRule="atLeast"/>
        <w:ind w:firstLine="48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p w14:paraId="78B2CE0B">
      <w:pPr>
        <w:widowControl/>
        <w:pBdr>
          <w:top w:val="none" w:color="000000" w:sz="0" w:space="0"/>
          <w:left w:val="none" w:color="000000" w:sz="0" w:space="0"/>
          <w:bottom w:val="none" w:color="000000" w:sz="0" w:space="0"/>
          <w:right w:val="none" w:color="000000" w:sz="0" w:space="0"/>
        </w:pBdr>
        <w:spacing w:line="560" w:lineRule="exact"/>
        <w:ind w:firstLine="24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投标人：</w:t>
      </w:r>
      <w:r>
        <w:rPr>
          <w:rFonts w:hint="eastAsia" w:ascii="宋体" w:hAnsi="宋体" w:cs="宋体"/>
          <w:color w:val="000000" w:themeColor="text1"/>
          <w:sz w:val="28"/>
          <w:szCs w:val="28"/>
          <w:highlight w:val="none"/>
          <w:u w:val="single"/>
          <w14:textFill>
            <w14:solidFill>
              <w14:schemeClr w14:val="tx1"/>
            </w14:solidFill>
          </w14:textFill>
        </w:rPr>
        <w:t xml:space="preserve">    （电子签章）   </w:t>
      </w:r>
      <w:r>
        <w:rPr>
          <w:rFonts w:hint="eastAsia" w:ascii="宋体" w:hAnsi="宋体" w:cs="宋体"/>
          <w:color w:val="000000" w:themeColor="text1"/>
          <w:sz w:val="28"/>
          <w:szCs w:val="28"/>
          <w:highlight w:val="none"/>
          <w14:textFill>
            <w14:solidFill>
              <w14:schemeClr w14:val="tx1"/>
            </w14:solidFill>
          </w14:textFill>
        </w:rPr>
        <w:t>    </w:t>
      </w:r>
    </w:p>
    <w:p w14:paraId="2D4F04BC">
      <w:pPr>
        <w:widowControl/>
        <w:pBdr>
          <w:top w:val="none" w:color="000000" w:sz="0" w:space="0"/>
          <w:left w:val="none" w:color="000000" w:sz="0" w:space="0"/>
          <w:bottom w:val="none" w:color="000000" w:sz="0" w:space="0"/>
          <w:right w:val="none" w:color="000000" w:sz="0" w:space="0"/>
        </w:pBdr>
        <w:spacing w:line="560" w:lineRule="exact"/>
        <w:ind w:firstLine="141"/>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法定代表人（负责人）或其委托代理人：</w:t>
      </w:r>
      <w:r>
        <w:rPr>
          <w:rFonts w:hint="eastAsia" w:ascii="宋体" w:hAnsi="宋体" w:cs="宋体"/>
          <w:color w:val="000000" w:themeColor="text1"/>
          <w:sz w:val="28"/>
          <w:szCs w:val="28"/>
          <w:highlight w:val="none"/>
          <w:u w:val="single"/>
          <w14:textFill>
            <w14:solidFill>
              <w14:schemeClr w14:val="tx1"/>
            </w14:solidFill>
          </w14:textFill>
        </w:rPr>
        <w:t>（电子签章或电子签字）</w:t>
      </w:r>
    </w:p>
    <w:p w14:paraId="64B393FA">
      <w:pPr>
        <w:widowControl/>
        <w:pBdr>
          <w:top w:val="none" w:color="000000" w:sz="0" w:space="0"/>
          <w:left w:val="none" w:color="000000" w:sz="0" w:space="0"/>
          <w:bottom w:val="none" w:color="000000" w:sz="0" w:space="0"/>
          <w:right w:val="none" w:color="000000" w:sz="0" w:space="0"/>
        </w:pBdr>
        <w:spacing w:line="560" w:lineRule="exact"/>
        <w:ind w:firstLine="141"/>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日期：</w:t>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14:textFill>
            <w14:solidFill>
              <w14:schemeClr w14:val="tx1"/>
            </w14:solidFill>
          </w14:textFill>
        </w:rPr>
        <w:t>年</w:t>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14:textFill>
            <w14:solidFill>
              <w14:schemeClr w14:val="tx1"/>
            </w14:solidFill>
          </w14:textFill>
        </w:rPr>
        <w:t>月</w:t>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u w:val="single"/>
          <w14:textFill>
            <w14:solidFill>
              <w14:schemeClr w14:val="tx1"/>
            </w14:solidFill>
          </w14:textFill>
        </w:rPr>
        <w:tab/>
      </w:r>
      <w:r>
        <w:rPr>
          <w:rFonts w:hint="eastAsia" w:ascii="宋体" w:hAnsi="宋体" w:cs="宋体"/>
          <w:color w:val="000000" w:themeColor="text1"/>
          <w:sz w:val="28"/>
          <w:highlight w:val="none"/>
          <w14:textFill>
            <w14:solidFill>
              <w14:schemeClr w14:val="tx1"/>
            </w14:solidFill>
          </w14:textFill>
        </w:rPr>
        <w:t>日</w:t>
      </w:r>
    </w:p>
    <w:p w14:paraId="5C2B3A6F">
      <w:pPr>
        <w:widowControl/>
        <w:pBdr>
          <w:top w:val="none" w:color="000000" w:sz="0" w:space="0"/>
          <w:left w:val="none" w:color="000000" w:sz="0" w:space="0"/>
          <w:bottom w:val="none" w:color="000000" w:sz="0" w:space="0"/>
          <w:right w:val="none" w:color="000000" w:sz="0" w:space="0"/>
        </w:pBdr>
        <w:spacing w:line="519" w:lineRule="atLeast"/>
        <w:ind w:firstLine="562"/>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w:t>
      </w:r>
    </w:p>
    <w:p w14:paraId="170F2BE6">
      <w:pPr>
        <w:widowControl/>
        <w:pBdr>
          <w:top w:val="none" w:color="000000" w:sz="0" w:space="0"/>
          <w:left w:val="none" w:color="000000" w:sz="0" w:space="0"/>
          <w:bottom w:val="none" w:color="000000" w:sz="0" w:space="0"/>
          <w:right w:val="none" w:color="000000" w:sz="0" w:space="0"/>
        </w:pBdr>
        <w:spacing w:line="519" w:lineRule="atLeast"/>
        <w:ind w:firstLine="562"/>
        <w:rPr>
          <w:rFonts w:hint="eastAsia" w:ascii="宋体" w:hAnsi="宋体" w:cs="宋体"/>
          <w:color w:val="000000" w:themeColor="text1"/>
          <w:sz w:val="28"/>
          <w:highlight w:val="none"/>
          <w14:textFill>
            <w14:solidFill>
              <w14:schemeClr w14:val="tx1"/>
            </w14:solidFill>
          </w14:textFill>
        </w:rPr>
      </w:pPr>
    </w:p>
    <w:p w14:paraId="61E3430C">
      <w:pPr>
        <w:widowControl/>
        <w:pBdr>
          <w:top w:val="none" w:color="000000" w:sz="0" w:space="0"/>
          <w:left w:val="none" w:color="000000" w:sz="0" w:space="0"/>
          <w:bottom w:val="none" w:color="000000" w:sz="0" w:space="0"/>
          <w:right w:val="none" w:color="000000" w:sz="0" w:space="0"/>
        </w:pBdr>
        <w:spacing w:line="519" w:lineRule="atLeast"/>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注：</w:t>
      </w:r>
    </w:p>
    <w:p w14:paraId="79B76541">
      <w:pPr>
        <w:widowControl/>
        <w:pBdr>
          <w:top w:val="none" w:color="000000" w:sz="0" w:space="0"/>
          <w:left w:val="none" w:color="000000" w:sz="0" w:space="0"/>
          <w:bottom w:val="none" w:color="000000" w:sz="0" w:space="0"/>
          <w:right w:val="none" w:color="000000" w:sz="0" w:space="0"/>
        </w:pBdr>
        <w:spacing w:line="519" w:lineRule="atLeast"/>
        <w:ind w:firstLine="280" w:firstLineChars="1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（1）此表为表样，行数可自行添加，但表式不变。 </w:t>
      </w:r>
    </w:p>
    <w:p w14:paraId="2EBB3C44">
      <w:pPr>
        <w:widowControl/>
        <w:pBdr>
          <w:top w:val="none" w:color="000000" w:sz="0" w:space="0"/>
          <w:left w:val="none" w:color="000000" w:sz="0" w:space="0"/>
          <w:bottom w:val="none" w:color="000000" w:sz="0" w:space="0"/>
          <w:right w:val="none" w:color="000000" w:sz="0" w:space="0"/>
        </w:pBdr>
        <w:spacing w:line="519" w:lineRule="atLeast"/>
        <w:ind w:firstLine="280" w:firstLineChars="10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（2）是否偏离用符号“+、=、-”分别表示正偏离、完全响应、负偏离。 </w:t>
      </w:r>
    </w:p>
    <w:p w14:paraId="6BC1CEF7">
      <w:pPr>
        <w:widowControl/>
        <w:pBdr>
          <w:top w:val="none" w:color="000000" w:sz="0" w:space="0"/>
          <w:left w:val="none" w:color="000000" w:sz="0" w:space="0"/>
          <w:bottom w:val="none" w:color="000000" w:sz="0" w:space="0"/>
          <w:right w:val="none" w:color="000000" w:sz="0" w:space="0"/>
        </w:pBdr>
        <w:rPr>
          <w:rFonts w:hint="eastAsia" w:ascii="宋体" w:hAnsi="宋体" w:cs="宋体"/>
          <w:color w:val="000000" w:themeColor="text1"/>
          <w:highlight w:val="none"/>
          <w14:textFill>
            <w14:solidFill>
              <w14:schemeClr w14:val="tx1"/>
            </w14:solidFill>
          </w14:textFill>
        </w:rPr>
      </w:pPr>
    </w:p>
    <w:p w14:paraId="7D161EBC">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64009B40">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五、资质审查时投标人必须提供的资格证明文件</w:t>
      </w:r>
    </w:p>
    <w:p w14:paraId="7E116B8B">
      <w:pPr>
        <w:pStyle w:val="216"/>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1.提供下列材料之一:</w:t>
      </w:r>
    </w:p>
    <w:p w14:paraId="6687674E">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（1）投标人提供</w:t>
      </w:r>
      <w:r>
        <w:rPr>
          <w:rFonts w:hint="eastAsia" w:ascii="宋体" w:hAnsi="宋体" w:cs="宋体"/>
          <w:bCs/>
          <w:color w:val="000000" w:themeColor="text1"/>
          <w:sz w:val="24"/>
          <w:szCs w:val="24"/>
          <w:highlight w:val="none"/>
          <w14:textFill>
            <w14:solidFill>
              <w14:schemeClr w14:val="tx1"/>
            </w14:solidFill>
          </w14:textFill>
        </w:rPr>
        <w:t>法定代表人资格证明</w:t>
      </w:r>
      <w:r>
        <w:rPr>
          <w:rFonts w:hint="eastAsia" w:ascii="宋体" w:hAnsi="宋体" w:cs="宋体"/>
          <w:color w:val="000000" w:themeColor="text1"/>
          <w:sz w:val="24"/>
          <w:szCs w:val="24"/>
          <w:highlight w:val="none"/>
          <w14:textFill>
            <w14:solidFill>
              <w14:schemeClr w14:val="tx1"/>
            </w14:solidFill>
          </w14:textFill>
        </w:rPr>
        <w:t>（格式详见示范格式一）和</w:t>
      </w:r>
      <w:r>
        <w:rPr>
          <w:rFonts w:hint="eastAsia" w:ascii="宋体" w:hAnsi="宋体" w:cs="宋体"/>
          <w:bCs/>
          <w:color w:val="000000" w:themeColor="text1"/>
          <w:sz w:val="24"/>
          <w:szCs w:val="24"/>
          <w:highlight w:val="none"/>
          <w14:textFill>
            <w14:solidFill>
              <w14:schemeClr w14:val="tx1"/>
            </w14:solidFill>
          </w14:textFill>
        </w:rPr>
        <w:t>法定代表人身份证；（</w:t>
      </w:r>
      <w:r>
        <w:rPr>
          <w:rFonts w:hint="eastAsia" w:ascii="宋体" w:hAnsi="宋体" w:cs="宋体"/>
          <w:color w:val="000000" w:themeColor="text1"/>
          <w:sz w:val="24"/>
          <w:szCs w:val="24"/>
          <w:highlight w:val="none"/>
          <w:lang w:val="zh-CN"/>
          <w14:textFill>
            <w14:solidFill>
              <w14:schemeClr w14:val="tx1"/>
            </w14:solidFill>
          </w14:textFill>
        </w:rPr>
        <w:t>提供原件扫描件加盖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bCs/>
          <w:color w:val="000000" w:themeColor="text1"/>
          <w:sz w:val="24"/>
          <w:szCs w:val="24"/>
          <w:highlight w:val="none"/>
          <w14:textFill>
            <w14:solidFill>
              <w14:schemeClr w14:val="tx1"/>
            </w14:solidFill>
          </w14:textFill>
        </w:rPr>
        <w:t>）</w:t>
      </w:r>
    </w:p>
    <w:p w14:paraId="6EBDD169">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（2）投标人提供授权委托书（格式详见示范格式二）和</w:t>
      </w:r>
      <w:r>
        <w:rPr>
          <w:rFonts w:hint="eastAsia" w:ascii="宋体" w:hAnsi="宋体" w:cs="宋体"/>
          <w:bCs/>
          <w:color w:val="000000" w:themeColor="text1"/>
          <w:sz w:val="24"/>
          <w:szCs w:val="24"/>
          <w:highlight w:val="none"/>
          <w14:textFill>
            <w14:solidFill>
              <w14:schemeClr w14:val="tx1"/>
            </w14:solidFill>
          </w14:textFill>
        </w:rPr>
        <w:t>受托人身份证。（</w:t>
      </w:r>
      <w:r>
        <w:rPr>
          <w:rFonts w:hint="eastAsia" w:ascii="宋体" w:hAnsi="宋体" w:cs="宋体"/>
          <w:color w:val="000000" w:themeColor="text1"/>
          <w:sz w:val="24"/>
          <w:szCs w:val="24"/>
          <w:highlight w:val="none"/>
          <w:lang w:val="zh-CN"/>
          <w14:textFill>
            <w14:solidFill>
              <w14:schemeClr w14:val="tx1"/>
            </w14:solidFill>
          </w14:textFill>
        </w:rPr>
        <w:t>提供原件扫描件加盖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bCs/>
          <w:color w:val="000000" w:themeColor="text1"/>
          <w:sz w:val="24"/>
          <w:szCs w:val="24"/>
          <w:highlight w:val="none"/>
          <w14:textFill>
            <w14:solidFill>
              <w14:schemeClr w14:val="tx1"/>
            </w14:solidFill>
          </w14:textFill>
        </w:rPr>
        <w:t>）</w:t>
      </w:r>
    </w:p>
    <w:p w14:paraId="1D56ED4C">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2.投标人符合《政府采购法》第二十二条规定条件的承诺函</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格式详见示范格式三</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zh-CN"/>
          <w14:textFill>
            <w14:solidFill>
              <w14:schemeClr w14:val="tx1"/>
            </w14:solidFill>
          </w14:textFill>
        </w:rPr>
        <w:t>提供原件扫描件加盖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bCs/>
          <w:color w:val="000000" w:themeColor="text1"/>
          <w:sz w:val="24"/>
          <w:szCs w:val="24"/>
          <w:highlight w:val="none"/>
          <w14:textFill>
            <w14:solidFill>
              <w14:schemeClr w14:val="tx1"/>
            </w14:solidFill>
          </w14:textFill>
        </w:rPr>
        <w:t>）</w:t>
      </w:r>
    </w:p>
    <w:p w14:paraId="319B6364">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.落实政府采购政策需满足的资格要求（提供下列任一项材料即可）:</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zh-CN"/>
          <w14:textFill>
            <w14:solidFill>
              <w14:schemeClr w14:val="tx1"/>
            </w14:solidFill>
          </w14:textFill>
        </w:rPr>
        <w:t>提供原件扫描件加盖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bCs/>
          <w:color w:val="000000" w:themeColor="text1"/>
          <w:sz w:val="24"/>
          <w:szCs w:val="24"/>
          <w:highlight w:val="none"/>
          <w14:textFill>
            <w14:solidFill>
              <w14:schemeClr w14:val="tx1"/>
            </w14:solidFill>
          </w14:textFill>
        </w:rPr>
        <w:t>）</w:t>
      </w:r>
    </w:p>
    <w:p w14:paraId="1D5CC966">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（1）企业声明函（详见示范格式四）；</w:t>
      </w:r>
    </w:p>
    <w:p w14:paraId="4FD5729E">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（2）《残疾人福利性单位声明函》（详见示范格式五）；</w:t>
      </w:r>
    </w:p>
    <w:p w14:paraId="6FA3858D">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（3）由省级以上监狱管理局、戒毒管理局（含新疆生产建设兵团）出具的属于监狱企业的证明文件）（加盖出具单位公章的电子件）。</w:t>
      </w:r>
    </w:p>
    <w:p w14:paraId="6AA91254">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4.根据本项目的特定资格要求，</w:t>
      </w:r>
      <w:r>
        <w:rPr>
          <w:rFonts w:hint="eastAsia" w:ascii="宋体" w:hAnsi="宋体" w:cs="宋体"/>
          <w:color w:val="000000" w:themeColor="text1"/>
          <w:sz w:val="24"/>
          <w:szCs w:val="24"/>
          <w:highlight w:val="none"/>
          <w:lang w:val="zh-CN"/>
          <w14:textFill>
            <w14:solidFill>
              <w14:schemeClr w14:val="tx1"/>
            </w14:solidFill>
          </w14:textFill>
        </w:rPr>
        <w:t>投标人还须提供下列资料</w:t>
      </w:r>
      <w:r>
        <w:rPr>
          <w:rFonts w:hint="eastAsia" w:ascii="宋体" w:hAnsi="宋体" w:cs="宋体"/>
          <w:color w:val="000000" w:themeColor="text1"/>
          <w:sz w:val="24"/>
          <w:szCs w:val="24"/>
          <w:highlight w:val="none"/>
          <w14:textFill>
            <w14:solidFill>
              <w14:schemeClr w14:val="tx1"/>
            </w14:solidFill>
          </w14:textFill>
        </w:rPr>
        <w:t>:</w:t>
      </w:r>
    </w:p>
    <w:p w14:paraId="418FEB12">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zh-CN"/>
          <w14:textFill>
            <w14:solidFill>
              <w14:schemeClr w14:val="tx1"/>
            </w14:solidFill>
          </w14:textFill>
        </w:rPr>
        <w:t>投标人须具备城市及道路照明工程专业承包叁级及以上资质；（提供原件扫描件加盖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color w:val="000000" w:themeColor="text1"/>
          <w:sz w:val="24"/>
          <w:szCs w:val="24"/>
          <w:highlight w:val="none"/>
          <w:lang w:val="zh-CN"/>
          <w14:textFill>
            <w14:solidFill>
              <w14:schemeClr w14:val="tx1"/>
            </w14:solidFill>
          </w14:textFill>
        </w:rPr>
        <w:t>）</w:t>
      </w:r>
    </w:p>
    <w:p w14:paraId="7EABAD1F">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zh-CN"/>
          <w14:textFill>
            <w14:solidFill>
              <w14:schemeClr w14:val="tx1"/>
            </w14:solidFill>
          </w14:textFill>
        </w:rPr>
        <w:t>投标人须具备安全生产许可证（有效期内）；（提供原件扫描件加盖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color w:val="000000" w:themeColor="text1"/>
          <w:sz w:val="24"/>
          <w:szCs w:val="24"/>
          <w:highlight w:val="none"/>
          <w:lang w:val="zh-CN"/>
          <w14:textFill>
            <w14:solidFill>
              <w14:schemeClr w14:val="tx1"/>
            </w14:solidFill>
          </w14:textFill>
        </w:rPr>
        <w:t>）</w:t>
      </w:r>
    </w:p>
    <w:p w14:paraId="155B1025">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zh-CN"/>
          <w14:textFill>
            <w14:solidFill>
              <w14:schemeClr w14:val="tx1"/>
            </w14:solidFill>
          </w14:textFill>
        </w:rPr>
        <w:t>投标人针对本项目拟选派项目经理必须具备市政公用工程或机电安装工程专业贰级及以上注册建造师资质，并取得项目经理安全生产考核B类证（有效期内）（提供原件扫描件加盖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color w:val="000000" w:themeColor="text1"/>
          <w:sz w:val="24"/>
          <w:szCs w:val="24"/>
          <w:highlight w:val="none"/>
          <w:lang w:val="zh-CN"/>
          <w14:textFill>
            <w14:solidFill>
              <w14:schemeClr w14:val="tx1"/>
            </w14:solidFill>
          </w14:textFill>
        </w:rPr>
        <w:t>）</w:t>
      </w:r>
    </w:p>
    <w:p w14:paraId="09397286">
      <w:pPr>
        <w:keepNext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themeColor="text1"/>
          <w:sz w:val="24"/>
          <w:szCs w:val="24"/>
          <w:highlight w:val="none"/>
          <w:lang w:val="zh-CN"/>
          <w14:textFill>
            <w14:solidFill>
              <w14:schemeClr w14:val="tx1"/>
            </w14:solidFill>
          </w14:textFill>
        </w:rPr>
        <w:t>投标人的授权委托代理人和项目负责人均须为投标人本单位正式员工，并提供2024年</w:t>
      </w: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zh-CN"/>
          <w14:textFill>
            <w14:solidFill>
              <w14:schemeClr w14:val="tx1"/>
            </w14:solidFill>
          </w14:textFill>
        </w:rPr>
        <w:t>月以来任意1个月投标人为其缴纳的社保证明；如为法定代表人则无</w:t>
      </w:r>
      <w:r>
        <w:rPr>
          <w:rFonts w:hint="eastAsia" w:ascii="宋体" w:hAnsi="宋体" w:eastAsia="宋体" w:cs="宋体"/>
          <w:color w:val="000000" w:themeColor="text1"/>
          <w:sz w:val="24"/>
          <w:szCs w:val="24"/>
          <w:highlight w:val="none"/>
          <w14:textFill>
            <w14:solidFill>
              <w14:schemeClr w14:val="tx1"/>
            </w14:solidFill>
          </w14:textFill>
        </w:rPr>
        <w:t>需</w:t>
      </w:r>
      <w:r>
        <w:rPr>
          <w:rFonts w:hint="eastAsia" w:ascii="宋体" w:hAnsi="宋体" w:eastAsia="宋体" w:cs="宋体"/>
          <w:color w:val="000000" w:themeColor="text1"/>
          <w:sz w:val="24"/>
          <w:szCs w:val="24"/>
          <w:highlight w:val="none"/>
          <w:lang w:val="zh-CN"/>
          <w14:textFill>
            <w14:solidFill>
              <w14:schemeClr w14:val="tx1"/>
            </w14:solidFill>
          </w14:textFill>
        </w:rPr>
        <w:t>提供。</w:t>
      </w:r>
      <w:r>
        <w:rPr>
          <w:rFonts w:hint="eastAsia" w:ascii="宋体" w:hAnsi="宋体" w:cs="宋体"/>
          <w:color w:val="000000" w:themeColor="text1"/>
          <w:sz w:val="24"/>
          <w:szCs w:val="24"/>
          <w:highlight w:val="none"/>
          <w:lang w:val="zh-CN"/>
          <w14:textFill>
            <w14:solidFill>
              <w14:schemeClr w14:val="tx1"/>
            </w14:solidFill>
          </w14:textFill>
        </w:rPr>
        <w:t>（提供扫描件加盖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color w:val="000000" w:themeColor="text1"/>
          <w:sz w:val="24"/>
          <w:szCs w:val="24"/>
          <w:highlight w:val="none"/>
          <w:lang w:val="zh-CN"/>
          <w14:textFill>
            <w14:solidFill>
              <w14:schemeClr w14:val="tx1"/>
            </w14:solidFill>
          </w14:textFill>
        </w:rPr>
        <w:t>）</w:t>
      </w:r>
    </w:p>
    <w:p w14:paraId="32D266EA">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5．拒绝下述条件的投标人参加本次采购活动:（提供承诺书，格式自拟，</w:t>
      </w:r>
      <w:r>
        <w:rPr>
          <w:rFonts w:hint="eastAsia" w:ascii="宋体" w:hAnsi="宋体" w:cs="宋体"/>
          <w:color w:val="000000" w:themeColor="text1"/>
          <w:sz w:val="24"/>
          <w:szCs w:val="24"/>
          <w:highlight w:val="none"/>
          <w:lang w:val="zh-CN"/>
          <w14:textFill>
            <w14:solidFill>
              <w14:schemeClr w14:val="tx1"/>
            </w14:solidFill>
          </w14:textFill>
        </w:rPr>
        <w:t>加盖</w:t>
      </w:r>
      <w:r>
        <w:rPr>
          <w:rFonts w:hint="eastAsia" w:ascii="宋体" w:hAnsi="宋体" w:cs="宋体"/>
          <w:color w:val="000000" w:themeColor="text1"/>
          <w:sz w:val="24"/>
          <w:szCs w:val="24"/>
          <w:highlight w:val="none"/>
          <w14:textFill>
            <w14:solidFill>
              <w14:schemeClr w14:val="tx1"/>
            </w14:solidFill>
          </w14:textFill>
        </w:rPr>
        <w:t>CA电子签章</w:t>
      </w:r>
      <w:r>
        <w:rPr>
          <w:rFonts w:hint="eastAsia" w:ascii="宋体" w:hAnsi="宋体" w:cs="宋体"/>
          <w:bCs/>
          <w:color w:val="000000" w:themeColor="text1"/>
          <w:sz w:val="24"/>
          <w:szCs w:val="24"/>
          <w:highlight w:val="none"/>
          <w14:textFill>
            <w14:solidFill>
              <w14:schemeClr w14:val="tx1"/>
            </w14:solidFill>
          </w14:textFill>
        </w:rPr>
        <w:t>）</w:t>
      </w:r>
    </w:p>
    <w:p w14:paraId="49689EEB">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投标人单位负责人为同一人或者存在直接控股、管理关系的不同投标人，不得同时参加同一合同项下的政府采购活动。</w:t>
      </w:r>
    </w:p>
    <w:p w14:paraId="1B4418E7">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
          <w:i/>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凡为采购项目提供整体设计、规范编制或者项目管理、监理、检测等服务的投标人，不得再参加本项目的采购活动。</w:t>
      </w:r>
    </w:p>
    <w:p w14:paraId="0142A641">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投标人被“信用中国”网站、“中国政府采购网”列入失信被执行人、重大税收违法案件当事人名单、政府采购严重违法失信行为记录名单。</w:t>
      </w:r>
    </w:p>
    <w:p w14:paraId="5FB7EFEF">
      <w:pPr>
        <w:pStyle w:val="2"/>
        <w:keepNext w:val="0"/>
        <w:keepLines w:val="0"/>
        <w:pageBreakBefore w:val="0"/>
        <w:kinsoku/>
        <w:wordWrap/>
        <w:overflowPunct/>
        <w:topLinePunct w:val="0"/>
        <w:autoSpaceDE/>
        <w:autoSpaceDN/>
        <w:bidi w:val="0"/>
        <w:adjustRightInd/>
        <w:snapToGrid/>
        <w:spacing w:after="0" w:line="500" w:lineRule="exact"/>
        <w:ind w:firstLine="480" w:firstLineChars="200"/>
        <w:textAlignment w:val="auto"/>
        <w:rPr>
          <w:rFonts w:hint="eastAsia"/>
          <w:color w:val="000000" w:themeColor="text1"/>
          <w:sz w:val="24"/>
          <w:szCs w:val="24"/>
          <w:highlight w:val="none"/>
          <w:lang w:val="zh-CN"/>
          <w14:textFill>
            <w14:solidFill>
              <w14:schemeClr w14:val="tx1"/>
            </w14:solidFill>
          </w14:textFill>
        </w:rPr>
      </w:pPr>
    </w:p>
    <w:p w14:paraId="65363A5F">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000000" w:themeColor="text1"/>
          <w:sz w:val="24"/>
          <w:szCs w:val="24"/>
          <w:highlight w:val="none"/>
          <w:lang w:val="zh-CN"/>
          <w14:textFill>
            <w14:solidFill>
              <w14:schemeClr w14:val="tx1"/>
            </w14:solidFill>
          </w14:textFill>
        </w:rPr>
      </w:pPr>
      <w:bookmarkStart w:id="40" w:name="_Toc157775454"/>
      <w:r>
        <w:rPr>
          <w:rFonts w:hint="eastAsia" w:ascii="宋体" w:hAnsi="宋体" w:cs="宋体"/>
          <w:b/>
          <w:bCs/>
          <w:color w:val="000000" w:themeColor="text1"/>
          <w:sz w:val="24"/>
          <w:szCs w:val="24"/>
          <w:highlight w:val="none"/>
          <w14:textFill>
            <w14:solidFill>
              <w14:schemeClr w14:val="tx1"/>
            </w14:solidFill>
          </w14:textFill>
        </w:rPr>
        <w:t>注：以上需要提供的资格审查材料，</w:t>
      </w:r>
      <w:r>
        <w:rPr>
          <w:rFonts w:hint="eastAsia" w:ascii="宋体" w:hAnsi="宋体" w:cs="宋体"/>
          <w:b/>
          <w:bCs/>
          <w:color w:val="000000" w:themeColor="text1"/>
          <w:sz w:val="24"/>
          <w:szCs w:val="24"/>
          <w:highlight w:val="none"/>
          <w:lang w:val="zh-CN"/>
          <w14:textFill>
            <w14:solidFill>
              <w14:schemeClr w14:val="tx1"/>
            </w14:solidFill>
          </w14:textFill>
        </w:rPr>
        <w:t>均应提供原件扫描件或相关扫描件加盖投标人</w:t>
      </w:r>
      <w:r>
        <w:rPr>
          <w:rFonts w:hint="eastAsia" w:ascii="宋体" w:hAnsi="宋体" w:cs="宋体"/>
          <w:b/>
          <w:bCs/>
          <w:color w:val="000000" w:themeColor="text1"/>
          <w:sz w:val="24"/>
          <w:szCs w:val="24"/>
          <w:highlight w:val="none"/>
          <w14:textFill>
            <w14:solidFill>
              <w14:schemeClr w14:val="tx1"/>
            </w14:solidFill>
          </w14:textFill>
        </w:rPr>
        <w:t>CA电子签章上传到电子投标文件里</w:t>
      </w:r>
      <w:r>
        <w:rPr>
          <w:rFonts w:hint="eastAsia" w:ascii="宋体" w:hAnsi="宋体" w:cs="宋体"/>
          <w:b/>
          <w:bCs/>
          <w:color w:val="000000" w:themeColor="text1"/>
          <w:sz w:val="24"/>
          <w:szCs w:val="24"/>
          <w:highlight w:val="none"/>
          <w:lang w:val="zh-CN"/>
          <w14:textFill>
            <w14:solidFill>
              <w14:schemeClr w14:val="tx1"/>
            </w14:solidFill>
          </w14:textFill>
        </w:rPr>
        <w:t>）</w:t>
      </w:r>
    </w:p>
    <w:p w14:paraId="14B2F9F8">
      <w:pPr>
        <w:keepNext w:val="0"/>
        <w:keepLines w:val="0"/>
        <w:pageBreakBefore w:val="0"/>
        <w:widowControl/>
        <w:kinsoku/>
        <w:wordWrap/>
        <w:overflowPunct/>
        <w:topLinePunct w:val="0"/>
        <w:autoSpaceDE/>
        <w:autoSpaceDN/>
        <w:bidi w:val="0"/>
        <w:adjustRightInd/>
        <w:snapToGrid/>
        <w:spacing w:line="500" w:lineRule="exact"/>
        <w:ind w:firstLine="643" w:firstLineChars="200"/>
        <w:jc w:val="center"/>
        <w:textAlignment w:val="auto"/>
        <w:rPr>
          <w:rFonts w:hint="eastAsia" w:ascii="宋体" w:hAnsi="宋体" w:cs="宋体"/>
          <w:b/>
          <w:bCs/>
          <w:color w:val="000000" w:themeColor="text1"/>
          <w:sz w:val="32"/>
          <w:highlight w:val="none"/>
          <w14:textFill>
            <w14:solidFill>
              <w14:schemeClr w14:val="tx1"/>
            </w14:solidFill>
          </w14:textFill>
        </w:rPr>
      </w:pPr>
    </w:p>
    <w:p w14:paraId="010017F4">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17B6D821">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6C043C22">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39EECE69">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6497013D">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70C6991C">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20E05B5B">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67043354">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4BB0402C">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0BCA45DB">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5BA135BC">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72D64AD3">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5E02FC9B">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3239C05F">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1B8526BD">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p>
    <w:p w14:paraId="4B1E4A1A">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六、综合评分时投标人需提供的证明文件</w:t>
      </w:r>
    </w:p>
    <w:p w14:paraId="1DE6FBE5">
      <w:pPr>
        <w:widowControl/>
        <w:spacing w:line="520" w:lineRule="exact"/>
        <w:jc w:val="center"/>
        <w:rPr>
          <w:rFonts w:hint="eastAsia"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（投标人根据第三章评标标准的要求提供相关材料）</w:t>
      </w:r>
    </w:p>
    <w:p w14:paraId="33FBBBFC">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72898644">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413F66AC">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52034BD2">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5325A14F">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6F42EE42">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20C39EFF">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246000BD">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74B839FB">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1C143712">
      <w:pPr>
        <w:widowControl/>
        <w:spacing w:line="440" w:lineRule="exact"/>
        <w:ind w:firstLine="2877"/>
        <w:rPr>
          <w:rFonts w:hint="eastAsia" w:ascii="宋体" w:hAnsi="宋体" w:cs="宋体"/>
          <w:b/>
          <w:color w:val="000000" w:themeColor="text1"/>
          <w:sz w:val="36"/>
          <w:highlight w:val="none"/>
          <w14:textFill>
            <w14:solidFill>
              <w14:schemeClr w14:val="tx1"/>
            </w14:solidFill>
          </w14:textFill>
        </w:rPr>
      </w:pPr>
    </w:p>
    <w:p w14:paraId="48A927A5">
      <w:pPr>
        <w:widowControl/>
        <w:spacing w:line="440" w:lineRule="exact"/>
        <w:ind w:firstLine="2877"/>
        <w:rPr>
          <w:rFonts w:hint="eastAsia" w:ascii="宋体" w:hAnsi="宋体" w:cs="宋体"/>
          <w:b/>
          <w:color w:val="000000" w:themeColor="text1"/>
          <w:sz w:val="28"/>
          <w:szCs w:val="28"/>
          <w:highlight w:val="none"/>
          <w14:textFill>
            <w14:solidFill>
              <w14:schemeClr w14:val="tx1"/>
            </w14:solidFill>
          </w14:textFill>
        </w:rPr>
      </w:pPr>
    </w:p>
    <w:p w14:paraId="5623A1C0">
      <w:pPr>
        <w:widowControl/>
        <w:spacing w:line="440" w:lineRule="exact"/>
        <w:ind w:firstLine="2877"/>
        <w:rPr>
          <w:rFonts w:hint="eastAsia" w:ascii="宋体" w:hAnsi="宋体" w:cs="宋体"/>
          <w:b/>
          <w:color w:val="000000" w:themeColor="text1"/>
          <w:sz w:val="28"/>
          <w:szCs w:val="28"/>
          <w:highlight w:val="none"/>
          <w14:textFill>
            <w14:solidFill>
              <w14:schemeClr w14:val="tx1"/>
            </w14:solidFill>
          </w14:textFill>
        </w:rPr>
      </w:pPr>
    </w:p>
    <w:p w14:paraId="385CB2B0">
      <w:pPr>
        <w:widowControl/>
        <w:spacing w:line="440" w:lineRule="exact"/>
        <w:ind w:firstLine="2877"/>
        <w:rPr>
          <w:rFonts w:hint="eastAsia" w:ascii="宋体" w:hAnsi="宋体" w:cs="宋体"/>
          <w:b/>
          <w:color w:val="000000" w:themeColor="text1"/>
          <w:sz w:val="28"/>
          <w:szCs w:val="28"/>
          <w:highlight w:val="none"/>
          <w14:textFill>
            <w14:solidFill>
              <w14:schemeClr w14:val="tx1"/>
            </w14:solidFill>
          </w14:textFill>
        </w:rPr>
      </w:pPr>
    </w:p>
    <w:p w14:paraId="4D7D00D7">
      <w:pPr>
        <w:widowControl/>
        <w:spacing w:line="440" w:lineRule="exact"/>
        <w:ind w:firstLine="2877"/>
        <w:rPr>
          <w:rFonts w:hint="eastAsia" w:ascii="宋体" w:hAnsi="宋体" w:cs="宋体"/>
          <w:b/>
          <w:color w:val="000000" w:themeColor="text1"/>
          <w:sz w:val="28"/>
          <w:szCs w:val="28"/>
          <w:highlight w:val="none"/>
          <w14:textFill>
            <w14:solidFill>
              <w14:schemeClr w14:val="tx1"/>
            </w14:solidFill>
          </w14:textFill>
        </w:rPr>
      </w:pPr>
    </w:p>
    <w:p w14:paraId="2F042DC2">
      <w:pPr>
        <w:widowControl/>
        <w:spacing w:line="440" w:lineRule="exact"/>
        <w:rPr>
          <w:rFonts w:hint="eastAsia" w:ascii="宋体" w:hAnsi="宋体" w:cs="宋体"/>
          <w:b/>
          <w:color w:val="000000" w:themeColor="text1"/>
          <w:sz w:val="28"/>
          <w:szCs w:val="28"/>
          <w:highlight w:val="none"/>
          <w14:textFill>
            <w14:solidFill>
              <w14:schemeClr w14:val="tx1"/>
            </w14:solidFill>
          </w14:textFill>
        </w:rPr>
      </w:pPr>
    </w:p>
    <w:p w14:paraId="171BC5B2">
      <w:pPr>
        <w:widowControl/>
        <w:spacing w:line="440" w:lineRule="exact"/>
        <w:ind w:firstLine="2877"/>
        <w:rPr>
          <w:rFonts w:hint="eastAsia" w:ascii="宋体" w:hAnsi="宋体" w:cs="宋体"/>
          <w:b/>
          <w:color w:val="000000" w:themeColor="text1"/>
          <w:sz w:val="28"/>
          <w:szCs w:val="28"/>
          <w:highlight w:val="none"/>
          <w14:textFill>
            <w14:solidFill>
              <w14:schemeClr w14:val="tx1"/>
            </w14:solidFill>
          </w14:textFill>
        </w:rPr>
      </w:pPr>
    </w:p>
    <w:p w14:paraId="687141B1">
      <w:pPr>
        <w:widowControl/>
        <w:spacing w:line="440" w:lineRule="exact"/>
        <w:ind w:firstLine="2557"/>
        <w:rPr>
          <w:rFonts w:hint="eastAsia" w:ascii="宋体" w:hAnsi="宋体" w:cs="宋体"/>
          <w:b/>
          <w:color w:val="000000" w:themeColor="text1"/>
          <w:sz w:val="28"/>
          <w:szCs w:val="28"/>
          <w:highlight w:val="none"/>
          <w14:textFill>
            <w14:solidFill>
              <w14:schemeClr w14:val="tx1"/>
            </w14:solidFill>
          </w14:textFill>
        </w:rPr>
        <w:sectPr>
          <w:pgSz w:w="11906" w:h="16838"/>
          <w:pgMar w:top="1361" w:right="1304" w:bottom="1134" w:left="1587" w:header="850" w:footer="992" w:gutter="0"/>
          <w:pgNumType w:fmt="numberInDash"/>
          <w:cols w:space="720" w:num="1"/>
          <w:docGrid w:linePitch="360" w:charSpace="0"/>
        </w:sectPr>
      </w:pPr>
    </w:p>
    <w:p w14:paraId="0C0CBC82">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七、项目业绩一览表</w:t>
      </w:r>
    </w:p>
    <w:p w14:paraId="661BEF5D">
      <w:pPr>
        <w:pStyle w:val="2"/>
        <w:widowControl/>
        <w:spacing w:after="0" w:line="222"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pacing w:val="-1"/>
          <w:sz w:val="28"/>
          <w:szCs w:val="28"/>
          <w:highlight w:val="none"/>
          <w14:textFill>
            <w14:solidFill>
              <w14:schemeClr w14:val="tx1"/>
            </w14:solidFill>
          </w14:textFill>
        </w:rPr>
        <w:t>项目名称：</w:t>
      </w:r>
      <w:r>
        <w:rPr>
          <w:rFonts w:hint="eastAsia" w:ascii="宋体" w:hAnsi="宋体" w:cs="宋体"/>
          <w:color w:val="000000" w:themeColor="text1"/>
          <w:spacing w:val="-1"/>
          <w:sz w:val="28"/>
          <w:szCs w:val="28"/>
          <w:highlight w:val="none"/>
          <w:u w:val="single"/>
          <w14:textFill>
            <w14:solidFill>
              <w14:schemeClr w14:val="tx1"/>
            </w14:solidFill>
          </w14:textFill>
        </w:rPr>
        <w:t xml:space="preserve">                          </w:t>
      </w:r>
      <w:r>
        <w:rPr>
          <w:rFonts w:hint="eastAsia" w:ascii="宋体" w:hAnsi="宋体" w:cs="宋体"/>
          <w:color w:val="000000" w:themeColor="text1"/>
          <w:spacing w:val="-1"/>
          <w:sz w:val="28"/>
          <w:szCs w:val="28"/>
          <w:highlight w:val="none"/>
          <w14:textFill>
            <w14:solidFill>
              <w14:schemeClr w14:val="tx1"/>
            </w14:solidFill>
          </w14:textFill>
        </w:rPr>
        <w:t xml:space="preserve"> </w:t>
      </w:r>
    </w:p>
    <w:p w14:paraId="2F35950E">
      <w:pPr>
        <w:widowControl/>
        <w:spacing w:line="95" w:lineRule="auto"/>
        <w:rPr>
          <w:rFonts w:hint="eastAsia" w:ascii="宋体" w:hAnsi="宋体" w:cs="宋体"/>
          <w:color w:val="000000" w:themeColor="text1"/>
          <w:sz w:val="28"/>
          <w:szCs w:val="28"/>
          <w:highlight w:val="none"/>
          <w14:textFill>
            <w14:solidFill>
              <w14:schemeClr w14:val="tx1"/>
            </w14:solidFill>
          </w14:textFill>
        </w:rPr>
      </w:pPr>
    </w:p>
    <w:tbl>
      <w:tblPr>
        <w:tblStyle w:val="38"/>
        <w:tblW w:w="99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7"/>
        <w:gridCol w:w="1785"/>
        <w:gridCol w:w="1382"/>
        <w:gridCol w:w="1573"/>
        <w:gridCol w:w="1518"/>
        <w:gridCol w:w="1332"/>
        <w:gridCol w:w="1770"/>
      </w:tblGrid>
      <w:tr w14:paraId="7DD71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607" w:type="dxa"/>
            <w:noWrap w:val="0"/>
            <w:vAlign w:val="center"/>
          </w:tcPr>
          <w:p w14:paraId="092ADA0A">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 号</w:t>
            </w:r>
          </w:p>
        </w:tc>
        <w:tc>
          <w:tcPr>
            <w:tcW w:w="1785" w:type="dxa"/>
            <w:noWrap w:val="0"/>
            <w:vAlign w:val="center"/>
          </w:tcPr>
          <w:p w14:paraId="575F3E8B">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1382" w:type="dxa"/>
            <w:noWrap w:val="0"/>
            <w:vAlign w:val="center"/>
          </w:tcPr>
          <w:p w14:paraId="57370CCF">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项目时间</w:t>
            </w:r>
          </w:p>
        </w:tc>
        <w:tc>
          <w:tcPr>
            <w:tcW w:w="1573" w:type="dxa"/>
            <w:noWrap w:val="0"/>
            <w:vAlign w:val="center"/>
          </w:tcPr>
          <w:p w14:paraId="26FF2544">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合同金额</w:t>
            </w:r>
          </w:p>
          <w:p w14:paraId="49DF3324">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（人民币）</w:t>
            </w:r>
          </w:p>
        </w:tc>
        <w:tc>
          <w:tcPr>
            <w:tcW w:w="1518" w:type="dxa"/>
            <w:noWrap w:val="0"/>
            <w:vAlign w:val="center"/>
          </w:tcPr>
          <w:p w14:paraId="2FED8436">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业主单位</w:t>
            </w:r>
          </w:p>
        </w:tc>
        <w:tc>
          <w:tcPr>
            <w:tcW w:w="1332" w:type="dxa"/>
            <w:noWrap w:val="0"/>
            <w:vAlign w:val="center"/>
          </w:tcPr>
          <w:p w14:paraId="02477C96">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业务联系人</w:t>
            </w:r>
          </w:p>
          <w:p w14:paraId="7A740BD3">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联系电话</w:t>
            </w:r>
          </w:p>
        </w:tc>
        <w:tc>
          <w:tcPr>
            <w:tcW w:w="1770" w:type="dxa"/>
            <w:noWrap w:val="0"/>
            <w:vAlign w:val="center"/>
          </w:tcPr>
          <w:p w14:paraId="4D5C70AE">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p w14:paraId="580B84B7">
            <w:pPr>
              <w:widowControl/>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（项目所在地等）</w:t>
            </w:r>
          </w:p>
        </w:tc>
      </w:tr>
      <w:tr w14:paraId="6E855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607" w:type="dxa"/>
            <w:noWrap w:val="0"/>
            <w:vAlign w:val="top"/>
          </w:tcPr>
          <w:p w14:paraId="50318EE9">
            <w:pPr>
              <w:widowControl/>
              <w:rPr>
                <w:rFonts w:hint="eastAsia" w:ascii="宋体" w:hAnsi="宋体" w:cs="宋体"/>
                <w:color w:val="000000" w:themeColor="text1"/>
                <w:sz w:val="28"/>
                <w:szCs w:val="28"/>
                <w:highlight w:val="none"/>
                <w14:textFill>
                  <w14:solidFill>
                    <w14:schemeClr w14:val="tx1"/>
                  </w14:solidFill>
                </w14:textFill>
              </w:rPr>
            </w:pPr>
          </w:p>
        </w:tc>
        <w:tc>
          <w:tcPr>
            <w:tcW w:w="1785" w:type="dxa"/>
            <w:noWrap w:val="0"/>
            <w:vAlign w:val="top"/>
          </w:tcPr>
          <w:p w14:paraId="20608FA4">
            <w:pPr>
              <w:widowControl/>
              <w:rPr>
                <w:rFonts w:hint="eastAsia" w:ascii="宋体" w:hAnsi="宋体" w:cs="宋体"/>
                <w:color w:val="000000" w:themeColor="text1"/>
                <w:sz w:val="28"/>
                <w:szCs w:val="28"/>
                <w:highlight w:val="none"/>
                <w14:textFill>
                  <w14:solidFill>
                    <w14:schemeClr w14:val="tx1"/>
                  </w14:solidFill>
                </w14:textFill>
              </w:rPr>
            </w:pPr>
          </w:p>
        </w:tc>
        <w:tc>
          <w:tcPr>
            <w:tcW w:w="1382" w:type="dxa"/>
            <w:noWrap w:val="0"/>
            <w:vAlign w:val="top"/>
          </w:tcPr>
          <w:p w14:paraId="2594492B">
            <w:pPr>
              <w:widowControl/>
              <w:rPr>
                <w:rFonts w:hint="eastAsia" w:ascii="宋体" w:hAnsi="宋体" w:cs="宋体"/>
                <w:color w:val="000000" w:themeColor="text1"/>
                <w:sz w:val="28"/>
                <w:szCs w:val="28"/>
                <w:highlight w:val="none"/>
                <w14:textFill>
                  <w14:solidFill>
                    <w14:schemeClr w14:val="tx1"/>
                  </w14:solidFill>
                </w14:textFill>
              </w:rPr>
            </w:pPr>
          </w:p>
        </w:tc>
        <w:tc>
          <w:tcPr>
            <w:tcW w:w="1573" w:type="dxa"/>
            <w:noWrap w:val="0"/>
            <w:vAlign w:val="top"/>
          </w:tcPr>
          <w:p w14:paraId="0F05970A">
            <w:pPr>
              <w:widowControl/>
              <w:rPr>
                <w:rFonts w:hint="eastAsia" w:ascii="宋体" w:hAnsi="宋体" w:cs="宋体"/>
                <w:color w:val="000000" w:themeColor="text1"/>
                <w:sz w:val="28"/>
                <w:szCs w:val="28"/>
                <w:highlight w:val="none"/>
                <w14:textFill>
                  <w14:solidFill>
                    <w14:schemeClr w14:val="tx1"/>
                  </w14:solidFill>
                </w14:textFill>
              </w:rPr>
            </w:pPr>
          </w:p>
        </w:tc>
        <w:tc>
          <w:tcPr>
            <w:tcW w:w="1518" w:type="dxa"/>
            <w:noWrap w:val="0"/>
            <w:vAlign w:val="top"/>
          </w:tcPr>
          <w:p w14:paraId="2F77B6A1">
            <w:pPr>
              <w:widowControl/>
              <w:rPr>
                <w:rFonts w:hint="eastAsia" w:ascii="宋体" w:hAnsi="宋体" w:cs="宋体"/>
                <w:color w:val="000000" w:themeColor="text1"/>
                <w:sz w:val="28"/>
                <w:szCs w:val="28"/>
                <w:highlight w:val="none"/>
                <w14:textFill>
                  <w14:solidFill>
                    <w14:schemeClr w14:val="tx1"/>
                  </w14:solidFill>
                </w14:textFill>
              </w:rPr>
            </w:pPr>
          </w:p>
        </w:tc>
        <w:tc>
          <w:tcPr>
            <w:tcW w:w="1332" w:type="dxa"/>
            <w:noWrap w:val="0"/>
            <w:vAlign w:val="top"/>
          </w:tcPr>
          <w:p w14:paraId="4F96378E">
            <w:pPr>
              <w:widowControl/>
              <w:rPr>
                <w:rFonts w:hint="eastAsia" w:ascii="宋体" w:hAnsi="宋体" w:cs="宋体"/>
                <w:color w:val="000000" w:themeColor="text1"/>
                <w:sz w:val="28"/>
                <w:szCs w:val="28"/>
                <w:highlight w:val="none"/>
                <w14:textFill>
                  <w14:solidFill>
                    <w14:schemeClr w14:val="tx1"/>
                  </w14:solidFill>
                </w14:textFill>
              </w:rPr>
            </w:pPr>
          </w:p>
        </w:tc>
        <w:tc>
          <w:tcPr>
            <w:tcW w:w="1770" w:type="dxa"/>
            <w:noWrap w:val="0"/>
            <w:vAlign w:val="top"/>
          </w:tcPr>
          <w:p w14:paraId="5CC28DAD">
            <w:pPr>
              <w:widowControl/>
              <w:rPr>
                <w:rFonts w:hint="eastAsia" w:ascii="宋体" w:hAnsi="宋体" w:cs="宋体"/>
                <w:color w:val="000000" w:themeColor="text1"/>
                <w:sz w:val="28"/>
                <w:szCs w:val="28"/>
                <w:highlight w:val="none"/>
                <w14:textFill>
                  <w14:solidFill>
                    <w14:schemeClr w14:val="tx1"/>
                  </w14:solidFill>
                </w14:textFill>
              </w:rPr>
            </w:pPr>
          </w:p>
        </w:tc>
      </w:tr>
      <w:tr w14:paraId="72953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607" w:type="dxa"/>
            <w:noWrap w:val="0"/>
            <w:vAlign w:val="top"/>
          </w:tcPr>
          <w:p w14:paraId="2959AC1C">
            <w:pPr>
              <w:widowControl/>
              <w:rPr>
                <w:rFonts w:hint="eastAsia" w:ascii="宋体" w:hAnsi="宋体" w:cs="宋体"/>
                <w:color w:val="000000" w:themeColor="text1"/>
                <w:sz w:val="28"/>
                <w:szCs w:val="28"/>
                <w:highlight w:val="none"/>
                <w14:textFill>
                  <w14:solidFill>
                    <w14:schemeClr w14:val="tx1"/>
                  </w14:solidFill>
                </w14:textFill>
              </w:rPr>
            </w:pPr>
          </w:p>
        </w:tc>
        <w:tc>
          <w:tcPr>
            <w:tcW w:w="1785" w:type="dxa"/>
            <w:noWrap w:val="0"/>
            <w:vAlign w:val="top"/>
          </w:tcPr>
          <w:p w14:paraId="3F4F2A62">
            <w:pPr>
              <w:widowControl/>
              <w:rPr>
                <w:rFonts w:hint="eastAsia" w:ascii="宋体" w:hAnsi="宋体" w:cs="宋体"/>
                <w:color w:val="000000" w:themeColor="text1"/>
                <w:sz w:val="28"/>
                <w:szCs w:val="28"/>
                <w:highlight w:val="none"/>
                <w14:textFill>
                  <w14:solidFill>
                    <w14:schemeClr w14:val="tx1"/>
                  </w14:solidFill>
                </w14:textFill>
              </w:rPr>
            </w:pPr>
          </w:p>
        </w:tc>
        <w:tc>
          <w:tcPr>
            <w:tcW w:w="1382" w:type="dxa"/>
            <w:noWrap w:val="0"/>
            <w:vAlign w:val="top"/>
          </w:tcPr>
          <w:p w14:paraId="6CA2E035">
            <w:pPr>
              <w:widowControl/>
              <w:rPr>
                <w:rFonts w:hint="eastAsia" w:ascii="宋体" w:hAnsi="宋体" w:cs="宋体"/>
                <w:color w:val="000000" w:themeColor="text1"/>
                <w:sz w:val="28"/>
                <w:szCs w:val="28"/>
                <w:highlight w:val="none"/>
                <w14:textFill>
                  <w14:solidFill>
                    <w14:schemeClr w14:val="tx1"/>
                  </w14:solidFill>
                </w14:textFill>
              </w:rPr>
            </w:pPr>
          </w:p>
        </w:tc>
        <w:tc>
          <w:tcPr>
            <w:tcW w:w="1573" w:type="dxa"/>
            <w:noWrap w:val="0"/>
            <w:vAlign w:val="top"/>
          </w:tcPr>
          <w:p w14:paraId="2AC44236">
            <w:pPr>
              <w:widowControl/>
              <w:rPr>
                <w:rFonts w:hint="eastAsia" w:ascii="宋体" w:hAnsi="宋体" w:cs="宋体"/>
                <w:color w:val="000000" w:themeColor="text1"/>
                <w:sz w:val="28"/>
                <w:szCs w:val="28"/>
                <w:highlight w:val="none"/>
                <w14:textFill>
                  <w14:solidFill>
                    <w14:schemeClr w14:val="tx1"/>
                  </w14:solidFill>
                </w14:textFill>
              </w:rPr>
            </w:pPr>
          </w:p>
        </w:tc>
        <w:tc>
          <w:tcPr>
            <w:tcW w:w="1518" w:type="dxa"/>
            <w:noWrap w:val="0"/>
            <w:vAlign w:val="top"/>
          </w:tcPr>
          <w:p w14:paraId="3CB419D0">
            <w:pPr>
              <w:widowControl/>
              <w:rPr>
                <w:rFonts w:hint="eastAsia" w:ascii="宋体" w:hAnsi="宋体" w:cs="宋体"/>
                <w:color w:val="000000" w:themeColor="text1"/>
                <w:sz w:val="28"/>
                <w:szCs w:val="28"/>
                <w:highlight w:val="none"/>
                <w14:textFill>
                  <w14:solidFill>
                    <w14:schemeClr w14:val="tx1"/>
                  </w14:solidFill>
                </w14:textFill>
              </w:rPr>
            </w:pPr>
          </w:p>
        </w:tc>
        <w:tc>
          <w:tcPr>
            <w:tcW w:w="1332" w:type="dxa"/>
            <w:noWrap w:val="0"/>
            <w:vAlign w:val="top"/>
          </w:tcPr>
          <w:p w14:paraId="7E1AD3BC">
            <w:pPr>
              <w:widowControl/>
              <w:rPr>
                <w:rFonts w:hint="eastAsia" w:ascii="宋体" w:hAnsi="宋体" w:cs="宋体"/>
                <w:color w:val="000000" w:themeColor="text1"/>
                <w:sz w:val="28"/>
                <w:szCs w:val="28"/>
                <w:highlight w:val="none"/>
                <w14:textFill>
                  <w14:solidFill>
                    <w14:schemeClr w14:val="tx1"/>
                  </w14:solidFill>
                </w14:textFill>
              </w:rPr>
            </w:pPr>
          </w:p>
        </w:tc>
        <w:tc>
          <w:tcPr>
            <w:tcW w:w="1770" w:type="dxa"/>
            <w:noWrap w:val="0"/>
            <w:vAlign w:val="top"/>
          </w:tcPr>
          <w:p w14:paraId="54E6A5C2">
            <w:pPr>
              <w:widowControl/>
              <w:rPr>
                <w:rFonts w:hint="eastAsia" w:ascii="宋体" w:hAnsi="宋体" w:cs="宋体"/>
                <w:color w:val="000000" w:themeColor="text1"/>
                <w:sz w:val="28"/>
                <w:szCs w:val="28"/>
                <w:highlight w:val="none"/>
                <w14:textFill>
                  <w14:solidFill>
                    <w14:schemeClr w14:val="tx1"/>
                  </w14:solidFill>
                </w14:textFill>
              </w:rPr>
            </w:pPr>
          </w:p>
        </w:tc>
      </w:tr>
      <w:tr w14:paraId="1715E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607" w:type="dxa"/>
            <w:noWrap w:val="0"/>
            <w:vAlign w:val="top"/>
          </w:tcPr>
          <w:p w14:paraId="73D0266E">
            <w:pPr>
              <w:widowControl/>
              <w:rPr>
                <w:rFonts w:hint="eastAsia" w:ascii="宋体" w:hAnsi="宋体" w:cs="宋体"/>
                <w:color w:val="000000" w:themeColor="text1"/>
                <w:sz w:val="28"/>
                <w:szCs w:val="28"/>
                <w:highlight w:val="none"/>
                <w14:textFill>
                  <w14:solidFill>
                    <w14:schemeClr w14:val="tx1"/>
                  </w14:solidFill>
                </w14:textFill>
              </w:rPr>
            </w:pPr>
          </w:p>
        </w:tc>
        <w:tc>
          <w:tcPr>
            <w:tcW w:w="1785" w:type="dxa"/>
            <w:noWrap w:val="0"/>
            <w:vAlign w:val="top"/>
          </w:tcPr>
          <w:p w14:paraId="44C441E2">
            <w:pPr>
              <w:widowControl/>
              <w:rPr>
                <w:rFonts w:hint="eastAsia" w:ascii="宋体" w:hAnsi="宋体" w:cs="宋体"/>
                <w:color w:val="000000" w:themeColor="text1"/>
                <w:sz w:val="28"/>
                <w:szCs w:val="28"/>
                <w:highlight w:val="none"/>
                <w14:textFill>
                  <w14:solidFill>
                    <w14:schemeClr w14:val="tx1"/>
                  </w14:solidFill>
                </w14:textFill>
              </w:rPr>
            </w:pPr>
          </w:p>
        </w:tc>
        <w:tc>
          <w:tcPr>
            <w:tcW w:w="1382" w:type="dxa"/>
            <w:noWrap w:val="0"/>
            <w:vAlign w:val="top"/>
          </w:tcPr>
          <w:p w14:paraId="132589EA">
            <w:pPr>
              <w:widowControl/>
              <w:rPr>
                <w:rFonts w:hint="eastAsia" w:ascii="宋体" w:hAnsi="宋体" w:cs="宋体"/>
                <w:color w:val="000000" w:themeColor="text1"/>
                <w:sz w:val="28"/>
                <w:szCs w:val="28"/>
                <w:highlight w:val="none"/>
                <w14:textFill>
                  <w14:solidFill>
                    <w14:schemeClr w14:val="tx1"/>
                  </w14:solidFill>
                </w14:textFill>
              </w:rPr>
            </w:pPr>
          </w:p>
        </w:tc>
        <w:tc>
          <w:tcPr>
            <w:tcW w:w="1573" w:type="dxa"/>
            <w:noWrap w:val="0"/>
            <w:vAlign w:val="top"/>
          </w:tcPr>
          <w:p w14:paraId="16EA1940">
            <w:pPr>
              <w:widowControl/>
              <w:rPr>
                <w:rFonts w:hint="eastAsia" w:ascii="宋体" w:hAnsi="宋体" w:cs="宋体"/>
                <w:color w:val="000000" w:themeColor="text1"/>
                <w:sz w:val="28"/>
                <w:szCs w:val="28"/>
                <w:highlight w:val="none"/>
                <w14:textFill>
                  <w14:solidFill>
                    <w14:schemeClr w14:val="tx1"/>
                  </w14:solidFill>
                </w14:textFill>
              </w:rPr>
            </w:pPr>
          </w:p>
        </w:tc>
        <w:tc>
          <w:tcPr>
            <w:tcW w:w="1518" w:type="dxa"/>
            <w:noWrap w:val="0"/>
            <w:vAlign w:val="top"/>
          </w:tcPr>
          <w:p w14:paraId="642370EA">
            <w:pPr>
              <w:widowControl/>
              <w:rPr>
                <w:rFonts w:hint="eastAsia" w:ascii="宋体" w:hAnsi="宋体" w:cs="宋体"/>
                <w:color w:val="000000" w:themeColor="text1"/>
                <w:sz w:val="28"/>
                <w:szCs w:val="28"/>
                <w:highlight w:val="none"/>
                <w14:textFill>
                  <w14:solidFill>
                    <w14:schemeClr w14:val="tx1"/>
                  </w14:solidFill>
                </w14:textFill>
              </w:rPr>
            </w:pPr>
          </w:p>
        </w:tc>
        <w:tc>
          <w:tcPr>
            <w:tcW w:w="1332" w:type="dxa"/>
            <w:noWrap w:val="0"/>
            <w:vAlign w:val="top"/>
          </w:tcPr>
          <w:p w14:paraId="65E7D7B3">
            <w:pPr>
              <w:widowControl/>
              <w:rPr>
                <w:rFonts w:hint="eastAsia" w:ascii="宋体" w:hAnsi="宋体" w:cs="宋体"/>
                <w:color w:val="000000" w:themeColor="text1"/>
                <w:sz w:val="28"/>
                <w:szCs w:val="28"/>
                <w:highlight w:val="none"/>
                <w14:textFill>
                  <w14:solidFill>
                    <w14:schemeClr w14:val="tx1"/>
                  </w14:solidFill>
                </w14:textFill>
              </w:rPr>
            </w:pPr>
          </w:p>
        </w:tc>
        <w:tc>
          <w:tcPr>
            <w:tcW w:w="1770" w:type="dxa"/>
            <w:noWrap w:val="0"/>
            <w:vAlign w:val="top"/>
          </w:tcPr>
          <w:p w14:paraId="41DE6794">
            <w:pPr>
              <w:widowControl/>
              <w:rPr>
                <w:rFonts w:hint="eastAsia" w:ascii="宋体" w:hAnsi="宋体" w:cs="宋体"/>
                <w:color w:val="000000" w:themeColor="text1"/>
                <w:sz w:val="28"/>
                <w:szCs w:val="28"/>
                <w:highlight w:val="none"/>
                <w14:textFill>
                  <w14:solidFill>
                    <w14:schemeClr w14:val="tx1"/>
                  </w14:solidFill>
                </w14:textFill>
              </w:rPr>
            </w:pPr>
          </w:p>
        </w:tc>
      </w:tr>
      <w:tr w14:paraId="63CA3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607" w:type="dxa"/>
            <w:noWrap w:val="0"/>
            <w:vAlign w:val="top"/>
          </w:tcPr>
          <w:p w14:paraId="03BDA71F">
            <w:pPr>
              <w:widowControl/>
              <w:rPr>
                <w:rFonts w:hint="eastAsia" w:ascii="宋体" w:hAnsi="宋体" w:cs="宋体"/>
                <w:color w:val="000000" w:themeColor="text1"/>
                <w:sz w:val="28"/>
                <w:szCs w:val="28"/>
                <w:highlight w:val="none"/>
                <w14:textFill>
                  <w14:solidFill>
                    <w14:schemeClr w14:val="tx1"/>
                  </w14:solidFill>
                </w14:textFill>
              </w:rPr>
            </w:pPr>
          </w:p>
        </w:tc>
        <w:tc>
          <w:tcPr>
            <w:tcW w:w="1785" w:type="dxa"/>
            <w:noWrap w:val="0"/>
            <w:vAlign w:val="top"/>
          </w:tcPr>
          <w:p w14:paraId="191A5ABE">
            <w:pPr>
              <w:widowControl/>
              <w:rPr>
                <w:rFonts w:hint="eastAsia" w:ascii="宋体" w:hAnsi="宋体" w:cs="宋体"/>
                <w:color w:val="000000" w:themeColor="text1"/>
                <w:sz w:val="28"/>
                <w:szCs w:val="28"/>
                <w:highlight w:val="none"/>
                <w14:textFill>
                  <w14:solidFill>
                    <w14:schemeClr w14:val="tx1"/>
                  </w14:solidFill>
                </w14:textFill>
              </w:rPr>
            </w:pPr>
          </w:p>
        </w:tc>
        <w:tc>
          <w:tcPr>
            <w:tcW w:w="1382" w:type="dxa"/>
            <w:noWrap w:val="0"/>
            <w:vAlign w:val="top"/>
          </w:tcPr>
          <w:p w14:paraId="3430E85A">
            <w:pPr>
              <w:widowControl/>
              <w:rPr>
                <w:rFonts w:hint="eastAsia" w:ascii="宋体" w:hAnsi="宋体" w:cs="宋体"/>
                <w:color w:val="000000" w:themeColor="text1"/>
                <w:sz w:val="28"/>
                <w:szCs w:val="28"/>
                <w:highlight w:val="none"/>
                <w14:textFill>
                  <w14:solidFill>
                    <w14:schemeClr w14:val="tx1"/>
                  </w14:solidFill>
                </w14:textFill>
              </w:rPr>
            </w:pPr>
          </w:p>
        </w:tc>
        <w:tc>
          <w:tcPr>
            <w:tcW w:w="1573" w:type="dxa"/>
            <w:noWrap w:val="0"/>
            <w:vAlign w:val="top"/>
          </w:tcPr>
          <w:p w14:paraId="3162F7CA">
            <w:pPr>
              <w:widowControl/>
              <w:rPr>
                <w:rFonts w:hint="eastAsia" w:ascii="宋体" w:hAnsi="宋体" w:cs="宋体"/>
                <w:color w:val="000000" w:themeColor="text1"/>
                <w:sz w:val="28"/>
                <w:szCs w:val="28"/>
                <w:highlight w:val="none"/>
                <w14:textFill>
                  <w14:solidFill>
                    <w14:schemeClr w14:val="tx1"/>
                  </w14:solidFill>
                </w14:textFill>
              </w:rPr>
            </w:pPr>
          </w:p>
        </w:tc>
        <w:tc>
          <w:tcPr>
            <w:tcW w:w="1518" w:type="dxa"/>
            <w:noWrap w:val="0"/>
            <w:vAlign w:val="top"/>
          </w:tcPr>
          <w:p w14:paraId="4A859DE8">
            <w:pPr>
              <w:widowControl/>
              <w:rPr>
                <w:rFonts w:hint="eastAsia" w:ascii="宋体" w:hAnsi="宋体" w:cs="宋体"/>
                <w:color w:val="000000" w:themeColor="text1"/>
                <w:sz w:val="28"/>
                <w:szCs w:val="28"/>
                <w:highlight w:val="none"/>
                <w14:textFill>
                  <w14:solidFill>
                    <w14:schemeClr w14:val="tx1"/>
                  </w14:solidFill>
                </w14:textFill>
              </w:rPr>
            </w:pPr>
          </w:p>
        </w:tc>
        <w:tc>
          <w:tcPr>
            <w:tcW w:w="1332" w:type="dxa"/>
            <w:noWrap w:val="0"/>
            <w:vAlign w:val="top"/>
          </w:tcPr>
          <w:p w14:paraId="00962B05">
            <w:pPr>
              <w:widowControl/>
              <w:rPr>
                <w:rFonts w:hint="eastAsia" w:ascii="宋体" w:hAnsi="宋体" w:cs="宋体"/>
                <w:color w:val="000000" w:themeColor="text1"/>
                <w:sz w:val="28"/>
                <w:szCs w:val="28"/>
                <w:highlight w:val="none"/>
                <w14:textFill>
                  <w14:solidFill>
                    <w14:schemeClr w14:val="tx1"/>
                  </w14:solidFill>
                </w14:textFill>
              </w:rPr>
            </w:pPr>
          </w:p>
        </w:tc>
        <w:tc>
          <w:tcPr>
            <w:tcW w:w="1770" w:type="dxa"/>
            <w:noWrap w:val="0"/>
            <w:vAlign w:val="top"/>
          </w:tcPr>
          <w:p w14:paraId="317622EE">
            <w:pPr>
              <w:widowControl/>
              <w:rPr>
                <w:rFonts w:hint="eastAsia" w:ascii="宋体" w:hAnsi="宋体" w:cs="宋体"/>
                <w:color w:val="000000" w:themeColor="text1"/>
                <w:sz w:val="28"/>
                <w:szCs w:val="28"/>
                <w:highlight w:val="none"/>
                <w14:textFill>
                  <w14:solidFill>
                    <w14:schemeClr w14:val="tx1"/>
                  </w14:solidFill>
                </w14:textFill>
              </w:rPr>
            </w:pPr>
          </w:p>
        </w:tc>
      </w:tr>
      <w:tr w14:paraId="7FCD8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07" w:type="dxa"/>
            <w:noWrap w:val="0"/>
            <w:vAlign w:val="top"/>
          </w:tcPr>
          <w:p w14:paraId="5427FBF2">
            <w:pPr>
              <w:widowControl/>
              <w:rPr>
                <w:rFonts w:hint="eastAsia" w:ascii="宋体" w:hAnsi="宋体" w:cs="宋体"/>
                <w:color w:val="000000" w:themeColor="text1"/>
                <w:sz w:val="28"/>
                <w:szCs w:val="28"/>
                <w:highlight w:val="none"/>
                <w14:textFill>
                  <w14:solidFill>
                    <w14:schemeClr w14:val="tx1"/>
                  </w14:solidFill>
                </w14:textFill>
              </w:rPr>
            </w:pPr>
          </w:p>
        </w:tc>
        <w:tc>
          <w:tcPr>
            <w:tcW w:w="1785" w:type="dxa"/>
            <w:noWrap w:val="0"/>
            <w:vAlign w:val="top"/>
          </w:tcPr>
          <w:p w14:paraId="0A9015C1">
            <w:pPr>
              <w:widowControl/>
              <w:rPr>
                <w:rFonts w:hint="eastAsia" w:ascii="宋体" w:hAnsi="宋体" w:cs="宋体"/>
                <w:color w:val="000000" w:themeColor="text1"/>
                <w:sz w:val="28"/>
                <w:szCs w:val="28"/>
                <w:highlight w:val="none"/>
                <w14:textFill>
                  <w14:solidFill>
                    <w14:schemeClr w14:val="tx1"/>
                  </w14:solidFill>
                </w14:textFill>
              </w:rPr>
            </w:pPr>
          </w:p>
        </w:tc>
        <w:tc>
          <w:tcPr>
            <w:tcW w:w="1382" w:type="dxa"/>
            <w:noWrap w:val="0"/>
            <w:vAlign w:val="top"/>
          </w:tcPr>
          <w:p w14:paraId="1E6465B1">
            <w:pPr>
              <w:widowControl/>
              <w:rPr>
                <w:rFonts w:hint="eastAsia" w:ascii="宋体" w:hAnsi="宋体" w:cs="宋体"/>
                <w:color w:val="000000" w:themeColor="text1"/>
                <w:sz w:val="28"/>
                <w:szCs w:val="28"/>
                <w:highlight w:val="none"/>
                <w14:textFill>
                  <w14:solidFill>
                    <w14:schemeClr w14:val="tx1"/>
                  </w14:solidFill>
                </w14:textFill>
              </w:rPr>
            </w:pPr>
          </w:p>
        </w:tc>
        <w:tc>
          <w:tcPr>
            <w:tcW w:w="1573" w:type="dxa"/>
            <w:noWrap w:val="0"/>
            <w:vAlign w:val="top"/>
          </w:tcPr>
          <w:p w14:paraId="02E14F22">
            <w:pPr>
              <w:widowControl/>
              <w:rPr>
                <w:rFonts w:hint="eastAsia" w:ascii="宋体" w:hAnsi="宋体" w:cs="宋体"/>
                <w:color w:val="000000" w:themeColor="text1"/>
                <w:sz w:val="28"/>
                <w:szCs w:val="28"/>
                <w:highlight w:val="none"/>
                <w14:textFill>
                  <w14:solidFill>
                    <w14:schemeClr w14:val="tx1"/>
                  </w14:solidFill>
                </w14:textFill>
              </w:rPr>
            </w:pPr>
          </w:p>
        </w:tc>
        <w:tc>
          <w:tcPr>
            <w:tcW w:w="1518" w:type="dxa"/>
            <w:noWrap w:val="0"/>
            <w:vAlign w:val="top"/>
          </w:tcPr>
          <w:p w14:paraId="0E12C4C1">
            <w:pPr>
              <w:widowControl/>
              <w:rPr>
                <w:rFonts w:hint="eastAsia" w:ascii="宋体" w:hAnsi="宋体" w:cs="宋体"/>
                <w:color w:val="000000" w:themeColor="text1"/>
                <w:sz w:val="28"/>
                <w:szCs w:val="28"/>
                <w:highlight w:val="none"/>
                <w14:textFill>
                  <w14:solidFill>
                    <w14:schemeClr w14:val="tx1"/>
                  </w14:solidFill>
                </w14:textFill>
              </w:rPr>
            </w:pPr>
          </w:p>
        </w:tc>
        <w:tc>
          <w:tcPr>
            <w:tcW w:w="1332" w:type="dxa"/>
            <w:noWrap w:val="0"/>
            <w:vAlign w:val="top"/>
          </w:tcPr>
          <w:p w14:paraId="3F18CFEC">
            <w:pPr>
              <w:widowControl/>
              <w:rPr>
                <w:rFonts w:hint="eastAsia" w:ascii="宋体" w:hAnsi="宋体" w:cs="宋体"/>
                <w:color w:val="000000" w:themeColor="text1"/>
                <w:sz w:val="28"/>
                <w:szCs w:val="28"/>
                <w:highlight w:val="none"/>
                <w14:textFill>
                  <w14:solidFill>
                    <w14:schemeClr w14:val="tx1"/>
                  </w14:solidFill>
                </w14:textFill>
              </w:rPr>
            </w:pPr>
          </w:p>
        </w:tc>
        <w:tc>
          <w:tcPr>
            <w:tcW w:w="1770" w:type="dxa"/>
            <w:noWrap w:val="0"/>
            <w:vAlign w:val="top"/>
          </w:tcPr>
          <w:p w14:paraId="58219077">
            <w:pPr>
              <w:widowControl/>
              <w:rPr>
                <w:rFonts w:hint="eastAsia" w:ascii="宋体" w:hAnsi="宋体" w:cs="宋体"/>
                <w:color w:val="000000" w:themeColor="text1"/>
                <w:sz w:val="28"/>
                <w:szCs w:val="28"/>
                <w:highlight w:val="none"/>
                <w14:textFill>
                  <w14:solidFill>
                    <w14:schemeClr w14:val="tx1"/>
                  </w14:solidFill>
                </w14:textFill>
              </w:rPr>
            </w:pPr>
          </w:p>
        </w:tc>
      </w:tr>
      <w:tr w14:paraId="35BD8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07" w:type="dxa"/>
            <w:noWrap w:val="0"/>
            <w:vAlign w:val="top"/>
          </w:tcPr>
          <w:p w14:paraId="6E7741BC">
            <w:pPr>
              <w:widowControl/>
              <w:rPr>
                <w:rFonts w:hint="eastAsia" w:ascii="宋体" w:hAnsi="宋体" w:cs="宋体"/>
                <w:color w:val="000000" w:themeColor="text1"/>
                <w:sz w:val="28"/>
                <w:szCs w:val="28"/>
                <w:highlight w:val="none"/>
                <w14:textFill>
                  <w14:solidFill>
                    <w14:schemeClr w14:val="tx1"/>
                  </w14:solidFill>
                </w14:textFill>
              </w:rPr>
            </w:pPr>
          </w:p>
        </w:tc>
        <w:tc>
          <w:tcPr>
            <w:tcW w:w="1785" w:type="dxa"/>
            <w:noWrap w:val="0"/>
            <w:vAlign w:val="top"/>
          </w:tcPr>
          <w:p w14:paraId="18331DF0">
            <w:pPr>
              <w:widowControl/>
              <w:rPr>
                <w:rFonts w:hint="eastAsia" w:ascii="宋体" w:hAnsi="宋体" w:cs="宋体"/>
                <w:color w:val="000000" w:themeColor="text1"/>
                <w:sz w:val="28"/>
                <w:szCs w:val="28"/>
                <w:highlight w:val="none"/>
                <w14:textFill>
                  <w14:solidFill>
                    <w14:schemeClr w14:val="tx1"/>
                  </w14:solidFill>
                </w14:textFill>
              </w:rPr>
            </w:pPr>
          </w:p>
        </w:tc>
        <w:tc>
          <w:tcPr>
            <w:tcW w:w="1382" w:type="dxa"/>
            <w:noWrap w:val="0"/>
            <w:vAlign w:val="top"/>
          </w:tcPr>
          <w:p w14:paraId="00564F48">
            <w:pPr>
              <w:widowControl/>
              <w:rPr>
                <w:rFonts w:hint="eastAsia" w:ascii="宋体" w:hAnsi="宋体" w:cs="宋体"/>
                <w:color w:val="000000" w:themeColor="text1"/>
                <w:sz w:val="28"/>
                <w:szCs w:val="28"/>
                <w:highlight w:val="none"/>
                <w14:textFill>
                  <w14:solidFill>
                    <w14:schemeClr w14:val="tx1"/>
                  </w14:solidFill>
                </w14:textFill>
              </w:rPr>
            </w:pPr>
          </w:p>
        </w:tc>
        <w:tc>
          <w:tcPr>
            <w:tcW w:w="1573" w:type="dxa"/>
            <w:noWrap w:val="0"/>
            <w:vAlign w:val="top"/>
          </w:tcPr>
          <w:p w14:paraId="084D79CA">
            <w:pPr>
              <w:widowControl/>
              <w:rPr>
                <w:rFonts w:hint="eastAsia" w:ascii="宋体" w:hAnsi="宋体" w:cs="宋体"/>
                <w:color w:val="000000" w:themeColor="text1"/>
                <w:sz w:val="28"/>
                <w:szCs w:val="28"/>
                <w:highlight w:val="none"/>
                <w14:textFill>
                  <w14:solidFill>
                    <w14:schemeClr w14:val="tx1"/>
                  </w14:solidFill>
                </w14:textFill>
              </w:rPr>
            </w:pPr>
          </w:p>
        </w:tc>
        <w:tc>
          <w:tcPr>
            <w:tcW w:w="1518" w:type="dxa"/>
            <w:noWrap w:val="0"/>
            <w:vAlign w:val="top"/>
          </w:tcPr>
          <w:p w14:paraId="4BEADE7B">
            <w:pPr>
              <w:widowControl/>
              <w:rPr>
                <w:rFonts w:hint="eastAsia" w:ascii="宋体" w:hAnsi="宋体" w:cs="宋体"/>
                <w:color w:val="000000" w:themeColor="text1"/>
                <w:sz w:val="28"/>
                <w:szCs w:val="28"/>
                <w:highlight w:val="none"/>
                <w14:textFill>
                  <w14:solidFill>
                    <w14:schemeClr w14:val="tx1"/>
                  </w14:solidFill>
                </w14:textFill>
              </w:rPr>
            </w:pPr>
          </w:p>
        </w:tc>
        <w:tc>
          <w:tcPr>
            <w:tcW w:w="1332" w:type="dxa"/>
            <w:noWrap w:val="0"/>
            <w:vAlign w:val="top"/>
          </w:tcPr>
          <w:p w14:paraId="0886E29D">
            <w:pPr>
              <w:widowControl/>
              <w:rPr>
                <w:rFonts w:hint="eastAsia" w:ascii="宋体" w:hAnsi="宋体" w:cs="宋体"/>
                <w:color w:val="000000" w:themeColor="text1"/>
                <w:sz w:val="28"/>
                <w:szCs w:val="28"/>
                <w:highlight w:val="none"/>
                <w14:textFill>
                  <w14:solidFill>
                    <w14:schemeClr w14:val="tx1"/>
                  </w14:solidFill>
                </w14:textFill>
              </w:rPr>
            </w:pPr>
          </w:p>
        </w:tc>
        <w:tc>
          <w:tcPr>
            <w:tcW w:w="1770" w:type="dxa"/>
            <w:noWrap w:val="0"/>
            <w:vAlign w:val="top"/>
          </w:tcPr>
          <w:p w14:paraId="3839E7C1">
            <w:pPr>
              <w:widowControl/>
              <w:rPr>
                <w:rFonts w:hint="eastAsia" w:ascii="宋体" w:hAnsi="宋体" w:cs="宋体"/>
                <w:color w:val="000000" w:themeColor="text1"/>
                <w:sz w:val="28"/>
                <w:szCs w:val="28"/>
                <w:highlight w:val="none"/>
                <w14:textFill>
                  <w14:solidFill>
                    <w14:schemeClr w14:val="tx1"/>
                  </w14:solidFill>
                </w14:textFill>
              </w:rPr>
            </w:pPr>
          </w:p>
        </w:tc>
      </w:tr>
      <w:tr w14:paraId="64AAD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607" w:type="dxa"/>
            <w:noWrap w:val="0"/>
            <w:vAlign w:val="top"/>
          </w:tcPr>
          <w:p w14:paraId="62604201">
            <w:pPr>
              <w:widowControl/>
              <w:rPr>
                <w:rFonts w:hint="eastAsia" w:ascii="宋体" w:hAnsi="宋体" w:cs="宋体"/>
                <w:color w:val="000000" w:themeColor="text1"/>
                <w:sz w:val="28"/>
                <w:szCs w:val="28"/>
                <w:highlight w:val="none"/>
                <w14:textFill>
                  <w14:solidFill>
                    <w14:schemeClr w14:val="tx1"/>
                  </w14:solidFill>
                </w14:textFill>
              </w:rPr>
            </w:pPr>
          </w:p>
        </w:tc>
        <w:tc>
          <w:tcPr>
            <w:tcW w:w="1785" w:type="dxa"/>
            <w:noWrap w:val="0"/>
            <w:vAlign w:val="top"/>
          </w:tcPr>
          <w:p w14:paraId="53F775EA">
            <w:pPr>
              <w:widowControl/>
              <w:rPr>
                <w:rFonts w:hint="eastAsia" w:ascii="宋体" w:hAnsi="宋体" w:cs="宋体"/>
                <w:color w:val="000000" w:themeColor="text1"/>
                <w:sz w:val="28"/>
                <w:szCs w:val="28"/>
                <w:highlight w:val="none"/>
                <w14:textFill>
                  <w14:solidFill>
                    <w14:schemeClr w14:val="tx1"/>
                  </w14:solidFill>
                </w14:textFill>
              </w:rPr>
            </w:pPr>
          </w:p>
        </w:tc>
        <w:tc>
          <w:tcPr>
            <w:tcW w:w="1382" w:type="dxa"/>
            <w:noWrap w:val="0"/>
            <w:vAlign w:val="top"/>
          </w:tcPr>
          <w:p w14:paraId="2CCFC5D4">
            <w:pPr>
              <w:widowControl/>
              <w:rPr>
                <w:rFonts w:hint="eastAsia" w:ascii="宋体" w:hAnsi="宋体" w:cs="宋体"/>
                <w:color w:val="000000" w:themeColor="text1"/>
                <w:sz w:val="28"/>
                <w:szCs w:val="28"/>
                <w:highlight w:val="none"/>
                <w14:textFill>
                  <w14:solidFill>
                    <w14:schemeClr w14:val="tx1"/>
                  </w14:solidFill>
                </w14:textFill>
              </w:rPr>
            </w:pPr>
          </w:p>
        </w:tc>
        <w:tc>
          <w:tcPr>
            <w:tcW w:w="1573" w:type="dxa"/>
            <w:noWrap w:val="0"/>
            <w:vAlign w:val="top"/>
          </w:tcPr>
          <w:p w14:paraId="206A9548">
            <w:pPr>
              <w:widowControl/>
              <w:rPr>
                <w:rFonts w:hint="eastAsia" w:ascii="宋体" w:hAnsi="宋体" w:cs="宋体"/>
                <w:color w:val="000000" w:themeColor="text1"/>
                <w:sz w:val="28"/>
                <w:szCs w:val="28"/>
                <w:highlight w:val="none"/>
                <w14:textFill>
                  <w14:solidFill>
                    <w14:schemeClr w14:val="tx1"/>
                  </w14:solidFill>
                </w14:textFill>
              </w:rPr>
            </w:pPr>
          </w:p>
        </w:tc>
        <w:tc>
          <w:tcPr>
            <w:tcW w:w="1518" w:type="dxa"/>
            <w:noWrap w:val="0"/>
            <w:vAlign w:val="top"/>
          </w:tcPr>
          <w:p w14:paraId="3739703C">
            <w:pPr>
              <w:widowControl/>
              <w:rPr>
                <w:rFonts w:hint="eastAsia" w:ascii="宋体" w:hAnsi="宋体" w:cs="宋体"/>
                <w:color w:val="000000" w:themeColor="text1"/>
                <w:sz w:val="28"/>
                <w:szCs w:val="28"/>
                <w:highlight w:val="none"/>
                <w14:textFill>
                  <w14:solidFill>
                    <w14:schemeClr w14:val="tx1"/>
                  </w14:solidFill>
                </w14:textFill>
              </w:rPr>
            </w:pPr>
          </w:p>
        </w:tc>
        <w:tc>
          <w:tcPr>
            <w:tcW w:w="1332" w:type="dxa"/>
            <w:noWrap w:val="0"/>
            <w:vAlign w:val="top"/>
          </w:tcPr>
          <w:p w14:paraId="544BE2C6">
            <w:pPr>
              <w:widowControl/>
              <w:rPr>
                <w:rFonts w:hint="eastAsia" w:ascii="宋体" w:hAnsi="宋体" w:cs="宋体"/>
                <w:color w:val="000000" w:themeColor="text1"/>
                <w:sz w:val="28"/>
                <w:szCs w:val="28"/>
                <w:highlight w:val="none"/>
                <w14:textFill>
                  <w14:solidFill>
                    <w14:schemeClr w14:val="tx1"/>
                  </w14:solidFill>
                </w14:textFill>
              </w:rPr>
            </w:pPr>
          </w:p>
        </w:tc>
        <w:tc>
          <w:tcPr>
            <w:tcW w:w="1770" w:type="dxa"/>
            <w:noWrap w:val="0"/>
            <w:vAlign w:val="top"/>
          </w:tcPr>
          <w:p w14:paraId="42A7168B">
            <w:pPr>
              <w:widowControl/>
              <w:rPr>
                <w:rFonts w:hint="eastAsia" w:ascii="宋体" w:hAnsi="宋体" w:cs="宋体"/>
                <w:color w:val="000000" w:themeColor="text1"/>
                <w:sz w:val="28"/>
                <w:szCs w:val="28"/>
                <w:highlight w:val="none"/>
                <w14:textFill>
                  <w14:solidFill>
                    <w14:schemeClr w14:val="tx1"/>
                  </w14:solidFill>
                </w14:textFill>
              </w:rPr>
            </w:pPr>
          </w:p>
        </w:tc>
      </w:tr>
    </w:tbl>
    <w:p w14:paraId="5A456128">
      <w:pPr>
        <w:widowControl/>
        <w:spacing w:line="251" w:lineRule="auto"/>
        <w:rPr>
          <w:rFonts w:hint="eastAsia" w:ascii="宋体" w:hAnsi="宋体" w:cs="宋体"/>
          <w:color w:val="000000" w:themeColor="text1"/>
          <w:sz w:val="28"/>
          <w:szCs w:val="28"/>
          <w:highlight w:val="none"/>
          <w14:textFill>
            <w14:solidFill>
              <w14:schemeClr w14:val="tx1"/>
            </w14:solidFill>
          </w14:textFill>
        </w:rPr>
      </w:pPr>
    </w:p>
    <w:p w14:paraId="6BA5153C">
      <w:pPr>
        <w:pStyle w:val="2"/>
        <w:widowControl/>
        <w:spacing w:after="0" w:line="222" w:lineRule="auto"/>
        <w:ind w:firstLine="273" w:firstLineChars="10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pacing w:val="-4"/>
          <w:sz w:val="28"/>
          <w:szCs w:val="28"/>
          <w:highlight w:val="none"/>
          <w:lang w:val="en-US" w:eastAsia="zh-CN"/>
          <w14:textFill>
            <w14:solidFill>
              <w14:schemeClr w14:val="tx1"/>
            </w14:solidFill>
          </w14:textFill>
        </w:rPr>
        <w:t>注：</w:t>
      </w:r>
      <w:r>
        <w:rPr>
          <w:rFonts w:hint="eastAsia" w:ascii="宋体" w:hAnsi="宋体" w:cs="宋体"/>
          <w:b/>
          <w:bCs/>
          <w:color w:val="000000" w:themeColor="text1"/>
          <w:spacing w:val="-4"/>
          <w:sz w:val="28"/>
          <w:szCs w:val="28"/>
          <w:highlight w:val="none"/>
          <w14:textFill>
            <w14:solidFill>
              <w14:schemeClr w14:val="tx1"/>
            </w14:solidFill>
          </w14:textFill>
        </w:rPr>
        <w:t>同时按评分标准中要求提供相关证明文件。</w:t>
      </w:r>
    </w:p>
    <w:p w14:paraId="0D116565">
      <w:pPr>
        <w:widowControl/>
        <w:spacing w:line="222" w:lineRule="auto"/>
        <w:rPr>
          <w:rFonts w:hint="eastAsia" w:ascii="宋体" w:hAnsi="宋体" w:cs="宋体"/>
          <w:color w:val="000000" w:themeColor="text1"/>
          <w:sz w:val="28"/>
          <w:szCs w:val="28"/>
          <w:highlight w:val="none"/>
          <w14:textFill>
            <w14:solidFill>
              <w14:schemeClr w14:val="tx1"/>
            </w14:solidFill>
          </w14:textFill>
        </w:rPr>
        <w:sectPr>
          <w:headerReference r:id="rId8" w:type="default"/>
          <w:footerReference r:id="rId9" w:type="default"/>
          <w:pgSz w:w="11906" w:h="16838"/>
          <w:pgMar w:top="1361" w:right="1304" w:bottom="1134" w:left="1587" w:header="850" w:footer="992" w:gutter="0"/>
          <w:pgNumType w:fmt="numberInDash"/>
          <w:cols w:space="720" w:num="1"/>
          <w:docGrid w:linePitch="1" w:charSpace="0"/>
        </w:sectPr>
      </w:pPr>
    </w:p>
    <w:p w14:paraId="471D186B">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八、项目管理机构（项目</w:t>
      </w:r>
      <w:r>
        <w:rPr>
          <w:rFonts w:hint="eastAsia" w:hAnsi="宋体" w:cs="宋体"/>
          <w:b/>
          <w:color w:val="000000" w:themeColor="text1"/>
          <w:sz w:val="32"/>
          <w:szCs w:val="32"/>
          <w:highlight w:val="none"/>
          <w:lang w:val="en-US" w:eastAsia="zh-CN"/>
          <w14:textFill>
            <w14:solidFill>
              <w14:schemeClr w14:val="tx1"/>
            </w14:solidFill>
          </w14:textFill>
        </w:rPr>
        <w:t>管理、维护服务人员</w:t>
      </w:r>
      <w:r>
        <w:rPr>
          <w:rFonts w:hint="eastAsia" w:hAnsi="宋体" w:cs="宋体"/>
          <w:b/>
          <w:color w:val="000000" w:themeColor="text1"/>
          <w:sz w:val="32"/>
          <w:szCs w:val="32"/>
          <w:highlight w:val="none"/>
          <w14:textFill>
            <w14:solidFill>
              <w14:schemeClr w14:val="tx1"/>
            </w14:solidFill>
          </w14:textFill>
        </w:rPr>
        <w:t>）配备表</w:t>
      </w:r>
    </w:p>
    <w:p w14:paraId="227F8F7B">
      <w:pPr>
        <w:pStyle w:val="2"/>
        <w:widowControl/>
        <w:spacing w:after="0" w:line="222" w:lineRule="auto"/>
        <w:rPr>
          <w:rFonts w:hint="eastAsia" w:ascii="宋体" w:hAnsi="宋体" w:cs="宋体"/>
          <w:color w:val="000000" w:themeColor="text1"/>
          <w:spacing w:val="-1"/>
          <w:sz w:val="28"/>
          <w:szCs w:val="28"/>
          <w:highlight w:val="none"/>
          <w14:textFill>
            <w14:solidFill>
              <w14:schemeClr w14:val="tx1"/>
            </w14:solidFill>
          </w14:textFill>
        </w:rPr>
      </w:pPr>
    </w:p>
    <w:p w14:paraId="7C449A87">
      <w:pPr>
        <w:pStyle w:val="2"/>
        <w:widowControl/>
        <w:spacing w:after="0" w:line="22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1"/>
          <w:sz w:val="24"/>
          <w:szCs w:val="24"/>
          <w:highlight w:val="none"/>
          <w14:textFill>
            <w14:solidFill>
              <w14:schemeClr w14:val="tx1"/>
            </w14:solidFill>
          </w14:textFill>
        </w:rPr>
        <w:t>项目名称：</w:t>
      </w:r>
      <w:r>
        <w:rPr>
          <w:rFonts w:hint="eastAsia" w:ascii="宋体" w:hAnsi="宋体" w:cs="宋体"/>
          <w:color w:val="000000" w:themeColor="text1"/>
          <w:spacing w:val="-1"/>
          <w:sz w:val="24"/>
          <w:szCs w:val="24"/>
          <w:highlight w:val="none"/>
          <w:u w:val="single"/>
          <w14:textFill>
            <w14:solidFill>
              <w14:schemeClr w14:val="tx1"/>
            </w14:solidFill>
          </w14:textFill>
        </w:rPr>
        <w:t xml:space="preserve">                         </w:t>
      </w:r>
      <w:r>
        <w:rPr>
          <w:rFonts w:hint="eastAsia" w:ascii="宋体" w:hAnsi="宋体" w:cs="宋体"/>
          <w:color w:val="000000" w:themeColor="text1"/>
          <w:spacing w:val="-1"/>
          <w:sz w:val="24"/>
          <w:szCs w:val="24"/>
          <w:highlight w:val="none"/>
          <w14:textFill>
            <w14:solidFill>
              <w14:schemeClr w14:val="tx1"/>
            </w14:solidFill>
          </w14:textFill>
        </w:rPr>
        <w:t xml:space="preserve"> </w:t>
      </w:r>
    </w:p>
    <w:p w14:paraId="44C08D6D">
      <w:pPr>
        <w:widowControl/>
        <w:spacing w:line="87" w:lineRule="auto"/>
        <w:rPr>
          <w:rFonts w:hint="eastAsia" w:ascii="宋体" w:hAnsi="宋体" w:cs="宋体"/>
          <w:color w:val="000000" w:themeColor="text1"/>
          <w:sz w:val="28"/>
          <w:szCs w:val="28"/>
          <w:highlight w:val="none"/>
          <w14:textFill>
            <w14:solidFill>
              <w14:schemeClr w14:val="tx1"/>
            </w14:solidFill>
          </w14:textFill>
        </w:rPr>
      </w:pPr>
    </w:p>
    <w:tbl>
      <w:tblPr>
        <w:tblStyle w:val="38"/>
        <w:tblW w:w="97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2"/>
        <w:gridCol w:w="1333"/>
        <w:gridCol w:w="567"/>
        <w:gridCol w:w="612"/>
        <w:gridCol w:w="963"/>
        <w:gridCol w:w="1087"/>
        <w:gridCol w:w="1088"/>
        <w:gridCol w:w="2250"/>
        <w:gridCol w:w="1324"/>
      </w:tblGrid>
      <w:tr w14:paraId="7CF3F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 w:hRule="atLeast"/>
        </w:trPr>
        <w:tc>
          <w:tcPr>
            <w:tcW w:w="552" w:type="dxa"/>
            <w:noWrap w:val="0"/>
            <w:vAlign w:val="center"/>
          </w:tcPr>
          <w:p w14:paraId="4880EADB">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333" w:type="dxa"/>
            <w:noWrap w:val="0"/>
            <w:vAlign w:val="center"/>
          </w:tcPr>
          <w:p w14:paraId="0F829DF5">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p>
        </w:tc>
        <w:tc>
          <w:tcPr>
            <w:tcW w:w="567" w:type="dxa"/>
            <w:noWrap w:val="0"/>
            <w:vAlign w:val="center"/>
          </w:tcPr>
          <w:p w14:paraId="35963FF2">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性别</w:t>
            </w:r>
          </w:p>
        </w:tc>
        <w:tc>
          <w:tcPr>
            <w:tcW w:w="612" w:type="dxa"/>
            <w:noWrap w:val="0"/>
            <w:vAlign w:val="center"/>
          </w:tcPr>
          <w:p w14:paraId="31D75259">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年龄</w:t>
            </w:r>
          </w:p>
        </w:tc>
        <w:tc>
          <w:tcPr>
            <w:tcW w:w="963" w:type="dxa"/>
            <w:noWrap w:val="0"/>
            <w:vAlign w:val="center"/>
          </w:tcPr>
          <w:p w14:paraId="2CAE621B">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学历</w:t>
            </w:r>
          </w:p>
        </w:tc>
        <w:tc>
          <w:tcPr>
            <w:tcW w:w="1087" w:type="dxa"/>
            <w:noWrap w:val="0"/>
            <w:vAlign w:val="center"/>
          </w:tcPr>
          <w:p w14:paraId="249E5F55">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专业</w:t>
            </w:r>
          </w:p>
        </w:tc>
        <w:tc>
          <w:tcPr>
            <w:tcW w:w="1088" w:type="dxa"/>
            <w:noWrap w:val="0"/>
            <w:vAlign w:val="center"/>
          </w:tcPr>
          <w:p w14:paraId="3102C4D0">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职称</w:t>
            </w:r>
          </w:p>
        </w:tc>
        <w:tc>
          <w:tcPr>
            <w:tcW w:w="2250" w:type="dxa"/>
            <w:noWrap w:val="0"/>
            <w:vAlign w:val="center"/>
          </w:tcPr>
          <w:p w14:paraId="5DCB246F">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相关证书</w:t>
            </w:r>
          </w:p>
        </w:tc>
        <w:tc>
          <w:tcPr>
            <w:tcW w:w="1324" w:type="dxa"/>
            <w:noWrap w:val="0"/>
            <w:vAlign w:val="center"/>
          </w:tcPr>
          <w:p w14:paraId="4597ED9C">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拟任岗位</w:t>
            </w:r>
          </w:p>
        </w:tc>
      </w:tr>
      <w:tr w14:paraId="7CC54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252F550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3061878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18FA724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518030B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6D970D8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003C56D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135DE11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2C4B664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3F10FE9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3662F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27F1E9F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1EC5DC4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6B3910C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4F70C04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0EE42C2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4A8235E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1656A53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671F3EE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4CF79EC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781B0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0D48ED5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1909B0F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2AC4324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4508717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5CF91B0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6DA0E2D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1C7CE1D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29D6F70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1571228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73F80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455D639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5D414E2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2771777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571A272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4011DA4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3532764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20E3A1B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578F6AA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5494E8C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02CF6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5FE6EC4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27D615B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22CB9FF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09574A0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00EB81D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57E5CF5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1FCF41F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5829CDC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0A07512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7E4A5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7D7EF0A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5F4C465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6B2DC26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401C65C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074E81F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65BC682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74F3125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7634EDC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1F66AA3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4B2F6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35BC24E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2D54235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7EBFE1D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3438D16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2C7B0CA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50594E3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4AEE7B7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5BF58A0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52B06BB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0A2997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552" w:type="dxa"/>
            <w:noWrap w:val="0"/>
            <w:vAlign w:val="center"/>
          </w:tcPr>
          <w:p w14:paraId="48BEEAC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5C8E674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7E866AE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6BB3D5F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513887F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27AAA5B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0A43562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70515EE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1838181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14849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4F5FE8D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0EEAC55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0BA8005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1E93EC0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54EE278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3FB780F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3CA4930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11EB2F0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2AB17B0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24378D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6B42E5D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54F7F12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6AF1743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538CC66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1B2585E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7EC09CF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4A61F72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443B096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52D0EFC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3969D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6A3F862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61F9841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6F7083F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5BEFF31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0F23C53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7D4231C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153C166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40DF02D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312DDC3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5E8DA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2E9C5EB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6CAD6CA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470EAD6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1721307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7FC04BC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48E0EFD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6926C69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664D8EC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5B026D9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0FF59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760110E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00292F9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5A556B9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25C19E9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711DA23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512C8BD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0C7BAAB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6E6DD1D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76B9C99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4A65B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2EBA74C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21DDE72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54C54FF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25F9450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261B174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348733B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0F110AC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1AAD9EF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311BA08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0EDF6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28B548F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1246CD3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57C6003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16D9AB5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22151A5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0A43AC0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7C17C6C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179454C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1252287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738C0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680E1C2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0C62C42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47FD2C4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5011F5D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6ED8C9A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52F3448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471C4D5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4AF6CEF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30E5D90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43821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6447F15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5CF0830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5BE421B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6A54D47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137EA4F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0728D00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6C64E93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36CA7A9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4E39C6D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5AAE44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52" w:type="dxa"/>
            <w:noWrap w:val="0"/>
            <w:vAlign w:val="center"/>
          </w:tcPr>
          <w:p w14:paraId="3990FF8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52183F7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4B6E9B0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4A8C665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617C469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591F172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3F22471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0817B9B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0E84110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35440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552" w:type="dxa"/>
            <w:noWrap w:val="0"/>
            <w:vAlign w:val="center"/>
          </w:tcPr>
          <w:p w14:paraId="4101C9D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33" w:type="dxa"/>
            <w:noWrap w:val="0"/>
            <w:vAlign w:val="center"/>
          </w:tcPr>
          <w:p w14:paraId="49ECA41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67" w:type="dxa"/>
            <w:noWrap w:val="0"/>
            <w:vAlign w:val="center"/>
          </w:tcPr>
          <w:p w14:paraId="31FB2E9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612" w:type="dxa"/>
            <w:noWrap w:val="0"/>
            <w:vAlign w:val="center"/>
          </w:tcPr>
          <w:p w14:paraId="0971827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963" w:type="dxa"/>
            <w:noWrap w:val="0"/>
            <w:vAlign w:val="center"/>
          </w:tcPr>
          <w:p w14:paraId="019BE84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7" w:type="dxa"/>
            <w:noWrap w:val="0"/>
            <w:vAlign w:val="center"/>
          </w:tcPr>
          <w:p w14:paraId="1B22A3D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088" w:type="dxa"/>
            <w:noWrap w:val="0"/>
            <w:vAlign w:val="center"/>
          </w:tcPr>
          <w:p w14:paraId="591F9DB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250" w:type="dxa"/>
            <w:noWrap w:val="0"/>
            <w:vAlign w:val="center"/>
          </w:tcPr>
          <w:p w14:paraId="0ABA565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324" w:type="dxa"/>
            <w:noWrap w:val="0"/>
            <w:vAlign w:val="center"/>
          </w:tcPr>
          <w:p w14:paraId="1D27EBD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bl>
    <w:p w14:paraId="6BFB0108">
      <w:pPr>
        <w:widowControl/>
        <w:spacing w:line="251" w:lineRule="auto"/>
        <w:rPr>
          <w:rFonts w:hint="eastAsia" w:ascii="宋体" w:hAnsi="宋体" w:cs="宋体"/>
          <w:color w:val="000000" w:themeColor="text1"/>
          <w:sz w:val="28"/>
          <w:szCs w:val="28"/>
          <w:highlight w:val="none"/>
          <w14:textFill>
            <w14:solidFill>
              <w14:schemeClr w14:val="tx1"/>
            </w14:solidFill>
          </w14:textFill>
        </w:rPr>
      </w:pPr>
    </w:p>
    <w:p w14:paraId="676509B5">
      <w:pPr>
        <w:pStyle w:val="216"/>
        <w:widowControl/>
        <w:spacing w:line="440" w:lineRule="exact"/>
        <w:ind w:firstLine="241" w:firstLineChars="100"/>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备注：</w:t>
      </w:r>
    </w:p>
    <w:p w14:paraId="236BA27F">
      <w:pPr>
        <w:pStyle w:val="216"/>
        <w:widowControl/>
        <w:spacing w:line="440" w:lineRule="exact"/>
        <w:ind w:firstLine="480" w:firstLineChars="200"/>
        <w:rPr>
          <w:rFonts w:hint="default" w:hAnsi="宋体" w:eastAsia="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val="en-US" w:eastAsia="zh-CN"/>
          <w14:textFill>
            <w14:solidFill>
              <w14:schemeClr w14:val="tx1"/>
            </w14:solidFill>
          </w14:textFill>
        </w:rPr>
        <w:t>此表为投标人拟为本项目配备的项目管理、维护服务人员（项目负责人、技术负责人、安全员）、维护人员（具有高压电工证、低压电工证、高处作业证、熔化焊接与热切割作业证、B2及以上驾驶证、起重机司机证（新Q2或旧Q8）的人员）明细表，请投标人按招标文件资格审查、第三章 评标标准 和 第五章 采购需求中的要求进行填写并提供相关证明材料。（</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须提供相关证书原件扫描件并加盖</w:t>
      </w:r>
      <w:r>
        <w:rPr>
          <w:rFonts w:hint="eastAsia" w:hAnsi="宋体" w:cs="宋体"/>
          <w:b/>
          <w:bCs/>
          <w:color w:val="000000" w:themeColor="text1"/>
          <w:spacing w:val="-5"/>
          <w:sz w:val="24"/>
          <w:szCs w:val="24"/>
          <w:highlight w:val="none"/>
          <w:lang w:val="en-US" w:eastAsia="zh-CN"/>
          <w14:textFill>
            <w14:solidFill>
              <w14:schemeClr w14:val="tx1"/>
            </w14:solidFill>
          </w14:textFill>
        </w:rPr>
        <w:t>投标人</w:t>
      </w:r>
      <w:r>
        <w:rPr>
          <w:rFonts w:hint="eastAsia" w:ascii="宋体" w:hAnsi="宋体" w:eastAsia="宋体" w:cs="宋体"/>
          <w:b/>
          <w:bCs/>
          <w:color w:val="000000" w:themeColor="text1"/>
          <w:spacing w:val="-5"/>
          <w:sz w:val="24"/>
          <w:szCs w:val="24"/>
          <w:highlight w:val="none"/>
          <w:lang w:val="en-US" w:eastAsia="zh-CN"/>
          <w14:textFill>
            <w14:solidFill>
              <w14:schemeClr w14:val="tx1"/>
            </w14:solidFill>
          </w14:textFill>
        </w:rPr>
        <w:t>电子签章，放入投标文件中。</w:t>
      </w:r>
      <w:r>
        <w:rPr>
          <w:rFonts w:hint="eastAsia" w:hAnsi="宋体" w:cs="宋体"/>
          <w:b/>
          <w:bCs/>
          <w:color w:val="000000" w:themeColor="text1"/>
          <w:spacing w:val="-5"/>
          <w:sz w:val="24"/>
          <w:szCs w:val="24"/>
          <w:highlight w:val="none"/>
          <w:lang w:val="en-US" w:eastAsia="zh-CN"/>
          <w14:textFill>
            <w14:solidFill>
              <w14:schemeClr w14:val="tx1"/>
            </w14:solidFill>
          </w14:textFill>
        </w:rPr>
        <w:t>）</w:t>
      </w:r>
    </w:p>
    <w:p w14:paraId="6B98C7D5">
      <w:pPr>
        <w:pStyle w:val="216"/>
        <w:widowControl/>
        <w:spacing w:line="440" w:lineRule="exact"/>
        <w:ind w:firstLine="480" w:firstLineChars="200"/>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w:t>
      </w:r>
      <w:r>
        <w:rPr>
          <w:rFonts w:hint="eastAsia" w:hAnsi="宋体" w:cs="宋体"/>
          <w:color w:val="000000" w:themeColor="text1"/>
          <w:sz w:val="24"/>
          <w:szCs w:val="24"/>
          <w:highlight w:val="none"/>
          <w14:textFill>
            <w14:solidFill>
              <w14:schemeClr w14:val="tx1"/>
            </w14:solidFill>
          </w14:textFill>
        </w:rPr>
        <w:t>此表为表样，行数可自行添加，但表式不变</w:t>
      </w:r>
      <w:r>
        <w:rPr>
          <w:rFonts w:hint="eastAsia" w:hAnsi="宋体" w:cs="宋体"/>
          <w:color w:val="000000" w:themeColor="text1"/>
          <w:sz w:val="24"/>
          <w:szCs w:val="24"/>
          <w:highlight w:val="none"/>
          <w:lang w:eastAsia="zh-CN"/>
          <w14:textFill>
            <w14:solidFill>
              <w14:schemeClr w14:val="tx1"/>
            </w14:solidFill>
          </w14:textFill>
        </w:rPr>
        <w:t>。</w:t>
      </w:r>
    </w:p>
    <w:p w14:paraId="5D66936C">
      <w:pPr>
        <w:widowControl/>
        <w:spacing w:line="800" w:lineRule="exact"/>
        <w:ind w:firstLine="5280" w:firstLineChars="2200"/>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投标人:</w:t>
      </w:r>
      <w:r>
        <w:rPr>
          <w:rFonts w:hint="eastAsia" w:ascii="宋体" w:hAnsi="宋体" w:cs="宋体"/>
          <w:color w:val="000000" w:themeColor="text1"/>
          <w:sz w:val="24"/>
          <w:szCs w:val="24"/>
          <w:highlight w:val="none"/>
          <w:u w:val="single"/>
          <w:lang w:val="zh-CN"/>
          <w14:textFill>
            <w14:solidFill>
              <w14:schemeClr w14:val="tx1"/>
            </w14:solidFill>
          </w14:textFill>
        </w:rPr>
        <w:t xml:space="preserve">    （电子签章）     </w:t>
      </w:r>
    </w:p>
    <w:p w14:paraId="18C57C7D">
      <w:pPr>
        <w:widowControl/>
        <w:spacing w:line="800" w:lineRule="exact"/>
        <w:rPr>
          <w:rFonts w:hint="eastAsia" w:ascii="宋体" w:hAnsi="宋体" w:cs="宋体"/>
          <w:color w:val="000000" w:themeColor="text1"/>
          <w:sz w:val="24"/>
          <w:szCs w:val="24"/>
          <w:highlight w:val="none"/>
          <w14:textFill>
            <w14:solidFill>
              <w14:schemeClr w14:val="tx1"/>
            </w14:solidFill>
          </w14:textFill>
        </w:rPr>
        <w:sectPr>
          <w:headerReference r:id="rId10" w:type="default"/>
          <w:footerReference r:id="rId11" w:type="default"/>
          <w:pgSz w:w="11906" w:h="16838"/>
          <w:pgMar w:top="1361" w:right="1304" w:bottom="1134" w:left="1587" w:header="850" w:footer="992" w:gutter="0"/>
          <w:pgNumType w:fmt="numberInDash"/>
          <w:cols w:space="720" w:num="1"/>
          <w:docGrid w:linePitch="1" w:charSpace="0"/>
        </w:sectPr>
      </w:pP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日期:</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年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w:t>
      </w:r>
    </w:p>
    <w:p w14:paraId="23E8549E">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九、拟投入</w:t>
      </w:r>
      <w:r>
        <w:rPr>
          <w:rFonts w:hint="eastAsia" w:hAnsi="宋体" w:cs="宋体"/>
          <w:b/>
          <w:color w:val="000000" w:themeColor="text1"/>
          <w:sz w:val="32"/>
          <w:szCs w:val="32"/>
          <w:highlight w:val="none"/>
          <w:lang w:val="en-US" w:eastAsia="zh-CN"/>
          <w14:textFill>
            <w14:solidFill>
              <w14:schemeClr w14:val="tx1"/>
            </w14:solidFill>
          </w14:textFill>
        </w:rPr>
        <w:t>车辆、设备、</w:t>
      </w:r>
      <w:r>
        <w:rPr>
          <w:rFonts w:hint="eastAsia" w:hAnsi="宋体" w:cs="宋体"/>
          <w:b/>
          <w:color w:val="000000" w:themeColor="text1"/>
          <w:sz w:val="32"/>
          <w:szCs w:val="32"/>
          <w:highlight w:val="none"/>
          <w14:textFill>
            <w14:solidFill>
              <w14:schemeClr w14:val="tx1"/>
            </w14:solidFill>
          </w14:textFill>
        </w:rPr>
        <w:t>仪器、通讯、交通工具</w:t>
      </w:r>
      <w:r>
        <w:rPr>
          <w:rFonts w:hint="eastAsia" w:hAnsi="宋体" w:cs="宋体"/>
          <w:b/>
          <w:color w:val="000000" w:themeColor="text1"/>
          <w:sz w:val="32"/>
          <w:szCs w:val="32"/>
          <w:highlight w:val="none"/>
          <w:lang w:val="en-US" w:eastAsia="zh-CN"/>
          <w14:textFill>
            <w14:solidFill>
              <w14:schemeClr w14:val="tx1"/>
            </w14:solidFill>
          </w14:textFill>
        </w:rPr>
        <w:t>等</w:t>
      </w:r>
      <w:r>
        <w:rPr>
          <w:rFonts w:hint="eastAsia" w:hAnsi="宋体" w:cs="宋体"/>
          <w:b/>
          <w:color w:val="000000" w:themeColor="text1"/>
          <w:sz w:val="32"/>
          <w:szCs w:val="32"/>
          <w:highlight w:val="none"/>
          <w14:textFill>
            <w14:solidFill>
              <w14:schemeClr w14:val="tx1"/>
            </w14:solidFill>
          </w14:textFill>
        </w:rPr>
        <w:t>一览表</w:t>
      </w:r>
    </w:p>
    <w:p w14:paraId="2B303A7E">
      <w:pPr>
        <w:pStyle w:val="2"/>
        <w:widowControl/>
        <w:spacing w:after="0" w:line="217" w:lineRule="auto"/>
        <w:rPr>
          <w:rFonts w:hint="eastAsia" w:ascii="宋体" w:hAnsi="宋体" w:cs="宋体"/>
          <w:color w:val="000000" w:themeColor="text1"/>
          <w:spacing w:val="-1"/>
          <w:sz w:val="28"/>
          <w:szCs w:val="28"/>
          <w:highlight w:val="none"/>
          <w14:textFill>
            <w14:solidFill>
              <w14:schemeClr w14:val="tx1"/>
            </w14:solidFill>
          </w14:textFill>
        </w:rPr>
      </w:pPr>
    </w:p>
    <w:p w14:paraId="5A6BA20E">
      <w:pPr>
        <w:pStyle w:val="2"/>
        <w:widowControl/>
        <w:spacing w:after="0" w:line="217" w:lineRule="auto"/>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pacing w:val="-1"/>
          <w:sz w:val="28"/>
          <w:szCs w:val="28"/>
          <w:highlight w:val="none"/>
          <w14:textFill>
            <w14:solidFill>
              <w14:schemeClr w14:val="tx1"/>
            </w14:solidFill>
          </w14:textFill>
        </w:rPr>
        <w:t>项目名称：</w:t>
      </w:r>
      <w:r>
        <w:rPr>
          <w:rFonts w:hint="eastAsia" w:ascii="宋体" w:hAnsi="宋体" w:cs="宋体"/>
          <w:color w:val="000000" w:themeColor="text1"/>
          <w:spacing w:val="-1"/>
          <w:sz w:val="28"/>
          <w:szCs w:val="28"/>
          <w:highlight w:val="none"/>
          <w:u w:val="single"/>
          <w14:textFill>
            <w14:solidFill>
              <w14:schemeClr w14:val="tx1"/>
            </w14:solidFill>
          </w14:textFill>
        </w:rPr>
        <w:t xml:space="preserve">                        </w:t>
      </w:r>
    </w:p>
    <w:tbl>
      <w:tblPr>
        <w:tblStyle w:val="38"/>
        <w:tblW w:w="9336"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7"/>
        <w:gridCol w:w="1751"/>
        <w:gridCol w:w="2012"/>
        <w:gridCol w:w="1188"/>
        <w:gridCol w:w="533"/>
        <w:gridCol w:w="557"/>
        <w:gridCol w:w="1188"/>
        <w:gridCol w:w="1410"/>
      </w:tblGrid>
      <w:tr w14:paraId="276B1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697" w:type="dxa"/>
            <w:noWrap w:val="0"/>
            <w:vAlign w:val="center"/>
          </w:tcPr>
          <w:p w14:paraId="08C8B3DE">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751" w:type="dxa"/>
            <w:noWrap w:val="0"/>
            <w:vAlign w:val="center"/>
          </w:tcPr>
          <w:p w14:paraId="54DD175D">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名</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称</w:t>
            </w:r>
          </w:p>
        </w:tc>
        <w:tc>
          <w:tcPr>
            <w:tcW w:w="2012" w:type="dxa"/>
            <w:noWrap w:val="0"/>
            <w:vAlign w:val="center"/>
          </w:tcPr>
          <w:p w14:paraId="40420E2F">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生产厂家、品牌</w:t>
            </w:r>
          </w:p>
        </w:tc>
        <w:tc>
          <w:tcPr>
            <w:tcW w:w="1188" w:type="dxa"/>
            <w:noWrap w:val="0"/>
            <w:vAlign w:val="center"/>
          </w:tcPr>
          <w:p w14:paraId="548725FB">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规格、型号、参数等</w:t>
            </w:r>
          </w:p>
        </w:tc>
        <w:tc>
          <w:tcPr>
            <w:tcW w:w="533" w:type="dxa"/>
            <w:noWrap w:val="0"/>
            <w:vAlign w:val="center"/>
          </w:tcPr>
          <w:p w14:paraId="35F8F967">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w:t>
            </w:r>
          </w:p>
        </w:tc>
        <w:tc>
          <w:tcPr>
            <w:tcW w:w="557" w:type="dxa"/>
            <w:noWrap w:val="0"/>
            <w:vAlign w:val="center"/>
          </w:tcPr>
          <w:p w14:paraId="233677BF">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数量</w:t>
            </w:r>
          </w:p>
        </w:tc>
        <w:tc>
          <w:tcPr>
            <w:tcW w:w="1188" w:type="dxa"/>
            <w:noWrap w:val="0"/>
            <w:vAlign w:val="center"/>
          </w:tcPr>
          <w:p w14:paraId="3CF4E512">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购买时间</w:t>
            </w:r>
          </w:p>
        </w:tc>
        <w:tc>
          <w:tcPr>
            <w:tcW w:w="1410" w:type="dxa"/>
            <w:noWrap w:val="0"/>
            <w:vAlign w:val="center"/>
          </w:tcPr>
          <w:p w14:paraId="76F78096">
            <w:pPr>
              <w:widowControl/>
              <w:spacing w:line="360" w:lineRule="exact"/>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w:t>
            </w:r>
          </w:p>
          <w:p w14:paraId="4A19644A">
            <w:pPr>
              <w:widowControl/>
              <w:spacing w:line="360" w:lineRule="exact"/>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自有还是租赁等信息）</w:t>
            </w:r>
          </w:p>
        </w:tc>
      </w:tr>
      <w:tr w14:paraId="7EE35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4D0BE5F5">
            <w:pPr>
              <w:pStyle w:val="284"/>
              <w:widowControl/>
              <w:spacing w:line="36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1751" w:type="dxa"/>
            <w:noWrap w:val="0"/>
            <w:vAlign w:val="center"/>
          </w:tcPr>
          <w:p w14:paraId="026AB0E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0B83620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A28074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493E234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096EDE6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410665E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793167F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321B26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5E91EAE1">
            <w:pPr>
              <w:pStyle w:val="284"/>
              <w:widowControl/>
              <w:spacing w:line="360" w:lineRule="exact"/>
              <w:jc w:val="cente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1751" w:type="dxa"/>
            <w:noWrap w:val="0"/>
            <w:vAlign w:val="center"/>
          </w:tcPr>
          <w:p w14:paraId="48E9601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395D5EF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680FDE3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59587E6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1A3BB63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081F469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77E4308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753F7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766A9FB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05D39D1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653A3D3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434B6ED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42E59C0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213A66B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1012F4F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4508129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4B348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693B612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38DFE7B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4CE0C7C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194DECF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1ABE2F5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406039F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32AA287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0EB406D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16594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6598256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569CC03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13C275D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63C3357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53864E3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409C225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64DB649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13A9D06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58476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76ACF04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2335634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552FF7A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383957B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2C5369E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0236DCD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54048DC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0412D3D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0E3BD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2343728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2E46C8D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3F760B1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8DCB90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6FE7A04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47CE671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D2D205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70F69C4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0402C9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6A2816E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5B83D61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63C5D05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4EB5BE7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5ACCB83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44A4DD1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256CE70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34667A8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70E6B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697" w:type="dxa"/>
            <w:noWrap w:val="0"/>
            <w:vAlign w:val="center"/>
          </w:tcPr>
          <w:p w14:paraId="26310FA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3448C6B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609AABF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312D65B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2BBE83D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6513CAB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473B053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110711D6">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1F066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697" w:type="dxa"/>
            <w:noWrap w:val="0"/>
            <w:vAlign w:val="center"/>
          </w:tcPr>
          <w:p w14:paraId="2E1D262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46B6B4E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4BFA355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170A20F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3BF5886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7EA0BCC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566CD66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1A16C172">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21A26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697" w:type="dxa"/>
            <w:noWrap w:val="0"/>
            <w:vAlign w:val="center"/>
          </w:tcPr>
          <w:p w14:paraId="6F9DC42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03A0A13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3B998F1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077CB0C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3A9BAA3D">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0F5DB52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060FDD1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657FF518">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5E2BB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697" w:type="dxa"/>
            <w:noWrap w:val="0"/>
            <w:vAlign w:val="center"/>
          </w:tcPr>
          <w:p w14:paraId="29E76A7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7097272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49A30CF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DB9511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38ADCAD4">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5CC832C0">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4A8DCD4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7D6C646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3E7DF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697" w:type="dxa"/>
            <w:noWrap w:val="0"/>
            <w:vAlign w:val="center"/>
          </w:tcPr>
          <w:p w14:paraId="64971289">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1D6F0E0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0274042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08B05C9A">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30FE211B">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197441EE">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7E6F82C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5F575ADC">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r w14:paraId="25E56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697" w:type="dxa"/>
            <w:noWrap w:val="0"/>
            <w:vAlign w:val="center"/>
          </w:tcPr>
          <w:p w14:paraId="2347F30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751" w:type="dxa"/>
            <w:noWrap w:val="0"/>
            <w:vAlign w:val="center"/>
          </w:tcPr>
          <w:p w14:paraId="5263FF5F">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2012" w:type="dxa"/>
            <w:noWrap w:val="0"/>
            <w:vAlign w:val="center"/>
          </w:tcPr>
          <w:p w14:paraId="21EDAA9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03D78067">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33" w:type="dxa"/>
            <w:noWrap w:val="0"/>
            <w:vAlign w:val="center"/>
          </w:tcPr>
          <w:p w14:paraId="6BD8B49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557" w:type="dxa"/>
            <w:noWrap w:val="0"/>
            <w:vAlign w:val="center"/>
          </w:tcPr>
          <w:p w14:paraId="04C663D5">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188" w:type="dxa"/>
            <w:noWrap w:val="0"/>
            <w:vAlign w:val="center"/>
          </w:tcPr>
          <w:p w14:paraId="0B09FA33">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c>
          <w:tcPr>
            <w:tcW w:w="1410" w:type="dxa"/>
            <w:noWrap w:val="0"/>
            <w:vAlign w:val="center"/>
          </w:tcPr>
          <w:p w14:paraId="427D9EA1">
            <w:pPr>
              <w:widowControl/>
              <w:spacing w:line="360" w:lineRule="exact"/>
              <w:jc w:val="center"/>
              <w:rPr>
                <w:rFonts w:hint="eastAsia" w:ascii="宋体" w:hAnsi="宋体" w:cs="宋体"/>
                <w:color w:val="000000" w:themeColor="text1"/>
                <w:sz w:val="24"/>
                <w:highlight w:val="none"/>
                <w14:textFill>
                  <w14:solidFill>
                    <w14:schemeClr w14:val="tx1"/>
                  </w14:solidFill>
                </w14:textFill>
              </w:rPr>
            </w:pPr>
          </w:p>
        </w:tc>
      </w:tr>
    </w:tbl>
    <w:p w14:paraId="7826F908">
      <w:pPr>
        <w:widowControl/>
        <w:spacing w:line="256" w:lineRule="auto"/>
        <w:rPr>
          <w:rFonts w:hint="eastAsia" w:ascii="宋体" w:hAnsi="宋体" w:cs="宋体"/>
          <w:color w:val="000000" w:themeColor="text1"/>
          <w:sz w:val="28"/>
          <w:szCs w:val="28"/>
          <w:highlight w:val="none"/>
          <w14:textFill>
            <w14:solidFill>
              <w14:schemeClr w14:val="tx1"/>
            </w14:solidFill>
          </w14:textFill>
        </w:rPr>
      </w:pPr>
    </w:p>
    <w:p w14:paraId="0AEF4DA6">
      <w:pPr>
        <w:pStyle w:val="216"/>
        <w:widowControl/>
        <w:spacing w:line="440" w:lineRule="exact"/>
        <w:ind w:firstLine="241" w:firstLineChars="100"/>
        <w:rPr>
          <w:rFonts w:hint="eastAsia" w:hAnsi="宋体" w:cs="宋体"/>
          <w:b/>
          <w:bCs/>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备注</w:t>
      </w:r>
      <w:r>
        <w:rPr>
          <w:rFonts w:hint="eastAsia" w:hAnsi="宋体" w:cs="宋体"/>
          <w:b/>
          <w:bCs/>
          <w:color w:val="000000" w:themeColor="text1"/>
          <w:sz w:val="24"/>
          <w:szCs w:val="24"/>
          <w:highlight w:val="none"/>
          <w:lang w:eastAsia="zh-CN"/>
          <w14:textFill>
            <w14:solidFill>
              <w14:schemeClr w14:val="tx1"/>
            </w14:solidFill>
          </w14:textFill>
        </w:rPr>
        <w:t>：</w:t>
      </w:r>
    </w:p>
    <w:p w14:paraId="53AEE797">
      <w:pPr>
        <w:pStyle w:val="216"/>
        <w:widowControl/>
        <w:spacing w:line="440" w:lineRule="exact"/>
        <w:ind w:firstLine="480" w:firstLineChars="200"/>
        <w:rPr>
          <w:rFonts w:hint="default" w:hAnsi="宋体" w:eastAsia="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1.</w:t>
      </w:r>
      <w:r>
        <w:rPr>
          <w:rFonts w:hint="eastAsia" w:hAnsi="宋体" w:cs="宋体"/>
          <w:color w:val="000000" w:themeColor="text1"/>
          <w:sz w:val="24"/>
          <w:szCs w:val="24"/>
          <w:highlight w:val="none"/>
          <w:lang w:val="en-US" w:eastAsia="zh-CN"/>
          <w14:textFill>
            <w14:solidFill>
              <w14:schemeClr w14:val="tx1"/>
            </w14:solidFill>
          </w14:textFill>
        </w:rPr>
        <w:t>此表为投标人拟为本项投入的车辆、设备、仪器、通讯、交通工具等明细表，请投标人按招标文件 第三章 评标标准 中的要求进行填写并提供相关证明材料。</w:t>
      </w:r>
    </w:p>
    <w:p w14:paraId="110DF6C3">
      <w:pPr>
        <w:pStyle w:val="216"/>
        <w:widowControl/>
        <w:spacing w:line="440" w:lineRule="exact"/>
        <w:ind w:firstLine="480" w:firstLineChars="200"/>
        <w:rPr>
          <w:rFonts w:hint="eastAsia" w:ascii="宋体"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w:t>
      </w:r>
      <w:r>
        <w:rPr>
          <w:rFonts w:hint="eastAsia" w:hAnsi="宋体" w:cs="宋体"/>
          <w:color w:val="000000" w:themeColor="text1"/>
          <w:sz w:val="24"/>
          <w:szCs w:val="24"/>
          <w:highlight w:val="none"/>
          <w14:textFill>
            <w14:solidFill>
              <w14:schemeClr w14:val="tx1"/>
            </w14:solidFill>
          </w14:textFill>
        </w:rPr>
        <w:t>此表为表样，行数可自行添加，但表式不变</w:t>
      </w:r>
      <w:r>
        <w:rPr>
          <w:rFonts w:hint="eastAsia" w:hAnsi="宋体" w:cs="宋体"/>
          <w:color w:val="000000" w:themeColor="text1"/>
          <w:sz w:val="24"/>
          <w:szCs w:val="24"/>
          <w:highlight w:val="none"/>
          <w:lang w:eastAsia="zh-CN"/>
          <w14:textFill>
            <w14:solidFill>
              <w14:schemeClr w14:val="tx1"/>
            </w14:solidFill>
          </w14:textFill>
        </w:rPr>
        <w:t>。</w:t>
      </w:r>
    </w:p>
    <w:p w14:paraId="55B133C0">
      <w:pPr>
        <w:widowControl/>
        <w:spacing w:line="800" w:lineRule="exact"/>
        <w:ind w:firstLine="4800" w:firstLineChars="2000"/>
        <w:rPr>
          <w:rFonts w:hint="eastAsia" w:ascii="宋体" w:hAnsi="宋体" w:cs="宋体"/>
          <w:color w:val="000000" w:themeColor="text1"/>
          <w:sz w:val="24"/>
          <w:szCs w:val="24"/>
          <w:highlight w:val="none"/>
          <w:lang w:val="zh-CN"/>
          <w14:textFill>
            <w14:solidFill>
              <w14:schemeClr w14:val="tx1"/>
            </w14:solidFill>
          </w14:textFill>
        </w:rPr>
      </w:pPr>
    </w:p>
    <w:p w14:paraId="3C9C5A27">
      <w:pPr>
        <w:keepNext w:val="0"/>
        <w:keepLines w:val="0"/>
        <w:pageBreakBefore w:val="0"/>
        <w:widowControl/>
        <w:kinsoku/>
        <w:wordWrap/>
        <w:overflowPunct/>
        <w:topLinePunct w:val="0"/>
        <w:autoSpaceDE/>
        <w:autoSpaceDN/>
        <w:bidi w:val="0"/>
        <w:adjustRightInd/>
        <w:snapToGrid/>
        <w:spacing w:line="600" w:lineRule="exact"/>
        <w:ind w:firstLine="4800" w:firstLineChars="2000"/>
        <w:textAlignment w:val="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投标人:</w:t>
      </w:r>
      <w:r>
        <w:rPr>
          <w:rFonts w:hint="eastAsia" w:ascii="宋体" w:hAnsi="宋体" w:cs="宋体"/>
          <w:color w:val="000000" w:themeColor="text1"/>
          <w:sz w:val="24"/>
          <w:szCs w:val="24"/>
          <w:highlight w:val="none"/>
          <w:u w:val="single"/>
          <w:lang w:val="zh-CN"/>
          <w14:textFill>
            <w14:solidFill>
              <w14:schemeClr w14:val="tx1"/>
            </w14:solidFill>
          </w14:textFill>
        </w:rPr>
        <w:t xml:space="preserve">    （电子签章）     </w:t>
      </w:r>
    </w:p>
    <w:p w14:paraId="5AE6C4BC">
      <w:pPr>
        <w:keepNext w:val="0"/>
        <w:keepLines w:val="0"/>
        <w:pageBreakBefore w:val="0"/>
        <w:widowControl/>
        <w:kinsoku/>
        <w:wordWrap/>
        <w:overflowPunct/>
        <w:topLinePunct w:val="0"/>
        <w:autoSpaceDE/>
        <w:autoSpaceDN/>
        <w:bidi w:val="0"/>
        <w:adjustRightInd/>
        <w:snapToGrid/>
        <w:spacing w:line="600" w:lineRule="exact"/>
        <w:textAlignment w:val="auto"/>
        <w:rPr>
          <w:rFonts w:hint="eastAsia" w:ascii="宋体" w:hAnsi="宋体" w:cs="宋体"/>
          <w:color w:val="000000" w:themeColor="text1"/>
          <w:sz w:val="24"/>
          <w:szCs w:val="24"/>
          <w:highlight w:val="none"/>
          <w14:textFill>
            <w14:solidFill>
              <w14:schemeClr w14:val="tx1"/>
            </w14:solidFill>
          </w14:textFill>
        </w:rPr>
        <w:sectPr>
          <w:headerReference r:id="rId12" w:type="default"/>
          <w:footerReference r:id="rId13" w:type="default"/>
          <w:pgSz w:w="11906" w:h="16838"/>
          <w:pgMar w:top="1361" w:right="1304" w:bottom="1134" w:left="1587" w:header="850" w:footer="992" w:gutter="0"/>
          <w:pgNumType w:fmt="numberInDash"/>
          <w:cols w:space="720" w:num="1"/>
          <w:docGrid w:linePitch="1" w:charSpace="0"/>
        </w:sectPr>
      </w:pP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日期:</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年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w:t>
      </w:r>
    </w:p>
    <w:p w14:paraId="24B20B0B">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十、示范格式</w:t>
      </w:r>
    </w:p>
    <w:p w14:paraId="6C6476AB">
      <w:pPr>
        <w:pStyle w:val="216"/>
        <w:widowControl/>
        <w:spacing w:line="640" w:lineRule="exact"/>
        <w:jc w:val="left"/>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示范格式一</w:t>
      </w:r>
    </w:p>
    <w:p w14:paraId="5878AB17">
      <w:pPr>
        <w:widowControl/>
        <w:spacing w:line="440" w:lineRule="exact"/>
        <w:ind w:firstLine="2570"/>
        <w:rPr>
          <w:rFonts w:hint="eastAsia" w:ascii="宋体" w:hAnsi="宋体" w:cs="宋体"/>
          <w:b/>
          <w:bCs/>
          <w:color w:val="000000" w:themeColor="text1"/>
          <w:sz w:val="32"/>
          <w:highlight w:val="none"/>
          <w14:textFill>
            <w14:solidFill>
              <w14:schemeClr w14:val="tx1"/>
            </w14:solidFill>
          </w14:textFill>
        </w:rPr>
      </w:pPr>
    </w:p>
    <w:bookmarkEnd w:id="40"/>
    <w:p w14:paraId="5397D7CB">
      <w:pPr>
        <w:pStyle w:val="216"/>
        <w:widowControl/>
        <w:spacing w:line="640" w:lineRule="exact"/>
        <w:jc w:val="center"/>
        <w:rPr>
          <w:rFonts w:hint="eastAsia" w:hAnsi="宋体" w:cs="宋体"/>
          <w:b/>
          <w:color w:val="000000" w:themeColor="text1"/>
          <w:sz w:val="32"/>
          <w:szCs w:val="32"/>
          <w:highlight w:val="none"/>
          <w:lang w:val="zh-CN"/>
          <w14:textFill>
            <w14:solidFill>
              <w14:schemeClr w14:val="tx1"/>
            </w14:solidFill>
          </w14:textFill>
        </w:rPr>
      </w:pPr>
      <w:r>
        <w:rPr>
          <w:rFonts w:hint="eastAsia" w:hAnsi="宋体" w:cs="宋体"/>
          <w:b/>
          <w:color w:val="000000" w:themeColor="text1"/>
          <w:sz w:val="32"/>
          <w:szCs w:val="32"/>
          <w:highlight w:val="none"/>
          <w:lang w:val="zh-CN"/>
          <w14:textFill>
            <w14:solidFill>
              <w14:schemeClr w14:val="tx1"/>
            </w14:solidFill>
          </w14:textFill>
        </w:rPr>
        <w:t>法定代表人资格证明</w:t>
      </w:r>
    </w:p>
    <w:p w14:paraId="188F149A">
      <w:pPr>
        <w:widowControl/>
        <w:spacing w:line="640" w:lineRule="exact"/>
        <w:rPr>
          <w:rFonts w:hint="eastAsia" w:ascii="宋体" w:hAnsi="宋体" w:cs="宋体"/>
          <w:color w:val="000000" w:themeColor="text1"/>
          <w:sz w:val="28"/>
          <w:szCs w:val="28"/>
          <w:highlight w:val="none"/>
          <w:lang w:val="zh-CN"/>
          <w14:textFill>
            <w14:solidFill>
              <w14:schemeClr w14:val="tx1"/>
            </w14:solidFill>
          </w14:textFill>
        </w:rPr>
      </w:pPr>
    </w:p>
    <w:p w14:paraId="75A71A82">
      <w:pPr>
        <w:widowControl/>
        <w:spacing w:line="640" w:lineRule="exac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单位名称:</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3F12188">
      <w:pPr>
        <w:widowControl/>
        <w:spacing w:line="64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地</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A1CD525">
      <w:pPr>
        <w:widowControl/>
        <w:spacing w:line="640" w:lineRule="exac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姓名: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性别:</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年龄:</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职务:</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11F9928">
      <w:pPr>
        <w:widowControl/>
        <w:spacing w:line="6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系</w:t>
      </w:r>
      <w:r>
        <w:rPr>
          <w:rFonts w:hint="eastAsia" w:ascii="宋体" w:hAnsi="宋体" w:cs="宋体"/>
          <w:color w:val="000000" w:themeColor="text1"/>
          <w:sz w:val="24"/>
          <w:szCs w:val="24"/>
          <w:highlight w:val="none"/>
          <w:u w:val="single"/>
          <w:lang w:val="zh-CN"/>
          <w14:textFill>
            <w14:solidFill>
              <w14:schemeClr w14:val="tx1"/>
            </w14:solidFill>
          </w14:textFill>
        </w:rPr>
        <w:t xml:space="preserve"> （投标人单位名称）</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的法定代表人。</w:t>
      </w:r>
      <w:r>
        <w:rPr>
          <w:rFonts w:hint="eastAsia" w:ascii="宋体" w:hAnsi="宋体" w:cs="宋体"/>
          <w:color w:val="000000" w:themeColor="text1"/>
          <w:sz w:val="24"/>
          <w:szCs w:val="24"/>
          <w:highlight w:val="none"/>
          <w14:textFill>
            <w14:solidFill>
              <w14:schemeClr w14:val="tx1"/>
            </w14:solidFill>
          </w14:textFill>
        </w:rPr>
        <w:t>为参与</w:t>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u w:val="singl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项目，签署上述项目的投标文件、进行招标、签署合同和处理与之有关的一切事务。</w:t>
      </w:r>
    </w:p>
    <w:p w14:paraId="52D5001E">
      <w:pPr>
        <w:widowControl/>
        <w:spacing w:line="640" w:lineRule="exact"/>
        <w:ind w:firstLine="280"/>
        <w:rPr>
          <w:rFonts w:hint="eastAsia" w:ascii="宋体" w:hAnsi="宋体" w:cs="宋体"/>
          <w:color w:val="000000" w:themeColor="text1"/>
          <w:sz w:val="24"/>
          <w:szCs w:val="24"/>
          <w:highlight w:val="none"/>
          <w14:textFill>
            <w14:solidFill>
              <w14:schemeClr w14:val="tx1"/>
            </w14:solidFill>
          </w14:textFill>
        </w:rPr>
      </w:pPr>
    </w:p>
    <w:p w14:paraId="041A20B0">
      <w:pPr>
        <w:widowControl/>
        <w:spacing w:line="640" w:lineRule="exact"/>
        <w:rPr>
          <w:rFonts w:hint="eastAsia" w:ascii="宋体" w:hAnsi="宋体" w:cs="宋体"/>
          <w:color w:val="000000" w:themeColor="text1"/>
          <w:sz w:val="24"/>
          <w:szCs w:val="24"/>
          <w:highlight w:val="none"/>
          <w:lang w:val="zh-CN"/>
          <w14:textFill>
            <w14:solidFill>
              <w14:schemeClr w14:val="tx1"/>
            </w14:solidFill>
          </w14:textFill>
        </w:rPr>
      </w:pPr>
    </w:p>
    <w:p w14:paraId="70BA7BD5">
      <w:pPr>
        <w:widowControl/>
        <w:spacing w:line="640" w:lineRule="exact"/>
        <w:ind w:firstLine="280"/>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特此证明。</w:t>
      </w:r>
    </w:p>
    <w:p w14:paraId="1A2BCB4E">
      <w:pPr>
        <w:widowControl/>
        <w:spacing w:line="640" w:lineRule="exact"/>
        <w:rPr>
          <w:rFonts w:hint="eastAsia" w:ascii="宋体" w:hAnsi="宋体" w:cs="宋体"/>
          <w:color w:val="000000" w:themeColor="text1"/>
          <w:sz w:val="24"/>
          <w:szCs w:val="24"/>
          <w:highlight w:val="none"/>
          <w:lang w:val="zh-CN"/>
          <w14:textFill>
            <w14:solidFill>
              <w14:schemeClr w14:val="tx1"/>
            </w14:solidFill>
          </w14:textFill>
        </w:rPr>
      </w:pPr>
    </w:p>
    <w:p w14:paraId="373F6019">
      <w:pPr>
        <w:widowControl/>
        <w:spacing w:line="64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投标人:</w:t>
      </w:r>
      <w:r>
        <w:rPr>
          <w:rFonts w:hint="eastAsia" w:ascii="宋体" w:hAnsi="宋体" w:cs="宋体"/>
          <w:color w:val="000000" w:themeColor="text1"/>
          <w:sz w:val="24"/>
          <w:szCs w:val="24"/>
          <w:highlight w:val="none"/>
          <w:u w:val="single"/>
          <w:lang w:val="zh-CN"/>
          <w14:textFill>
            <w14:solidFill>
              <w14:schemeClr w14:val="tx1"/>
            </w14:solidFill>
          </w14:textFill>
        </w:rPr>
        <w:t xml:space="preserve">    （电子签章）     </w:t>
      </w:r>
    </w:p>
    <w:p w14:paraId="514256AC">
      <w:pPr>
        <w:widowControl/>
        <w:spacing w:line="64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日期:</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年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w:t>
      </w:r>
    </w:p>
    <w:p w14:paraId="1D80EF62">
      <w:pPr>
        <w:pStyle w:val="273"/>
        <w:widowControl/>
        <w:spacing w:before="0" w:after="0" w:line="520" w:lineRule="exact"/>
        <w:ind w:hanging="1820"/>
        <w:jc w:val="both"/>
        <w:rPr>
          <w:rFonts w:hint="eastAsia" w:ascii="宋体" w:hAnsi="宋体" w:cs="宋体"/>
          <w:color w:val="000000" w:themeColor="text1"/>
          <w:sz w:val="24"/>
          <w:szCs w:val="24"/>
          <w:highlight w:val="none"/>
          <w:lang w:val="zh-CN"/>
          <w14:textFill>
            <w14:solidFill>
              <w14:schemeClr w14:val="tx1"/>
            </w14:solidFill>
          </w14:textFill>
        </w:rPr>
      </w:pPr>
    </w:p>
    <w:p w14:paraId="03813358">
      <w:pPr>
        <w:widowControl/>
        <w:spacing w:line="64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                     </w:t>
      </w:r>
    </w:p>
    <w:p w14:paraId="06BDFD15">
      <w:pPr>
        <w:widowControl/>
        <w:spacing w:line="640" w:lineRule="exact"/>
        <w:ind w:firstLine="241" w:firstLineChars="100"/>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w:t>
      </w:r>
      <w:r>
        <w:rPr>
          <w:rFonts w:hint="eastAsia" w:ascii="宋体" w:hAnsi="宋体" w:cs="宋体"/>
          <w:bCs/>
          <w:color w:val="000000" w:themeColor="text1"/>
          <w:sz w:val="24"/>
          <w:szCs w:val="24"/>
          <w:highlight w:val="none"/>
          <w14:textFill>
            <w14:solidFill>
              <w14:schemeClr w14:val="tx1"/>
            </w14:solidFill>
          </w14:textFill>
        </w:rPr>
        <w:t>投标人法定代表人参加投标的，必须附法定代表人身份证扫描件加盖投标人电子签章。</w:t>
      </w:r>
      <w:r>
        <w:rPr>
          <w:rFonts w:hint="eastAsia" w:ascii="宋体" w:hAnsi="宋体" w:cs="宋体"/>
          <w:color w:val="000000" w:themeColor="text1"/>
          <w:sz w:val="24"/>
          <w:szCs w:val="24"/>
          <w:highlight w:val="none"/>
          <w14:textFill>
            <w14:solidFill>
              <w14:schemeClr w14:val="tx1"/>
            </w14:solidFill>
          </w14:textFill>
        </w:rPr>
        <w:t>法定代表人授权其他人参加投标的，仅需填写“授权委托书”。</w:t>
      </w:r>
    </w:p>
    <w:p w14:paraId="2B666CEE">
      <w:pPr>
        <w:widowControl/>
        <w:spacing w:line="640" w:lineRule="exact"/>
        <w:ind w:firstLine="357"/>
        <w:rPr>
          <w:rFonts w:hint="eastAsia" w:ascii="宋体" w:hAnsi="宋体" w:cs="宋体"/>
          <w:b/>
          <w:color w:val="000000" w:themeColor="text1"/>
          <w:sz w:val="24"/>
          <w:szCs w:val="24"/>
          <w:highlight w:val="none"/>
          <w14:textFill>
            <w14:solidFill>
              <w14:schemeClr w14:val="tx1"/>
            </w14:solidFill>
          </w14:textFill>
        </w:rPr>
        <w:sectPr>
          <w:footerReference r:id="rId14" w:type="default"/>
          <w:pgSz w:w="11906" w:h="16838"/>
          <w:pgMar w:top="1361" w:right="1304" w:bottom="1134" w:left="1587" w:header="850" w:footer="992" w:gutter="0"/>
          <w:pgNumType w:fmt="numberInDash"/>
          <w:cols w:space="720" w:num="1"/>
          <w:docGrid w:linePitch="360" w:charSpace="0"/>
        </w:sectPr>
      </w:pPr>
    </w:p>
    <w:p w14:paraId="0596B9D5">
      <w:pPr>
        <w:pStyle w:val="216"/>
        <w:widowControl/>
        <w:spacing w:line="640" w:lineRule="exact"/>
        <w:jc w:val="left"/>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示范格式二</w:t>
      </w:r>
    </w:p>
    <w:p w14:paraId="157BBB61">
      <w:pPr>
        <w:pStyle w:val="216"/>
        <w:widowControl/>
        <w:spacing w:line="640" w:lineRule="exact"/>
        <w:jc w:val="center"/>
        <w:rPr>
          <w:rFonts w:hint="eastAsia" w:hAnsi="宋体" w:cs="宋体"/>
          <w:b/>
          <w:color w:val="000000" w:themeColor="text1"/>
          <w:sz w:val="32"/>
          <w:szCs w:val="32"/>
          <w:highlight w:val="none"/>
          <w:lang w:val="zh-CN"/>
          <w14:textFill>
            <w14:solidFill>
              <w14:schemeClr w14:val="tx1"/>
            </w14:solidFill>
          </w14:textFill>
        </w:rPr>
      </w:pPr>
      <w:r>
        <w:rPr>
          <w:rFonts w:hint="eastAsia" w:hAnsi="宋体" w:cs="宋体"/>
          <w:b/>
          <w:color w:val="000000" w:themeColor="text1"/>
          <w:sz w:val="32"/>
          <w:szCs w:val="32"/>
          <w:highlight w:val="none"/>
          <w:lang w:val="zh-CN"/>
          <w14:textFill>
            <w14:solidFill>
              <w14:schemeClr w14:val="tx1"/>
            </w14:solidFill>
          </w14:textFill>
        </w:rPr>
        <w:t>授权委托书</w:t>
      </w:r>
    </w:p>
    <w:p w14:paraId="659B14DF">
      <w:pPr>
        <w:widowControl/>
        <w:spacing w:line="520" w:lineRule="exact"/>
        <w:rPr>
          <w:rFonts w:hint="eastAsia" w:ascii="宋体" w:hAnsi="宋体" w:cs="宋体"/>
          <w:bCs/>
          <w:color w:val="000000" w:themeColor="text1"/>
          <w:sz w:val="30"/>
          <w:szCs w:val="28"/>
          <w:highlight w:val="none"/>
          <w14:textFill>
            <w14:solidFill>
              <w14:schemeClr w14:val="tx1"/>
            </w14:solidFill>
          </w14:textFill>
        </w:rPr>
      </w:pPr>
    </w:p>
    <w:p w14:paraId="7961FA49">
      <w:pPr>
        <w:widowControl/>
        <w:spacing w:line="52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致</w:t>
      </w:r>
      <w:r>
        <w:rPr>
          <w:rFonts w:hint="eastAsia" w:ascii="宋体" w:hAnsi="宋体" w:cs="宋体"/>
          <w:bCs/>
          <w:color w:val="000000" w:themeColor="text1"/>
          <w:sz w:val="24"/>
          <w:szCs w:val="24"/>
          <w:highlight w:val="none"/>
          <w:u w:val="single"/>
          <w14:textFill>
            <w14:solidFill>
              <w14:schemeClr w14:val="tx1"/>
            </w14:solidFill>
          </w14:textFill>
        </w:rPr>
        <w:t xml:space="preserve">     （招标人单位名称）    </w:t>
      </w:r>
      <w:r>
        <w:rPr>
          <w:rFonts w:hint="eastAsia" w:ascii="宋体" w:hAnsi="宋体" w:cs="宋体"/>
          <w:bCs/>
          <w:color w:val="000000" w:themeColor="text1"/>
          <w:sz w:val="24"/>
          <w:szCs w:val="24"/>
          <w:highlight w:val="none"/>
          <w14:textFill>
            <w14:solidFill>
              <w14:schemeClr w14:val="tx1"/>
            </w14:solidFill>
          </w14:textFill>
        </w:rPr>
        <w:t>:</w:t>
      </w:r>
    </w:p>
    <w:p w14:paraId="1131BD17">
      <w:pPr>
        <w:widowControl/>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本授权书宣告:</w:t>
      </w:r>
    </w:p>
    <w:p w14:paraId="2238FAC8">
      <w:pPr>
        <w:widowControl/>
        <w:spacing w:line="520" w:lineRule="exact"/>
        <w:ind w:firstLine="240" w:firstLineChars="1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3251EF7">
      <w:pPr>
        <w:widowControl/>
        <w:spacing w:line="520" w:lineRule="exact"/>
        <w:ind w:firstLine="240" w:firstLineChars="100"/>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113D6AC6">
      <w:pPr>
        <w:widowControl/>
        <w:spacing w:line="520" w:lineRule="exact"/>
        <w:ind w:firstLine="240" w:firstLineChars="1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受托人:姓名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性别:</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出生日期: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日</w:t>
      </w:r>
    </w:p>
    <w:p w14:paraId="0F525D41">
      <w:pPr>
        <w:widowControl/>
        <w:spacing w:line="520" w:lineRule="exact"/>
        <w:ind w:firstLine="240" w:firstLineChars="1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所在单位: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职务:</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87FC92E">
      <w:pPr>
        <w:widowControl/>
        <w:spacing w:line="520" w:lineRule="exact"/>
        <w:ind w:firstLine="240" w:firstLineChars="1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联系方式:</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66A48A11">
      <w:pPr>
        <w:widowControl/>
        <w:spacing w:line="520" w:lineRule="exact"/>
        <w:ind w:firstLine="56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兹委托受托人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代表我公司参加九土咨询（淮安）有限公司组织的</w:t>
      </w:r>
      <w:r>
        <w:rPr>
          <w:rFonts w:hint="eastAsia" w:ascii="宋体" w:hAnsi="宋体" w:cs="宋体"/>
          <w:color w:val="000000" w:themeColor="text1"/>
          <w:sz w:val="24"/>
          <w:szCs w:val="24"/>
          <w:highlight w:val="none"/>
          <w:u w:val="single"/>
          <w14:textFill>
            <w14:solidFill>
              <w14:schemeClr w14:val="tx1"/>
            </w14:solidFill>
          </w14:textFill>
        </w:rPr>
        <w:t>（项目编号: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采购项目的政府采购活动，受托人有权在该招标活动中，以我单位的名义签署投标函和投标文件，与九土咨询（淮安）有限公司协商、澄清、解释，签订合同书并执行一切与此有关的事项。</w:t>
      </w:r>
    </w:p>
    <w:p w14:paraId="665973A6">
      <w:pPr>
        <w:widowControl/>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受托人在办理上述事宜过程中以其自己的名义所签署的所有文件我公司均予以承认。受托人无转委托权。</w:t>
      </w:r>
    </w:p>
    <w:p w14:paraId="1CDB8B06">
      <w:pPr>
        <w:widowControl/>
        <w:spacing w:line="520" w:lineRule="exact"/>
        <w:ind w:firstLine="56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委托期限:至上述事宜处理完毕止。</w:t>
      </w:r>
    </w:p>
    <w:p w14:paraId="33A88124">
      <w:pPr>
        <w:widowControl/>
        <w:spacing w:line="520" w:lineRule="exact"/>
        <w:ind w:firstLine="600"/>
        <w:rPr>
          <w:rFonts w:hint="eastAsia" w:ascii="宋体" w:hAnsi="宋体" w:cs="宋体"/>
          <w:b/>
          <w:color w:val="000000" w:themeColor="text1"/>
          <w:sz w:val="24"/>
          <w:szCs w:val="24"/>
          <w:highlight w:val="none"/>
          <w14:textFill>
            <w14:solidFill>
              <w14:schemeClr w14:val="tx1"/>
            </w14:solidFill>
          </w14:textFill>
        </w:rPr>
      </w:pPr>
    </w:p>
    <w:p w14:paraId="19858E4B">
      <w:pPr>
        <w:widowControl/>
        <w:spacing w:line="520" w:lineRule="exact"/>
        <w:rPr>
          <w:rFonts w:hint="eastAsia" w:ascii="宋体" w:hAnsi="宋体" w:cs="宋体"/>
          <w:color w:val="000000" w:themeColor="text1"/>
          <w:sz w:val="24"/>
          <w:szCs w:val="24"/>
          <w:highlight w:val="none"/>
          <w14:textFill>
            <w14:solidFill>
              <w14:schemeClr w14:val="tx1"/>
            </w14:solidFill>
          </w14:textFill>
        </w:rPr>
      </w:pPr>
    </w:p>
    <w:p w14:paraId="4B7993D5">
      <w:pPr>
        <w:widowControl/>
        <w:spacing w:line="64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投标人:</w:t>
      </w:r>
      <w:r>
        <w:rPr>
          <w:rFonts w:hint="eastAsia" w:ascii="宋体" w:hAnsi="宋体" w:cs="宋体"/>
          <w:color w:val="000000" w:themeColor="text1"/>
          <w:sz w:val="24"/>
          <w:szCs w:val="24"/>
          <w:highlight w:val="none"/>
          <w:u w:val="single"/>
          <w:lang w:val="zh-CN"/>
          <w14:textFill>
            <w14:solidFill>
              <w14:schemeClr w14:val="tx1"/>
            </w14:solidFill>
          </w14:textFill>
        </w:rPr>
        <w:t xml:space="preserve">     （电子签章）    </w:t>
      </w:r>
    </w:p>
    <w:p w14:paraId="327B506E">
      <w:pPr>
        <w:widowControl/>
        <w:spacing w:line="52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日期:</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年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w:t>
      </w:r>
    </w:p>
    <w:p w14:paraId="27C1369B">
      <w:pPr>
        <w:widowControl/>
        <w:spacing w:line="520" w:lineRule="exact"/>
        <w:ind w:firstLine="548"/>
        <w:rPr>
          <w:rFonts w:hint="eastAsia" w:ascii="宋体" w:hAnsi="宋体" w:cs="宋体"/>
          <w:bCs/>
          <w:color w:val="000000" w:themeColor="text1"/>
          <w:sz w:val="24"/>
          <w:szCs w:val="24"/>
          <w:highlight w:val="none"/>
          <w14:textFill>
            <w14:solidFill>
              <w14:schemeClr w14:val="tx1"/>
            </w14:solidFill>
          </w14:textFill>
        </w:rPr>
      </w:pPr>
    </w:p>
    <w:p w14:paraId="749128DA">
      <w:pPr>
        <w:widowControl/>
        <w:ind w:firstLine="240" w:firstLineChars="100"/>
        <w:rPr>
          <w:rFonts w:hint="eastAsia" w:ascii="宋体" w:hAnsi="宋体" w:cs="宋体"/>
          <w:bCs/>
          <w:color w:val="000000" w:themeColor="text1"/>
          <w:sz w:val="24"/>
          <w:szCs w:val="24"/>
          <w:highlight w:val="none"/>
          <w14:textFill>
            <w14:solidFill>
              <w14:schemeClr w14:val="tx1"/>
            </w14:solidFill>
          </w14:textFill>
        </w:rPr>
      </w:pPr>
    </w:p>
    <w:p w14:paraId="44CC2919">
      <w:pPr>
        <w:widowControl/>
        <w:ind w:firstLine="240" w:firstLineChars="100"/>
        <w:rPr>
          <w:rFonts w:hint="eastAsia" w:ascii="宋体" w:hAnsi="宋体" w:cs="宋体"/>
          <w:bCs/>
          <w:color w:val="000000" w:themeColor="text1"/>
          <w:sz w:val="24"/>
          <w:szCs w:val="24"/>
          <w:highlight w:val="none"/>
          <w14:textFill>
            <w14:solidFill>
              <w14:schemeClr w14:val="tx1"/>
            </w14:solidFill>
          </w14:textFill>
        </w:rPr>
      </w:pPr>
    </w:p>
    <w:p w14:paraId="20BC6E17">
      <w:pPr>
        <w:widowControl/>
        <w:ind w:firstLine="240" w:firstLineChars="100"/>
        <w:rPr>
          <w:rFonts w:hint="eastAsia" w:ascii="宋体" w:hAnsi="宋体" w:cs="宋体"/>
          <w:color w:val="000000" w:themeColor="text1"/>
          <w:sz w:val="24"/>
          <w:szCs w:val="24"/>
          <w:highlight w:val="none"/>
          <w14:textFill>
            <w14:solidFill>
              <w14:schemeClr w14:val="tx1"/>
            </w14:solidFill>
          </w14:textFill>
        </w:rPr>
        <w:sectPr>
          <w:pgSz w:w="11906" w:h="16838"/>
          <w:pgMar w:top="1361" w:right="1304" w:bottom="1134" w:left="1587" w:header="850" w:footer="992" w:gutter="0"/>
          <w:pgNumType w:fmt="numberInDash"/>
          <w:cols w:space="720" w:num="1"/>
          <w:docGrid w:linePitch="360" w:charSpace="0"/>
        </w:sectPr>
      </w:pPr>
      <w:r>
        <w:rPr>
          <w:rFonts w:hint="eastAsia" w:ascii="宋体" w:hAnsi="宋体" w:cs="宋体"/>
          <w:bCs/>
          <w:color w:val="000000" w:themeColor="text1"/>
          <w:sz w:val="24"/>
          <w:szCs w:val="24"/>
          <w:highlight w:val="none"/>
          <w14:textFill>
            <w14:solidFill>
              <w14:schemeClr w14:val="tx1"/>
            </w14:solidFill>
          </w14:textFill>
        </w:rPr>
        <w:t>注:投标人委托受托人参加投标的，必须附受托人身份证</w:t>
      </w:r>
      <w:r>
        <w:rPr>
          <w:rFonts w:hint="eastAsia" w:ascii="宋体" w:hAnsi="宋体" w:cs="宋体"/>
          <w:color w:val="000000" w:themeColor="text1"/>
          <w:sz w:val="24"/>
          <w:szCs w:val="24"/>
          <w:highlight w:val="none"/>
          <w14:textFill>
            <w14:solidFill>
              <w14:schemeClr w14:val="tx1"/>
            </w14:solidFill>
          </w14:textFill>
        </w:rPr>
        <w:t>扫描</w:t>
      </w:r>
      <w:r>
        <w:rPr>
          <w:rFonts w:hint="eastAsia" w:ascii="宋体" w:hAnsi="宋体" w:cs="宋体"/>
          <w:bCs/>
          <w:color w:val="000000" w:themeColor="text1"/>
          <w:sz w:val="24"/>
          <w:szCs w:val="24"/>
          <w:highlight w:val="none"/>
          <w14:textFill>
            <w14:solidFill>
              <w14:schemeClr w14:val="tx1"/>
            </w14:solidFill>
          </w14:textFill>
        </w:rPr>
        <w:t>件加盖投标人电子签章。</w:t>
      </w:r>
      <w:r>
        <w:rPr>
          <w:rFonts w:hint="eastAsia" w:ascii="宋体" w:hAnsi="宋体" w:cs="宋体"/>
          <w:color w:val="000000" w:themeColor="text1"/>
          <w:sz w:val="24"/>
          <w:szCs w:val="24"/>
          <w:highlight w:val="none"/>
          <w14:textFill>
            <w14:solidFill>
              <w14:schemeClr w14:val="tx1"/>
            </w14:solidFill>
          </w14:textFill>
        </w:rPr>
        <w:t>法定代表人直接参加投标的，仅需填写“法定代表人资格证明”。</w:t>
      </w:r>
    </w:p>
    <w:p w14:paraId="6D8FC98B">
      <w:pPr>
        <w:pStyle w:val="216"/>
        <w:widowControl/>
        <w:spacing w:line="640" w:lineRule="exact"/>
        <w:jc w:val="left"/>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示范格式三</w:t>
      </w:r>
    </w:p>
    <w:p w14:paraId="6A48F82B">
      <w:pPr>
        <w:widowControl/>
        <w:rPr>
          <w:rFonts w:hint="eastAsia" w:ascii="宋体" w:hAnsi="宋体" w:cs="宋体"/>
          <w:b/>
          <w:color w:val="000000" w:themeColor="text1"/>
          <w:sz w:val="32"/>
          <w:szCs w:val="32"/>
          <w:highlight w:val="none"/>
          <w14:textFill>
            <w14:solidFill>
              <w14:schemeClr w14:val="tx1"/>
            </w14:solidFill>
          </w14:textFill>
        </w:rPr>
      </w:pPr>
    </w:p>
    <w:p w14:paraId="00641454">
      <w:pPr>
        <w:pStyle w:val="216"/>
        <w:widowControl/>
        <w:spacing w:line="640" w:lineRule="exact"/>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符合《政府采购法》第二十二条规定条件的声明函</w:t>
      </w:r>
    </w:p>
    <w:p w14:paraId="2407B34A">
      <w:pPr>
        <w:pStyle w:val="197"/>
        <w:widowControl/>
        <w:spacing w:line="560" w:lineRule="exact"/>
        <w:ind w:firstLine="0"/>
        <w:rPr>
          <w:rFonts w:hint="eastAsia" w:ascii="宋体" w:hAnsi="宋体" w:cs="宋体"/>
          <w:bCs/>
          <w:color w:val="000000" w:themeColor="text1"/>
          <w:sz w:val="28"/>
          <w:szCs w:val="28"/>
          <w:highlight w:val="none"/>
          <w14:textFill>
            <w14:solidFill>
              <w14:schemeClr w14:val="tx1"/>
            </w14:solidFill>
          </w14:textFill>
        </w:rPr>
      </w:pPr>
    </w:p>
    <w:p w14:paraId="7F6B006D">
      <w:pPr>
        <w:pStyle w:val="197"/>
        <w:widowControl/>
        <w:spacing w:line="560" w:lineRule="exact"/>
        <w:ind w:firstLine="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（招标人单位名称）        </w:t>
      </w:r>
      <w:r>
        <w:rPr>
          <w:rFonts w:hint="eastAsia" w:ascii="宋体" w:hAnsi="宋体" w:cs="宋体"/>
          <w:bCs/>
          <w:color w:val="000000" w:themeColor="text1"/>
          <w:sz w:val="24"/>
          <w:szCs w:val="24"/>
          <w:highlight w:val="none"/>
          <w14:textFill>
            <w14:solidFill>
              <w14:schemeClr w14:val="tx1"/>
            </w14:solidFill>
          </w14:textFill>
        </w:rPr>
        <w:t>:</w:t>
      </w:r>
    </w:p>
    <w:p w14:paraId="628D01BB">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我公司参加贵单位组织实施的</w:t>
      </w:r>
      <w:r>
        <w:rPr>
          <w:rFonts w:hint="eastAsia" w:ascii="宋体" w:hAnsi="宋体" w:cs="宋体"/>
          <w:color w:val="000000" w:themeColor="text1"/>
          <w:sz w:val="24"/>
          <w:szCs w:val="24"/>
          <w:highlight w:val="none"/>
          <w:u w:val="single"/>
          <w14:textFill>
            <w14:solidFill>
              <w14:schemeClr w14:val="tx1"/>
            </w14:solidFill>
          </w14:textFill>
        </w:rPr>
        <w:t xml:space="preserve">  （项目名称、项目编号）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采购项目的政府采购活动。针对《中华人民共和国政府采购法》第二十二条规定做出如下声明：</w:t>
      </w:r>
    </w:p>
    <w:p w14:paraId="2B3E633B">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1.我单位具有独立承担民事责任的能力；</w:t>
      </w:r>
    </w:p>
    <w:p w14:paraId="19EE365B">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2.我单位具有良好的商业信誉和健全的财务会计制度；</w:t>
      </w:r>
    </w:p>
    <w:p w14:paraId="6B2F3D57">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3.我单位具有履行合同所必需的设备和专业技术能力；</w:t>
      </w:r>
    </w:p>
    <w:p w14:paraId="78060AC2">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4.我单位有依法缴纳税收和社会保障资金的良好记录；</w:t>
      </w:r>
    </w:p>
    <w:p w14:paraId="728E297D">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5.参加本次政府采购活动前三年内，我公司在经营活动中没有因违法经营受到刑事处罚或者责令停产停业、吊销许可证或者执照、较大数额罚款等行政处罚。 </w:t>
      </w:r>
    </w:p>
    <w:p w14:paraId="742BC2E8">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我单位满足法律、行政法规规定的其他条件。</w:t>
      </w:r>
    </w:p>
    <w:p w14:paraId="460B0575">
      <w:pPr>
        <w:widowControl/>
        <w:spacing w:line="520" w:lineRule="exact"/>
        <w:rPr>
          <w:rFonts w:hint="eastAsia" w:ascii="宋体" w:hAnsi="宋体" w:cs="宋体"/>
          <w:color w:val="000000" w:themeColor="text1"/>
          <w:sz w:val="24"/>
          <w:szCs w:val="24"/>
          <w:highlight w:val="none"/>
          <w:u w:val="single"/>
          <w14:textFill>
            <w14:solidFill>
              <w14:schemeClr w14:val="tx1"/>
            </w14:solidFill>
          </w14:textFill>
        </w:rPr>
      </w:pPr>
    </w:p>
    <w:p w14:paraId="608269BD">
      <w:pPr>
        <w:widowControl/>
        <w:spacing w:line="520" w:lineRule="exact"/>
        <w:rPr>
          <w:rFonts w:hint="eastAsia" w:ascii="宋体" w:hAnsi="宋体" w:cs="宋体"/>
          <w:color w:val="000000" w:themeColor="text1"/>
          <w:sz w:val="24"/>
          <w:szCs w:val="24"/>
          <w:highlight w:val="none"/>
          <w:u w:val="single"/>
          <w14:textFill>
            <w14:solidFill>
              <w14:schemeClr w14:val="tx1"/>
            </w14:solidFill>
          </w14:textFill>
        </w:rPr>
      </w:pPr>
    </w:p>
    <w:p w14:paraId="3F3A1D9A">
      <w:pPr>
        <w:widowControl/>
        <w:spacing w:line="920" w:lineRule="exact"/>
        <w:ind w:firstLine="3840" w:firstLineChars="1600"/>
        <w:rPr>
          <w:rFonts w:hint="eastAsia" w:ascii="宋体" w:hAnsi="宋体" w:cs="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承诺人</w:t>
      </w:r>
      <w:r>
        <w:rPr>
          <w:rFonts w:hint="eastAsia" w:ascii="宋体" w:hAnsi="宋体" w:cs="宋体"/>
          <w:color w:val="000000" w:themeColor="text1"/>
          <w:sz w:val="24"/>
          <w:szCs w:val="24"/>
          <w:highlight w:val="none"/>
          <w:lang w:val="zh-CN"/>
          <w14:textFill>
            <w14:solidFill>
              <w14:schemeClr w14:val="tx1"/>
            </w14:solidFill>
          </w14:textFill>
        </w:rPr>
        <w:t>:</w:t>
      </w:r>
      <w:r>
        <w:rPr>
          <w:rFonts w:hint="eastAsia" w:ascii="宋体" w:hAnsi="宋体" w:cs="宋体"/>
          <w:color w:val="000000" w:themeColor="text1"/>
          <w:sz w:val="24"/>
          <w:szCs w:val="24"/>
          <w:highlight w:val="none"/>
          <w:u w:val="single"/>
          <w:lang w:val="zh-CN"/>
          <w14:textFill>
            <w14:solidFill>
              <w14:schemeClr w14:val="tx1"/>
            </w14:solidFill>
          </w14:textFill>
        </w:rPr>
        <w:t xml:space="preserve">   （投标人电子签章）   </w:t>
      </w:r>
    </w:p>
    <w:p w14:paraId="0EAFBC1C">
      <w:pPr>
        <w:widowControl/>
        <w:spacing w:line="920" w:lineRule="exact"/>
        <w:ind w:firstLine="3840" w:firstLineChars="1600"/>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日期:</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w:t>
      </w:r>
    </w:p>
    <w:p w14:paraId="3585E842">
      <w:pPr>
        <w:widowControl/>
        <w:spacing w:line="520" w:lineRule="exact"/>
        <w:rPr>
          <w:rFonts w:hint="eastAsia" w:ascii="宋体" w:hAnsi="宋体" w:cs="宋体"/>
          <w:color w:val="000000" w:themeColor="text1"/>
          <w:sz w:val="28"/>
          <w:szCs w:val="28"/>
          <w:highlight w:val="none"/>
          <w:u w:val="single"/>
          <w14:textFill>
            <w14:solidFill>
              <w14:schemeClr w14:val="tx1"/>
            </w14:solidFill>
          </w14:textFill>
        </w:rPr>
      </w:pPr>
    </w:p>
    <w:p w14:paraId="016194B0">
      <w:pPr>
        <w:widowControl/>
        <w:rPr>
          <w:rFonts w:hint="eastAsia" w:ascii="宋体" w:hAnsi="宋体" w:cs="宋体"/>
          <w:b/>
          <w:color w:val="000000" w:themeColor="text1"/>
          <w:sz w:val="32"/>
          <w:szCs w:val="32"/>
          <w:highlight w:val="none"/>
          <w14:textFill>
            <w14:solidFill>
              <w14:schemeClr w14:val="tx1"/>
            </w14:solidFill>
          </w14:textFill>
        </w:rPr>
      </w:pPr>
    </w:p>
    <w:p w14:paraId="02651D19">
      <w:pPr>
        <w:widowControl/>
        <w:rPr>
          <w:rFonts w:hint="eastAsia" w:ascii="宋体" w:hAnsi="宋体" w:cs="宋体"/>
          <w:b/>
          <w:color w:val="000000" w:themeColor="text1"/>
          <w:sz w:val="32"/>
          <w:szCs w:val="32"/>
          <w:highlight w:val="none"/>
          <w14:textFill>
            <w14:solidFill>
              <w14:schemeClr w14:val="tx1"/>
            </w14:solidFill>
          </w14:textFill>
        </w:rPr>
      </w:pPr>
    </w:p>
    <w:p w14:paraId="2C381C05">
      <w:pPr>
        <w:widowControl/>
        <w:rPr>
          <w:rFonts w:hint="eastAsia" w:ascii="宋体" w:hAnsi="宋体" w:cs="宋体"/>
          <w:b/>
          <w:color w:val="000000" w:themeColor="text1"/>
          <w:sz w:val="32"/>
          <w:szCs w:val="32"/>
          <w:highlight w:val="none"/>
          <w14:textFill>
            <w14:solidFill>
              <w14:schemeClr w14:val="tx1"/>
            </w14:solidFill>
          </w14:textFill>
        </w:rPr>
      </w:pPr>
    </w:p>
    <w:p w14:paraId="1E3D9605">
      <w:pPr>
        <w:widowControl/>
        <w:rPr>
          <w:rFonts w:hint="eastAsia" w:ascii="宋体" w:hAnsi="宋体" w:cs="宋体"/>
          <w:b/>
          <w:color w:val="000000" w:themeColor="text1"/>
          <w:sz w:val="32"/>
          <w:szCs w:val="32"/>
          <w:highlight w:val="none"/>
          <w14:textFill>
            <w14:solidFill>
              <w14:schemeClr w14:val="tx1"/>
            </w14:solidFill>
          </w14:textFill>
        </w:rPr>
      </w:pPr>
    </w:p>
    <w:p w14:paraId="03B61A0E">
      <w:pPr>
        <w:widowControl/>
        <w:rPr>
          <w:rFonts w:hint="eastAsia" w:ascii="宋体" w:hAnsi="宋体" w:cs="宋体"/>
          <w:b/>
          <w:color w:val="000000" w:themeColor="text1"/>
          <w:sz w:val="32"/>
          <w:szCs w:val="32"/>
          <w:highlight w:val="none"/>
          <w14:textFill>
            <w14:solidFill>
              <w14:schemeClr w14:val="tx1"/>
            </w14:solidFill>
          </w14:textFill>
        </w:rPr>
      </w:pPr>
    </w:p>
    <w:p w14:paraId="54726487">
      <w:pPr>
        <w:widowControl/>
        <w:rPr>
          <w:rFonts w:hint="eastAsia" w:ascii="宋体" w:hAnsi="宋体" w:cs="宋体"/>
          <w:b/>
          <w:color w:val="000000" w:themeColor="text1"/>
          <w:sz w:val="32"/>
          <w:szCs w:val="32"/>
          <w:highlight w:val="none"/>
          <w14:textFill>
            <w14:solidFill>
              <w14:schemeClr w14:val="tx1"/>
            </w14:solidFill>
          </w14:textFill>
        </w:rPr>
      </w:pPr>
    </w:p>
    <w:p w14:paraId="6BA7953C">
      <w:pPr>
        <w:widowControl/>
        <w:rPr>
          <w:rFonts w:hint="eastAsia" w:ascii="宋体" w:hAnsi="宋体" w:cs="宋体"/>
          <w:b/>
          <w:color w:val="000000" w:themeColor="text1"/>
          <w:sz w:val="32"/>
          <w:szCs w:val="32"/>
          <w:highlight w:val="none"/>
          <w14:textFill>
            <w14:solidFill>
              <w14:schemeClr w14:val="tx1"/>
            </w14:solidFill>
          </w14:textFill>
        </w:rPr>
        <w:sectPr>
          <w:pgSz w:w="11906" w:h="16838"/>
          <w:pgMar w:top="1361" w:right="1304" w:bottom="1134" w:left="1587" w:header="850" w:footer="992" w:gutter="0"/>
          <w:pgNumType w:fmt="numberInDash"/>
          <w:cols w:space="720" w:num="1"/>
          <w:docGrid w:linePitch="360" w:charSpace="0"/>
        </w:sectPr>
      </w:pPr>
    </w:p>
    <w:p w14:paraId="1085D397">
      <w:pPr>
        <w:pStyle w:val="216"/>
        <w:widowControl/>
        <w:spacing w:line="640" w:lineRule="exact"/>
        <w:jc w:val="left"/>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示范格式四</w:t>
      </w:r>
    </w:p>
    <w:p w14:paraId="62893E72">
      <w:pPr>
        <w:widowControl/>
        <w:spacing w:line="640" w:lineRule="exact"/>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企业声明函</w:t>
      </w:r>
    </w:p>
    <w:p w14:paraId="7F342F16">
      <w:pPr>
        <w:pStyle w:val="197"/>
        <w:keepNext w:val="0"/>
        <w:keepLines w:val="0"/>
        <w:pageBreakBefore w:val="0"/>
        <w:widowControl/>
        <w:kinsoku/>
        <w:wordWrap/>
        <w:overflowPunct/>
        <w:topLinePunct w:val="0"/>
        <w:autoSpaceDE/>
        <w:autoSpaceDN/>
        <w:bidi w:val="0"/>
        <w:adjustRightInd/>
        <w:snapToGrid/>
        <w:spacing w:line="520" w:lineRule="exact"/>
        <w:ind w:left="0" w:leftChars="0" w:firstLine="0" w:firstLineChars="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（招标人单位名称）        </w:t>
      </w:r>
      <w:r>
        <w:rPr>
          <w:rFonts w:hint="eastAsia" w:ascii="宋体" w:hAnsi="宋体" w:cs="宋体"/>
          <w:bCs/>
          <w:color w:val="000000" w:themeColor="text1"/>
          <w:sz w:val="24"/>
          <w:szCs w:val="24"/>
          <w:highlight w:val="none"/>
          <w14:textFill>
            <w14:solidFill>
              <w14:schemeClr w14:val="tx1"/>
            </w14:solidFill>
          </w14:textFill>
        </w:rPr>
        <w:t>:</w:t>
      </w:r>
    </w:p>
    <w:p w14:paraId="6A614945">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本公司郑重声明，根据《政府采购促进中小企业发展管理办法》（财库﹝2020﹞46 号）的规定，本公司参加（单位名称）的（项目名称）采购活动，服务全部由符合政策要求的中小企业承接。相关企业的具体情况如下：</w:t>
      </w:r>
    </w:p>
    <w:p w14:paraId="6BE96F95">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u w:val="single"/>
          <w14:textFill>
            <w14:solidFill>
              <w14:schemeClr w14:val="tx1"/>
            </w14:solidFill>
          </w14:textFill>
        </w:rPr>
        <w:t xml:space="preserve"> （标的名称）</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，属于（</w:t>
      </w:r>
      <w:r>
        <w:rPr>
          <w:rFonts w:hint="eastAsia" w:ascii="宋体" w:hAnsi="宋体" w:cs="宋体"/>
          <w:bCs/>
          <w:color w:val="000000" w:themeColor="text1"/>
          <w:sz w:val="24"/>
          <w:szCs w:val="24"/>
          <w:highlight w:val="none"/>
          <w:lang w:eastAsia="zh-CN"/>
          <w14:textFill>
            <w14:solidFill>
              <w14:schemeClr w14:val="tx1"/>
            </w14:solidFill>
          </w14:textFill>
        </w:rPr>
        <w:t>招标文件</w:t>
      </w:r>
      <w:r>
        <w:rPr>
          <w:rFonts w:hint="eastAsia" w:ascii="宋体" w:hAnsi="宋体" w:cs="宋体"/>
          <w:bCs/>
          <w:color w:val="000000" w:themeColor="text1"/>
          <w:sz w:val="24"/>
          <w:szCs w:val="24"/>
          <w:highlight w:val="none"/>
          <w14:textFill>
            <w14:solidFill>
              <w14:schemeClr w14:val="tx1"/>
            </w14:solidFill>
          </w14:textFill>
        </w:rPr>
        <w:t>中明确的所属行业）；承接企业为（企业名称），从业人员</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人，营业收入为</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万元，资产总额为</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万元，属于</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（中型企业、小型企业、微型企业）； </w:t>
      </w:r>
    </w:p>
    <w:p w14:paraId="7B83C830">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 </w:t>
      </w:r>
      <w:r>
        <w:rPr>
          <w:rFonts w:hint="eastAsia" w:ascii="宋体" w:hAnsi="宋体" w:cs="宋体"/>
          <w:bCs/>
          <w:color w:val="000000" w:themeColor="text1"/>
          <w:sz w:val="24"/>
          <w:szCs w:val="24"/>
          <w:highlight w:val="none"/>
          <w:u w:val="single"/>
          <w14:textFill>
            <w14:solidFill>
              <w14:schemeClr w14:val="tx1"/>
            </w14:solidFill>
          </w14:textFill>
        </w:rPr>
        <w:t xml:space="preserve">（标的名称） </w:t>
      </w:r>
      <w:r>
        <w:rPr>
          <w:rFonts w:hint="eastAsia" w:ascii="宋体" w:hAnsi="宋体" w:cs="宋体"/>
          <w:bCs/>
          <w:color w:val="000000" w:themeColor="text1"/>
          <w:sz w:val="24"/>
          <w:szCs w:val="24"/>
          <w:highlight w:val="none"/>
          <w14:textFill>
            <w14:solidFill>
              <w14:schemeClr w14:val="tx1"/>
            </w14:solidFill>
          </w14:textFill>
        </w:rPr>
        <w:t>，属于</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eastAsia="zh-CN"/>
          <w14:textFill>
            <w14:solidFill>
              <w14:schemeClr w14:val="tx1"/>
            </w14:solidFill>
          </w14:textFill>
        </w:rPr>
        <w:t>招标文件</w:t>
      </w:r>
      <w:r>
        <w:rPr>
          <w:rFonts w:hint="eastAsia" w:ascii="宋体" w:hAnsi="宋体" w:cs="宋体"/>
          <w:bCs/>
          <w:color w:val="000000" w:themeColor="text1"/>
          <w:sz w:val="24"/>
          <w:szCs w:val="24"/>
          <w:highlight w:val="none"/>
          <w14:textFill>
            <w14:solidFill>
              <w14:schemeClr w14:val="tx1"/>
            </w14:solidFill>
          </w14:textFill>
        </w:rPr>
        <w:t>中明确的所属行业）；承接企业为</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（企业名称）</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，从业人员</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人，营业收入为</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万元，资产总额为</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万元，属于</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（中型企业、小型企业、微型企业）； </w:t>
      </w:r>
    </w:p>
    <w:p w14:paraId="295D90C3">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w:t>
      </w:r>
    </w:p>
    <w:p w14:paraId="3A692028">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4D2F84C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本企业对上述声明内容的真实性负责。如有虚假，将依法承担相应责任。 </w:t>
      </w:r>
    </w:p>
    <w:p w14:paraId="039D095C">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p>
    <w:p w14:paraId="3975AE79">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p>
    <w:p w14:paraId="3CE579FB">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p>
    <w:p w14:paraId="372195B0">
      <w:pPr>
        <w:keepNext w:val="0"/>
        <w:keepLines w:val="0"/>
        <w:pageBreakBefore w:val="0"/>
        <w:widowControl/>
        <w:kinsoku/>
        <w:wordWrap/>
        <w:overflowPunct/>
        <w:topLinePunct w:val="0"/>
        <w:autoSpaceDE/>
        <w:autoSpaceDN/>
        <w:bidi w:val="0"/>
        <w:adjustRightInd/>
        <w:snapToGrid/>
        <w:spacing w:line="520" w:lineRule="exact"/>
        <w:ind w:firstLine="4560" w:firstLineChars="1900"/>
        <w:textAlignment w:val="auto"/>
        <w:rPr>
          <w:rFonts w:hint="eastAsia" w:ascii="宋体" w:hAnsi="宋体" w:cs="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投标人:</w:t>
      </w:r>
      <w:r>
        <w:rPr>
          <w:rFonts w:hint="eastAsia" w:ascii="宋体" w:hAnsi="宋体" w:cs="宋体"/>
          <w:color w:val="000000" w:themeColor="text1"/>
          <w:sz w:val="24"/>
          <w:szCs w:val="24"/>
          <w:highlight w:val="none"/>
          <w:u w:val="single"/>
          <w:lang w:val="zh-CN"/>
          <w14:textFill>
            <w14:solidFill>
              <w14:schemeClr w14:val="tx1"/>
            </w14:solidFill>
          </w14:textFill>
        </w:rPr>
        <w:t xml:space="preserve">        （电子签章）     </w:t>
      </w:r>
    </w:p>
    <w:p w14:paraId="1B3428B4">
      <w:pPr>
        <w:keepNext w:val="0"/>
        <w:keepLines w:val="0"/>
        <w:pageBreakBefore w:val="0"/>
        <w:widowControl/>
        <w:kinsoku/>
        <w:wordWrap/>
        <w:overflowPunct/>
        <w:topLinePunct w:val="0"/>
        <w:autoSpaceDE/>
        <w:autoSpaceDN/>
        <w:bidi w:val="0"/>
        <w:adjustRightInd/>
        <w:snapToGrid/>
        <w:spacing w:line="520" w:lineRule="exact"/>
        <w:ind w:firstLine="4560" w:firstLineChars="1900"/>
        <w:textAlignment w:val="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w:t>
      </w:r>
      <w:r>
        <w:rPr>
          <w:rFonts w:hint="eastAsia" w:ascii="宋体" w:hAnsi="宋体" w:cs="宋体"/>
          <w:color w:val="000000" w:themeColor="text1"/>
          <w:sz w:val="24"/>
          <w:szCs w:val="24"/>
          <w:highlight w:val="none"/>
          <w:u w:val="single"/>
          <w14:textFill>
            <w14:solidFill>
              <w14:schemeClr w14:val="tx1"/>
            </w14:solidFill>
          </w14:textFill>
        </w:rPr>
        <w:t>（电子签章或电子签字）</w:t>
      </w:r>
    </w:p>
    <w:p w14:paraId="2CA0C16A">
      <w:pPr>
        <w:keepNext w:val="0"/>
        <w:keepLines w:val="0"/>
        <w:pageBreakBefore w:val="0"/>
        <w:widowControl/>
        <w:kinsoku/>
        <w:wordWrap/>
        <w:overflowPunct/>
        <w:topLinePunct w:val="0"/>
        <w:autoSpaceDE/>
        <w:autoSpaceDN/>
        <w:bidi w:val="0"/>
        <w:adjustRightInd/>
        <w:snapToGrid/>
        <w:spacing w:line="520" w:lineRule="exact"/>
        <w:ind w:firstLine="4560" w:firstLineChars="19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日期</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w:t>
      </w:r>
    </w:p>
    <w:p w14:paraId="1EB2549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7E468557">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02B58034">
      <w:pPr>
        <w:keepNext w:val="0"/>
        <w:keepLines w:val="0"/>
        <w:pageBreakBefore w:val="0"/>
        <w:widowControl/>
        <w:kinsoku/>
        <w:wordWrap/>
        <w:overflowPunct/>
        <w:topLinePunct w:val="0"/>
        <w:autoSpaceDE/>
        <w:autoSpaceDN/>
        <w:bidi w:val="0"/>
        <w:adjustRightInd/>
        <w:snapToGrid/>
        <w:spacing w:line="520" w:lineRule="exact"/>
        <w:ind w:firstLine="240" w:firstLineChars="100"/>
        <w:textAlignment w:val="auto"/>
        <w:rPr>
          <w:rFonts w:hint="eastAsia" w:ascii="宋体" w:hAnsi="宋体" w:cs="宋体"/>
          <w:color w:val="000000" w:themeColor="text1"/>
          <w:sz w:val="24"/>
          <w:szCs w:val="24"/>
          <w:highlight w:val="none"/>
          <w14:textFill>
            <w14:solidFill>
              <w14:schemeClr w14:val="tx1"/>
            </w14:solidFill>
          </w14:textFill>
        </w:rPr>
        <w:sectPr>
          <w:pgSz w:w="11906" w:h="16838"/>
          <w:pgMar w:top="1361" w:right="1304" w:bottom="1134" w:left="1587" w:header="850" w:footer="992" w:gutter="0"/>
          <w:pgNumType w:fmt="numberInDash"/>
          <w:cols w:space="720" w:num="1"/>
          <w:docGrid w:linePitch="360" w:charSpace="0"/>
        </w:sectPr>
      </w:pPr>
      <w:r>
        <w:rPr>
          <w:rFonts w:hint="eastAsia" w:ascii="宋体" w:hAnsi="宋体" w:cs="宋体"/>
          <w:color w:val="000000" w:themeColor="text1"/>
          <w:sz w:val="24"/>
          <w:szCs w:val="24"/>
          <w:highlight w:val="none"/>
          <w14:textFill>
            <w14:solidFill>
              <w14:schemeClr w14:val="tx1"/>
            </w14:solidFill>
          </w14:textFill>
        </w:rPr>
        <w:t>注：从业人员、营业收入、资产总额填报上一年度数据，无上一年度数据的新成立企业可不填报。</w:t>
      </w:r>
    </w:p>
    <w:p w14:paraId="146EED18">
      <w:pPr>
        <w:pStyle w:val="197"/>
        <w:widowControl/>
        <w:spacing w:line="600" w:lineRule="exact"/>
        <w:ind w:firstLine="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示范格式五</w:t>
      </w:r>
    </w:p>
    <w:p w14:paraId="76924F76">
      <w:pPr>
        <w:widowControl/>
        <w:spacing w:line="640" w:lineRule="exact"/>
        <w:jc w:val="center"/>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残疾人福利性单位声明函</w:t>
      </w:r>
    </w:p>
    <w:p w14:paraId="44128548">
      <w:pPr>
        <w:pStyle w:val="197"/>
        <w:keepNext w:val="0"/>
        <w:keepLines w:val="0"/>
        <w:pageBreakBefore w:val="0"/>
        <w:widowControl/>
        <w:kinsoku/>
        <w:wordWrap/>
        <w:overflowPunct/>
        <w:topLinePunct w:val="0"/>
        <w:autoSpaceDE/>
        <w:autoSpaceDN/>
        <w:bidi w:val="0"/>
        <w:adjustRightInd/>
        <w:snapToGrid/>
        <w:spacing w:line="520" w:lineRule="exact"/>
        <w:ind w:left="0" w:leftChars="0" w:firstLine="0" w:firstLineChars="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（招标人单位名称）        </w:t>
      </w:r>
      <w:r>
        <w:rPr>
          <w:rFonts w:hint="eastAsia" w:ascii="宋体" w:hAnsi="宋体" w:cs="宋体"/>
          <w:bCs/>
          <w:color w:val="000000" w:themeColor="text1"/>
          <w:sz w:val="24"/>
          <w:szCs w:val="24"/>
          <w:highlight w:val="none"/>
          <w14:textFill>
            <w14:solidFill>
              <w14:schemeClr w14:val="tx1"/>
            </w14:solidFill>
          </w14:textFill>
        </w:rPr>
        <w:t>:</w:t>
      </w:r>
    </w:p>
    <w:p w14:paraId="2479811E">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中国残疾人联合会关于促进残疾人就业政府采购政策的通知》（财库〔2017〕141号）的规定，本单位为符合条件的残疾人福利性单位。即，本单位同时满足以下条件:</w:t>
      </w:r>
    </w:p>
    <w:p w14:paraId="64E9BE9C">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根据《财政部 民政部 中国残疾人联合会关于促进残疾人就业政府采购政策的通知》（财库〔2017〕141号）规定的划分标准，本公司为残疾人福利性企业。</w:t>
      </w:r>
    </w:p>
    <w:p w14:paraId="4FFF0D79">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本单位参加</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szCs w:val="24"/>
          <w:highlight w:val="none"/>
          <w:u w:val="single"/>
          <w:lang w:eastAsia="zh-CN"/>
          <w14:textFill>
            <w14:solidFill>
              <w14:schemeClr w14:val="tx1"/>
            </w14:solidFill>
          </w14:textFill>
        </w:rPr>
        <w:t>招标人</w:t>
      </w:r>
      <w:r>
        <w:rPr>
          <w:rFonts w:hint="eastAsia" w:ascii="宋体" w:hAnsi="宋体" w:cs="宋体"/>
          <w:bCs/>
          <w:color w:val="000000" w:themeColor="text1"/>
          <w:sz w:val="24"/>
          <w:szCs w:val="24"/>
          <w:highlight w:val="none"/>
          <w:u w:val="single"/>
          <w14:textFill>
            <w14:solidFill>
              <w14:schemeClr w14:val="tx1"/>
            </w14:solidFill>
          </w14:textFill>
        </w:rPr>
        <w:t>单位名称）</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的</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（采购项目名称）</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采购活动提供本企业制造的货物，由本企业承担工程、提供服务，或者提供其他残疾人福利性单位制造的货物（不包括使用非残疾人福利性单位注册商标的货物。</w:t>
      </w:r>
    </w:p>
    <w:p w14:paraId="2F694D5C">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w:t>
      </w:r>
      <w:r>
        <w:rPr>
          <w:rFonts w:hint="eastAsia" w:ascii="宋体" w:hAnsi="宋体" w:cs="宋体"/>
          <w:bCs/>
          <w:color w:val="000000" w:themeColor="text1"/>
          <w:sz w:val="24"/>
          <w:szCs w:val="24"/>
          <w:highlight w:val="none"/>
          <w14:textFill>
            <w14:solidFill>
              <w14:schemeClr w14:val="tx1"/>
            </w14:solidFill>
          </w14:textFill>
        </w:rPr>
        <w:t>本公司对上述声明的真实性负责。如有虚假，将依法承担相应责任。</w:t>
      </w:r>
    </w:p>
    <w:p w14:paraId="129CE47E">
      <w:pPr>
        <w:pStyle w:val="197"/>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6956F76A">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p>
    <w:p w14:paraId="3ADB1AAE">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p>
    <w:p w14:paraId="40110ED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p>
    <w:p w14:paraId="0A11C793">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lang w:val="zh-CN"/>
          <w14:textFill>
            <w14:solidFill>
              <w14:schemeClr w14:val="tx1"/>
            </w14:solidFill>
          </w14:textFill>
        </w:rPr>
      </w:pPr>
    </w:p>
    <w:p w14:paraId="53ABE97E">
      <w:pPr>
        <w:keepNext w:val="0"/>
        <w:keepLines w:val="0"/>
        <w:pageBreakBefore w:val="0"/>
        <w:widowControl/>
        <w:kinsoku/>
        <w:wordWrap/>
        <w:overflowPunct/>
        <w:topLinePunct w:val="0"/>
        <w:autoSpaceDE/>
        <w:autoSpaceDN/>
        <w:bidi w:val="0"/>
        <w:adjustRightInd/>
        <w:snapToGrid/>
        <w:spacing w:line="520" w:lineRule="exact"/>
        <w:ind w:firstLine="4800" w:firstLineChars="2000"/>
        <w:textAlignment w:val="auto"/>
        <w:rPr>
          <w:rFonts w:hint="eastAsia" w:ascii="宋体" w:hAnsi="宋体" w:cs="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投标人:</w:t>
      </w:r>
      <w:r>
        <w:rPr>
          <w:rFonts w:hint="eastAsia" w:ascii="宋体" w:hAnsi="宋体" w:cs="宋体"/>
          <w:color w:val="000000" w:themeColor="text1"/>
          <w:sz w:val="24"/>
          <w:szCs w:val="24"/>
          <w:highlight w:val="none"/>
          <w:u w:val="single"/>
          <w:lang w:val="zh-CN"/>
          <w14:textFill>
            <w14:solidFill>
              <w14:schemeClr w14:val="tx1"/>
            </w14:solidFill>
          </w14:textFill>
        </w:rPr>
        <w:t xml:space="preserve">        （电子签章）     </w:t>
      </w:r>
    </w:p>
    <w:p w14:paraId="49C969D0">
      <w:pPr>
        <w:keepNext w:val="0"/>
        <w:keepLines w:val="0"/>
        <w:pageBreakBefore w:val="0"/>
        <w:widowControl/>
        <w:kinsoku/>
        <w:wordWrap/>
        <w:overflowPunct/>
        <w:topLinePunct w:val="0"/>
        <w:autoSpaceDE/>
        <w:autoSpaceDN/>
        <w:bidi w:val="0"/>
        <w:adjustRightInd/>
        <w:snapToGrid/>
        <w:spacing w:line="520" w:lineRule="exact"/>
        <w:ind w:firstLine="4800" w:firstLineChars="2000"/>
        <w:textAlignment w:val="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w:t>
      </w:r>
      <w:r>
        <w:rPr>
          <w:rFonts w:hint="eastAsia" w:ascii="宋体" w:hAnsi="宋体" w:cs="宋体"/>
          <w:color w:val="000000" w:themeColor="text1"/>
          <w:sz w:val="24"/>
          <w:szCs w:val="24"/>
          <w:highlight w:val="none"/>
          <w:u w:val="single"/>
          <w14:textFill>
            <w14:solidFill>
              <w14:schemeClr w14:val="tx1"/>
            </w14:solidFill>
          </w14:textFill>
        </w:rPr>
        <w:t>（电子签章或电子签字）</w:t>
      </w:r>
    </w:p>
    <w:p w14:paraId="57CFC7B9">
      <w:pPr>
        <w:keepNext w:val="0"/>
        <w:keepLines w:val="0"/>
        <w:pageBreakBefore w:val="0"/>
        <w:widowControl/>
        <w:kinsoku/>
        <w:wordWrap/>
        <w:overflowPunct/>
        <w:topLinePunct w:val="0"/>
        <w:autoSpaceDE/>
        <w:autoSpaceDN/>
        <w:bidi w:val="0"/>
        <w:adjustRightInd/>
        <w:snapToGrid/>
        <w:spacing w:line="520" w:lineRule="exact"/>
        <w:ind w:firstLine="4800" w:firstLineChars="2000"/>
        <w:textAlignment w:val="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日期</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年</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日</w:t>
      </w:r>
    </w:p>
    <w:p w14:paraId="102B1AE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6F603E98">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7E743589">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0A0E04E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13D38CD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注:非残疾人福利性单位不需提供此函。</w:t>
      </w:r>
    </w:p>
    <w:p w14:paraId="0D5F1B84">
      <w:pPr>
        <w:widowControl/>
        <w:spacing w:line="640" w:lineRule="exact"/>
        <w:ind w:firstLine="565"/>
        <w:rPr>
          <w:rFonts w:hint="eastAsia" w:ascii="宋体" w:hAnsi="宋体" w:cs="宋体"/>
          <w:color w:val="000000" w:themeColor="text1"/>
          <w:sz w:val="28"/>
          <w:szCs w:val="28"/>
          <w:highlight w:val="none"/>
          <w14:textFill>
            <w14:solidFill>
              <w14:schemeClr w14:val="tx1"/>
            </w14:solidFill>
          </w14:textFill>
        </w:rPr>
      </w:pPr>
    </w:p>
    <w:p w14:paraId="42724530">
      <w:pPr>
        <w:widowControl/>
        <w:spacing w:line="440" w:lineRule="exact"/>
        <w:jc w:val="center"/>
        <w:rPr>
          <w:rFonts w:hint="eastAsia" w:ascii="宋体" w:hAnsi="宋体" w:cs="宋体"/>
          <w:b/>
          <w:color w:val="000000" w:themeColor="text1"/>
          <w:sz w:val="32"/>
          <w:szCs w:val="32"/>
          <w:highlight w:val="none"/>
          <w14:textFill>
            <w14:solidFill>
              <w14:schemeClr w14:val="tx1"/>
            </w14:solidFill>
          </w14:textFill>
        </w:rPr>
      </w:pPr>
    </w:p>
    <w:p w14:paraId="68C6FA54">
      <w:pPr>
        <w:widowControl/>
        <w:spacing w:line="440" w:lineRule="exact"/>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十一、政府采购投标人的诚信倡议书</w:t>
      </w:r>
    </w:p>
    <w:p w14:paraId="13BB3C1A">
      <w:pPr>
        <w:widowControl/>
        <w:spacing w:line="460" w:lineRule="exact"/>
        <w:ind w:firstLine="560"/>
        <w:rPr>
          <w:rFonts w:hint="eastAsia" w:ascii="宋体" w:hAnsi="宋体" w:cs="宋体"/>
          <w:bCs/>
          <w:color w:val="000000" w:themeColor="text1"/>
          <w:sz w:val="24"/>
          <w:szCs w:val="24"/>
          <w:highlight w:val="none"/>
          <w14:textFill>
            <w14:solidFill>
              <w14:schemeClr w14:val="tx1"/>
            </w14:solidFill>
          </w14:textFill>
        </w:rPr>
      </w:pPr>
    </w:p>
    <w:p w14:paraId="656C4A58">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人之信、商之魂、业之根。诚信守法是中华民族的传统美德，是企业立业之基、兴业之魂，是企业持续发展和增强市场竞争力的不竭动力。正值《中华人民共和国政府采购法》实施20周年，作为政府采购项目的参与者和践行者，为了更好地营造公平竞争的市场环境，保障政府采购履约到位，特向各政府采购投标人作出如下倡议： </w:t>
      </w:r>
    </w:p>
    <w:p w14:paraId="4F14095F">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一、严守各项法律法规</w:t>
      </w:r>
      <w:r>
        <w:rPr>
          <w:rFonts w:hint="eastAsia" w:ascii="宋体" w:hAnsi="宋体" w:cs="宋体"/>
          <w:color w:val="000000" w:themeColor="text1"/>
          <w:sz w:val="24"/>
          <w:szCs w:val="24"/>
          <w:highlight w:val="none"/>
          <w:lang w:bidi="ar"/>
          <w14:textFill>
            <w14:solidFill>
              <w14:schemeClr w14:val="tx1"/>
            </w14:solidFill>
          </w14:textFill>
        </w:rPr>
        <w:t xml:space="preserve">。忠于《中华人民共和国宪法》，严格遵守民法典、公司法、政府采购法及其实施条例等法律法规和相关规定，按照公平竞争和诚实信用的原则，依法依规参与政府采购活动。 </w:t>
      </w:r>
    </w:p>
    <w:p w14:paraId="349E39AA">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二、增强诚实守信意识。</w:t>
      </w:r>
      <w:r>
        <w:rPr>
          <w:rFonts w:hint="eastAsia" w:ascii="宋体" w:hAnsi="宋体" w:cs="宋体"/>
          <w:color w:val="000000" w:themeColor="text1"/>
          <w:sz w:val="24"/>
          <w:szCs w:val="24"/>
          <w:highlight w:val="none"/>
          <w:lang w:bidi="ar"/>
          <w14:textFill>
            <w14:solidFill>
              <w14:schemeClr w14:val="tx1"/>
            </w14:solidFill>
          </w14:textFill>
        </w:rPr>
        <w:t xml:space="preserve">增强诚实守信意识。将诚实守信作为生产经营活动的行为准 则，不提供虚假资质文件，不以虚假材料谋取中标或成交，依法依规签订并履行政府采购合同，自觉树立和维护诚信守法形象。 </w:t>
      </w:r>
    </w:p>
    <w:p w14:paraId="330CAF57">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三、</w:t>
      </w:r>
      <w:r>
        <w:rPr>
          <w:rFonts w:hint="eastAsia" w:ascii="宋体" w:hAnsi="宋体" w:cs="宋体"/>
          <w:b/>
          <w:bCs/>
          <w:color w:val="000000" w:themeColor="text1"/>
          <w:sz w:val="24"/>
          <w:szCs w:val="24"/>
          <w:highlight w:val="none"/>
          <w:lang w:bidi="ar"/>
          <w14:textFill>
            <w14:solidFill>
              <w14:schemeClr w14:val="tx1"/>
            </w14:solidFill>
          </w14:textFill>
        </w:rPr>
        <w:t>营造公平竞争环境。</w:t>
      </w:r>
      <w:r>
        <w:rPr>
          <w:rFonts w:hint="eastAsia" w:ascii="宋体" w:hAnsi="宋体" w:cs="宋体"/>
          <w:color w:val="000000" w:themeColor="text1"/>
          <w:sz w:val="24"/>
          <w:szCs w:val="24"/>
          <w:highlight w:val="none"/>
          <w:lang w:bidi="ar"/>
          <w14:textFill>
            <w14:solidFill>
              <w14:schemeClr w14:val="tx1"/>
            </w14:solidFill>
          </w14:textFill>
        </w:rPr>
        <w:t xml:space="preserve">营造公平竞争环境。不采取不正当手段诋毁、排挤其他投标人；不与招标人、其他投标人或者采购代理机构恶意串通；不向招标人、采购代理机构、评标委员会等成员行贿或者提供其他不正当利益。对索取或接受商业贿赂的单位和个人，及时向有关监管部门举报。 </w:t>
      </w:r>
    </w:p>
    <w:p w14:paraId="134E04BF">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四、完善企业自律制度。</w:t>
      </w:r>
      <w:r>
        <w:rPr>
          <w:rFonts w:hint="eastAsia" w:ascii="宋体" w:hAnsi="宋体" w:cs="宋体"/>
          <w:color w:val="000000" w:themeColor="text1"/>
          <w:sz w:val="24"/>
          <w:szCs w:val="24"/>
          <w:highlight w:val="none"/>
          <w:lang w:bidi="ar"/>
          <w14:textFill>
            <w14:solidFill>
              <w14:schemeClr w14:val="tx1"/>
            </w14:solidFill>
          </w14:textFill>
        </w:rPr>
        <w:t xml:space="preserve">完善企业自律制度。推进企业诚信体系建设，严格履行合同约定义务，并自觉承担违约责任。不在合同执行过程中采取降低质量 或标准、减少数量、拖延交付时间等方式损害采购单位利益；获得政府采购项目中标或成交资格后，不将项目转让他人或违法分包。 </w:t>
      </w:r>
    </w:p>
    <w:p w14:paraId="71E11869">
      <w:pPr>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五、主动接受各方监督。</w:t>
      </w:r>
      <w:r>
        <w:rPr>
          <w:rFonts w:hint="eastAsia" w:ascii="宋体" w:hAnsi="宋体" w:cs="宋体"/>
          <w:color w:val="000000" w:themeColor="text1"/>
          <w:sz w:val="24"/>
          <w:szCs w:val="24"/>
          <w:highlight w:val="none"/>
          <w:lang w:bidi="ar"/>
          <w14:textFill>
            <w14:solidFill>
              <w14:schemeClr w14:val="tx1"/>
            </w14:solidFill>
          </w14:textFill>
        </w:rPr>
        <w:t>主动接受各方监督。自觉接受社会监督、行业监督和政府监督。依法依规、有理有据进行质疑和投诉，拒绝以不正当途径获取应当保密的信息用以质疑投诉，自觉抵制恶意质疑和投诉。积极配合投诉处理，不断提高商品和服务质量。主动检举违法行为，维护行业秩序，构建风清气正的行业环境。</w:t>
      </w:r>
    </w:p>
    <w:p w14:paraId="1D1AE48D">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000000" w:themeColor="text1"/>
          <w:sz w:val="24"/>
          <w:szCs w:val="24"/>
          <w:highlight w:val="none"/>
          <w14:textFill>
            <w14:solidFill>
              <w14:schemeClr w14:val="tx1"/>
            </w14:solidFill>
          </w14:textFill>
        </w:rPr>
      </w:pPr>
    </w:p>
    <w:p w14:paraId="567711E7">
      <w:pPr>
        <w:keepNext w:val="0"/>
        <w:keepLines w:val="0"/>
        <w:pageBreakBefore w:val="0"/>
        <w:kinsoku/>
        <w:wordWrap/>
        <w:overflowPunct/>
        <w:topLinePunct w:val="0"/>
        <w:autoSpaceDE/>
        <w:autoSpaceDN/>
        <w:bidi w:val="0"/>
        <w:adjustRightInd/>
        <w:snapToGrid/>
        <w:spacing w:line="500" w:lineRule="exact"/>
        <w:ind w:firstLine="4560" w:firstLineChars="1900"/>
        <w:textAlignment w:val="auto"/>
        <w:rPr>
          <w:rFonts w:hint="eastAsia" w:ascii="宋体" w:hAnsi="宋体" w:cs="宋体"/>
          <w:color w:val="000000" w:themeColor="text1"/>
          <w:sz w:val="24"/>
          <w:szCs w:val="24"/>
          <w:highlight w:val="none"/>
          <w14:textFill>
            <w14:solidFill>
              <w14:schemeClr w14:val="tx1"/>
            </w14:solidFill>
          </w14:textFill>
        </w:rPr>
      </w:pPr>
    </w:p>
    <w:p w14:paraId="51621B36">
      <w:pPr>
        <w:keepNext w:val="0"/>
        <w:keepLines w:val="0"/>
        <w:pageBreakBefore w:val="0"/>
        <w:kinsoku/>
        <w:wordWrap/>
        <w:overflowPunct/>
        <w:topLinePunct w:val="0"/>
        <w:autoSpaceDE/>
        <w:autoSpaceDN/>
        <w:bidi w:val="0"/>
        <w:adjustRightInd/>
        <w:snapToGrid/>
        <w:spacing w:line="500" w:lineRule="exact"/>
        <w:ind w:firstLine="4560" w:firstLineChars="19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投标人全称（电子签章）：</w:t>
      </w:r>
    </w:p>
    <w:p w14:paraId="7FCAC9DE">
      <w:pPr>
        <w:keepNext w:val="0"/>
        <w:keepLines w:val="0"/>
        <w:pageBreakBefore w:val="0"/>
        <w:kinsoku/>
        <w:wordWrap/>
        <w:overflowPunct/>
        <w:topLinePunct w:val="0"/>
        <w:autoSpaceDE/>
        <w:autoSpaceDN/>
        <w:bidi w:val="0"/>
        <w:adjustRightInd/>
        <w:snapToGrid/>
        <w:spacing w:line="500" w:lineRule="exact"/>
        <w:ind w:firstLine="4560" w:firstLineChars="1900"/>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  期：</w:t>
      </w:r>
    </w:p>
    <w:sectPr>
      <w:pgSz w:w="11906" w:h="16838"/>
      <w:pgMar w:top="1361" w:right="1304" w:bottom="1134" w:left="1587" w:header="850" w:footer="992" w:gutter="0"/>
      <w:pgNumType w:fmt="numberInDash"/>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简体">
    <w:altName w:val="微软雅黑"/>
    <w:panose1 w:val="02010601030101010101"/>
    <w:charset w:val="86"/>
    <w:family w:val="auto"/>
    <w:pitch w:val="default"/>
    <w:sig w:usb0="00000000" w:usb1="00000000" w:usb2="00000000" w:usb3="00000000" w:csb0="00040000" w:csb1="00000000"/>
  </w:font>
  <w:font w:name="创艺简仿宋">
    <w:altName w:val="仿宋"/>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Constantia">
    <w:panose1 w:val="02030602050306030303"/>
    <w:charset w:val="00"/>
    <w:family w:val="roman"/>
    <w:pitch w:val="default"/>
    <w:sig w:usb0="A00002EF" w:usb1="4000204B" w:usb2="00000000" w:usb3="00000000" w:csb0="2000019F" w:csb1="00000000"/>
  </w:font>
  <w:font w:name="Cambria">
    <w:panose1 w:val="02040503050406030204"/>
    <w:charset w:val="00"/>
    <w:family w:val="roman"/>
    <w:pitch w:val="default"/>
    <w:sig w:usb0="E00002FF" w:usb1="400004FF" w:usb2="00000000" w:usb3="00000000" w:csb0="2000019F" w:csb1="00000000"/>
  </w:font>
  <w:font w:name="华文彩云">
    <w:altName w:val="微软雅黑"/>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monospace">
    <w:altName w:val="Malgun Gothic"/>
    <w:panose1 w:val="020B0503020202020204"/>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Malgun Gothic">
    <w:panose1 w:val="020B0503020000020004"/>
    <w:charset w:val="81"/>
    <w:family w:val="auto"/>
    <w:pitch w:val="default"/>
    <w:sig w:usb0="900002AF" w:usb1="01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2E601">
    <w:pPr>
      <w:pStyle w:val="22"/>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D683F3">
                          <w:pPr>
                            <w:pStyle w:val="22"/>
                          </w:pPr>
                        </w:p>
                      </w:txbxContent>
                    </wps:txbx>
                    <wps:bodyPr vert="horz" wrap="none" lIns="0" tIns="0" rIns="0" bIns="0" anchor="t" anchorCtr="0" upright="0">
                      <a:spAutoFit/>
                    </wps:bodyPr>
                  </wps:wsp>
                </a:graphicData>
              </a:graphic>
            </wp:anchor>
          </w:drawing>
        </mc:Choice>
        <mc:Fallback>
          <w:pict>
            <v:shape id="文本框 1042"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OmwqZHgAQAAwQMAAA4AAAAA&#10;AAAAAQAgAAAAHgEAAGRycy9lMm9Eb2MueG1sUEsFBgAAAAAGAAYAWQEAAHAFAAAAAA==&#10;">
              <v:fill on="f" focussize="0,0"/>
              <v:stroke on="f"/>
              <v:imagedata o:title=""/>
              <o:lock v:ext="edit" aspectratio="f"/>
              <v:textbox inset="0mm,0mm,0mm,0mm" style="mso-fit-shape-to-text:t;">
                <w:txbxContent>
                  <w:p w14:paraId="25D683F3">
                    <w:pPr>
                      <w:pStyle w:val="22"/>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019FFF7">
                          <w:pPr>
                            <w:pStyle w:val="22"/>
                          </w:pP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3SIAc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lrUrdMdweI42UJ00dRlhimBx6wsx1Wre0I3/6uerxF9v+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ndIgBzwEAAKoDAAAOAAAAAAAAAAEAIAAAAB4BAABkcnMv&#10;ZTJvRG9jLnhtbFBLBQYAAAAABgAGAFkBAABfBQAAAAA=&#10;">
              <v:fill on="f" focussize="0,0"/>
              <v:stroke on="f"/>
              <v:imagedata o:title=""/>
              <o:lock v:ext="edit" aspectratio="f"/>
              <v:textbox inset="0mm,0mm,0mm,0mm" style="mso-fit-shape-to-text:t;">
                <w:txbxContent>
                  <w:p w14:paraId="0019FFF7">
                    <w:pPr>
                      <w:pStyle w:val="2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315B7">
    <w:pPr>
      <w:pStyle w:val="22"/>
    </w:pPr>
    <w:r>
      <w:rPr>
        <w:sz w:val="21"/>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09F4A">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6B09F4A">
                    <w:pPr>
                      <w:pStyle w:val="22"/>
                    </w:pPr>
                    <w:r>
                      <w:fldChar w:fldCharType="begin"/>
                    </w:r>
                    <w:r>
                      <w:instrText xml:space="preserve"> PAGE  \* MERGEFORMAT </w:instrText>
                    </w:r>
                    <w:r>
                      <w:fldChar w:fldCharType="separate"/>
                    </w:r>
                    <w:r>
                      <w:t>1</w:t>
                    </w:r>
                    <w:r>
                      <w:fldChar w:fldCharType="end"/>
                    </w:r>
                  </w:p>
                </w:txbxContent>
              </v:textbox>
            </v:shape>
          </w:pict>
        </mc:Fallback>
      </mc:AlternateContent>
    </w: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D89AF0"/>
                      </w:txbxContent>
                    </wps:txbx>
                    <wps:bodyPr vert="horz" wrap="none" lIns="0" tIns="0" rIns="0" bIns="0" anchor="t" anchorCtr="0" upright="0">
                      <a:spAutoFit/>
                    </wps:bodyPr>
                  </wps:wsp>
                </a:graphicData>
              </a:graphic>
            </wp:anchor>
          </w:drawing>
        </mc:Choice>
        <mc:Fallback>
          <w:pict>
            <v:shape id="文本框 104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CWPDth4QEAAMEDAAAOAAAA&#10;AAAAAAEAIAAAAB4BAABkcnMvZTJvRG9jLnhtbFBLBQYAAAAABgAGAFkBAABxBQAAAAA=&#10;">
              <v:fill on="f" focussize="0,0"/>
              <v:stroke on="f"/>
              <v:imagedata o:title=""/>
              <o:lock v:ext="edit" aspectratio="f"/>
              <v:textbox inset="0mm,0mm,0mm,0mm" style="mso-fit-shape-to-text:t;">
                <w:txbxContent>
                  <w:p w14:paraId="0BD89AF0"/>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951DD8"/>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8JeM4dABAACqAwAADgAAAAAAAAABACAAAAAeAQAAZHJz&#10;L2Uyb0RvYy54bWxQSwUGAAAAAAYABgBZAQAAYAUAAAAA&#10;">
              <v:fill on="f" focussize="0,0"/>
              <v:stroke on="f"/>
              <v:imagedata o:title=""/>
              <o:lock v:ext="edit" aspectratio="f"/>
              <v:textbox inset="0mm,0mm,0mm,0mm" style="mso-fit-shape-to-text:t;">
                <w:txbxContent>
                  <w:p w14:paraId="35951DD8"/>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879EF12">
                          <w:pPr>
                            <w:pStyle w:val="22"/>
                          </w:pP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K8Ek5zwEAAKoDAAAOAAAAAAAAAAEAIAAAAB4BAABkcnMv&#10;ZTJvRG9jLnhtbFBLBQYAAAAABgAGAFkBAABfBQAAAAA=&#10;">
              <v:fill on="f" focussize="0,0"/>
              <v:stroke on="f"/>
              <v:imagedata o:title=""/>
              <o:lock v:ext="edit" aspectratio="f"/>
              <v:textbox inset="0mm,0mm,0mm,0mm" style="mso-fit-shape-to-text:t;">
                <w:txbxContent>
                  <w:p w14:paraId="1879EF12">
                    <w:pPr>
                      <w:pStyle w:val="22"/>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187A7">
    <w:pPr>
      <w:spacing w:line="169" w:lineRule="auto"/>
      <w:ind w:left="4793"/>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D93B84">
                          <w:pPr>
                            <w:pStyle w:val="22"/>
                          </w:pPr>
                          <w:r>
                            <w:fldChar w:fldCharType="begin"/>
                          </w:r>
                          <w:r>
                            <w:instrText xml:space="preserve"> PAGE  \* MERGEFORMAT </w:instrText>
                          </w:r>
                          <w:r>
                            <w:fldChar w:fldCharType="separate"/>
                          </w:r>
                          <w:r>
                            <w:t>21</w:t>
                          </w:r>
                          <w:r>
                            <w:fldChar w:fldCharType="end"/>
                          </w:r>
                        </w:p>
                      </w:txbxContent>
                    </wps:txbx>
                    <wps:bodyPr vert="horz" wrap="none" lIns="0" tIns="0" rIns="0" bIns="0" anchor="t" anchorCtr="0" upright="0">
                      <a:spAutoFit/>
                    </wps:bodyPr>
                  </wps:wsp>
                </a:graphicData>
              </a:graphic>
            </wp:anchor>
          </w:drawing>
        </mc:Choice>
        <mc:Fallback>
          <w:pict>
            <v:shape id="文本框 104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CB2TBC4QEAAMEDAAAOAAAA&#10;AAAAAAEAIAAAAB4BAABkcnMvZTJvRG9jLnhtbFBLBQYAAAAABgAGAFkBAABxBQAAAAA=&#10;">
              <v:fill on="f" focussize="0,0"/>
              <v:stroke on="f"/>
              <v:imagedata o:title=""/>
              <o:lock v:ext="edit" aspectratio="f"/>
              <v:textbox inset="0mm,0mm,0mm,0mm" style="mso-fit-shape-to-text:t;">
                <w:txbxContent>
                  <w:p w14:paraId="7AD93B84">
                    <w:pPr>
                      <w:pStyle w:val="22"/>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D66C9">
    <w:pPr>
      <w:spacing w:line="169" w:lineRule="auto"/>
      <w:ind w:left="4904"/>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19BACE">
                          <w:pPr>
                            <w:pStyle w:val="22"/>
                          </w:pPr>
                          <w:r>
                            <w:fldChar w:fldCharType="begin"/>
                          </w:r>
                          <w:r>
                            <w:instrText xml:space="preserve"> PAGE  \* MERGEFORMAT </w:instrText>
                          </w:r>
                          <w:r>
                            <w:fldChar w:fldCharType="separate"/>
                          </w:r>
                          <w:r>
                            <w:t>65</w:t>
                          </w:r>
                          <w:r>
                            <w:fldChar w:fldCharType="end"/>
                          </w:r>
                        </w:p>
                      </w:txbxContent>
                    </wps:txbx>
                    <wps:bodyPr vert="horz" wrap="none" lIns="0" tIns="0" rIns="0" bIns="0" anchor="t" anchorCtr="0" upright="0">
                      <a:spAutoFit/>
                    </wps:bodyPr>
                  </wps:wsp>
                </a:graphicData>
              </a:graphic>
            </wp:anchor>
          </w:drawing>
        </mc:Choice>
        <mc:Fallback>
          <w:pict>
            <v:shape id="文本框 104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ktHHo4QEAAMEDAAAOAAAA&#10;AAAAAAEAIAAAAB4BAABkcnMvZTJvRG9jLnhtbFBLBQYAAAAABgAGAFkBAABxBQAAAAA=&#10;">
              <v:fill on="f" focussize="0,0"/>
              <v:stroke on="f"/>
              <v:imagedata o:title=""/>
              <o:lock v:ext="edit" aspectratio="f"/>
              <v:textbox inset="0mm,0mm,0mm,0mm" style="mso-fit-shape-to-text:t;">
                <w:txbxContent>
                  <w:p w14:paraId="4619BACE">
                    <w:pPr>
                      <w:pStyle w:val="22"/>
                    </w:pPr>
                    <w:r>
                      <w:fldChar w:fldCharType="begin"/>
                    </w:r>
                    <w:r>
                      <w:instrText xml:space="preserve"> PAGE  \* MERGEFORMAT </w:instrText>
                    </w:r>
                    <w:r>
                      <w:fldChar w:fldCharType="separate"/>
                    </w:r>
                    <w:r>
                      <w:t>65</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14E07F5">
                          <w:pPr>
                            <w:pStyle w:val="22"/>
                          </w:pP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Pd1DkzwEAAKoDAAAOAAAAAAAAAAEAIAAAAB4BAABkcnMv&#10;ZTJvRG9jLnhtbFBLBQYAAAAABgAGAFkBAABfBQAAAAA=&#10;">
              <v:fill on="f" focussize="0,0"/>
              <v:stroke on="f"/>
              <v:imagedata o:title=""/>
              <o:lock v:ext="edit" aspectratio="f"/>
              <v:textbox inset="0mm,0mm,0mm,0mm" style="mso-fit-shape-to-text:t;">
                <w:txbxContent>
                  <w:p w14:paraId="714E07F5">
                    <w:pPr>
                      <w:pStyle w:val="22"/>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08961">
    <w:pPr>
      <w:spacing w:line="167" w:lineRule="auto"/>
      <w:ind w:left="5053"/>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5E7261">
                          <w:pPr>
                            <w:pStyle w:val="22"/>
                          </w:pPr>
                          <w:r>
                            <w:fldChar w:fldCharType="begin"/>
                          </w:r>
                          <w:r>
                            <w:instrText xml:space="preserve"> PAGE  \* MERGEFORMAT </w:instrText>
                          </w:r>
                          <w:r>
                            <w:fldChar w:fldCharType="separate"/>
                          </w:r>
                          <w:r>
                            <w:t>66</w:t>
                          </w:r>
                          <w:r>
                            <w:fldChar w:fldCharType="end"/>
                          </w:r>
                        </w:p>
                      </w:txbxContent>
                    </wps:txbx>
                    <wps:bodyPr vert="horz" wrap="none" lIns="0" tIns="0" rIns="0" bIns="0" anchor="t" anchorCtr="0" upright="0">
                      <a:spAutoFit/>
                    </wps:bodyPr>
                  </wps:wsp>
                </a:graphicData>
              </a:graphic>
            </wp:anchor>
          </w:drawing>
        </mc:Choice>
        <mc:Fallback>
          <w:pict>
            <v:shape id="文本框 104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FbgYl/gAQAAwgMAAA4AAAAA&#10;AAAAAQAgAAAAHgEAAGRycy9lMm9Eb2MueG1sUEsFBgAAAAAGAAYAWQEAAHAFAAAAAA==&#10;">
              <v:fill on="f" focussize="0,0"/>
              <v:stroke on="f"/>
              <v:imagedata o:title=""/>
              <o:lock v:ext="edit" aspectratio="f"/>
              <v:textbox inset="0mm,0mm,0mm,0mm" style="mso-fit-shape-to-text:t;">
                <w:txbxContent>
                  <w:p w14:paraId="6F5E7261">
                    <w:pPr>
                      <w:pStyle w:val="22"/>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8FDAD">
    <w:pPr>
      <w:spacing w:line="169" w:lineRule="auto"/>
      <w:ind w:left="4792"/>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557EA7">
                          <w:pPr>
                            <w:pStyle w:val="22"/>
                          </w:pPr>
                          <w:r>
                            <w:fldChar w:fldCharType="begin"/>
                          </w:r>
                          <w:r>
                            <w:instrText xml:space="preserve"> PAGE  \* MERGEFORMAT </w:instrText>
                          </w:r>
                          <w:r>
                            <w:fldChar w:fldCharType="separate"/>
                          </w:r>
                          <w:r>
                            <w:t>67</w:t>
                          </w:r>
                          <w:r>
                            <w:fldChar w:fldCharType="end"/>
                          </w:r>
                        </w:p>
                      </w:txbxContent>
                    </wps:txbx>
                    <wps:bodyPr vert="horz" wrap="none" lIns="0" tIns="0" rIns="0" bIns="0" anchor="t" anchorCtr="0" upright="0">
                      <a:spAutoFit/>
                    </wps:bodyPr>
                  </wps:wsp>
                </a:graphicData>
              </a:graphic>
            </wp:anchor>
          </w:drawing>
        </mc:Choice>
        <mc:Fallback>
          <w:pict>
            <v:shape id="文本框 1047"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gMW4v4QEAAMIDAAAOAAAA&#10;AAAAAAEAIAAAAB4BAABkcnMvZTJvRG9jLnhtbFBLBQYAAAAABgAGAFkBAABxBQAAAAA=&#10;">
              <v:fill on="f" focussize="0,0"/>
              <v:stroke on="f"/>
              <v:imagedata o:title=""/>
              <o:lock v:ext="edit" aspectratio="f"/>
              <v:textbox inset="0mm,0mm,0mm,0mm" style="mso-fit-shape-to-text:t;">
                <w:txbxContent>
                  <w:p w14:paraId="72557EA7">
                    <w:pPr>
                      <w:pStyle w:val="22"/>
                    </w:pPr>
                    <w:r>
                      <w:fldChar w:fldCharType="begin"/>
                    </w:r>
                    <w:r>
                      <w:instrText xml:space="preserve"> PAGE  \* MERGEFORMAT </w:instrText>
                    </w:r>
                    <w:r>
                      <w:fldChar w:fldCharType="separate"/>
                    </w:r>
                    <w:r>
                      <w:t>67</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B96667">
                          <w:pPr>
                            <w:pStyle w:val="22"/>
                          </w:pP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K9xkjzwEAAKoDAAAOAAAAAAAAAAEAIAAAAB4BAABkcnMv&#10;ZTJvRG9jLnhtbFBLBQYAAAAABgAGAFkBAABfBQAAAAA=&#10;">
              <v:fill on="f" focussize="0,0"/>
              <v:stroke on="f"/>
              <v:imagedata o:title=""/>
              <o:lock v:ext="edit" aspectratio="f"/>
              <v:textbox inset="0mm,0mm,0mm,0mm" style="mso-fit-shape-to-text:t;">
                <w:txbxContent>
                  <w:p w14:paraId="4EB96667">
                    <w:pPr>
                      <w:pStyle w:val="22"/>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28798">
    <w:pPr>
      <w:spacing w:line="169" w:lineRule="auto"/>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7CCD97">
                          <w:pPr>
                            <w:pStyle w:val="22"/>
                          </w:pPr>
                          <w:r>
                            <w:fldChar w:fldCharType="begin"/>
                          </w:r>
                          <w:r>
                            <w:instrText xml:space="preserve"> PAGE  \* MERGEFORMAT </w:instrText>
                          </w:r>
                          <w:r>
                            <w:fldChar w:fldCharType="separate"/>
                          </w:r>
                          <w:r>
                            <w:t>68</w:t>
                          </w:r>
                          <w:r>
                            <w:fldChar w:fldCharType="end"/>
                          </w:r>
                        </w:p>
                      </w:txbxContent>
                    </wps:txbx>
                    <wps:bodyPr vert="horz" wrap="none" lIns="0" tIns="0" rIns="0" bIns="0" anchor="t" anchorCtr="0" upright="0">
                      <a:spAutoFit/>
                    </wps:bodyPr>
                  </wps:wsp>
                </a:graphicData>
              </a:graphic>
            </wp:anchor>
          </w:drawing>
        </mc:Choice>
        <mc:Fallback>
          <w:pict>
            <v:shape id="文本框 1048"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N+wMmDgAQAAwgMAAA4AAAAA&#10;AAAAAQAgAAAAHgEAAGRycy9lMm9Eb2MueG1sUEsFBgAAAAAGAAYAWQEAAHAFAAAAAA==&#10;">
              <v:fill on="f" focussize="0,0"/>
              <v:stroke on="f"/>
              <v:imagedata o:title=""/>
              <o:lock v:ext="edit" aspectratio="f"/>
              <v:textbox inset="0mm,0mm,0mm,0mm" style="mso-fit-shape-to-text:t;">
                <w:txbxContent>
                  <w:p w14:paraId="347CCD97">
                    <w:pPr>
                      <w:pStyle w:val="22"/>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65210">
    <w:pPr>
      <w:pStyle w:val="223"/>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93BB0">
    <w:pPr>
      <w:pStyle w:val="2"/>
      <w:tabs>
        <w:tab w:val="left" w:pos="462"/>
      </w:tabs>
      <w:spacing w:before="13" w:line="179" w:lineRule="auto"/>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392FD">
    <w:pPr>
      <w:pStyle w:val="2"/>
      <w:tabs>
        <w:tab w:val="left" w:pos="575"/>
      </w:tabs>
      <w:spacing w:before="13" w:line="179" w:lineRule="auto"/>
      <w:ind w:left="112"/>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646EC">
    <w:pPr>
      <w:pStyle w:val="2"/>
      <w:tabs>
        <w:tab w:val="left" w:pos="724"/>
      </w:tabs>
      <w:spacing w:before="13" w:line="179" w:lineRule="auto"/>
      <w:ind w:left="261"/>
      <w:rPr>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22565">
    <w:pPr>
      <w:pStyle w:val="2"/>
      <w:tabs>
        <w:tab w:val="left" w:pos="462"/>
      </w:tabs>
      <w:spacing w:before="13" w:line="179" w:lineRule="auto"/>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Thousand"/>
      <w:pStyle w:val="262"/>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1">
    <w:nsid w:val="0053208E"/>
    <w:multiLevelType w:val="multilevel"/>
    <w:tmpl w:val="0053208E"/>
    <w:lvl w:ilvl="0" w:tentative="0">
      <w:start w:val="2"/>
      <w:numFmt w:val="chineseCountingThousand"/>
      <w:pStyle w:val="264"/>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03D62ECE"/>
    <w:multiLevelType w:val="multilevel"/>
    <w:tmpl w:val="03D62EC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chineseCountingThousand"/>
      <w:pStyle w:val="277"/>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23C409B"/>
    <w:multiLevelType w:val="singleLevel"/>
    <w:tmpl w:val="723C409B"/>
    <w:lvl w:ilvl="0" w:tentative="0">
      <w:start w:val="3"/>
      <w:numFmt w:val="chineseCounting"/>
      <w:suff w:val="nothing"/>
      <w:lvlText w:val="%1、"/>
      <w:lvlJc w:val="left"/>
      <w:rPr>
        <w:rFonts w:hint="eastAsia"/>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5YzdhYjBjODA3NTlhMGFlZWNkOWRmY2YzNjFhMTAifQ=="/>
  </w:docVars>
  <w:rsids>
    <w:rsidRoot w:val="00C661F6"/>
    <w:rsid w:val="000C2DB2"/>
    <w:rsid w:val="00166FEE"/>
    <w:rsid w:val="00260301"/>
    <w:rsid w:val="0050112D"/>
    <w:rsid w:val="007204D0"/>
    <w:rsid w:val="00885DD8"/>
    <w:rsid w:val="00930834"/>
    <w:rsid w:val="00B4119F"/>
    <w:rsid w:val="00C661F6"/>
    <w:rsid w:val="00D21829"/>
    <w:rsid w:val="01465165"/>
    <w:rsid w:val="015C48BA"/>
    <w:rsid w:val="015E31C7"/>
    <w:rsid w:val="0190341B"/>
    <w:rsid w:val="01BF5575"/>
    <w:rsid w:val="023D46EC"/>
    <w:rsid w:val="026C6D7F"/>
    <w:rsid w:val="027D7CC1"/>
    <w:rsid w:val="02C02DD6"/>
    <w:rsid w:val="0321400D"/>
    <w:rsid w:val="034C1F77"/>
    <w:rsid w:val="03667260"/>
    <w:rsid w:val="036935CB"/>
    <w:rsid w:val="0405624D"/>
    <w:rsid w:val="041B3690"/>
    <w:rsid w:val="04440DF9"/>
    <w:rsid w:val="045301F6"/>
    <w:rsid w:val="045500CE"/>
    <w:rsid w:val="04806B11"/>
    <w:rsid w:val="04830692"/>
    <w:rsid w:val="04DA3A0F"/>
    <w:rsid w:val="056C189E"/>
    <w:rsid w:val="056C5580"/>
    <w:rsid w:val="05D435B9"/>
    <w:rsid w:val="060C4B01"/>
    <w:rsid w:val="0616039E"/>
    <w:rsid w:val="06520AA9"/>
    <w:rsid w:val="06824A9C"/>
    <w:rsid w:val="06843F9B"/>
    <w:rsid w:val="06C07699"/>
    <w:rsid w:val="06CF47EF"/>
    <w:rsid w:val="07470D62"/>
    <w:rsid w:val="078B414B"/>
    <w:rsid w:val="07AB20F7"/>
    <w:rsid w:val="07DB29DD"/>
    <w:rsid w:val="07E55609"/>
    <w:rsid w:val="08732C15"/>
    <w:rsid w:val="08FC4724"/>
    <w:rsid w:val="090B618E"/>
    <w:rsid w:val="092F650A"/>
    <w:rsid w:val="09922C41"/>
    <w:rsid w:val="09CF47C3"/>
    <w:rsid w:val="0A036D8A"/>
    <w:rsid w:val="0A171CC6"/>
    <w:rsid w:val="0A41321F"/>
    <w:rsid w:val="0A6740C8"/>
    <w:rsid w:val="0A683F81"/>
    <w:rsid w:val="0ABD0ABF"/>
    <w:rsid w:val="0AF62054"/>
    <w:rsid w:val="0B154457"/>
    <w:rsid w:val="0B520B0D"/>
    <w:rsid w:val="0B56642E"/>
    <w:rsid w:val="0BD229D0"/>
    <w:rsid w:val="0C831EE8"/>
    <w:rsid w:val="0CE82491"/>
    <w:rsid w:val="0D1F15BD"/>
    <w:rsid w:val="0D361CE2"/>
    <w:rsid w:val="0D6463F3"/>
    <w:rsid w:val="0D6B308E"/>
    <w:rsid w:val="0D855D0D"/>
    <w:rsid w:val="0D9A07EA"/>
    <w:rsid w:val="0D9C1219"/>
    <w:rsid w:val="0DAB10A3"/>
    <w:rsid w:val="0DD102B3"/>
    <w:rsid w:val="0E2E5399"/>
    <w:rsid w:val="0E692EF2"/>
    <w:rsid w:val="0E9A5678"/>
    <w:rsid w:val="0E9C058C"/>
    <w:rsid w:val="0EAC6E81"/>
    <w:rsid w:val="0EEE56EB"/>
    <w:rsid w:val="0F0C5B71"/>
    <w:rsid w:val="0F490B74"/>
    <w:rsid w:val="0F4F6DE8"/>
    <w:rsid w:val="0F7D25CB"/>
    <w:rsid w:val="0F7F518F"/>
    <w:rsid w:val="0F865F50"/>
    <w:rsid w:val="0FB32491"/>
    <w:rsid w:val="0FB51D65"/>
    <w:rsid w:val="0FBE2B5A"/>
    <w:rsid w:val="0FEB32FA"/>
    <w:rsid w:val="0FF46BF0"/>
    <w:rsid w:val="1021389E"/>
    <w:rsid w:val="10563DDE"/>
    <w:rsid w:val="11055553"/>
    <w:rsid w:val="11124F95"/>
    <w:rsid w:val="11664CDF"/>
    <w:rsid w:val="117741FA"/>
    <w:rsid w:val="11891EF6"/>
    <w:rsid w:val="11FD79F3"/>
    <w:rsid w:val="122554A1"/>
    <w:rsid w:val="12274414"/>
    <w:rsid w:val="125357B0"/>
    <w:rsid w:val="12641821"/>
    <w:rsid w:val="12CF313E"/>
    <w:rsid w:val="12FC27FD"/>
    <w:rsid w:val="131F31F2"/>
    <w:rsid w:val="134A0B53"/>
    <w:rsid w:val="13653AA2"/>
    <w:rsid w:val="138F2580"/>
    <w:rsid w:val="138F28CD"/>
    <w:rsid w:val="13A909F3"/>
    <w:rsid w:val="13B50586"/>
    <w:rsid w:val="13DF7738"/>
    <w:rsid w:val="13EA360C"/>
    <w:rsid w:val="14065C65"/>
    <w:rsid w:val="141B23B3"/>
    <w:rsid w:val="14220E5A"/>
    <w:rsid w:val="145002AE"/>
    <w:rsid w:val="147246C9"/>
    <w:rsid w:val="14744ED9"/>
    <w:rsid w:val="14F41582"/>
    <w:rsid w:val="15323E58"/>
    <w:rsid w:val="155E69FB"/>
    <w:rsid w:val="15910B7E"/>
    <w:rsid w:val="15B25D27"/>
    <w:rsid w:val="15BC0CA2"/>
    <w:rsid w:val="15D1540E"/>
    <w:rsid w:val="160A26DF"/>
    <w:rsid w:val="16BF0522"/>
    <w:rsid w:val="16BF796D"/>
    <w:rsid w:val="17044476"/>
    <w:rsid w:val="17471E3D"/>
    <w:rsid w:val="175D340E"/>
    <w:rsid w:val="177957E0"/>
    <w:rsid w:val="1796409D"/>
    <w:rsid w:val="17E21B65"/>
    <w:rsid w:val="17E551B2"/>
    <w:rsid w:val="17FB6783"/>
    <w:rsid w:val="17FF53E4"/>
    <w:rsid w:val="180715CC"/>
    <w:rsid w:val="18090EA0"/>
    <w:rsid w:val="186F5B33"/>
    <w:rsid w:val="18DB2465"/>
    <w:rsid w:val="18EA6F23"/>
    <w:rsid w:val="18FC6C57"/>
    <w:rsid w:val="193C34D0"/>
    <w:rsid w:val="1988673C"/>
    <w:rsid w:val="1A104F89"/>
    <w:rsid w:val="1A115AEE"/>
    <w:rsid w:val="1A736AA5"/>
    <w:rsid w:val="1ABD20F7"/>
    <w:rsid w:val="1AEF6A73"/>
    <w:rsid w:val="1B035184"/>
    <w:rsid w:val="1B4030A6"/>
    <w:rsid w:val="1B432F5A"/>
    <w:rsid w:val="1B6D1746"/>
    <w:rsid w:val="1BAF6202"/>
    <w:rsid w:val="1BBC6A84"/>
    <w:rsid w:val="1C123812"/>
    <w:rsid w:val="1C365FDC"/>
    <w:rsid w:val="1C44357F"/>
    <w:rsid w:val="1C750A84"/>
    <w:rsid w:val="1C886AE5"/>
    <w:rsid w:val="1CE1063D"/>
    <w:rsid w:val="1CFC7D79"/>
    <w:rsid w:val="1CFD4D4B"/>
    <w:rsid w:val="1D0846F4"/>
    <w:rsid w:val="1D112E48"/>
    <w:rsid w:val="1D154DA2"/>
    <w:rsid w:val="1D344C11"/>
    <w:rsid w:val="1D6372CF"/>
    <w:rsid w:val="1D925236"/>
    <w:rsid w:val="1DAE77C5"/>
    <w:rsid w:val="1DDE2D6B"/>
    <w:rsid w:val="1DE71C83"/>
    <w:rsid w:val="1E2A388B"/>
    <w:rsid w:val="1E321039"/>
    <w:rsid w:val="1E9D2DB2"/>
    <w:rsid w:val="1EB00D8D"/>
    <w:rsid w:val="1EF02DBA"/>
    <w:rsid w:val="1F095CF1"/>
    <w:rsid w:val="1F2C3F80"/>
    <w:rsid w:val="1F4D3D68"/>
    <w:rsid w:val="1F7C289F"/>
    <w:rsid w:val="1F8C04D8"/>
    <w:rsid w:val="2025476B"/>
    <w:rsid w:val="20903D0C"/>
    <w:rsid w:val="210C1EE1"/>
    <w:rsid w:val="22244B28"/>
    <w:rsid w:val="2277734E"/>
    <w:rsid w:val="227A7860"/>
    <w:rsid w:val="22A15189"/>
    <w:rsid w:val="22D77E8C"/>
    <w:rsid w:val="231352C9"/>
    <w:rsid w:val="232A0E55"/>
    <w:rsid w:val="232E02C7"/>
    <w:rsid w:val="234A5216"/>
    <w:rsid w:val="23654CC8"/>
    <w:rsid w:val="236D2C2B"/>
    <w:rsid w:val="24013A35"/>
    <w:rsid w:val="24207C9D"/>
    <w:rsid w:val="2442694E"/>
    <w:rsid w:val="246833F2"/>
    <w:rsid w:val="24A876BD"/>
    <w:rsid w:val="24F160DB"/>
    <w:rsid w:val="2549185B"/>
    <w:rsid w:val="257D1F44"/>
    <w:rsid w:val="259D531E"/>
    <w:rsid w:val="261E16F9"/>
    <w:rsid w:val="264439EB"/>
    <w:rsid w:val="267F2BF5"/>
    <w:rsid w:val="26A12BEB"/>
    <w:rsid w:val="26E31456"/>
    <w:rsid w:val="26FA4CE0"/>
    <w:rsid w:val="274E4840"/>
    <w:rsid w:val="276500BD"/>
    <w:rsid w:val="277D350F"/>
    <w:rsid w:val="27881424"/>
    <w:rsid w:val="27A2722D"/>
    <w:rsid w:val="27B87321"/>
    <w:rsid w:val="27F94C3B"/>
    <w:rsid w:val="2810627B"/>
    <w:rsid w:val="28341F69"/>
    <w:rsid w:val="28BB2476"/>
    <w:rsid w:val="28D339A0"/>
    <w:rsid w:val="29471828"/>
    <w:rsid w:val="297A3094"/>
    <w:rsid w:val="299439E3"/>
    <w:rsid w:val="299971E9"/>
    <w:rsid w:val="299F1D84"/>
    <w:rsid w:val="29C72386"/>
    <w:rsid w:val="2A111E36"/>
    <w:rsid w:val="2A1D07DB"/>
    <w:rsid w:val="2A2E4796"/>
    <w:rsid w:val="2A312783"/>
    <w:rsid w:val="2A331DAD"/>
    <w:rsid w:val="2A557F75"/>
    <w:rsid w:val="2A5F67A1"/>
    <w:rsid w:val="2A6A363D"/>
    <w:rsid w:val="2A77438F"/>
    <w:rsid w:val="2A97047E"/>
    <w:rsid w:val="2AA607D0"/>
    <w:rsid w:val="2AAD298C"/>
    <w:rsid w:val="2AB92060"/>
    <w:rsid w:val="2ABC7FF4"/>
    <w:rsid w:val="2BC45765"/>
    <w:rsid w:val="2BCB59B1"/>
    <w:rsid w:val="2C0E7270"/>
    <w:rsid w:val="2C181FA2"/>
    <w:rsid w:val="2C2E0A7D"/>
    <w:rsid w:val="2C78186B"/>
    <w:rsid w:val="2C803A9A"/>
    <w:rsid w:val="2C882884"/>
    <w:rsid w:val="2CD62A5E"/>
    <w:rsid w:val="2D7642C7"/>
    <w:rsid w:val="2D8D2F86"/>
    <w:rsid w:val="2D9A0F4F"/>
    <w:rsid w:val="2DD65871"/>
    <w:rsid w:val="2E2E5CDD"/>
    <w:rsid w:val="2E67471B"/>
    <w:rsid w:val="2E6D3E66"/>
    <w:rsid w:val="2E6E5AA9"/>
    <w:rsid w:val="2EB16FD1"/>
    <w:rsid w:val="2EC83D8A"/>
    <w:rsid w:val="2EF221D2"/>
    <w:rsid w:val="2F740E9D"/>
    <w:rsid w:val="2F9E7E18"/>
    <w:rsid w:val="2FCE0EF5"/>
    <w:rsid w:val="2FF64E6C"/>
    <w:rsid w:val="301C280B"/>
    <w:rsid w:val="30406FD1"/>
    <w:rsid w:val="307F3F9D"/>
    <w:rsid w:val="310717DF"/>
    <w:rsid w:val="31501496"/>
    <w:rsid w:val="31777BDA"/>
    <w:rsid w:val="31D868E7"/>
    <w:rsid w:val="32000CE8"/>
    <w:rsid w:val="32FF4F22"/>
    <w:rsid w:val="3344327C"/>
    <w:rsid w:val="33CD6DCE"/>
    <w:rsid w:val="33D12D62"/>
    <w:rsid w:val="33D41F2E"/>
    <w:rsid w:val="344A2B14"/>
    <w:rsid w:val="346516FC"/>
    <w:rsid w:val="34A51AF9"/>
    <w:rsid w:val="351D1FD7"/>
    <w:rsid w:val="354D466A"/>
    <w:rsid w:val="357B2EBD"/>
    <w:rsid w:val="358E45B5"/>
    <w:rsid w:val="35A62C8F"/>
    <w:rsid w:val="35B64453"/>
    <w:rsid w:val="36181DE1"/>
    <w:rsid w:val="36B6623F"/>
    <w:rsid w:val="36BA2093"/>
    <w:rsid w:val="36BF3346"/>
    <w:rsid w:val="36D54201"/>
    <w:rsid w:val="371C759B"/>
    <w:rsid w:val="37824462"/>
    <w:rsid w:val="37C8622A"/>
    <w:rsid w:val="37CB1A68"/>
    <w:rsid w:val="38003C16"/>
    <w:rsid w:val="380D41D7"/>
    <w:rsid w:val="38174ABC"/>
    <w:rsid w:val="382D2531"/>
    <w:rsid w:val="38303089"/>
    <w:rsid w:val="383C0787"/>
    <w:rsid w:val="3851621F"/>
    <w:rsid w:val="385906A3"/>
    <w:rsid w:val="38602906"/>
    <w:rsid w:val="387E2A43"/>
    <w:rsid w:val="38C430B9"/>
    <w:rsid w:val="39202096"/>
    <w:rsid w:val="3971469F"/>
    <w:rsid w:val="39F5319F"/>
    <w:rsid w:val="3A9840A3"/>
    <w:rsid w:val="3A9E14C4"/>
    <w:rsid w:val="3AE570F3"/>
    <w:rsid w:val="3AFD75A5"/>
    <w:rsid w:val="3AFE3F57"/>
    <w:rsid w:val="3B054CB3"/>
    <w:rsid w:val="3B1D063B"/>
    <w:rsid w:val="3B4727D3"/>
    <w:rsid w:val="3B547DD5"/>
    <w:rsid w:val="3B974891"/>
    <w:rsid w:val="3BB83FC8"/>
    <w:rsid w:val="3BBA232E"/>
    <w:rsid w:val="3BBC6D51"/>
    <w:rsid w:val="3BC54641"/>
    <w:rsid w:val="3BCE280C"/>
    <w:rsid w:val="3C010542"/>
    <w:rsid w:val="3C2105FF"/>
    <w:rsid w:val="3C2C3893"/>
    <w:rsid w:val="3C642FC7"/>
    <w:rsid w:val="3C916256"/>
    <w:rsid w:val="3CC1149A"/>
    <w:rsid w:val="3D347EBE"/>
    <w:rsid w:val="3D624A2B"/>
    <w:rsid w:val="3DCE1445"/>
    <w:rsid w:val="3DF570CE"/>
    <w:rsid w:val="3F010273"/>
    <w:rsid w:val="3F316DAB"/>
    <w:rsid w:val="3F3C6758"/>
    <w:rsid w:val="3F402B4A"/>
    <w:rsid w:val="3F487A0B"/>
    <w:rsid w:val="3F5900B0"/>
    <w:rsid w:val="3F6E34D6"/>
    <w:rsid w:val="3F9B3D7E"/>
    <w:rsid w:val="3FC714BD"/>
    <w:rsid w:val="400A34C6"/>
    <w:rsid w:val="4028139D"/>
    <w:rsid w:val="409B088B"/>
    <w:rsid w:val="40E37C31"/>
    <w:rsid w:val="40ED45FA"/>
    <w:rsid w:val="412C5A7C"/>
    <w:rsid w:val="414C7ECC"/>
    <w:rsid w:val="417C1E33"/>
    <w:rsid w:val="41EC753D"/>
    <w:rsid w:val="420A7D6E"/>
    <w:rsid w:val="42106DB3"/>
    <w:rsid w:val="424B1F31"/>
    <w:rsid w:val="426923B8"/>
    <w:rsid w:val="42803035"/>
    <w:rsid w:val="42E15C76"/>
    <w:rsid w:val="42E63A08"/>
    <w:rsid w:val="43034954"/>
    <w:rsid w:val="43133F97"/>
    <w:rsid w:val="431E1090"/>
    <w:rsid w:val="432D26B6"/>
    <w:rsid w:val="436A4639"/>
    <w:rsid w:val="43AE3034"/>
    <w:rsid w:val="43EB2023"/>
    <w:rsid w:val="44052591"/>
    <w:rsid w:val="44246EDE"/>
    <w:rsid w:val="442B201A"/>
    <w:rsid w:val="444A6219"/>
    <w:rsid w:val="446217B4"/>
    <w:rsid w:val="449F6565"/>
    <w:rsid w:val="44A825EB"/>
    <w:rsid w:val="44D34460"/>
    <w:rsid w:val="4511036A"/>
    <w:rsid w:val="454A18CD"/>
    <w:rsid w:val="45514D21"/>
    <w:rsid w:val="456F1408"/>
    <w:rsid w:val="45F36B68"/>
    <w:rsid w:val="45F4468E"/>
    <w:rsid w:val="4618037D"/>
    <w:rsid w:val="4659556B"/>
    <w:rsid w:val="46D30747"/>
    <w:rsid w:val="470152B5"/>
    <w:rsid w:val="4702218F"/>
    <w:rsid w:val="474A4B48"/>
    <w:rsid w:val="47766361"/>
    <w:rsid w:val="478E4373"/>
    <w:rsid w:val="47A3011A"/>
    <w:rsid w:val="47FA790F"/>
    <w:rsid w:val="47FD3CCE"/>
    <w:rsid w:val="482E25FC"/>
    <w:rsid w:val="488F68F0"/>
    <w:rsid w:val="48B84099"/>
    <w:rsid w:val="49262E31"/>
    <w:rsid w:val="4948541D"/>
    <w:rsid w:val="49E36EF3"/>
    <w:rsid w:val="4A0D5E83"/>
    <w:rsid w:val="4A0E3EA2"/>
    <w:rsid w:val="4A141F9E"/>
    <w:rsid w:val="4ACA525D"/>
    <w:rsid w:val="4ADB7BCB"/>
    <w:rsid w:val="4B092433"/>
    <w:rsid w:val="4B101F6A"/>
    <w:rsid w:val="4B3F63AB"/>
    <w:rsid w:val="4B502367"/>
    <w:rsid w:val="4B9C1A50"/>
    <w:rsid w:val="4BA936B4"/>
    <w:rsid w:val="4BC15012"/>
    <w:rsid w:val="4BC30D8B"/>
    <w:rsid w:val="4BE14F87"/>
    <w:rsid w:val="4BEB208F"/>
    <w:rsid w:val="4C5479B0"/>
    <w:rsid w:val="4CB9235F"/>
    <w:rsid w:val="4CD80F5B"/>
    <w:rsid w:val="4CE06264"/>
    <w:rsid w:val="4CFA7607"/>
    <w:rsid w:val="4D41465D"/>
    <w:rsid w:val="4D5A3970"/>
    <w:rsid w:val="4D65212F"/>
    <w:rsid w:val="4D8B58D8"/>
    <w:rsid w:val="4DAA4BF4"/>
    <w:rsid w:val="4DB112D2"/>
    <w:rsid w:val="4DC740BE"/>
    <w:rsid w:val="4DDC4386"/>
    <w:rsid w:val="4E024342"/>
    <w:rsid w:val="4E200716"/>
    <w:rsid w:val="4E327823"/>
    <w:rsid w:val="4E3A689B"/>
    <w:rsid w:val="4EA56E6D"/>
    <w:rsid w:val="4EE94FAC"/>
    <w:rsid w:val="4F02099E"/>
    <w:rsid w:val="4F315B3F"/>
    <w:rsid w:val="4F6B2E2B"/>
    <w:rsid w:val="4F895E47"/>
    <w:rsid w:val="4F8C5937"/>
    <w:rsid w:val="5019366F"/>
    <w:rsid w:val="503A2B18"/>
    <w:rsid w:val="5043693E"/>
    <w:rsid w:val="5069763E"/>
    <w:rsid w:val="508575E4"/>
    <w:rsid w:val="50CC06E1"/>
    <w:rsid w:val="50D96255"/>
    <w:rsid w:val="50F9756B"/>
    <w:rsid w:val="51A10A71"/>
    <w:rsid w:val="51DC173E"/>
    <w:rsid w:val="51E23FF4"/>
    <w:rsid w:val="51EE7B4E"/>
    <w:rsid w:val="51F83758"/>
    <w:rsid w:val="51FD4A72"/>
    <w:rsid w:val="5215297F"/>
    <w:rsid w:val="52271947"/>
    <w:rsid w:val="523636A7"/>
    <w:rsid w:val="52927DEA"/>
    <w:rsid w:val="529A6D4D"/>
    <w:rsid w:val="52B4142D"/>
    <w:rsid w:val="52F80DEF"/>
    <w:rsid w:val="531F6D00"/>
    <w:rsid w:val="53684B3C"/>
    <w:rsid w:val="53B67E10"/>
    <w:rsid w:val="53C03E02"/>
    <w:rsid w:val="53C040D7"/>
    <w:rsid w:val="54210D44"/>
    <w:rsid w:val="545257F3"/>
    <w:rsid w:val="549144B0"/>
    <w:rsid w:val="54A0665B"/>
    <w:rsid w:val="54A56D24"/>
    <w:rsid w:val="54CE6974"/>
    <w:rsid w:val="552B174F"/>
    <w:rsid w:val="55690BF5"/>
    <w:rsid w:val="55EF0354"/>
    <w:rsid w:val="56045125"/>
    <w:rsid w:val="561F7505"/>
    <w:rsid w:val="562F77BB"/>
    <w:rsid w:val="56E664A9"/>
    <w:rsid w:val="56F269C8"/>
    <w:rsid w:val="571060F2"/>
    <w:rsid w:val="57201787"/>
    <w:rsid w:val="573626DC"/>
    <w:rsid w:val="576B3569"/>
    <w:rsid w:val="57A05B02"/>
    <w:rsid w:val="57F51344"/>
    <w:rsid w:val="57FB7AFE"/>
    <w:rsid w:val="580541F6"/>
    <w:rsid w:val="582D717A"/>
    <w:rsid w:val="58304C11"/>
    <w:rsid w:val="5862752F"/>
    <w:rsid w:val="58767C55"/>
    <w:rsid w:val="58782F40"/>
    <w:rsid w:val="58C148A4"/>
    <w:rsid w:val="58D23B6D"/>
    <w:rsid w:val="58E32EA4"/>
    <w:rsid w:val="591470C9"/>
    <w:rsid w:val="591C5F7E"/>
    <w:rsid w:val="593B28A8"/>
    <w:rsid w:val="59453EB7"/>
    <w:rsid w:val="594F1EAF"/>
    <w:rsid w:val="598B6C60"/>
    <w:rsid w:val="598D634A"/>
    <w:rsid w:val="59CE54CA"/>
    <w:rsid w:val="5A291356"/>
    <w:rsid w:val="5AE940B4"/>
    <w:rsid w:val="5B5D0C9B"/>
    <w:rsid w:val="5B5E09DF"/>
    <w:rsid w:val="5B5E503C"/>
    <w:rsid w:val="5B6F210F"/>
    <w:rsid w:val="5B820135"/>
    <w:rsid w:val="5BA45E1E"/>
    <w:rsid w:val="5BA858A7"/>
    <w:rsid w:val="5BF136F2"/>
    <w:rsid w:val="5C940E07"/>
    <w:rsid w:val="5CD262AE"/>
    <w:rsid w:val="5D235B2D"/>
    <w:rsid w:val="5D2469F6"/>
    <w:rsid w:val="5D261DCF"/>
    <w:rsid w:val="5D284EF1"/>
    <w:rsid w:val="5D2D69AC"/>
    <w:rsid w:val="5D480981"/>
    <w:rsid w:val="5D5A0E23"/>
    <w:rsid w:val="5D6F0FC7"/>
    <w:rsid w:val="5D852344"/>
    <w:rsid w:val="5D8B7C30"/>
    <w:rsid w:val="5DA405FE"/>
    <w:rsid w:val="5E4105E7"/>
    <w:rsid w:val="5E8141A3"/>
    <w:rsid w:val="5EC56F93"/>
    <w:rsid w:val="5EE65064"/>
    <w:rsid w:val="5EFF7ED4"/>
    <w:rsid w:val="5F6441DB"/>
    <w:rsid w:val="5F6B3E4B"/>
    <w:rsid w:val="5FE47241"/>
    <w:rsid w:val="6005776C"/>
    <w:rsid w:val="6008725C"/>
    <w:rsid w:val="6037302D"/>
    <w:rsid w:val="603C1F77"/>
    <w:rsid w:val="60A30D33"/>
    <w:rsid w:val="61295EA6"/>
    <w:rsid w:val="61377119"/>
    <w:rsid w:val="61660E31"/>
    <w:rsid w:val="61744F00"/>
    <w:rsid w:val="61AE5BE1"/>
    <w:rsid w:val="61B61E6F"/>
    <w:rsid w:val="61D840E6"/>
    <w:rsid w:val="61ED39EA"/>
    <w:rsid w:val="61EF2482"/>
    <w:rsid w:val="625B18C5"/>
    <w:rsid w:val="62603A3D"/>
    <w:rsid w:val="62771EF0"/>
    <w:rsid w:val="62EF200D"/>
    <w:rsid w:val="62FC0898"/>
    <w:rsid w:val="631A1780"/>
    <w:rsid w:val="63212B0F"/>
    <w:rsid w:val="636D7CDB"/>
    <w:rsid w:val="63B92AE4"/>
    <w:rsid w:val="63D62198"/>
    <w:rsid w:val="63DC6A36"/>
    <w:rsid w:val="63E51594"/>
    <w:rsid w:val="63F72DD8"/>
    <w:rsid w:val="643E149E"/>
    <w:rsid w:val="64832C8B"/>
    <w:rsid w:val="64997931"/>
    <w:rsid w:val="65423A92"/>
    <w:rsid w:val="65660CAD"/>
    <w:rsid w:val="656D32ED"/>
    <w:rsid w:val="656D5D36"/>
    <w:rsid w:val="65976A3F"/>
    <w:rsid w:val="65E329B5"/>
    <w:rsid w:val="6603474E"/>
    <w:rsid w:val="670859AB"/>
    <w:rsid w:val="67521D4F"/>
    <w:rsid w:val="67786A75"/>
    <w:rsid w:val="67C021CA"/>
    <w:rsid w:val="67DC0256"/>
    <w:rsid w:val="67E5303E"/>
    <w:rsid w:val="67E53AA7"/>
    <w:rsid w:val="67EE571E"/>
    <w:rsid w:val="680718E8"/>
    <w:rsid w:val="682A15E7"/>
    <w:rsid w:val="687C4343"/>
    <w:rsid w:val="688673B5"/>
    <w:rsid w:val="68E17493"/>
    <w:rsid w:val="68F42EB1"/>
    <w:rsid w:val="691C1682"/>
    <w:rsid w:val="6971499C"/>
    <w:rsid w:val="69E53C69"/>
    <w:rsid w:val="6A334ED5"/>
    <w:rsid w:val="6A414A77"/>
    <w:rsid w:val="6A492459"/>
    <w:rsid w:val="6A4B3817"/>
    <w:rsid w:val="6ADB6685"/>
    <w:rsid w:val="6B285911"/>
    <w:rsid w:val="6B2A0087"/>
    <w:rsid w:val="6B2B31B5"/>
    <w:rsid w:val="6B485FB2"/>
    <w:rsid w:val="6B6D2669"/>
    <w:rsid w:val="6B76151E"/>
    <w:rsid w:val="6BC349D4"/>
    <w:rsid w:val="6C3B62C3"/>
    <w:rsid w:val="6C447394"/>
    <w:rsid w:val="6C5F0204"/>
    <w:rsid w:val="6C6B0957"/>
    <w:rsid w:val="6D1D4B6C"/>
    <w:rsid w:val="6D53440B"/>
    <w:rsid w:val="6D850A65"/>
    <w:rsid w:val="6DAA42C3"/>
    <w:rsid w:val="6DE6443E"/>
    <w:rsid w:val="6DF0777D"/>
    <w:rsid w:val="6E07347E"/>
    <w:rsid w:val="6E2733B9"/>
    <w:rsid w:val="6E364F94"/>
    <w:rsid w:val="6E7004A6"/>
    <w:rsid w:val="6E73042F"/>
    <w:rsid w:val="6EB04B26"/>
    <w:rsid w:val="6EB16825"/>
    <w:rsid w:val="6EB32A89"/>
    <w:rsid w:val="6EFB7CAC"/>
    <w:rsid w:val="6F7234D1"/>
    <w:rsid w:val="701101B3"/>
    <w:rsid w:val="70452760"/>
    <w:rsid w:val="70553DF8"/>
    <w:rsid w:val="70926DFA"/>
    <w:rsid w:val="70983CE4"/>
    <w:rsid w:val="709A596E"/>
    <w:rsid w:val="70DC62C7"/>
    <w:rsid w:val="712425C8"/>
    <w:rsid w:val="71341C5F"/>
    <w:rsid w:val="71940950"/>
    <w:rsid w:val="719B7F30"/>
    <w:rsid w:val="71A370D5"/>
    <w:rsid w:val="71BA4C42"/>
    <w:rsid w:val="722F3DE5"/>
    <w:rsid w:val="726D142B"/>
    <w:rsid w:val="728F1117"/>
    <w:rsid w:val="72CA214F"/>
    <w:rsid w:val="7309711B"/>
    <w:rsid w:val="731505F8"/>
    <w:rsid w:val="73322142"/>
    <w:rsid w:val="733B71B9"/>
    <w:rsid w:val="735E487B"/>
    <w:rsid w:val="73754EE7"/>
    <w:rsid w:val="739C12A2"/>
    <w:rsid w:val="73B513F3"/>
    <w:rsid w:val="73B61051"/>
    <w:rsid w:val="744C6759"/>
    <w:rsid w:val="749C33B3"/>
    <w:rsid w:val="74C56721"/>
    <w:rsid w:val="757A1C0A"/>
    <w:rsid w:val="75CD2682"/>
    <w:rsid w:val="75ED1323"/>
    <w:rsid w:val="76206C56"/>
    <w:rsid w:val="76E00193"/>
    <w:rsid w:val="77001078"/>
    <w:rsid w:val="773D35C9"/>
    <w:rsid w:val="776E579F"/>
    <w:rsid w:val="77B504B0"/>
    <w:rsid w:val="77C47AB5"/>
    <w:rsid w:val="780833B1"/>
    <w:rsid w:val="78152551"/>
    <w:rsid w:val="78261144"/>
    <w:rsid w:val="78C97AEB"/>
    <w:rsid w:val="78CA4C57"/>
    <w:rsid w:val="78DF0E03"/>
    <w:rsid w:val="798C104D"/>
    <w:rsid w:val="7994219E"/>
    <w:rsid w:val="79C21A10"/>
    <w:rsid w:val="79F91C98"/>
    <w:rsid w:val="7A1D6DD0"/>
    <w:rsid w:val="7A4708A9"/>
    <w:rsid w:val="7A9B2FE5"/>
    <w:rsid w:val="7AB30CE4"/>
    <w:rsid w:val="7ADC7BE0"/>
    <w:rsid w:val="7AEE7323"/>
    <w:rsid w:val="7B0B76C4"/>
    <w:rsid w:val="7B1B3E90"/>
    <w:rsid w:val="7B272834"/>
    <w:rsid w:val="7B647A40"/>
    <w:rsid w:val="7BAB5214"/>
    <w:rsid w:val="7BF70459"/>
    <w:rsid w:val="7C043959"/>
    <w:rsid w:val="7C3E7E36"/>
    <w:rsid w:val="7C794503"/>
    <w:rsid w:val="7C907F65"/>
    <w:rsid w:val="7CA270D6"/>
    <w:rsid w:val="7CE6226A"/>
    <w:rsid w:val="7D3134F6"/>
    <w:rsid w:val="7D84755A"/>
    <w:rsid w:val="7DB83C18"/>
    <w:rsid w:val="7DE95B7F"/>
    <w:rsid w:val="7DFE73E4"/>
    <w:rsid w:val="7E0150C3"/>
    <w:rsid w:val="7E2B263C"/>
    <w:rsid w:val="7E400169"/>
    <w:rsid w:val="7E8D08C7"/>
    <w:rsid w:val="7E9957F7"/>
    <w:rsid w:val="7EAA1D98"/>
    <w:rsid w:val="7EB42631"/>
    <w:rsid w:val="7EDE4D1F"/>
    <w:rsid w:val="7F0A3FFF"/>
    <w:rsid w:val="7F3D43D5"/>
    <w:rsid w:val="7F427FC4"/>
    <w:rsid w:val="7F63160A"/>
    <w:rsid w:val="7FBB79E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5"/>
    <w:qFormat/>
    <w:uiPriority w:val="9"/>
    <w:pPr>
      <w:keepNext/>
      <w:keepLines/>
      <w:spacing w:before="480" w:after="200"/>
      <w:outlineLvl w:val="0"/>
    </w:pPr>
    <w:rPr>
      <w:rFonts w:ascii="Arial" w:hAnsi="Arial" w:eastAsia="Arial"/>
      <w:sz w:val="40"/>
      <w:szCs w:val="40"/>
    </w:rPr>
  </w:style>
  <w:style w:type="paragraph" w:styleId="4">
    <w:name w:val="heading 2"/>
    <w:basedOn w:val="1"/>
    <w:next w:val="1"/>
    <w:link w:val="46"/>
    <w:qFormat/>
    <w:uiPriority w:val="9"/>
    <w:pPr>
      <w:keepNext/>
      <w:keepLines/>
      <w:spacing w:before="360" w:after="200"/>
      <w:outlineLvl w:val="1"/>
    </w:pPr>
    <w:rPr>
      <w:rFonts w:ascii="Arial" w:hAnsi="Arial" w:eastAsia="Arial"/>
      <w:sz w:val="34"/>
      <w:szCs w:val="20"/>
    </w:rPr>
  </w:style>
  <w:style w:type="paragraph" w:styleId="5">
    <w:name w:val="heading 3"/>
    <w:basedOn w:val="1"/>
    <w:next w:val="1"/>
    <w:link w:val="47"/>
    <w:qFormat/>
    <w:uiPriority w:val="9"/>
    <w:pPr>
      <w:keepNext/>
      <w:keepLines/>
      <w:spacing w:before="320" w:after="200"/>
      <w:outlineLvl w:val="2"/>
    </w:pPr>
    <w:rPr>
      <w:rFonts w:ascii="Arial" w:hAnsi="Arial" w:eastAsia="Arial"/>
      <w:sz w:val="30"/>
      <w:szCs w:val="30"/>
    </w:rPr>
  </w:style>
  <w:style w:type="paragraph" w:styleId="6">
    <w:name w:val="heading 4"/>
    <w:basedOn w:val="1"/>
    <w:next w:val="1"/>
    <w:link w:val="48"/>
    <w:qFormat/>
    <w:uiPriority w:val="9"/>
    <w:pPr>
      <w:keepNext/>
      <w:keepLines/>
      <w:spacing w:before="320" w:after="200"/>
      <w:outlineLvl w:val="3"/>
    </w:pPr>
    <w:rPr>
      <w:rFonts w:ascii="Arial" w:hAnsi="Arial" w:eastAsia="Arial"/>
      <w:b/>
      <w:bCs/>
      <w:sz w:val="26"/>
      <w:szCs w:val="26"/>
    </w:rPr>
  </w:style>
  <w:style w:type="paragraph" w:styleId="7">
    <w:name w:val="heading 5"/>
    <w:basedOn w:val="1"/>
    <w:next w:val="1"/>
    <w:link w:val="49"/>
    <w:qFormat/>
    <w:uiPriority w:val="9"/>
    <w:pPr>
      <w:keepNext/>
      <w:keepLines/>
      <w:spacing w:before="320" w:after="200"/>
      <w:outlineLvl w:val="4"/>
    </w:pPr>
    <w:rPr>
      <w:rFonts w:ascii="Arial" w:hAnsi="Arial" w:eastAsia="Arial"/>
      <w:b/>
      <w:bCs/>
      <w:sz w:val="24"/>
    </w:rPr>
  </w:style>
  <w:style w:type="paragraph" w:styleId="8">
    <w:name w:val="heading 6"/>
    <w:basedOn w:val="1"/>
    <w:next w:val="1"/>
    <w:link w:val="50"/>
    <w:qFormat/>
    <w:uiPriority w:val="9"/>
    <w:pPr>
      <w:keepNext/>
      <w:keepLines/>
      <w:spacing w:before="320" w:after="200"/>
      <w:outlineLvl w:val="5"/>
    </w:pPr>
    <w:rPr>
      <w:rFonts w:ascii="Arial" w:hAnsi="Arial" w:eastAsia="Arial"/>
      <w:b/>
      <w:bCs/>
      <w:sz w:val="22"/>
      <w:szCs w:val="22"/>
    </w:rPr>
  </w:style>
  <w:style w:type="paragraph" w:styleId="9">
    <w:name w:val="heading 7"/>
    <w:basedOn w:val="1"/>
    <w:next w:val="1"/>
    <w:link w:val="51"/>
    <w:qFormat/>
    <w:uiPriority w:val="9"/>
    <w:pPr>
      <w:keepNext/>
      <w:keepLines/>
      <w:spacing w:before="320" w:after="200"/>
      <w:outlineLvl w:val="6"/>
    </w:pPr>
    <w:rPr>
      <w:rFonts w:ascii="Arial" w:hAnsi="Arial" w:eastAsia="Arial"/>
      <w:b/>
      <w:bCs/>
      <w:i/>
      <w:iCs/>
      <w:sz w:val="22"/>
      <w:szCs w:val="22"/>
    </w:rPr>
  </w:style>
  <w:style w:type="paragraph" w:styleId="10">
    <w:name w:val="heading 8"/>
    <w:basedOn w:val="1"/>
    <w:next w:val="1"/>
    <w:link w:val="52"/>
    <w:qFormat/>
    <w:uiPriority w:val="9"/>
    <w:pPr>
      <w:keepNext/>
      <w:keepLines/>
      <w:spacing w:before="320" w:after="200"/>
      <w:outlineLvl w:val="7"/>
    </w:pPr>
    <w:rPr>
      <w:rFonts w:ascii="Arial" w:hAnsi="Arial" w:eastAsia="Arial"/>
      <w:i/>
      <w:iCs/>
      <w:sz w:val="22"/>
      <w:szCs w:val="22"/>
    </w:rPr>
  </w:style>
  <w:style w:type="paragraph" w:styleId="11">
    <w:name w:val="heading 9"/>
    <w:basedOn w:val="1"/>
    <w:next w:val="1"/>
    <w:link w:val="53"/>
    <w:qFormat/>
    <w:uiPriority w:val="9"/>
    <w:pPr>
      <w:keepNext/>
      <w:keepLines/>
      <w:spacing w:before="320" w:after="200"/>
      <w:outlineLvl w:val="8"/>
    </w:pPr>
    <w:rPr>
      <w:rFonts w:ascii="Arial" w:hAnsi="Arial" w:eastAsia="Arial"/>
      <w:i/>
      <w:iCs/>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12">
    <w:name w:val="toc 7"/>
    <w:basedOn w:val="1"/>
    <w:next w:val="1"/>
    <w:unhideWhenUsed/>
    <w:qFormat/>
    <w:uiPriority w:val="39"/>
    <w:pPr>
      <w:spacing w:after="57"/>
      <w:ind w:left="1701" w:right="0" w:firstLine="0"/>
    </w:pPr>
  </w:style>
  <w:style w:type="paragraph" w:styleId="13">
    <w:name w:val="Normal Indent"/>
    <w:basedOn w:val="1"/>
    <w:next w:val="1"/>
    <w:qFormat/>
    <w:uiPriority w:val="0"/>
    <w:pPr>
      <w:spacing w:line="360" w:lineRule="auto"/>
      <w:ind w:firstLine="480" w:firstLineChars="200"/>
    </w:pPr>
    <w:rPr>
      <w:kern w:val="24"/>
      <w:sz w:val="24"/>
      <w:szCs w:val="24"/>
    </w:rPr>
  </w:style>
  <w:style w:type="paragraph" w:styleId="14">
    <w:name w:val="caption"/>
    <w:basedOn w:val="1"/>
    <w:next w:val="1"/>
    <w:qFormat/>
    <w:uiPriority w:val="35"/>
    <w:pPr>
      <w:spacing w:line="276" w:lineRule="auto"/>
    </w:pPr>
    <w:rPr>
      <w:b/>
      <w:bCs/>
      <w:color w:val="4F81BD"/>
      <w:sz w:val="18"/>
      <w:szCs w:val="18"/>
    </w:rPr>
  </w:style>
  <w:style w:type="paragraph" w:styleId="15">
    <w:name w:val="Body Text Indent"/>
    <w:basedOn w:val="1"/>
    <w:next w:val="1"/>
    <w:qFormat/>
    <w:uiPriority w:val="0"/>
    <w:pPr>
      <w:spacing w:line="520" w:lineRule="atLeast"/>
      <w:ind w:left="570"/>
    </w:pPr>
    <w:rPr>
      <w:rFonts w:ascii="方正仿宋简体" w:hAnsi="创艺简仿宋" w:eastAsia="方正仿宋简体"/>
      <w:sz w:val="24"/>
      <w:szCs w:val="24"/>
    </w:rPr>
  </w:style>
  <w:style w:type="paragraph" w:styleId="16">
    <w:name w:val="Block Text"/>
    <w:basedOn w:val="1"/>
    <w:qFormat/>
    <w:uiPriority w:val="0"/>
    <w:pPr>
      <w:adjustRightInd w:val="0"/>
      <w:ind w:left="420" w:right="33"/>
      <w:jc w:val="left"/>
      <w:textAlignment w:val="baseline"/>
    </w:pPr>
    <w:rPr>
      <w:rFonts w:ascii="Times New Roman" w:hAnsi="Times New Roman"/>
      <w:kern w:val="0"/>
      <w:sz w:val="24"/>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54"/>
    <w:unhideWhenUsed/>
    <w:qFormat/>
    <w:uiPriority w:val="99"/>
    <w:pPr>
      <w:spacing w:after="0" w:line="240" w:lineRule="auto"/>
    </w:pPr>
    <w:rPr>
      <w:sz w:val="20"/>
      <w:szCs w:val="20"/>
    </w:rPr>
  </w:style>
  <w:style w:type="paragraph" w:styleId="22">
    <w:name w:val="footer"/>
    <w:basedOn w:val="1"/>
    <w:link w:val="55"/>
    <w:unhideWhenUsed/>
    <w:qFormat/>
    <w:uiPriority w:val="99"/>
    <w:pPr>
      <w:tabs>
        <w:tab w:val="center" w:pos="7143"/>
        <w:tab w:val="right" w:pos="14287"/>
      </w:tabs>
      <w:spacing w:after="0" w:line="240" w:lineRule="auto"/>
    </w:pPr>
  </w:style>
  <w:style w:type="paragraph" w:styleId="23">
    <w:name w:val="header"/>
    <w:basedOn w:val="1"/>
    <w:link w:val="56"/>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7"/>
    <w:qFormat/>
    <w:uiPriority w:val="11"/>
    <w:pPr>
      <w:spacing w:before="200" w:after="200"/>
    </w:pPr>
    <w:rPr>
      <w:sz w:val="24"/>
    </w:rPr>
  </w:style>
  <w:style w:type="paragraph" w:styleId="27">
    <w:name w:val="footnote text"/>
    <w:basedOn w:val="1"/>
    <w:link w:val="58"/>
    <w:unhideWhenUsed/>
    <w:qFormat/>
    <w:uiPriority w:val="99"/>
    <w:pPr>
      <w:spacing w:after="40" w:line="240" w:lineRule="auto"/>
    </w:pPr>
    <w:rPr>
      <w:sz w:val="18"/>
      <w:szCs w:val="20"/>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Body Text 2"/>
    <w:basedOn w:val="1"/>
    <w:qFormat/>
    <w:uiPriority w:val="0"/>
    <w:pPr>
      <w:spacing w:line="440" w:lineRule="exact"/>
    </w:pPr>
    <w:rPr>
      <w:rFonts w:ascii="楷体_GB2312" w:eastAsia="楷体_GB2312"/>
      <w:sz w:val="28"/>
    </w:rPr>
  </w:style>
  <w:style w:type="paragraph" w:styleId="33">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styleId="34">
    <w:name w:val="Normal (Web)"/>
    <w:basedOn w:val="1"/>
    <w:qFormat/>
    <w:uiPriority w:val="0"/>
    <w:pPr>
      <w:spacing w:before="100" w:beforeAutospacing="1" w:after="100" w:afterAutospacing="1"/>
      <w:jc w:val="left"/>
    </w:pPr>
    <w:rPr>
      <w:kern w:val="0"/>
      <w:sz w:val="24"/>
    </w:rPr>
  </w:style>
  <w:style w:type="paragraph" w:styleId="35">
    <w:name w:val="Title"/>
    <w:basedOn w:val="1"/>
    <w:next w:val="1"/>
    <w:link w:val="59"/>
    <w:qFormat/>
    <w:uiPriority w:val="10"/>
    <w:pPr>
      <w:spacing w:before="300" w:after="200"/>
      <w:contextualSpacing/>
    </w:pPr>
    <w:rPr>
      <w:sz w:val="48"/>
      <w:szCs w:val="48"/>
    </w:rPr>
  </w:style>
  <w:style w:type="paragraph" w:styleId="36">
    <w:name w:val="Body Text First Indent"/>
    <w:basedOn w:val="2"/>
    <w:next w:val="37"/>
    <w:unhideWhenUsed/>
    <w:qFormat/>
    <w:uiPriority w:val="99"/>
    <w:pPr>
      <w:ind w:firstLine="420" w:firstLineChars="100"/>
    </w:pPr>
    <w:rPr>
      <w:rFonts w:hint="eastAsia"/>
      <w:szCs w:val="24"/>
    </w:rPr>
  </w:style>
  <w:style w:type="paragraph" w:styleId="37">
    <w:name w:val="Body Text First Indent 2"/>
    <w:basedOn w:val="15"/>
    <w:unhideWhenUsed/>
    <w:qFormat/>
    <w:uiPriority w:val="99"/>
    <w:pPr>
      <w:ind w:firstLine="420"/>
    </w:pPr>
    <w:rPr>
      <w:rFonts w:hint="eastAsia"/>
      <w:sz w:val="30"/>
    </w:rPr>
  </w:style>
  <w:style w:type="table" w:styleId="39">
    <w:name w:val="Table Grid"/>
    <w:qFormat/>
    <w:uiPriority w:val="5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unhideWhenUsed/>
    <w:qFormat/>
    <w:uiPriority w:val="99"/>
    <w:rPr>
      <w:vertAlign w:val="superscript"/>
    </w:rPr>
  </w:style>
  <w:style w:type="character" w:styleId="42">
    <w:name w:val="Hyperlink"/>
    <w:unhideWhenUsed/>
    <w:qFormat/>
    <w:uiPriority w:val="99"/>
    <w:rPr>
      <w:color w:val="0000FF"/>
      <w:u w:val="single"/>
    </w:rPr>
  </w:style>
  <w:style w:type="character" w:styleId="43">
    <w:name w:val="footnote reference"/>
    <w:unhideWhenUsed/>
    <w:qFormat/>
    <w:uiPriority w:val="99"/>
    <w:rPr>
      <w:vertAlign w:val="superscript"/>
    </w:rPr>
  </w:style>
  <w:style w:type="paragraph" w:customStyle="1" w:styleId="44">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character" w:customStyle="1" w:styleId="45">
    <w:name w:val="标题 1 Char"/>
    <w:link w:val="3"/>
    <w:qFormat/>
    <w:uiPriority w:val="9"/>
    <w:rPr>
      <w:rFonts w:ascii="Arial" w:hAnsi="Arial" w:eastAsia="Arial" w:cs="Arial"/>
      <w:sz w:val="40"/>
      <w:szCs w:val="40"/>
    </w:rPr>
  </w:style>
  <w:style w:type="character" w:customStyle="1" w:styleId="46">
    <w:name w:val="标题 2 Char1"/>
    <w:link w:val="4"/>
    <w:qFormat/>
    <w:uiPriority w:val="9"/>
    <w:rPr>
      <w:rFonts w:ascii="Arial" w:hAnsi="Arial" w:eastAsia="Arial" w:cs="Arial"/>
      <w:sz w:val="34"/>
    </w:rPr>
  </w:style>
  <w:style w:type="character" w:customStyle="1" w:styleId="47">
    <w:name w:val="标题 3 Char"/>
    <w:link w:val="5"/>
    <w:qFormat/>
    <w:uiPriority w:val="9"/>
    <w:rPr>
      <w:rFonts w:ascii="Arial" w:hAnsi="Arial" w:eastAsia="Arial" w:cs="Arial"/>
      <w:sz w:val="30"/>
      <w:szCs w:val="30"/>
    </w:rPr>
  </w:style>
  <w:style w:type="character" w:customStyle="1" w:styleId="48">
    <w:name w:val="标题 4 Char1"/>
    <w:link w:val="6"/>
    <w:qFormat/>
    <w:uiPriority w:val="9"/>
    <w:rPr>
      <w:rFonts w:ascii="Arial" w:hAnsi="Arial" w:eastAsia="Arial" w:cs="Arial"/>
      <w:b/>
      <w:bCs/>
      <w:sz w:val="26"/>
      <w:szCs w:val="26"/>
    </w:rPr>
  </w:style>
  <w:style w:type="character" w:customStyle="1" w:styleId="49">
    <w:name w:val="标题 5 Char1"/>
    <w:link w:val="7"/>
    <w:qFormat/>
    <w:uiPriority w:val="9"/>
    <w:rPr>
      <w:rFonts w:ascii="Arial" w:hAnsi="Arial" w:eastAsia="Arial" w:cs="Arial"/>
      <w:b/>
      <w:bCs/>
      <w:sz w:val="24"/>
      <w:szCs w:val="24"/>
    </w:rPr>
  </w:style>
  <w:style w:type="character" w:customStyle="1" w:styleId="50">
    <w:name w:val="标题 6 Char"/>
    <w:link w:val="8"/>
    <w:qFormat/>
    <w:uiPriority w:val="9"/>
    <w:rPr>
      <w:rFonts w:ascii="Arial" w:hAnsi="Arial" w:eastAsia="Arial" w:cs="Arial"/>
      <w:b/>
      <w:bCs/>
      <w:sz w:val="22"/>
      <w:szCs w:val="22"/>
    </w:rPr>
  </w:style>
  <w:style w:type="character" w:customStyle="1" w:styleId="51">
    <w:name w:val="标题 7 Char"/>
    <w:link w:val="9"/>
    <w:qFormat/>
    <w:uiPriority w:val="9"/>
    <w:rPr>
      <w:rFonts w:ascii="Arial" w:hAnsi="Arial" w:eastAsia="Arial" w:cs="Arial"/>
      <w:b/>
      <w:bCs/>
      <w:i/>
      <w:iCs/>
      <w:sz w:val="22"/>
      <w:szCs w:val="22"/>
    </w:rPr>
  </w:style>
  <w:style w:type="character" w:customStyle="1" w:styleId="52">
    <w:name w:val="标题 8 Char"/>
    <w:link w:val="10"/>
    <w:qFormat/>
    <w:uiPriority w:val="9"/>
    <w:rPr>
      <w:rFonts w:ascii="Arial" w:hAnsi="Arial" w:eastAsia="Arial" w:cs="Arial"/>
      <w:i/>
      <w:iCs/>
      <w:sz w:val="22"/>
      <w:szCs w:val="22"/>
    </w:rPr>
  </w:style>
  <w:style w:type="character" w:customStyle="1" w:styleId="53">
    <w:name w:val="标题 9 Char"/>
    <w:link w:val="11"/>
    <w:qFormat/>
    <w:uiPriority w:val="9"/>
    <w:rPr>
      <w:rFonts w:ascii="Arial" w:hAnsi="Arial" w:eastAsia="Arial" w:cs="Arial"/>
      <w:i/>
      <w:iCs/>
      <w:sz w:val="21"/>
      <w:szCs w:val="21"/>
    </w:rPr>
  </w:style>
  <w:style w:type="character" w:customStyle="1" w:styleId="54">
    <w:name w:val="尾注文本 Char"/>
    <w:link w:val="21"/>
    <w:qFormat/>
    <w:uiPriority w:val="99"/>
    <w:rPr>
      <w:sz w:val="20"/>
    </w:rPr>
  </w:style>
  <w:style w:type="character" w:customStyle="1" w:styleId="55">
    <w:name w:val="页脚 Char1"/>
    <w:link w:val="22"/>
    <w:qFormat/>
    <w:uiPriority w:val="99"/>
  </w:style>
  <w:style w:type="character" w:customStyle="1" w:styleId="56">
    <w:name w:val="页眉 Char1"/>
    <w:link w:val="23"/>
    <w:qFormat/>
    <w:uiPriority w:val="99"/>
  </w:style>
  <w:style w:type="character" w:customStyle="1" w:styleId="57">
    <w:name w:val="副标题 Char"/>
    <w:link w:val="26"/>
    <w:qFormat/>
    <w:uiPriority w:val="11"/>
    <w:rPr>
      <w:sz w:val="24"/>
      <w:szCs w:val="24"/>
    </w:rPr>
  </w:style>
  <w:style w:type="character" w:customStyle="1" w:styleId="58">
    <w:name w:val="脚注文本 Char"/>
    <w:link w:val="27"/>
    <w:qFormat/>
    <w:uiPriority w:val="99"/>
    <w:rPr>
      <w:sz w:val="18"/>
    </w:rPr>
  </w:style>
  <w:style w:type="character" w:customStyle="1" w:styleId="59">
    <w:name w:val="标题 Char"/>
    <w:link w:val="35"/>
    <w:qFormat/>
    <w:uiPriority w:val="10"/>
    <w:rPr>
      <w:sz w:val="48"/>
      <w:szCs w:val="48"/>
    </w:rPr>
  </w:style>
  <w:style w:type="character" w:customStyle="1" w:styleId="60">
    <w:name w:val="Caption Char"/>
    <w:qFormat/>
    <w:uiPriority w:val="99"/>
  </w:style>
  <w:style w:type="character" w:customStyle="1" w:styleId="61">
    <w:name w:val="Font Style28"/>
    <w:qFormat/>
    <w:uiPriority w:val="0"/>
    <w:rPr>
      <w:rFonts w:ascii="Constantia" w:hAnsi="Constantia" w:cs="Constantia"/>
      <w:sz w:val="28"/>
      <w:szCs w:val="28"/>
    </w:rPr>
  </w:style>
  <w:style w:type="paragraph" w:customStyle="1" w:styleId="62">
    <w:name w:val="正文1"/>
    <w:next w:val="1"/>
    <w:qFormat/>
    <w:uiPriority w:val="0"/>
    <w:pPr>
      <w:jc w:val="both"/>
    </w:pPr>
    <w:rPr>
      <w:rFonts w:ascii="Calibri" w:hAnsi="Calibri" w:eastAsia="宋体" w:cs="Calibri"/>
      <w:kern w:val="2"/>
      <w:sz w:val="21"/>
      <w:szCs w:val="21"/>
      <w:lang w:val="en-US" w:eastAsia="zh-CN" w:bidi="ar-SA"/>
    </w:rPr>
  </w:style>
  <w:style w:type="paragraph" w:styleId="63">
    <w:name w:val="List Paragraph"/>
    <w:basedOn w:val="1"/>
    <w:qFormat/>
    <w:uiPriority w:val="34"/>
    <w:pPr>
      <w:ind w:left="720"/>
      <w:contextualSpacing/>
    </w:pPr>
  </w:style>
  <w:style w:type="paragraph" w:styleId="64">
    <w:name w:val="No Spacing"/>
    <w:qFormat/>
    <w:uiPriority w:val="1"/>
    <w:rPr>
      <w:rFonts w:ascii="Times New Roman" w:hAnsi="Times New Roman" w:eastAsia="宋体" w:cs="Times New Roman"/>
      <w:lang w:val="en-US" w:eastAsia="zh-CN" w:bidi="ar-SA"/>
    </w:rPr>
  </w:style>
  <w:style w:type="paragraph" w:styleId="65">
    <w:name w:val="Quote"/>
    <w:basedOn w:val="1"/>
    <w:next w:val="1"/>
    <w:link w:val="66"/>
    <w:qFormat/>
    <w:uiPriority w:val="29"/>
    <w:pPr>
      <w:ind w:left="720" w:right="720"/>
    </w:pPr>
    <w:rPr>
      <w:i/>
      <w:sz w:val="20"/>
      <w:szCs w:val="20"/>
    </w:rPr>
  </w:style>
  <w:style w:type="character" w:customStyle="1" w:styleId="66">
    <w:name w:val="引用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68">
    <w:name w:val="明显引用 Char"/>
    <w:link w:val="67"/>
    <w:qFormat/>
    <w:uiPriority w:val="30"/>
    <w:rPr>
      <w:i/>
    </w:rPr>
  </w:style>
  <w:style w:type="table" w:customStyle="1" w:styleId="69">
    <w:name w:val="Table Grid Light"/>
    <w:qFormat/>
    <w:uiPriority w:val="59"/>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0">
    <w:name w:val="Plain Table 1"/>
    <w:qFormat/>
    <w:uiPriority w:val="59"/>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1">
    <w:name w:val="Plain Table 2"/>
    <w:qFormat/>
    <w:uiPriority w:val="59"/>
    <w:rPr>
      <w:lang w:val="en-US" w:eastAsia="zh-CN" w:bidi="ar-SA"/>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2">
    <w:name w:val="Plain Table 3"/>
    <w:qFormat/>
    <w:uiPriority w:val="99"/>
    <w:rPr>
      <w:lang w:val="en-US" w:eastAsia="zh-CN" w:bidi="ar-SA"/>
    </w:rPr>
  </w:style>
  <w:style w:type="table" w:customStyle="1" w:styleId="73">
    <w:name w:val="Plain Table 4"/>
    <w:qFormat/>
    <w:uiPriority w:val="99"/>
    <w:rPr>
      <w:lang w:val="en-US" w:eastAsia="zh-CN" w:bidi="ar-SA"/>
    </w:rPr>
  </w:style>
  <w:style w:type="table" w:customStyle="1" w:styleId="74">
    <w:name w:val="Plain Table 5"/>
    <w:qFormat/>
    <w:uiPriority w:val="99"/>
    <w:rPr>
      <w:lang w:val="en-US" w:eastAsia="zh-CN" w:bidi="ar-SA"/>
    </w:rPr>
  </w:style>
  <w:style w:type="table" w:customStyle="1" w:styleId="75">
    <w:name w:val="Grid Table 1 Light"/>
    <w:qFormat/>
    <w:uiPriority w:val="99"/>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style>
  <w:style w:type="table" w:customStyle="1" w:styleId="76">
    <w:name w:val="Grid Table 1 Light - Accent 1"/>
    <w:qFormat/>
    <w:uiPriority w:val="99"/>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customStyle="1" w:styleId="77">
    <w:name w:val="Grid Table 1 Light - Accent 2"/>
    <w:qFormat/>
    <w:uiPriority w:val="99"/>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customStyle="1" w:styleId="78">
    <w:name w:val="Grid Table 1 Light - Accent 3"/>
    <w:qFormat/>
    <w:uiPriority w:val="99"/>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customStyle="1" w:styleId="79">
    <w:name w:val="Grid Table 1 Light - Accent 4"/>
    <w:qFormat/>
    <w:uiPriority w:val="99"/>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customStyle="1" w:styleId="80">
    <w:name w:val="Grid Table 1 Light - Accent 5"/>
    <w:qFormat/>
    <w:uiPriority w:val="99"/>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customStyle="1" w:styleId="81">
    <w:name w:val="Grid Table 1 Light - Accent 6"/>
    <w:qFormat/>
    <w:uiPriority w:val="99"/>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customStyle="1" w:styleId="82">
    <w:name w:val="Grid Table 2"/>
    <w:qFormat/>
    <w:uiPriority w:val="99"/>
    <w:rPr>
      <w:lang w:val="en-US" w:eastAsia="zh-CN" w:bidi="ar-SA"/>
    </w:rPr>
    <w:tblPr>
      <w:tblBorders>
        <w:bottom w:val="single" w:color="696969" w:sz="4" w:space="0"/>
        <w:insideH w:val="single" w:color="696969" w:sz="4" w:space="0"/>
        <w:insideV w:val="single" w:color="696969" w:sz="4" w:space="0"/>
      </w:tblBorders>
    </w:tblPr>
  </w:style>
  <w:style w:type="table" w:customStyle="1" w:styleId="83">
    <w:name w:val="Grid Table 2 - Accent 1"/>
    <w:qFormat/>
    <w:uiPriority w:val="99"/>
    <w:rPr>
      <w:lang w:val="en-US" w:eastAsia="zh-CN" w:bidi="ar-SA"/>
    </w:rPr>
    <w:tblPr>
      <w:tblBorders>
        <w:bottom w:val="single" w:color="5D8BC2" w:sz="4" w:space="0"/>
        <w:insideH w:val="single" w:color="5D8BC2" w:sz="4" w:space="0"/>
        <w:insideV w:val="single" w:color="5D8BC2" w:sz="4" w:space="0"/>
      </w:tblBorders>
    </w:tblPr>
  </w:style>
  <w:style w:type="table" w:customStyle="1" w:styleId="84">
    <w:name w:val="Grid Table 2 - Accent 2"/>
    <w:qFormat/>
    <w:uiPriority w:val="99"/>
    <w:rPr>
      <w:lang w:val="en-US" w:eastAsia="zh-CN" w:bidi="ar-SA"/>
    </w:rPr>
    <w:tblPr>
      <w:tblBorders>
        <w:bottom w:val="single" w:color="D99795" w:sz="4" w:space="0"/>
        <w:insideH w:val="single" w:color="D99795" w:sz="4" w:space="0"/>
        <w:insideV w:val="single" w:color="D99795" w:sz="4" w:space="0"/>
      </w:tblBorders>
    </w:tblPr>
  </w:style>
  <w:style w:type="table" w:customStyle="1" w:styleId="85">
    <w:name w:val="Grid Table 2 - Accent 3"/>
    <w:qFormat/>
    <w:uiPriority w:val="99"/>
    <w:rPr>
      <w:lang w:val="en-US" w:eastAsia="zh-CN" w:bidi="ar-SA"/>
    </w:rPr>
    <w:tblPr>
      <w:tblBorders>
        <w:bottom w:val="single" w:color="9BBB59" w:sz="4" w:space="0"/>
        <w:insideH w:val="single" w:color="9BBB59" w:sz="4" w:space="0"/>
        <w:insideV w:val="single" w:color="9BBB59" w:sz="4" w:space="0"/>
      </w:tblBorders>
    </w:tblPr>
  </w:style>
  <w:style w:type="table" w:customStyle="1" w:styleId="86">
    <w:name w:val="Grid Table 2 - Accent 4"/>
    <w:qFormat/>
    <w:uiPriority w:val="99"/>
    <w:rPr>
      <w:lang w:val="en-US" w:eastAsia="zh-CN" w:bidi="ar-SA"/>
    </w:rPr>
    <w:tblPr>
      <w:tblBorders>
        <w:bottom w:val="single" w:color="B2A1C6" w:sz="4" w:space="0"/>
        <w:insideH w:val="single" w:color="B2A1C6" w:sz="4" w:space="0"/>
        <w:insideV w:val="single" w:color="B2A1C6" w:sz="4" w:space="0"/>
      </w:tblBorders>
    </w:tblPr>
  </w:style>
  <w:style w:type="table" w:customStyle="1" w:styleId="87">
    <w:name w:val="Grid Table 2 - Accent 5"/>
    <w:qFormat/>
    <w:uiPriority w:val="99"/>
    <w:rPr>
      <w:lang w:val="en-US" w:eastAsia="zh-CN" w:bidi="ar-SA"/>
    </w:rPr>
    <w:tblPr>
      <w:tblBorders>
        <w:bottom w:val="single" w:color="4BACC6" w:sz="4" w:space="0"/>
        <w:insideH w:val="single" w:color="4BACC6" w:sz="4" w:space="0"/>
        <w:insideV w:val="single" w:color="4BACC6" w:sz="4" w:space="0"/>
      </w:tblBorders>
    </w:tblPr>
  </w:style>
  <w:style w:type="table" w:customStyle="1" w:styleId="88">
    <w:name w:val="Grid Table 2 - Accent 6"/>
    <w:qFormat/>
    <w:uiPriority w:val="99"/>
    <w:rPr>
      <w:lang w:val="en-US" w:eastAsia="zh-CN" w:bidi="ar-SA"/>
    </w:rPr>
    <w:tblPr>
      <w:tblBorders>
        <w:bottom w:val="single" w:color="F79646" w:sz="4" w:space="0"/>
        <w:insideH w:val="single" w:color="F79646" w:sz="4" w:space="0"/>
        <w:insideV w:val="single" w:color="F79646" w:sz="4" w:space="0"/>
      </w:tblBorders>
    </w:tblPr>
  </w:style>
  <w:style w:type="table" w:customStyle="1" w:styleId="89">
    <w:name w:val="Grid Table 3"/>
    <w:qFormat/>
    <w:uiPriority w:val="99"/>
    <w:rPr>
      <w:lang w:val="en-US" w:eastAsia="zh-CN" w:bidi="ar-SA"/>
    </w:rPr>
    <w:tblPr>
      <w:tblBorders>
        <w:bottom w:val="single" w:color="696969" w:sz="4" w:space="0"/>
        <w:insideH w:val="single" w:color="696969" w:sz="4" w:space="0"/>
        <w:insideV w:val="single" w:color="696969" w:sz="4" w:space="0"/>
      </w:tblBorders>
    </w:tblPr>
  </w:style>
  <w:style w:type="table" w:customStyle="1" w:styleId="90">
    <w:name w:val="Grid Table 3 - Accent 1"/>
    <w:qFormat/>
    <w:uiPriority w:val="99"/>
    <w:rPr>
      <w:lang w:val="en-US" w:eastAsia="zh-CN" w:bidi="ar-SA"/>
    </w:rPr>
    <w:tblPr>
      <w:tblBorders>
        <w:bottom w:val="single" w:color="5D8BC2" w:sz="4" w:space="0"/>
        <w:insideH w:val="single" w:color="5D8BC2" w:sz="4" w:space="0"/>
        <w:insideV w:val="single" w:color="5D8BC2" w:sz="4" w:space="0"/>
      </w:tblBorders>
    </w:tblPr>
  </w:style>
  <w:style w:type="table" w:customStyle="1" w:styleId="91">
    <w:name w:val="Grid Table 3 - Accent 2"/>
    <w:qFormat/>
    <w:uiPriority w:val="99"/>
    <w:rPr>
      <w:lang w:val="en-US" w:eastAsia="zh-CN" w:bidi="ar-SA"/>
    </w:rPr>
    <w:tblPr>
      <w:tblBorders>
        <w:bottom w:val="single" w:color="D99795" w:sz="4" w:space="0"/>
        <w:insideH w:val="single" w:color="D99795" w:sz="4" w:space="0"/>
        <w:insideV w:val="single" w:color="D99795" w:sz="4" w:space="0"/>
      </w:tblBorders>
    </w:tblPr>
  </w:style>
  <w:style w:type="table" w:customStyle="1" w:styleId="92">
    <w:name w:val="Grid Table 3 - Accent 3"/>
    <w:qFormat/>
    <w:uiPriority w:val="99"/>
    <w:rPr>
      <w:lang w:val="en-US" w:eastAsia="zh-CN" w:bidi="ar-SA"/>
    </w:rPr>
    <w:tblPr>
      <w:tblBorders>
        <w:bottom w:val="single" w:color="9BBB59" w:sz="4" w:space="0"/>
        <w:insideH w:val="single" w:color="9BBB59" w:sz="4" w:space="0"/>
        <w:insideV w:val="single" w:color="9BBB59" w:sz="4" w:space="0"/>
      </w:tblBorders>
    </w:tblPr>
  </w:style>
  <w:style w:type="table" w:customStyle="1" w:styleId="93">
    <w:name w:val="Grid Table 3 - Accent 4"/>
    <w:qFormat/>
    <w:uiPriority w:val="99"/>
    <w:rPr>
      <w:lang w:val="en-US" w:eastAsia="zh-CN" w:bidi="ar-SA"/>
    </w:rPr>
    <w:tblPr>
      <w:tblBorders>
        <w:bottom w:val="single" w:color="B2A1C6" w:sz="4" w:space="0"/>
        <w:insideH w:val="single" w:color="B2A1C6" w:sz="4" w:space="0"/>
        <w:insideV w:val="single" w:color="B2A1C6" w:sz="4" w:space="0"/>
      </w:tblBorders>
    </w:tblPr>
  </w:style>
  <w:style w:type="table" w:customStyle="1" w:styleId="94">
    <w:name w:val="Grid Table 3 - Accent 5"/>
    <w:qFormat/>
    <w:uiPriority w:val="99"/>
    <w:rPr>
      <w:lang w:val="en-US" w:eastAsia="zh-CN" w:bidi="ar-SA"/>
    </w:rPr>
    <w:tblPr>
      <w:tblBorders>
        <w:bottom w:val="single" w:color="4BACC6" w:sz="4" w:space="0"/>
        <w:insideH w:val="single" w:color="4BACC6" w:sz="4" w:space="0"/>
        <w:insideV w:val="single" w:color="4BACC6" w:sz="4" w:space="0"/>
      </w:tblBorders>
    </w:tblPr>
  </w:style>
  <w:style w:type="table" w:customStyle="1" w:styleId="95">
    <w:name w:val="Grid Table 3 - Accent 6"/>
    <w:qFormat/>
    <w:uiPriority w:val="99"/>
    <w:rPr>
      <w:lang w:val="en-US" w:eastAsia="zh-CN" w:bidi="ar-SA"/>
    </w:rPr>
    <w:tblPr>
      <w:tblBorders>
        <w:bottom w:val="single" w:color="F79646" w:sz="4" w:space="0"/>
        <w:insideH w:val="single" w:color="F79646" w:sz="4" w:space="0"/>
        <w:insideV w:val="single" w:color="F79646" w:sz="4" w:space="0"/>
      </w:tblBorders>
    </w:tblPr>
  </w:style>
  <w:style w:type="table" w:customStyle="1" w:styleId="96">
    <w:name w:val="Grid Table 4"/>
    <w:qFormat/>
    <w:uiPriority w:val="59"/>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style>
  <w:style w:type="table" w:customStyle="1" w:styleId="97">
    <w:name w:val="Grid Table 4 - Accent 1"/>
    <w:qFormat/>
    <w:uiPriority w:val="59"/>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customStyle="1" w:styleId="98">
    <w:name w:val="Grid Table 4 - Accent 2"/>
    <w:qFormat/>
    <w:uiPriority w:val="59"/>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style>
  <w:style w:type="table" w:customStyle="1" w:styleId="99">
    <w:name w:val="Grid Table 4 - Accent 3"/>
    <w:qFormat/>
    <w:uiPriority w:val="59"/>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customStyle="1" w:styleId="100">
    <w:name w:val="Grid Table 4 - Accent 4"/>
    <w:qFormat/>
    <w:uiPriority w:val="59"/>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customStyle="1" w:styleId="101">
    <w:name w:val="Grid Table 4 - Accent 5"/>
    <w:qFormat/>
    <w:uiPriority w:val="59"/>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customStyle="1" w:styleId="102">
    <w:name w:val="Grid Table 4 - Accent 6"/>
    <w:qFormat/>
    <w:uiPriority w:val="59"/>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customStyle="1" w:styleId="103">
    <w:name w:val="Grid Table 5 Dark"/>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104">
    <w:name w:val="Grid Table 5 Dark- Accent 1"/>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105">
    <w:name w:val="Grid Table 5 Dark - Accent 2"/>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106">
    <w:name w:val="Grid Table 5 Dark - Accent 3"/>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107">
    <w:name w:val="Grid Table 5 Dark- Accent 4"/>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108">
    <w:name w:val="Grid Table 5 Dark - Accent 5"/>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109">
    <w:name w:val="Grid Table 5 Dark - Accent 6"/>
    <w:qFormat/>
    <w:uiPriority w:val="99"/>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customStyle="1" w:styleId="110">
    <w:name w:val="Grid Table 6 Colorful"/>
    <w:qFormat/>
    <w:uiPriority w:val="99"/>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style>
  <w:style w:type="table" w:customStyle="1" w:styleId="111">
    <w:name w:val="Grid Table 6 Colorful - Accent 1"/>
    <w:qFormat/>
    <w:uiPriority w:val="99"/>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customStyle="1" w:styleId="112">
    <w:name w:val="Grid Table 6 Colorful - Accent 2"/>
    <w:qFormat/>
    <w:uiPriority w:val="99"/>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style>
  <w:style w:type="table" w:customStyle="1" w:styleId="113">
    <w:name w:val="Grid Table 6 Colorful - Accent 3"/>
    <w:qFormat/>
    <w:uiPriority w:val="99"/>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style>
  <w:style w:type="table" w:customStyle="1" w:styleId="114">
    <w:name w:val="Grid Table 6 Colorful - Accent 4"/>
    <w:qFormat/>
    <w:uiPriority w:val="99"/>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customStyle="1" w:styleId="115">
    <w:name w:val="Grid Table 6 Colorful - Accent 5"/>
    <w:qFormat/>
    <w:uiPriority w:val="99"/>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customStyle="1" w:styleId="116">
    <w:name w:val="Grid Table 6 Colorful - Accent 6"/>
    <w:qFormat/>
    <w:uiPriority w:val="99"/>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customStyle="1" w:styleId="117">
    <w:name w:val="Grid Table 7 Colorful"/>
    <w:qFormat/>
    <w:uiPriority w:val="99"/>
    <w:rPr>
      <w:lang w:val="en-US" w:eastAsia="zh-CN" w:bidi="ar-SA"/>
    </w:rPr>
    <w:tblPr>
      <w:tblBorders>
        <w:bottom w:val="single" w:color="7E7E7E" w:sz="4" w:space="0"/>
        <w:right w:val="single" w:color="7E7E7E" w:sz="4" w:space="0"/>
        <w:insideH w:val="single" w:color="7E7E7E" w:sz="4" w:space="0"/>
        <w:insideV w:val="single" w:color="7E7E7E" w:sz="4" w:space="0"/>
      </w:tblBorders>
    </w:tblPr>
  </w:style>
  <w:style w:type="table" w:customStyle="1" w:styleId="118">
    <w:name w:val="Grid Table 7 Colorful - Accent 1"/>
    <w:qFormat/>
    <w:uiPriority w:val="99"/>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customStyle="1" w:styleId="119">
    <w:name w:val="Grid Table 7 Colorful - Accent 2"/>
    <w:qFormat/>
    <w:uiPriority w:val="99"/>
    <w:rPr>
      <w:lang w:val="en-US" w:eastAsia="zh-CN" w:bidi="ar-SA"/>
    </w:rPr>
    <w:tblPr>
      <w:tblBorders>
        <w:bottom w:val="single" w:color="D99795" w:sz="4" w:space="0"/>
        <w:right w:val="single" w:color="D99795" w:sz="4" w:space="0"/>
        <w:insideH w:val="single" w:color="D99795" w:sz="4" w:space="0"/>
        <w:insideV w:val="single" w:color="D99795" w:sz="4" w:space="0"/>
      </w:tblBorders>
    </w:tblPr>
  </w:style>
  <w:style w:type="table" w:customStyle="1" w:styleId="120">
    <w:name w:val="Grid Table 7 Colorful - Accent 3"/>
    <w:qFormat/>
    <w:uiPriority w:val="99"/>
    <w:rPr>
      <w:lang w:val="en-US" w:eastAsia="zh-CN" w:bidi="ar-SA"/>
    </w:rPr>
    <w:tblPr>
      <w:tblBorders>
        <w:bottom w:val="single" w:color="9BBB59" w:sz="4" w:space="0"/>
        <w:right w:val="single" w:color="9BBB59" w:sz="4" w:space="0"/>
        <w:insideH w:val="single" w:color="9BBB59" w:sz="4" w:space="0"/>
        <w:insideV w:val="single" w:color="9BBB59" w:sz="4" w:space="0"/>
      </w:tblBorders>
    </w:tblPr>
  </w:style>
  <w:style w:type="table" w:customStyle="1" w:styleId="121">
    <w:name w:val="Grid Table 7 Colorful - Accent 4"/>
    <w:qFormat/>
    <w:uiPriority w:val="99"/>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customStyle="1" w:styleId="122">
    <w:name w:val="Grid Table 7 Colorful - Accent 5"/>
    <w:qFormat/>
    <w:uiPriority w:val="99"/>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customStyle="1" w:styleId="123">
    <w:name w:val="Grid Table 7 Colorful - Accent 6"/>
    <w:qFormat/>
    <w:uiPriority w:val="99"/>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customStyle="1" w:styleId="124">
    <w:name w:val="List Table 1 Light"/>
    <w:qFormat/>
    <w:uiPriority w:val="99"/>
    <w:rPr>
      <w:lang w:val="en-US" w:eastAsia="zh-CN" w:bidi="ar-SA"/>
    </w:rPr>
  </w:style>
  <w:style w:type="table" w:customStyle="1" w:styleId="125">
    <w:name w:val="List Table 1 Light - Accent 1"/>
    <w:qFormat/>
    <w:uiPriority w:val="99"/>
    <w:rPr>
      <w:lang w:val="en-US" w:eastAsia="zh-CN" w:bidi="ar-SA"/>
    </w:rPr>
  </w:style>
  <w:style w:type="table" w:customStyle="1" w:styleId="126">
    <w:name w:val="List Table 1 Light - Accent 2"/>
    <w:qFormat/>
    <w:uiPriority w:val="99"/>
    <w:rPr>
      <w:lang w:val="en-US" w:eastAsia="zh-CN" w:bidi="ar-SA"/>
    </w:rPr>
  </w:style>
  <w:style w:type="table" w:customStyle="1" w:styleId="127">
    <w:name w:val="List Table 1 Light - Accent 3"/>
    <w:qFormat/>
    <w:uiPriority w:val="99"/>
    <w:rPr>
      <w:lang w:val="en-US" w:eastAsia="zh-CN" w:bidi="ar-SA"/>
    </w:rPr>
  </w:style>
  <w:style w:type="table" w:customStyle="1" w:styleId="128">
    <w:name w:val="List Table 1 Light - Accent 4"/>
    <w:qFormat/>
    <w:uiPriority w:val="99"/>
    <w:rPr>
      <w:lang w:val="en-US" w:eastAsia="zh-CN" w:bidi="ar-SA"/>
    </w:rPr>
  </w:style>
  <w:style w:type="table" w:customStyle="1" w:styleId="129">
    <w:name w:val="List Table 1 Light - Accent 5"/>
    <w:qFormat/>
    <w:uiPriority w:val="99"/>
    <w:rPr>
      <w:lang w:val="en-US" w:eastAsia="zh-CN" w:bidi="ar-SA"/>
    </w:rPr>
  </w:style>
  <w:style w:type="table" w:customStyle="1" w:styleId="130">
    <w:name w:val="List Table 1 Light - Accent 6"/>
    <w:qFormat/>
    <w:uiPriority w:val="99"/>
    <w:rPr>
      <w:lang w:val="en-US" w:eastAsia="zh-CN" w:bidi="ar-SA"/>
    </w:rPr>
  </w:style>
  <w:style w:type="table" w:customStyle="1" w:styleId="131">
    <w:name w:val="List Table 2"/>
    <w:qFormat/>
    <w:uiPriority w:val="99"/>
    <w:rPr>
      <w:lang w:val="en-US" w:eastAsia="zh-CN" w:bidi="ar-SA"/>
    </w:rPr>
    <w:tblPr>
      <w:tblBorders>
        <w:top w:val="single" w:color="6E6E6E" w:sz="4" w:space="0"/>
        <w:bottom w:val="single" w:color="6E6E6E" w:sz="4" w:space="0"/>
        <w:insideH w:val="single" w:color="6E6E6E" w:sz="4" w:space="0"/>
      </w:tblBorders>
    </w:tblPr>
  </w:style>
  <w:style w:type="table" w:customStyle="1" w:styleId="132">
    <w:name w:val="List Table 2 - Accent 1"/>
    <w:qFormat/>
    <w:uiPriority w:val="99"/>
    <w:rPr>
      <w:lang w:val="en-US" w:eastAsia="zh-CN" w:bidi="ar-SA"/>
    </w:rPr>
    <w:tblPr>
      <w:tblBorders>
        <w:top w:val="single" w:color="9BB7D9" w:sz="4" w:space="0"/>
        <w:bottom w:val="single" w:color="9BB7D9" w:sz="4" w:space="0"/>
        <w:insideH w:val="single" w:color="9BB7D9" w:sz="4" w:space="0"/>
      </w:tblBorders>
    </w:tblPr>
  </w:style>
  <w:style w:type="table" w:customStyle="1" w:styleId="133">
    <w:name w:val="List Table 2 - Accent 2"/>
    <w:qFormat/>
    <w:uiPriority w:val="99"/>
    <w:rPr>
      <w:lang w:val="en-US" w:eastAsia="zh-CN" w:bidi="ar-SA"/>
    </w:rPr>
    <w:tblPr>
      <w:tblBorders>
        <w:top w:val="single" w:color="DB9C9A" w:sz="4" w:space="0"/>
        <w:bottom w:val="single" w:color="DB9C9A" w:sz="4" w:space="0"/>
        <w:insideH w:val="single" w:color="DB9C9A" w:sz="4" w:space="0"/>
      </w:tblBorders>
    </w:tblPr>
  </w:style>
  <w:style w:type="table" w:customStyle="1" w:styleId="134">
    <w:name w:val="List Table 2 - Accent 3"/>
    <w:qFormat/>
    <w:uiPriority w:val="99"/>
    <w:rPr>
      <w:lang w:val="en-US" w:eastAsia="zh-CN" w:bidi="ar-SA"/>
    </w:rPr>
    <w:tblPr>
      <w:tblBorders>
        <w:top w:val="single" w:color="C6D8A1" w:sz="4" w:space="0"/>
        <w:bottom w:val="single" w:color="C6D8A1" w:sz="4" w:space="0"/>
        <w:insideH w:val="single" w:color="C6D8A1" w:sz="4" w:space="0"/>
      </w:tblBorders>
    </w:tblPr>
  </w:style>
  <w:style w:type="table" w:customStyle="1" w:styleId="135">
    <w:name w:val="List Table 2 - Accent 4"/>
    <w:qFormat/>
    <w:uiPriority w:val="99"/>
    <w:rPr>
      <w:lang w:val="en-US" w:eastAsia="zh-CN" w:bidi="ar-SA"/>
    </w:rPr>
    <w:tblPr>
      <w:tblBorders>
        <w:top w:val="single" w:color="B7A7CA" w:sz="4" w:space="0"/>
        <w:bottom w:val="single" w:color="B7A7CA" w:sz="4" w:space="0"/>
        <w:insideH w:val="single" w:color="B7A7CA" w:sz="4" w:space="0"/>
      </w:tblBorders>
    </w:tblPr>
  </w:style>
  <w:style w:type="table" w:customStyle="1" w:styleId="136">
    <w:name w:val="List Table 2 - Accent 5"/>
    <w:qFormat/>
    <w:uiPriority w:val="99"/>
    <w:rPr>
      <w:lang w:val="en-US" w:eastAsia="zh-CN" w:bidi="ar-SA"/>
    </w:rPr>
    <w:tblPr>
      <w:tblBorders>
        <w:top w:val="single" w:color="99D0DE" w:sz="4" w:space="0"/>
        <w:bottom w:val="single" w:color="99D0DE" w:sz="4" w:space="0"/>
        <w:insideH w:val="single" w:color="99D0DE" w:sz="4" w:space="0"/>
      </w:tblBorders>
    </w:tblPr>
  </w:style>
  <w:style w:type="table" w:customStyle="1" w:styleId="137">
    <w:name w:val="List Table 2 - Accent 6"/>
    <w:qFormat/>
    <w:uiPriority w:val="99"/>
    <w:rPr>
      <w:lang w:val="en-US" w:eastAsia="zh-CN" w:bidi="ar-SA"/>
    </w:rPr>
    <w:tblPr>
      <w:tblBorders>
        <w:top w:val="single" w:color="FAC396" w:sz="4" w:space="0"/>
        <w:bottom w:val="single" w:color="FAC396" w:sz="4" w:space="0"/>
        <w:insideH w:val="single" w:color="FAC396" w:sz="4" w:space="0"/>
      </w:tblBorders>
    </w:tblPr>
  </w:style>
  <w:style w:type="table" w:customStyle="1" w:styleId="138">
    <w:name w:val="List Table 3"/>
    <w:qFormat/>
    <w:uiPriority w:val="99"/>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customStyle="1" w:styleId="139">
    <w:name w:val="List Table 3 - Accent 1"/>
    <w:qFormat/>
    <w:uiPriority w:val="99"/>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customStyle="1" w:styleId="140">
    <w:name w:val="List Table 3 - Accent 2"/>
    <w:qFormat/>
    <w:uiPriority w:val="99"/>
    <w:rPr>
      <w:lang w:val="en-US" w:eastAsia="zh-CN" w:bidi="ar-SA"/>
    </w:rPr>
    <w:tblPr>
      <w:tblBorders>
        <w:top w:val="single" w:color="D99795" w:sz="4" w:space="0"/>
        <w:left w:val="single" w:color="D99795" w:sz="4" w:space="0"/>
        <w:bottom w:val="single" w:color="D99795" w:sz="4" w:space="0"/>
        <w:right w:val="single" w:color="D99795" w:sz="4" w:space="0"/>
      </w:tblBorders>
    </w:tblPr>
  </w:style>
  <w:style w:type="table" w:customStyle="1" w:styleId="141">
    <w:name w:val="List Table 3 - Accent 3"/>
    <w:qFormat/>
    <w:uiPriority w:val="99"/>
    <w:rPr>
      <w:lang w:val="en-US" w:eastAsia="zh-CN" w:bidi="ar-SA"/>
    </w:rPr>
    <w:tblPr>
      <w:tblBorders>
        <w:top w:val="single" w:color="C3D69C" w:sz="4" w:space="0"/>
        <w:left w:val="single" w:color="C3D69C" w:sz="4" w:space="0"/>
        <w:bottom w:val="single" w:color="C3D69C" w:sz="4" w:space="0"/>
        <w:right w:val="single" w:color="C3D69C" w:sz="4" w:space="0"/>
      </w:tblBorders>
    </w:tblPr>
  </w:style>
  <w:style w:type="table" w:customStyle="1" w:styleId="142">
    <w:name w:val="List Table 3 - Accent 4"/>
    <w:qFormat/>
    <w:uiPriority w:val="99"/>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customStyle="1" w:styleId="143">
    <w:name w:val="List Table 3 - Accent 5"/>
    <w:qFormat/>
    <w:uiPriority w:val="99"/>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customStyle="1" w:styleId="144">
    <w:name w:val="List Table 3 - Accent 6"/>
    <w:qFormat/>
    <w:uiPriority w:val="99"/>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customStyle="1" w:styleId="145">
    <w:name w:val="List Table 4"/>
    <w:qFormat/>
    <w:uiPriority w:val="99"/>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customStyle="1" w:styleId="146">
    <w:name w:val="List Table 4 - Accent 1"/>
    <w:qFormat/>
    <w:uiPriority w:val="99"/>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customStyle="1" w:styleId="147">
    <w:name w:val="List Table 4 - Accent 2"/>
    <w:qFormat/>
    <w:uiPriority w:val="99"/>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Pr>
  </w:style>
  <w:style w:type="table" w:customStyle="1" w:styleId="148">
    <w:name w:val="List Table 4 - Accent 3"/>
    <w:qFormat/>
    <w:uiPriority w:val="99"/>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customStyle="1" w:styleId="149">
    <w:name w:val="List Table 4 - Accent 4"/>
    <w:qFormat/>
    <w:uiPriority w:val="99"/>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customStyle="1" w:styleId="150">
    <w:name w:val="List Table 4 - Accent 5"/>
    <w:qFormat/>
    <w:uiPriority w:val="99"/>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customStyle="1" w:styleId="151">
    <w:name w:val="List Table 4 - Accent 6"/>
    <w:qFormat/>
    <w:uiPriority w:val="99"/>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customStyle="1" w:styleId="152">
    <w:name w:val="List Table 5 Dark"/>
    <w:qFormat/>
    <w:uiPriority w:val="99"/>
    <w:rPr>
      <w:lang w:val="en-US" w:eastAsia="zh-CN" w:bidi="ar-SA"/>
    </w:rPr>
    <w:tblPr>
      <w:tblBorders>
        <w:top w:val="single" w:color="7E7E7E" w:sz="32" w:space="0"/>
        <w:left w:val="single" w:color="7E7E7E" w:sz="32" w:space="0"/>
        <w:bottom w:val="single" w:color="7E7E7E" w:sz="32" w:space="0"/>
        <w:right w:val="single" w:color="7E7E7E" w:sz="32" w:space="0"/>
      </w:tblBorders>
    </w:tblPr>
  </w:style>
  <w:style w:type="table" w:customStyle="1" w:styleId="153">
    <w:name w:val="List Table 5 Dark - Accent 1"/>
    <w:qFormat/>
    <w:uiPriority w:val="99"/>
    <w:rPr>
      <w:lang w:val="en-US" w:eastAsia="zh-CN" w:bidi="ar-SA"/>
    </w:rPr>
    <w:tblPr>
      <w:tblBorders>
        <w:top w:val="single" w:color="4F81BD" w:sz="32" w:space="0"/>
        <w:left w:val="single" w:color="4F81BD" w:sz="32" w:space="0"/>
        <w:bottom w:val="single" w:color="4F81BD" w:sz="32" w:space="0"/>
        <w:right w:val="single" w:color="4F81BD" w:sz="32" w:space="0"/>
      </w:tblBorders>
    </w:tblPr>
  </w:style>
  <w:style w:type="table" w:customStyle="1" w:styleId="154">
    <w:name w:val="List Table 5 Dark - Accent 2"/>
    <w:qFormat/>
    <w:uiPriority w:val="99"/>
    <w:rPr>
      <w:lang w:val="en-US" w:eastAsia="zh-CN" w:bidi="ar-SA"/>
    </w:rPr>
    <w:tblPr>
      <w:tblBorders>
        <w:top w:val="single" w:color="D99795" w:sz="32" w:space="0"/>
        <w:left w:val="single" w:color="D99795" w:sz="32" w:space="0"/>
        <w:bottom w:val="single" w:color="D99795" w:sz="32" w:space="0"/>
        <w:right w:val="single" w:color="D99795" w:sz="32" w:space="0"/>
      </w:tblBorders>
    </w:tblPr>
  </w:style>
  <w:style w:type="table" w:customStyle="1" w:styleId="155">
    <w:name w:val="List Table 5 Dark - Accent 3"/>
    <w:qFormat/>
    <w:uiPriority w:val="99"/>
    <w:rPr>
      <w:lang w:val="en-US" w:eastAsia="zh-CN" w:bidi="ar-SA"/>
    </w:rPr>
    <w:tblPr>
      <w:tblBorders>
        <w:top w:val="single" w:color="C3D69C" w:sz="32" w:space="0"/>
        <w:left w:val="single" w:color="C3D69C" w:sz="32" w:space="0"/>
        <w:bottom w:val="single" w:color="C3D69C" w:sz="32" w:space="0"/>
        <w:right w:val="single" w:color="C3D69C" w:sz="32" w:space="0"/>
      </w:tblBorders>
    </w:tblPr>
  </w:style>
  <w:style w:type="table" w:customStyle="1" w:styleId="156">
    <w:name w:val="List Table 5 Dark - Accent 4"/>
    <w:qFormat/>
    <w:uiPriority w:val="99"/>
    <w:rPr>
      <w:lang w:val="en-US" w:eastAsia="zh-CN" w:bidi="ar-SA"/>
    </w:rPr>
    <w:tblPr>
      <w:tblBorders>
        <w:top w:val="single" w:color="B2A1C6" w:sz="32" w:space="0"/>
        <w:left w:val="single" w:color="B2A1C6" w:sz="32" w:space="0"/>
        <w:bottom w:val="single" w:color="B2A1C6" w:sz="32" w:space="0"/>
        <w:right w:val="single" w:color="B2A1C6" w:sz="32" w:space="0"/>
      </w:tblBorders>
    </w:tblPr>
  </w:style>
  <w:style w:type="table" w:customStyle="1" w:styleId="157">
    <w:name w:val="List Table 5 Dark - Accent 5"/>
    <w:qFormat/>
    <w:uiPriority w:val="99"/>
    <w:rPr>
      <w:lang w:val="en-US" w:eastAsia="zh-CN" w:bidi="ar-SA"/>
    </w:rPr>
    <w:tblPr>
      <w:tblBorders>
        <w:top w:val="single" w:color="92CCDC" w:sz="32" w:space="0"/>
        <w:left w:val="single" w:color="92CCDC" w:sz="32" w:space="0"/>
        <w:bottom w:val="single" w:color="92CCDC" w:sz="32" w:space="0"/>
        <w:right w:val="single" w:color="92CCDC" w:sz="32" w:space="0"/>
      </w:tblBorders>
    </w:tblPr>
  </w:style>
  <w:style w:type="table" w:customStyle="1" w:styleId="158">
    <w:name w:val="List Table 5 Dark - Accent 6"/>
    <w:qFormat/>
    <w:uiPriority w:val="99"/>
    <w:rPr>
      <w:lang w:val="en-US" w:eastAsia="zh-CN" w:bidi="ar-SA"/>
    </w:rPr>
    <w:tblPr>
      <w:tblBorders>
        <w:top w:val="single" w:color="FAC090" w:sz="32" w:space="0"/>
        <w:left w:val="single" w:color="FAC090" w:sz="32" w:space="0"/>
        <w:bottom w:val="single" w:color="FAC090" w:sz="32" w:space="0"/>
        <w:right w:val="single" w:color="FAC090" w:sz="32" w:space="0"/>
      </w:tblBorders>
    </w:tblPr>
  </w:style>
  <w:style w:type="table" w:customStyle="1" w:styleId="159">
    <w:name w:val="List Table 6 Colorful"/>
    <w:qFormat/>
    <w:uiPriority w:val="99"/>
    <w:rPr>
      <w:lang w:val="en-US" w:eastAsia="zh-CN" w:bidi="ar-SA"/>
    </w:rPr>
    <w:tblPr>
      <w:tblBorders>
        <w:top w:val="single" w:color="7E7E7E" w:sz="4" w:space="0"/>
        <w:bottom w:val="single" w:color="7E7E7E" w:sz="4" w:space="0"/>
      </w:tblBorders>
    </w:tblPr>
  </w:style>
  <w:style w:type="table" w:customStyle="1" w:styleId="160">
    <w:name w:val="List Table 6 Colorful - Accent 1"/>
    <w:qFormat/>
    <w:uiPriority w:val="99"/>
    <w:rPr>
      <w:lang w:val="en-US" w:eastAsia="zh-CN" w:bidi="ar-SA"/>
    </w:rPr>
    <w:tblPr>
      <w:tblBorders>
        <w:top w:val="single" w:color="4F81BD" w:sz="4" w:space="0"/>
        <w:bottom w:val="single" w:color="4F81BD" w:sz="4" w:space="0"/>
      </w:tblBorders>
    </w:tblPr>
  </w:style>
  <w:style w:type="table" w:customStyle="1" w:styleId="161">
    <w:name w:val="List Table 6 Colorful - Accent 2"/>
    <w:qFormat/>
    <w:uiPriority w:val="99"/>
    <w:rPr>
      <w:lang w:val="en-US" w:eastAsia="zh-CN" w:bidi="ar-SA"/>
    </w:rPr>
    <w:tblPr>
      <w:tblBorders>
        <w:top w:val="single" w:color="D99795" w:sz="4" w:space="0"/>
        <w:bottom w:val="single" w:color="D99795" w:sz="4" w:space="0"/>
      </w:tblBorders>
    </w:tblPr>
  </w:style>
  <w:style w:type="table" w:customStyle="1" w:styleId="162">
    <w:name w:val="List Table 6 Colorful - Accent 3"/>
    <w:qFormat/>
    <w:uiPriority w:val="99"/>
    <w:rPr>
      <w:lang w:val="en-US" w:eastAsia="zh-CN" w:bidi="ar-SA"/>
    </w:rPr>
    <w:tblPr>
      <w:tblBorders>
        <w:top w:val="single" w:color="C3D69C" w:sz="4" w:space="0"/>
        <w:bottom w:val="single" w:color="C3D69C" w:sz="4" w:space="0"/>
      </w:tblBorders>
    </w:tblPr>
  </w:style>
  <w:style w:type="table" w:customStyle="1" w:styleId="163">
    <w:name w:val="List Table 6 Colorful - Accent 4"/>
    <w:qFormat/>
    <w:uiPriority w:val="99"/>
    <w:rPr>
      <w:lang w:val="en-US" w:eastAsia="zh-CN" w:bidi="ar-SA"/>
    </w:rPr>
    <w:tblPr>
      <w:tblBorders>
        <w:top w:val="single" w:color="B2A1C6" w:sz="4" w:space="0"/>
        <w:bottom w:val="single" w:color="B2A1C6" w:sz="4" w:space="0"/>
      </w:tblBorders>
    </w:tblPr>
  </w:style>
  <w:style w:type="table" w:customStyle="1" w:styleId="164">
    <w:name w:val="List Table 6 Colorful - Accent 5"/>
    <w:qFormat/>
    <w:uiPriority w:val="99"/>
    <w:rPr>
      <w:lang w:val="en-US" w:eastAsia="zh-CN" w:bidi="ar-SA"/>
    </w:rPr>
    <w:tblPr>
      <w:tblBorders>
        <w:top w:val="single" w:color="92CCDC" w:sz="4" w:space="0"/>
        <w:bottom w:val="single" w:color="92CCDC" w:sz="4" w:space="0"/>
      </w:tblBorders>
    </w:tblPr>
  </w:style>
  <w:style w:type="table" w:customStyle="1" w:styleId="165">
    <w:name w:val="List Table 6 Colorful - Accent 6"/>
    <w:qFormat/>
    <w:uiPriority w:val="99"/>
    <w:rPr>
      <w:lang w:val="en-US" w:eastAsia="zh-CN" w:bidi="ar-SA"/>
    </w:rPr>
    <w:tblPr>
      <w:tblBorders>
        <w:top w:val="single" w:color="FAC090" w:sz="4" w:space="0"/>
        <w:bottom w:val="single" w:color="FAC090" w:sz="4" w:space="0"/>
      </w:tblBorders>
    </w:tblPr>
  </w:style>
  <w:style w:type="table" w:customStyle="1" w:styleId="166">
    <w:name w:val="List Table 7 Colorful"/>
    <w:qFormat/>
    <w:uiPriority w:val="99"/>
    <w:rPr>
      <w:lang w:val="en-US" w:eastAsia="zh-CN" w:bidi="ar-SA"/>
    </w:rPr>
    <w:tblPr>
      <w:tblBorders>
        <w:right w:val="single" w:color="7E7E7E" w:sz="4" w:space="0"/>
      </w:tblBorders>
    </w:tblPr>
  </w:style>
  <w:style w:type="table" w:customStyle="1" w:styleId="167">
    <w:name w:val="List Table 7 Colorful - Accent 1"/>
    <w:qFormat/>
    <w:uiPriority w:val="99"/>
    <w:rPr>
      <w:lang w:val="en-US" w:eastAsia="zh-CN" w:bidi="ar-SA"/>
    </w:rPr>
    <w:tblPr>
      <w:tblBorders>
        <w:right w:val="single" w:color="4F81BD" w:sz="4" w:space="0"/>
      </w:tblBorders>
    </w:tblPr>
  </w:style>
  <w:style w:type="table" w:customStyle="1" w:styleId="168">
    <w:name w:val="List Table 7 Colorful - Accent 2"/>
    <w:qFormat/>
    <w:uiPriority w:val="99"/>
    <w:rPr>
      <w:lang w:val="en-US" w:eastAsia="zh-CN" w:bidi="ar-SA"/>
    </w:rPr>
    <w:tblPr>
      <w:tblBorders>
        <w:right w:val="single" w:color="D99795" w:sz="4" w:space="0"/>
      </w:tblBorders>
    </w:tblPr>
  </w:style>
  <w:style w:type="table" w:customStyle="1" w:styleId="169">
    <w:name w:val="List Table 7 Colorful - Accent 3"/>
    <w:qFormat/>
    <w:uiPriority w:val="99"/>
    <w:rPr>
      <w:lang w:val="en-US" w:eastAsia="zh-CN" w:bidi="ar-SA"/>
    </w:rPr>
    <w:tblPr>
      <w:tblBorders>
        <w:right w:val="single" w:color="C3D69C" w:sz="4" w:space="0"/>
      </w:tblBorders>
    </w:tblPr>
  </w:style>
  <w:style w:type="table" w:customStyle="1" w:styleId="170">
    <w:name w:val="List Table 7 Colorful - Accent 4"/>
    <w:qFormat/>
    <w:uiPriority w:val="99"/>
    <w:rPr>
      <w:lang w:val="en-US" w:eastAsia="zh-CN" w:bidi="ar-SA"/>
    </w:rPr>
    <w:tblPr>
      <w:tblBorders>
        <w:right w:val="single" w:color="B2A1C6" w:sz="4" w:space="0"/>
      </w:tblBorders>
    </w:tblPr>
  </w:style>
  <w:style w:type="table" w:customStyle="1" w:styleId="171">
    <w:name w:val="List Table 7 Colorful - Accent 5"/>
    <w:qFormat/>
    <w:uiPriority w:val="99"/>
    <w:rPr>
      <w:lang w:val="en-US" w:eastAsia="zh-CN" w:bidi="ar-SA"/>
    </w:rPr>
    <w:tblPr>
      <w:tblBorders>
        <w:right w:val="single" w:color="92CCDC" w:sz="4" w:space="0"/>
      </w:tblBorders>
    </w:tblPr>
  </w:style>
  <w:style w:type="table" w:customStyle="1" w:styleId="172">
    <w:name w:val="List Table 7 Colorful - Accent 6"/>
    <w:qFormat/>
    <w:uiPriority w:val="99"/>
    <w:rPr>
      <w:lang w:val="en-US" w:eastAsia="zh-CN" w:bidi="ar-SA"/>
    </w:rPr>
    <w:tblPr>
      <w:tblBorders>
        <w:right w:val="single" w:color="FAC090" w:sz="4" w:space="0"/>
      </w:tblBorders>
    </w:tblPr>
  </w:style>
  <w:style w:type="table" w:customStyle="1" w:styleId="173">
    <w:name w:val="Lined - Accent"/>
    <w:qFormat/>
    <w:uiPriority w:val="99"/>
    <w:rPr>
      <w:color w:val="404040"/>
      <w:lang w:val="en-US" w:eastAsia="zh-CN" w:bidi="ar-SA"/>
    </w:rPr>
  </w:style>
  <w:style w:type="table" w:customStyle="1" w:styleId="174">
    <w:name w:val="Lined - Accent 1"/>
    <w:qFormat/>
    <w:uiPriority w:val="99"/>
    <w:rPr>
      <w:color w:val="404040"/>
      <w:lang w:val="en-US" w:eastAsia="zh-CN" w:bidi="ar-SA"/>
    </w:rPr>
  </w:style>
  <w:style w:type="table" w:customStyle="1" w:styleId="175">
    <w:name w:val="Lined - Accent 2"/>
    <w:qFormat/>
    <w:uiPriority w:val="99"/>
    <w:rPr>
      <w:color w:val="404040"/>
      <w:lang w:val="en-US" w:eastAsia="zh-CN" w:bidi="ar-SA"/>
    </w:rPr>
  </w:style>
  <w:style w:type="table" w:customStyle="1" w:styleId="176">
    <w:name w:val="Lined - Accent 3"/>
    <w:qFormat/>
    <w:uiPriority w:val="99"/>
    <w:rPr>
      <w:color w:val="404040"/>
      <w:lang w:val="en-US" w:eastAsia="zh-CN" w:bidi="ar-SA"/>
    </w:rPr>
  </w:style>
  <w:style w:type="table" w:customStyle="1" w:styleId="177">
    <w:name w:val="Lined - Accent 4"/>
    <w:qFormat/>
    <w:uiPriority w:val="99"/>
    <w:rPr>
      <w:color w:val="404040"/>
      <w:lang w:val="en-US" w:eastAsia="zh-CN" w:bidi="ar-SA"/>
    </w:rPr>
  </w:style>
  <w:style w:type="table" w:customStyle="1" w:styleId="178">
    <w:name w:val="Lined - Accent 5"/>
    <w:qFormat/>
    <w:uiPriority w:val="99"/>
    <w:rPr>
      <w:color w:val="404040"/>
      <w:lang w:val="en-US" w:eastAsia="zh-CN" w:bidi="ar-SA"/>
    </w:rPr>
  </w:style>
  <w:style w:type="table" w:customStyle="1" w:styleId="179">
    <w:name w:val="Lined - Accent 6"/>
    <w:qFormat/>
    <w:uiPriority w:val="99"/>
    <w:rPr>
      <w:color w:val="404040"/>
      <w:lang w:val="en-US" w:eastAsia="zh-CN" w:bidi="ar-SA"/>
    </w:rPr>
  </w:style>
  <w:style w:type="table" w:customStyle="1" w:styleId="180">
    <w:name w:val="Bordered &amp; Lined - Accent"/>
    <w:qFormat/>
    <w:uiPriority w:val="99"/>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style>
  <w:style w:type="table" w:customStyle="1" w:styleId="181">
    <w:name w:val="Bordered &amp; Lined - Accent 1"/>
    <w:qFormat/>
    <w:uiPriority w:val="99"/>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style>
  <w:style w:type="table" w:customStyle="1" w:styleId="182">
    <w:name w:val="Bordered &amp; Lined - Accent 2"/>
    <w:qFormat/>
    <w:uiPriority w:val="99"/>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style>
  <w:style w:type="table" w:customStyle="1" w:styleId="183">
    <w:name w:val="Bordered &amp; Lined - Accent 3"/>
    <w:qFormat/>
    <w:uiPriority w:val="99"/>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style>
  <w:style w:type="table" w:customStyle="1" w:styleId="184">
    <w:name w:val="Bordered &amp; Lined - Accent 4"/>
    <w:qFormat/>
    <w:uiPriority w:val="99"/>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customStyle="1" w:styleId="185">
    <w:name w:val="Bordered &amp; Lined - Accent 5"/>
    <w:qFormat/>
    <w:uiPriority w:val="99"/>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customStyle="1" w:styleId="186">
    <w:name w:val="Bordered &amp; Lined - Accent 6"/>
    <w:qFormat/>
    <w:uiPriority w:val="99"/>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customStyle="1" w:styleId="187">
    <w:name w:val="Bordered"/>
    <w:qFormat/>
    <w:uiPriority w:val="99"/>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style>
  <w:style w:type="table" w:customStyle="1" w:styleId="188">
    <w:name w:val="Bordered - Accent 1"/>
    <w:qFormat/>
    <w:uiPriority w:val="99"/>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style>
  <w:style w:type="table" w:customStyle="1" w:styleId="189">
    <w:name w:val="Bordered - Accent 2"/>
    <w:qFormat/>
    <w:uiPriority w:val="99"/>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style>
  <w:style w:type="table" w:customStyle="1" w:styleId="190">
    <w:name w:val="Bordered - Accent 3"/>
    <w:qFormat/>
    <w:uiPriority w:val="99"/>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customStyle="1" w:styleId="191">
    <w:name w:val="Bordered - Accent 4"/>
    <w:qFormat/>
    <w:uiPriority w:val="99"/>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customStyle="1" w:styleId="192">
    <w:name w:val="Bordered - Accent 5"/>
    <w:qFormat/>
    <w:uiPriority w:val="99"/>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style>
  <w:style w:type="table" w:customStyle="1" w:styleId="193">
    <w:name w:val="Bordered - Accent 6"/>
    <w:qFormat/>
    <w:uiPriority w:val="99"/>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customStyle="1" w:styleId="194">
    <w:name w:val="TOC Heading"/>
    <w:unhideWhenUsed/>
    <w:qFormat/>
    <w:uiPriority w:val="39"/>
    <w:rPr>
      <w:rFonts w:ascii="Times New Roman" w:hAnsi="Times New Roman" w:eastAsia="宋体" w:cs="Times New Roman"/>
      <w:lang w:val="en-US" w:eastAsia="zh-CN" w:bidi="ar-SA"/>
    </w:rPr>
  </w:style>
  <w:style w:type="paragraph" w:customStyle="1" w:styleId="195">
    <w:name w:val="标题 11"/>
    <w:basedOn w:val="1"/>
    <w:next w:val="1"/>
    <w:qFormat/>
    <w:uiPriority w:val="9"/>
    <w:pPr>
      <w:keepNext/>
      <w:keepLines/>
      <w:spacing w:before="340" w:after="330" w:line="578" w:lineRule="auto"/>
      <w:outlineLvl w:val="0"/>
    </w:pPr>
    <w:rPr>
      <w:b/>
      <w:bCs/>
      <w:sz w:val="44"/>
      <w:szCs w:val="44"/>
    </w:rPr>
  </w:style>
  <w:style w:type="paragraph" w:customStyle="1" w:styleId="196">
    <w:name w:val="标题 21"/>
    <w:basedOn w:val="1"/>
    <w:next w:val="197"/>
    <w:qFormat/>
    <w:uiPriority w:val="9"/>
    <w:pPr>
      <w:keepNext/>
      <w:keepLines/>
      <w:spacing w:before="260" w:after="260" w:line="413" w:lineRule="auto"/>
      <w:outlineLvl w:val="1"/>
    </w:pPr>
    <w:rPr>
      <w:rFonts w:ascii="Arial" w:hAnsi="Arial" w:eastAsia="黑体"/>
      <w:b/>
      <w:sz w:val="32"/>
      <w:szCs w:val="20"/>
    </w:rPr>
  </w:style>
  <w:style w:type="paragraph" w:customStyle="1" w:styleId="197">
    <w:name w:val="正文缩进1"/>
    <w:basedOn w:val="1"/>
    <w:link w:val="198"/>
    <w:qFormat/>
    <w:uiPriority w:val="0"/>
    <w:pPr>
      <w:ind w:firstLine="420"/>
    </w:pPr>
    <w:rPr>
      <w:szCs w:val="20"/>
    </w:rPr>
  </w:style>
  <w:style w:type="character" w:customStyle="1" w:styleId="198">
    <w:name w:val="正文缩进 Char"/>
    <w:link w:val="197"/>
    <w:qFormat/>
    <w:uiPriority w:val="0"/>
    <w:rPr>
      <w:sz w:val="21"/>
    </w:rPr>
  </w:style>
  <w:style w:type="paragraph" w:customStyle="1" w:styleId="199">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00">
    <w:name w:val="标题 41"/>
    <w:basedOn w:val="1"/>
    <w:next w:val="1"/>
    <w:link w:val="201"/>
    <w:qFormat/>
    <w:uiPriority w:val="9"/>
    <w:pPr>
      <w:keepNext/>
      <w:keepLines/>
      <w:spacing w:before="280" w:after="290" w:line="376" w:lineRule="auto"/>
      <w:outlineLvl w:val="3"/>
    </w:pPr>
    <w:rPr>
      <w:rFonts w:ascii="Cambria" w:hAnsi="Cambria"/>
      <w:b/>
      <w:bCs/>
      <w:sz w:val="28"/>
      <w:szCs w:val="28"/>
    </w:rPr>
  </w:style>
  <w:style w:type="character" w:customStyle="1" w:styleId="201">
    <w:name w:val="标题 4 Char"/>
    <w:link w:val="200"/>
    <w:qFormat/>
    <w:uiPriority w:val="9"/>
    <w:rPr>
      <w:rFonts w:ascii="Cambria" w:hAnsi="Cambria"/>
      <w:b/>
      <w:bCs/>
      <w:sz w:val="28"/>
      <w:szCs w:val="28"/>
    </w:rPr>
  </w:style>
  <w:style w:type="paragraph" w:customStyle="1" w:styleId="202">
    <w:name w:val="标题 51"/>
    <w:basedOn w:val="1"/>
    <w:next w:val="1"/>
    <w:link w:val="203"/>
    <w:qFormat/>
    <w:uiPriority w:val="9"/>
    <w:pPr>
      <w:keepNext/>
      <w:keepLines/>
      <w:spacing w:before="280" w:after="290" w:line="376" w:lineRule="auto"/>
      <w:outlineLvl w:val="4"/>
    </w:pPr>
    <w:rPr>
      <w:b/>
      <w:bCs/>
      <w:sz w:val="28"/>
      <w:szCs w:val="28"/>
    </w:rPr>
  </w:style>
  <w:style w:type="character" w:customStyle="1" w:styleId="203">
    <w:name w:val="标题 5 Char"/>
    <w:link w:val="202"/>
    <w:qFormat/>
    <w:uiPriority w:val="9"/>
    <w:rPr>
      <w:b/>
      <w:bCs/>
      <w:sz w:val="28"/>
      <w:szCs w:val="28"/>
    </w:rPr>
  </w:style>
  <w:style w:type="character" w:customStyle="1" w:styleId="204">
    <w:name w:val="默认段落字体1"/>
    <w:semiHidden/>
    <w:qFormat/>
    <w:uiPriority w:val="0"/>
  </w:style>
  <w:style w:type="table" w:customStyle="1" w:styleId="205">
    <w:name w:val="普通表格1"/>
    <w:semiHidden/>
    <w:qFormat/>
    <w:uiPriority w:val="0"/>
    <w:rPr>
      <w:rFonts w:ascii="Calibri" w:hAnsi="Calibri" w:cs="Calibri"/>
      <w:sz w:val="21"/>
      <w:szCs w:val="22"/>
      <w:lang w:val="en-US" w:eastAsia="zh-CN" w:bidi="ar-SA"/>
    </w:rPr>
  </w:style>
  <w:style w:type="paragraph" w:customStyle="1" w:styleId="206">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7">
    <w:name w:val="文档结构图1"/>
    <w:basedOn w:val="1"/>
    <w:semiHidden/>
    <w:qFormat/>
    <w:uiPriority w:val="0"/>
    <w:pPr>
      <w:shd w:val="clear" w:color="auto" w:fill="000080"/>
    </w:pPr>
  </w:style>
  <w:style w:type="paragraph" w:customStyle="1" w:styleId="208">
    <w:name w:val="批注文字1"/>
    <w:basedOn w:val="1"/>
    <w:link w:val="209"/>
    <w:unhideWhenUsed/>
    <w:qFormat/>
    <w:uiPriority w:val="99"/>
    <w:pPr>
      <w:jc w:val="left"/>
    </w:pPr>
  </w:style>
  <w:style w:type="character" w:customStyle="1" w:styleId="209">
    <w:name w:val="批注文字 Char"/>
    <w:link w:val="208"/>
    <w:qFormat/>
    <w:uiPriority w:val="99"/>
    <w:rPr>
      <w:sz w:val="21"/>
      <w:szCs w:val="24"/>
    </w:rPr>
  </w:style>
  <w:style w:type="paragraph" w:customStyle="1" w:styleId="210">
    <w:name w:val="正文文本 31"/>
    <w:basedOn w:val="1"/>
    <w:qFormat/>
    <w:uiPriority w:val="0"/>
    <w:rPr>
      <w:rFonts w:ascii="楷体_GB2312" w:hAnsi="Arial" w:eastAsia="楷体_GB2312" w:cs="Arial"/>
      <w:b/>
      <w:bCs/>
      <w:color w:val="000000"/>
      <w:sz w:val="24"/>
    </w:rPr>
  </w:style>
  <w:style w:type="paragraph" w:customStyle="1" w:styleId="211">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12">
    <w:name w:val="正文文本缩进1"/>
    <w:basedOn w:val="1"/>
    <w:next w:val="213"/>
    <w:qFormat/>
    <w:uiPriority w:val="0"/>
    <w:pPr>
      <w:ind w:firstLine="630"/>
    </w:pPr>
    <w:rPr>
      <w:rFonts w:ascii="楷体_GB2312" w:eastAsia="楷体_GB2312"/>
      <w:sz w:val="32"/>
      <w:szCs w:val="20"/>
    </w:rPr>
  </w:style>
  <w:style w:type="paragraph" w:customStyle="1" w:styleId="213">
    <w:name w:val="寄信人地址1"/>
    <w:basedOn w:val="1"/>
    <w:qFormat/>
    <w:uiPriority w:val="0"/>
    <w:rPr>
      <w:rFonts w:ascii="Arial" w:hAnsi="Arial"/>
    </w:rPr>
  </w:style>
  <w:style w:type="paragraph" w:customStyle="1" w:styleId="214">
    <w:name w:val="文本块1"/>
    <w:basedOn w:val="1"/>
    <w:qFormat/>
    <w:uiPriority w:val="0"/>
    <w:pPr>
      <w:ind w:left="420" w:right="33"/>
      <w:jc w:val="left"/>
    </w:pPr>
    <w:rPr>
      <w:sz w:val="24"/>
      <w:szCs w:val="20"/>
    </w:rPr>
  </w:style>
  <w:style w:type="paragraph" w:customStyle="1" w:styleId="215">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16">
    <w:name w:val="纯文本1"/>
    <w:basedOn w:val="1"/>
    <w:link w:val="217"/>
    <w:qFormat/>
    <w:uiPriority w:val="0"/>
    <w:rPr>
      <w:rFonts w:ascii="宋体" w:hAnsi="Courier New"/>
      <w:szCs w:val="20"/>
    </w:rPr>
  </w:style>
  <w:style w:type="character" w:customStyle="1" w:styleId="217">
    <w:name w:val="纯文本 Char"/>
    <w:link w:val="216"/>
    <w:qFormat/>
    <w:uiPriority w:val="0"/>
    <w:rPr>
      <w:rFonts w:ascii="宋体" w:hAnsi="Courier New" w:eastAsia="宋体"/>
      <w:sz w:val="21"/>
      <w:lang w:val="en-US" w:eastAsia="zh-CN" w:bidi="ar-SA"/>
    </w:rPr>
  </w:style>
  <w:style w:type="paragraph" w:customStyle="1" w:styleId="218">
    <w:name w:val="正文文本缩进 21"/>
    <w:basedOn w:val="1"/>
    <w:qFormat/>
    <w:uiPriority w:val="0"/>
    <w:pPr>
      <w:spacing w:after="120" w:line="480" w:lineRule="auto"/>
      <w:ind w:left="420"/>
    </w:pPr>
  </w:style>
  <w:style w:type="paragraph" w:customStyle="1" w:styleId="219">
    <w:name w:val="批注框文本1"/>
    <w:basedOn w:val="1"/>
    <w:link w:val="220"/>
    <w:qFormat/>
    <w:uiPriority w:val="0"/>
    <w:rPr>
      <w:sz w:val="18"/>
      <w:szCs w:val="18"/>
    </w:rPr>
  </w:style>
  <w:style w:type="character" w:customStyle="1" w:styleId="220">
    <w:name w:val="批注框文本 Char"/>
    <w:link w:val="219"/>
    <w:qFormat/>
    <w:uiPriority w:val="0"/>
    <w:rPr>
      <w:sz w:val="18"/>
      <w:szCs w:val="18"/>
    </w:rPr>
  </w:style>
  <w:style w:type="paragraph" w:customStyle="1" w:styleId="221">
    <w:name w:val="页脚1"/>
    <w:basedOn w:val="1"/>
    <w:link w:val="222"/>
    <w:qFormat/>
    <w:uiPriority w:val="0"/>
    <w:pPr>
      <w:tabs>
        <w:tab w:val="center" w:pos="4153"/>
        <w:tab w:val="right" w:pos="8306"/>
      </w:tabs>
      <w:jc w:val="left"/>
    </w:pPr>
    <w:rPr>
      <w:sz w:val="18"/>
      <w:szCs w:val="18"/>
    </w:rPr>
  </w:style>
  <w:style w:type="character" w:customStyle="1" w:styleId="222">
    <w:name w:val="页脚 Char"/>
    <w:link w:val="221"/>
    <w:qFormat/>
    <w:uiPriority w:val="0"/>
    <w:rPr>
      <w:sz w:val="18"/>
      <w:szCs w:val="18"/>
    </w:rPr>
  </w:style>
  <w:style w:type="paragraph" w:customStyle="1" w:styleId="223">
    <w:name w:val="页眉1"/>
    <w:basedOn w:val="1"/>
    <w:link w:val="224"/>
    <w:qFormat/>
    <w:uiPriority w:val="0"/>
    <w:pPr>
      <w:pBdr>
        <w:bottom w:val="single" w:color="000000" w:sz="6" w:space="1"/>
      </w:pBdr>
      <w:tabs>
        <w:tab w:val="center" w:pos="4153"/>
        <w:tab w:val="right" w:pos="8306"/>
      </w:tabs>
      <w:jc w:val="center"/>
    </w:pPr>
    <w:rPr>
      <w:sz w:val="18"/>
      <w:szCs w:val="18"/>
    </w:rPr>
  </w:style>
  <w:style w:type="character" w:customStyle="1" w:styleId="224">
    <w:name w:val="页眉 Char"/>
    <w:link w:val="223"/>
    <w:qFormat/>
    <w:uiPriority w:val="0"/>
    <w:rPr>
      <w:sz w:val="18"/>
      <w:szCs w:val="18"/>
    </w:rPr>
  </w:style>
  <w:style w:type="paragraph" w:customStyle="1" w:styleId="225">
    <w:name w:val="目录 11"/>
    <w:basedOn w:val="1"/>
    <w:next w:val="1"/>
    <w:semiHidden/>
    <w:qFormat/>
    <w:uiPriority w:val="0"/>
  </w:style>
  <w:style w:type="paragraph" w:customStyle="1" w:styleId="226">
    <w:name w:val="正文文本缩进 31"/>
    <w:basedOn w:val="1"/>
    <w:qFormat/>
    <w:uiPriority w:val="99"/>
    <w:pPr>
      <w:ind w:firstLine="420"/>
    </w:pPr>
    <w:rPr>
      <w:rFonts w:eastAsia="楷体_GB2312"/>
    </w:rPr>
  </w:style>
  <w:style w:type="paragraph" w:customStyle="1" w:styleId="227">
    <w:name w:val="目录 21"/>
    <w:basedOn w:val="1"/>
    <w:next w:val="1"/>
    <w:semiHidden/>
    <w:qFormat/>
    <w:uiPriority w:val="0"/>
    <w:pPr>
      <w:ind w:left="420"/>
    </w:pPr>
    <w:rPr>
      <w:szCs w:val="20"/>
    </w:rPr>
  </w:style>
  <w:style w:type="paragraph" w:customStyle="1" w:styleId="228">
    <w:name w:val="正文文本 21"/>
    <w:basedOn w:val="1"/>
    <w:link w:val="229"/>
    <w:qFormat/>
    <w:uiPriority w:val="0"/>
    <w:pPr>
      <w:spacing w:line="440" w:lineRule="exact"/>
    </w:pPr>
    <w:rPr>
      <w:rFonts w:ascii="楷体_GB2312" w:eastAsia="楷体_GB2312"/>
      <w:sz w:val="28"/>
    </w:rPr>
  </w:style>
  <w:style w:type="character" w:customStyle="1" w:styleId="229">
    <w:name w:val="正文文本 2 Char"/>
    <w:link w:val="228"/>
    <w:qFormat/>
    <w:uiPriority w:val="0"/>
    <w:rPr>
      <w:rFonts w:ascii="楷体_GB2312" w:eastAsia="楷体_GB2312"/>
      <w:sz w:val="28"/>
      <w:szCs w:val="24"/>
    </w:rPr>
  </w:style>
  <w:style w:type="paragraph" w:customStyle="1" w:styleId="230">
    <w:name w:val="批注主题1"/>
    <w:basedOn w:val="208"/>
    <w:next w:val="208"/>
    <w:link w:val="231"/>
    <w:qFormat/>
    <w:uiPriority w:val="0"/>
    <w:rPr>
      <w:b/>
      <w:bCs/>
    </w:rPr>
  </w:style>
  <w:style w:type="character" w:customStyle="1" w:styleId="231">
    <w:name w:val="批注主题 Char"/>
    <w:link w:val="230"/>
    <w:qFormat/>
    <w:uiPriority w:val="0"/>
    <w:rPr>
      <w:b/>
      <w:bCs/>
      <w:sz w:val="21"/>
      <w:szCs w:val="24"/>
    </w:rPr>
  </w:style>
  <w:style w:type="paragraph" w:customStyle="1" w:styleId="232">
    <w:name w:val="正文首行缩进 21"/>
    <w:basedOn w:val="212"/>
    <w:qFormat/>
    <w:uiPriority w:val="0"/>
    <w:pPr>
      <w:widowControl/>
      <w:spacing w:after="120"/>
      <w:ind w:left="420" w:firstLine="420"/>
    </w:pPr>
    <w:rPr>
      <w:rFonts w:ascii="仿宋_GB2312" w:eastAsia="仿宋_GB2312"/>
      <w:color w:val="FF6600"/>
      <w:sz w:val="21"/>
    </w:rPr>
  </w:style>
  <w:style w:type="table" w:customStyle="1" w:styleId="233">
    <w:name w:val="网格型1"/>
    <w:basedOn w:val="205"/>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34">
    <w:name w:val="要点1"/>
    <w:qFormat/>
    <w:uiPriority w:val="0"/>
  </w:style>
  <w:style w:type="character" w:customStyle="1" w:styleId="235">
    <w:name w:val="页码1"/>
    <w:qFormat/>
    <w:uiPriority w:val="0"/>
  </w:style>
  <w:style w:type="character" w:customStyle="1" w:styleId="236">
    <w:name w:val="已访问的超链接1"/>
    <w:qFormat/>
    <w:uiPriority w:val="0"/>
    <w:rPr>
      <w:color w:val="800080"/>
      <w:u w:val="none"/>
    </w:rPr>
  </w:style>
  <w:style w:type="character" w:customStyle="1" w:styleId="237">
    <w:name w:val="强调1"/>
    <w:qFormat/>
    <w:uiPriority w:val="0"/>
  </w:style>
  <w:style w:type="character" w:customStyle="1" w:styleId="238">
    <w:name w:val="HTML 定义1"/>
    <w:qFormat/>
    <w:uiPriority w:val="0"/>
  </w:style>
  <w:style w:type="character" w:customStyle="1" w:styleId="239">
    <w:name w:val="HTML 打字机1"/>
    <w:qFormat/>
    <w:uiPriority w:val="0"/>
    <w:rPr>
      <w:rFonts w:ascii="monospace" w:hAnsi="monospace" w:eastAsia="monospace" w:cs="monospace"/>
      <w:sz w:val="20"/>
    </w:rPr>
  </w:style>
  <w:style w:type="character" w:customStyle="1" w:styleId="240">
    <w:name w:val="HTML 缩写1"/>
    <w:qFormat/>
    <w:uiPriority w:val="0"/>
  </w:style>
  <w:style w:type="character" w:customStyle="1" w:styleId="241">
    <w:name w:val="HTML 变量1"/>
    <w:qFormat/>
    <w:uiPriority w:val="0"/>
  </w:style>
  <w:style w:type="character" w:customStyle="1" w:styleId="242">
    <w:name w:val="超链接1"/>
    <w:qFormat/>
    <w:uiPriority w:val="0"/>
    <w:rPr>
      <w:color w:val="0000FF"/>
      <w:u w:val="none"/>
    </w:rPr>
  </w:style>
  <w:style w:type="character" w:customStyle="1" w:styleId="243">
    <w:name w:val="HTML 代码1"/>
    <w:qFormat/>
    <w:uiPriority w:val="0"/>
    <w:rPr>
      <w:rFonts w:ascii="monospace" w:hAnsi="monospace" w:eastAsia="monospace" w:cs="monospace"/>
      <w:sz w:val="20"/>
    </w:rPr>
  </w:style>
  <w:style w:type="character" w:customStyle="1" w:styleId="244">
    <w:name w:val="批注引用1"/>
    <w:qFormat/>
    <w:uiPriority w:val="0"/>
    <w:rPr>
      <w:sz w:val="21"/>
      <w:szCs w:val="21"/>
    </w:rPr>
  </w:style>
  <w:style w:type="character" w:customStyle="1" w:styleId="245">
    <w:name w:val="HTML 引文1"/>
    <w:qFormat/>
    <w:uiPriority w:val="0"/>
  </w:style>
  <w:style w:type="character" w:customStyle="1" w:styleId="246">
    <w:name w:val="HTML 键盘1"/>
    <w:qFormat/>
    <w:uiPriority w:val="0"/>
    <w:rPr>
      <w:rFonts w:ascii="monospace" w:hAnsi="monospace" w:eastAsia="monospace" w:cs="monospace"/>
      <w:sz w:val="20"/>
    </w:rPr>
  </w:style>
  <w:style w:type="character" w:customStyle="1" w:styleId="247">
    <w:name w:val="HTML 样本1"/>
    <w:qFormat/>
    <w:uiPriority w:val="0"/>
    <w:rPr>
      <w:rFonts w:ascii="monospace" w:hAnsi="monospace" w:eastAsia="monospace" w:cs="monospace"/>
    </w:rPr>
  </w:style>
  <w:style w:type="character" w:customStyle="1" w:styleId="248">
    <w:name w:val="hour_pm"/>
    <w:qFormat/>
    <w:uiPriority w:val="0"/>
  </w:style>
  <w:style w:type="character" w:customStyle="1" w:styleId="249">
    <w:name w:val="Font Style37"/>
    <w:qFormat/>
    <w:uiPriority w:val="0"/>
    <w:rPr>
      <w:rFonts w:ascii="Arial" w:hAnsi="Arial" w:cs="Arial"/>
      <w:sz w:val="16"/>
      <w:szCs w:val="16"/>
    </w:rPr>
  </w:style>
  <w:style w:type="character" w:customStyle="1" w:styleId="250">
    <w:name w:val="Plain Text Char"/>
    <w:qFormat/>
    <w:uiPriority w:val="0"/>
    <w:rPr>
      <w:rFonts w:ascii="宋体" w:hAnsi="Courier New" w:eastAsia="宋体"/>
      <w:sz w:val="21"/>
      <w:lang w:val="en-US" w:eastAsia="zh-CN" w:bidi="ar-SA"/>
    </w:rPr>
  </w:style>
  <w:style w:type="character" w:customStyle="1" w:styleId="251">
    <w:name w:val="hour_am"/>
    <w:qFormat/>
    <w:uiPriority w:val="0"/>
  </w:style>
  <w:style w:type="character" w:customStyle="1" w:styleId="252">
    <w:name w:val="old"/>
    <w:qFormat/>
    <w:uiPriority w:val="0"/>
    <w:rPr>
      <w:color w:val="999999"/>
    </w:rPr>
  </w:style>
  <w:style w:type="character" w:customStyle="1" w:styleId="253">
    <w:name w:val="glyphicon"/>
    <w:qFormat/>
    <w:uiPriority w:val="0"/>
  </w:style>
  <w:style w:type="character" w:customStyle="1" w:styleId="254">
    <w:name w:val="Font Style29"/>
    <w:qFormat/>
    <w:uiPriority w:val="0"/>
    <w:rPr>
      <w:rFonts w:ascii="Arial" w:hAnsi="Arial" w:cs="Arial"/>
      <w:sz w:val="14"/>
      <w:szCs w:val="14"/>
    </w:rPr>
  </w:style>
  <w:style w:type="character" w:customStyle="1" w:styleId="255">
    <w:name w:val="标题 2 Char"/>
    <w:qFormat/>
    <w:uiPriority w:val="0"/>
    <w:rPr>
      <w:rFonts w:ascii="Arial" w:hAnsi="Arial" w:eastAsia="黑体"/>
      <w:b/>
      <w:sz w:val="32"/>
      <w:lang w:val="en-US" w:eastAsia="zh-CN"/>
    </w:rPr>
  </w:style>
  <w:style w:type="character" w:customStyle="1" w:styleId="256">
    <w:name w:val="Font Style30"/>
    <w:qFormat/>
    <w:uiPriority w:val="0"/>
    <w:rPr>
      <w:rFonts w:ascii="宋体" w:eastAsia="宋体" w:cs="宋体"/>
      <w:sz w:val="14"/>
      <w:szCs w:val="14"/>
    </w:rPr>
  </w:style>
  <w:style w:type="character" w:customStyle="1" w:styleId="257">
    <w:name w:val="hover"/>
    <w:qFormat/>
    <w:uiPriority w:val="0"/>
    <w:rPr>
      <w:shd w:val="clear" w:color="auto" w:fill="EEEEEE"/>
    </w:rPr>
  </w:style>
  <w:style w:type="character" w:customStyle="1" w:styleId="258">
    <w:name w:val="Font Style36"/>
    <w:qFormat/>
    <w:uiPriority w:val="0"/>
    <w:rPr>
      <w:rFonts w:ascii="宋体" w:eastAsia="宋体" w:cs="宋体"/>
      <w:sz w:val="16"/>
      <w:szCs w:val="16"/>
    </w:rPr>
  </w:style>
  <w:style w:type="paragraph" w:customStyle="1" w:styleId="259">
    <w:name w:val="正文（无缩进）"/>
    <w:basedOn w:val="1"/>
    <w:qFormat/>
    <w:uiPriority w:val="0"/>
    <w:pPr>
      <w:spacing w:line="360" w:lineRule="auto"/>
    </w:pPr>
    <w:rPr>
      <w:rFonts w:ascii="Calibri" w:hAnsi="Calibri"/>
      <w:sz w:val="24"/>
      <w:szCs w:val="21"/>
    </w:rPr>
  </w:style>
  <w:style w:type="paragraph" w:customStyle="1" w:styleId="260">
    <w:name w:val="标题1"/>
    <w:basedOn w:val="195"/>
    <w:next w:val="1"/>
    <w:qFormat/>
    <w:uiPriority w:val="0"/>
    <w:pPr>
      <w:numPr>
        <w:ilvl w:val="0"/>
        <w:numId w:val="1"/>
      </w:numPr>
      <w:spacing w:line="578" w:lineRule="atLeast"/>
      <w:jc w:val="left"/>
    </w:pPr>
  </w:style>
  <w:style w:type="paragraph" w:customStyle="1" w:styleId="261">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2">
    <w:name w:val="我的样式"/>
    <w:basedOn w:val="195"/>
    <w:next w:val="1"/>
    <w:qFormat/>
    <w:uiPriority w:val="0"/>
    <w:pPr>
      <w:numPr>
        <w:ilvl w:val="0"/>
        <w:numId w:val="2"/>
      </w:numPr>
      <w:spacing w:line="360" w:lineRule="auto"/>
    </w:pPr>
    <w:rPr>
      <w:rFonts w:ascii="仿宋_GB2312" w:eastAsia="仿宋_GB2312"/>
      <w:sz w:val="32"/>
      <w:szCs w:val="30"/>
    </w:rPr>
  </w:style>
  <w:style w:type="paragraph" w:customStyle="1" w:styleId="263">
    <w:name w:val="默认段落字体 Para Char Char Char Char Char Char Char Char Char1 Char Char Char Char Char Char Char"/>
    <w:basedOn w:val="207"/>
    <w:qFormat/>
    <w:uiPriority w:val="0"/>
    <w:rPr>
      <w:rFonts w:ascii="Tahoma" w:hAnsi="Tahoma"/>
      <w:sz w:val="24"/>
    </w:rPr>
  </w:style>
  <w:style w:type="paragraph" w:customStyle="1" w:styleId="264">
    <w:name w:val="样式1"/>
    <w:basedOn w:val="1"/>
    <w:qFormat/>
    <w:uiPriority w:val="0"/>
    <w:pPr>
      <w:numPr>
        <w:ilvl w:val="0"/>
        <w:numId w:val="1"/>
      </w:numPr>
      <w:tabs>
        <w:tab w:val="left" w:pos="1110"/>
      </w:tabs>
    </w:pPr>
    <w:rPr>
      <w:rFonts w:ascii="宋体" w:hAnsi="宋体"/>
      <w:szCs w:val="21"/>
    </w:rPr>
  </w:style>
  <w:style w:type="paragraph" w:customStyle="1" w:styleId="265">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66">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67">
    <w:name w:val="Style9"/>
    <w:basedOn w:val="1"/>
    <w:qFormat/>
    <w:uiPriority w:val="0"/>
    <w:pPr>
      <w:jc w:val="left"/>
    </w:pPr>
    <w:rPr>
      <w:rFonts w:ascii="宋体"/>
      <w:sz w:val="24"/>
    </w:rPr>
  </w:style>
  <w:style w:type="paragraph" w:customStyle="1" w:styleId="268">
    <w:name w:val="Char Char1 Char Char Char Char Char Char"/>
    <w:basedOn w:val="1"/>
    <w:qFormat/>
    <w:uiPriority w:val="0"/>
    <w:pPr>
      <w:widowControl/>
      <w:jc w:val="center"/>
    </w:pPr>
    <w:rPr>
      <w:rFonts w:ascii="宋体" w:hAnsi="宋体"/>
      <w:b/>
      <w:sz w:val="24"/>
      <w:lang w:eastAsia="en-US"/>
    </w:rPr>
  </w:style>
  <w:style w:type="paragraph" w:customStyle="1" w:styleId="269">
    <w:name w:val="_Style 56"/>
    <w:basedOn w:val="207"/>
    <w:qFormat/>
    <w:uiPriority w:val="0"/>
    <w:pPr>
      <w:spacing w:line="436" w:lineRule="exact"/>
    </w:pPr>
    <w:rPr>
      <w:szCs w:val="20"/>
    </w:rPr>
  </w:style>
  <w:style w:type="paragraph" w:customStyle="1" w:styleId="270">
    <w:name w:val="Style10"/>
    <w:basedOn w:val="1"/>
    <w:qFormat/>
    <w:uiPriority w:val="0"/>
    <w:pPr>
      <w:jc w:val="left"/>
    </w:pPr>
    <w:rPr>
      <w:rFonts w:ascii="宋体"/>
      <w:sz w:val="24"/>
    </w:rPr>
  </w:style>
  <w:style w:type="paragraph" w:customStyle="1" w:styleId="271">
    <w:name w:val="Char Char Char Char"/>
    <w:basedOn w:val="207"/>
    <w:qFormat/>
    <w:uiPriority w:val="0"/>
    <w:pPr>
      <w:spacing w:line="360" w:lineRule="auto"/>
    </w:pPr>
    <w:rPr>
      <w:rFonts w:ascii="Tahoma" w:hAnsi="Tahoma"/>
      <w:sz w:val="24"/>
    </w:rPr>
  </w:style>
  <w:style w:type="paragraph" w:customStyle="1" w:styleId="272">
    <w:name w:val="正文（缩进） Char1"/>
    <w:basedOn w:val="1"/>
    <w:qFormat/>
    <w:uiPriority w:val="0"/>
    <w:pPr>
      <w:spacing w:before="156" w:after="156" w:line="360" w:lineRule="auto"/>
      <w:ind w:firstLine="480"/>
    </w:pPr>
    <w:rPr>
      <w:sz w:val="24"/>
    </w:rPr>
  </w:style>
  <w:style w:type="paragraph" w:customStyle="1" w:styleId="273">
    <w:name w:val="普通正文"/>
    <w:basedOn w:val="1"/>
    <w:qFormat/>
    <w:uiPriority w:val="0"/>
    <w:pPr>
      <w:spacing w:before="120" w:after="120" w:line="360" w:lineRule="auto"/>
      <w:ind w:firstLine="480"/>
      <w:jc w:val="left"/>
    </w:pPr>
    <w:rPr>
      <w:rFonts w:ascii="Arial" w:hAnsi="Arial"/>
      <w:sz w:val="24"/>
    </w:rPr>
  </w:style>
  <w:style w:type="paragraph" w:customStyle="1" w:styleId="274">
    <w:name w:val="_Style 273"/>
    <w:semiHidden/>
    <w:qFormat/>
    <w:uiPriority w:val="99"/>
    <w:rPr>
      <w:rFonts w:ascii="Times New Roman" w:hAnsi="Times New Roman" w:eastAsia="宋体" w:cs="Times New Roman"/>
      <w:sz w:val="21"/>
      <w:szCs w:val="24"/>
      <w:lang w:val="en-US" w:eastAsia="zh-CN" w:bidi="ar-SA"/>
    </w:rPr>
  </w:style>
  <w:style w:type="paragraph" w:customStyle="1" w:styleId="275">
    <w:name w:val=" Char"/>
    <w:basedOn w:val="1"/>
    <w:qFormat/>
    <w:uiPriority w:val="0"/>
    <w:pPr>
      <w:tabs>
        <w:tab w:val="left" w:pos="420"/>
      </w:tabs>
      <w:ind w:left="420" w:hanging="420"/>
      <w:jc w:val="left"/>
    </w:pPr>
    <w:rPr>
      <w:szCs w:val="20"/>
    </w:rPr>
  </w:style>
  <w:style w:type="paragraph" w:customStyle="1" w:styleId="276">
    <w:name w:val="文档正文"/>
    <w:basedOn w:val="1"/>
    <w:qFormat/>
    <w:uiPriority w:val="0"/>
    <w:pPr>
      <w:spacing w:line="480" w:lineRule="atLeast"/>
      <w:ind w:firstLine="567"/>
    </w:pPr>
    <w:rPr>
      <w:rFonts w:ascii="仿宋_GB2312"/>
      <w:szCs w:val="20"/>
    </w:rPr>
  </w:style>
  <w:style w:type="paragraph" w:customStyle="1" w:styleId="277">
    <w:name w:val="要点标题"/>
    <w:basedOn w:val="1"/>
    <w:qFormat/>
    <w:uiPriority w:val="0"/>
    <w:pPr>
      <w:numPr>
        <w:ilvl w:val="0"/>
        <w:numId w:val="3"/>
      </w:numPr>
      <w:jc w:val="left"/>
    </w:pPr>
    <w:rPr>
      <w:rFonts w:ascii="宋体" w:hAnsi="宋体"/>
      <w:b/>
      <w:sz w:val="24"/>
    </w:rPr>
  </w:style>
  <w:style w:type="paragraph" w:customStyle="1" w:styleId="278">
    <w:name w:val="Style11"/>
    <w:basedOn w:val="1"/>
    <w:qFormat/>
    <w:uiPriority w:val="0"/>
    <w:pPr>
      <w:spacing w:line="446" w:lineRule="exact"/>
      <w:jc w:val="left"/>
    </w:pPr>
    <w:rPr>
      <w:rFonts w:ascii="宋体"/>
      <w:sz w:val="24"/>
    </w:rPr>
  </w:style>
  <w:style w:type="paragraph" w:customStyle="1" w:styleId="279">
    <w:name w:val="Char1"/>
    <w:basedOn w:val="1"/>
    <w:qFormat/>
    <w:uiPriority w:val="0"/>
    <w:pPr>
      <w:tabs>
        <w:tab w:val="left" w:pos="840"/>
      </w:tabs>
      <w:ind w:left="840" w:hanging="420"/>
    </w:pPr>
    <w:rPr>
      <w:sz w:val="24"/>
    </w:rPr>
  </w:style>
  <w:style w:type="paragraph" w:customStyle="1" w:styleId="280">
    <w:name w:val="Char"/>
    <w:basedOn w:val="1"/>
    <w:qFormat/>
    <w:uiPriority w:val="0"/>
    <w:pPr>
      <w:tabs>
        <w:tab w:val="left" w:pos="360"/>
      </w:tabs>
    </w:pPr>
    <w:rPr>
      <w:sz w:val="24"/>
    </w:rPr>
  </w:style>
  <w:style w:type="paragraph" w:customStyle="1" w:styleId="281">
    <w:name w:val="Style12"/>
    <w:basedOn w:val="1"/>
    <w:qFormat/>
    <w:uiPriority w:val="0"/>
    <w:pPr>
      <w:jc w:val="left"/>
    </w:pPr>
    <w:rPr>
      <w:rFonts w:ascii="宋体"/>
      <w:sz w:val="24"/>
    </w:rPr>
  </w:style>
  <w:style w:type="paragraph" w:customStyle="1" w:styleId="282">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83">
    <w:name w:val="首行缩进"/>
    <w:basedOn w:val="1"/>
    <w:qFormat/>
    <w:uiPriority w:val="0"/>
    <w:pPr>
      <w:spacing w:line="360" w:lineRule="auto"/>
      <w:ind w:firstLine="420"/>
    </w:pPr>
    <w:rPr>
      <w:sz w:val="20"/>
    </w:rPr>
  </w:style>
  <w:style w:type="paragraph" w:customStyle="1" w:styleId="284">
    <w:name w:val="Table Text"/>
    <w:basedOn w:val="1"/>
    <w:semiHidden/>
    <w:qFormat/>
    <w:uiPriority w:val="0"/>
    <w:rPr>
      <w:rFonts w:ascii="宋体" w:hAnsi="宋体" w:eastAsia="宋体" w:cs="宋体"/>
      <w:sz w:val="24"/>
      <w:szCs w:val="24"/>
      <w:lang w:eastAsia="en-US"/>
    </w:rPr>
  </w:style>
  <w:style w:type="table" w:customStyle="1" w:styleId="285">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286">
    <w:name w:val="font71"/>
    <w:basedOn w:val="40"/>
    <w:qFormat/>
    <w:uiPriority w:val="0"/>
    <w:rPr>
      <w:rFonts w:hint="eastAsia" w:ascii="宋体" w:hAnsi="宋体" w:eastAsia="宋体" w:cs="宋体"/>
      <w:color w:val="000000"/>
      <w:sz w:val="21"/>
      <w:szCs w:val="21"/>
      <w:u w:val="none"/>
    </w:rPr>
  </w:style>
  <w:style w:type="character" w:customStyle="1" w:styleId="287">
    <w:name w:val="font91"/>
    <w:basedOn w:val="40"/>
    <w:qFormat/>
    <w:uiPriority w:val="0"/>
    <w:rPr>
      <w:rFonts w:hint="eastAsia" w:ascii="宋体" w:hAnsi="宋体" w:eastAsia="宋体" w:cs="宋体"/>
      <w:color w:val="000000"/>
      <w:sz w:val="21"/>
      <w:szCs w:val="21"/>
      <w:u w:val="none"/>
    </w:rPr>
  </w:style>
  <w:style w:type="character" w:customStyle="1" w:styleId="288">
    <w:name w:val="font112"/>
    <w:basedOn w:val="40"/>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72</Pages>
  <Words>30040</Words>
  <Characters>31552</Characters>
  <Lines>357</Lines>
  <Paragraphs>100</Paragraphs>
  <TotalTime>1</TotalTime>
  <ScaleCrop>false</ScaleCrop>
  <LinksUpToDate>false</LinksUpToDate>
  <CharactersWithSpaces>32168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''''半清半浅~~</cp:lastModifiedBy>
  <cp:lastPrinted>2024-11-20T00:55:00Z</cp:lastPrinted>
  <dcterms:modified xsi:type="dcterms:W3CDTF">2024-11-25T01:32:14Z</dcterms:modified>
  <dc:title>淮安市政府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DF05556A1B294997B6567F141F5E583A_13</vt:lpwstr>
  </property>
</Properties>
</file>