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firstLine="0"/>
        <w:jc w:val="center"/>
        <w:keepLines w:val="0"/>
        <w:keepNext w:val="0"/>
        <w:pageBreakBefore w:val="0"/>
        <w:spacing w:before="0" w:after="0" w:line="360" w:lineRule="auto"/>
        <w:widowControl w:val="off"/>
        <w:rPr>
          <w:rFonts w:hint="eastAsia" w:ascii="宋体" w:hAnsi="宋体" w:eastAsia="宋体" w:cs="宋体"/>
          <w:b/>
          <w:bCs/>
          <w:color w:val="auto"/>
          <w:sz w:val="84"/>
          <w:szCs w:val="84"/>
          <w:highlight w:val="none"/>
        </w:rPr>
        <w:outlineLvl w:val="9"/>
      </w:pPr>
      <w:r/>
      <w:bookmarkStart w:id="0" w:name="_Toc2539"/>
      <w:r/>
      <w:bookmarkStart w:id="1" w:name="_Toc10769"/>
      <w:r/>
      <w:bookmarkStart w:id="2" w:name="_Toc3793"/>
      <w:r/>
      <w:bookmarkStart w:id="3" w:name="_Toc6715"/>
      <w:r/>
      <w:bookmarkStart w:id="4" w:name="_Toc6554"/>
      <w:r/>
      <w:bookmarkStart w:id="5" w:name="_Toc5544"/>
      <w:r/>
      <w:r/>
    </w:p>
    <w:p>
      <w:pPr>
        <w:pStyle w:val="1006"/>
        <w:ind w:firstLine="0"/>
        <w:jc w:val="center"/>
        <w:keepLines w:val="0"/>
        <w:keepNext w:val="0"/>
        <w:pageBreakBefore w:val="0"/>
        <w:spacing w:before="0" w:after="0" w:line="360" w:lineRule="auto"/>
        <w:widowControl w:val="off"/>
        <w:rPr>
          <w:rFonts w:hint="eastAsia" w:ascii="宋体" w:hAnsi="宋体" w:eastAsia="宋体" w:cs="宋体"/>
          <w:b/>
          <w:bCs/>
          <w:color w:val="auto"/>
          <w:sz w:val="84"/>
          <w:szCs w:val="84"/>
          <w:highlight w:val="none"/>
        </w:rPr>
        <w:outlineLvl w:val="0"/>
      </w:pPr>
      <w:r/>
      <w:bookmarkStart w:id="6" w:name="_Toc24576"/>
      <w:r>
        <w:rPr>
          <w:rFonts w:hint="eastAsia" w:ascii="宋体" w:hAnsi="宋体" w:eastAsia="宋体" w:cs="宋体"/>
          <w:b/>
          <w:bCs/>
          <w:color w:val="auto"/>
          <w:sz w:val="84"/>
          <w:szCs w:val="84"/>
          <w:highlight w:val="none"/>
        </w:rPr>
        <w:t xml:space="preserve">招　标　文　件</w:t>
      </w:r>
      <w:bookmarkEnd w:id="0"/>
      <w:r/>
      <w:bookmarkEnd w:id="1"/>
      <w:r/>
      <w:bookmarkEnd w:id="2"/>
      <w:r/>
      <w:bookmarkEnd w:id="3"/>
      <w:r/>
      <w:bookmarkEnd w:id="4"/>
      <w:r/>
      <w:bookmarkEnd w:id="5"/>
      <w:r/>
      <w:bookmarkEnd w:id="6"/>
      <w:r/>
      <w:r/>
    </w:p>
    <w:p>
      <w:pPr>
        <w:pStyle w:val="1006"/>
        <w:ind w:firstLine="1928"/>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06"/>
        <w:ind w:firstLine="1928"/>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06"/>
        <w:ind w:firstLine="1928"/>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06"/>
        <w:ind w:firstLine="1928"/>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06"/>
        <w:ind w:left="0" w:firstLine="0"/>
        <w:jc w:val="center"/>
        <w:keepLines w:val="0"/>
        <w:keepNext w:val="0"/>
        <w:pageBreakBefore w:val="0"/>
        <w:spacing w:before="0" w:after="0" w:line="360" w:lineRule="auto"/>
        <w:widowControl w:val="off"/>
        <w:rPr>
          <w:rStyle w:val="794"/>
          <w:rFonts w:hint="eastAsia" w:ascii="宋体" w:hAnsi="宋体" w:eastAsia="宋体" w:cs="宋体"/>
          <w:b w:val="0"/>
          <w:color w:val="auto"/>
          <w:sz w:val="24"/>
          <w:szCs w:val="24"/>
          <w:highlight w:val="none"/>
          <w:lang w:eastAsia="zh-CN"/>
        </w:rPr>
        <w:outlineLvl w:val="9"/>
      </w:pPr>
      <w:r/>
      <w:bookmarkStart w:id="7" w:name="_Toc2262"/>
      <w:r/>
      <w:bookmarkStart w:id="8" w:name="_Toc17697"/>
      <w:r/>
      <w:bookmarkStart w:id="9" w:name="_Toc14121"/>
      <w:r/>
      <w:bookmarkStart w:id="10" w:name="_Toc23945"/>
      <w:r>
        <w:rPr>
          <w:rFonts w:hint="eastAsia" w:ascii="宋体" w:hAnsi="宋体" w:eastAsia="宋体" w:cs="宋体"/>
          <w:b/>
          <w:bCs/>
          <w:color w:val="auto"/>
          <w:sz w:val="32"/>
          <w:szCs w:val="32"/>
          <w:highlight w:val="none"/>
        </w:rPr>
        <w:t xml:space="preserve">项目名称：</w:t>
      </w:r>
      <w:bookmarkEnd w:id="7"/>
      <w:r/>
      <w:bookmarkEnd w:id="8"/>
      <w:r/>
      <w:bookmarkEnd w:id="9"/>
      <w:r/>
      <w:bookmarkEnd w:id="10"/>
      <w:r/>
      <w:bookmarkStart w:id="11" w:name="_Toc30397"/>
      <w:r>
        <w:rPr>
          <w:rFonts w:hint="eastAsia" w:ascii="宋体" w:hAnsi="宋体" w:cs="宋体"/>
          <w:b/>
          <w:bCs/>
          <w:color w:val="auto"/>
          <w:sz w:val="32"/>
          <w:szCs w:val="32"/>
          <w:highlight w:val="none"/>
          <w:lang w:eastAsia="zh-CN"/>
        </w:rPr>
        <w:t xml:space="preserve">张家港市港口学校小学部改扩建工程弱电采购</w:t>
      </w:r>
      <w:r/>
    </w:p>
    <w:p>
      <w:pPr>
        <w:pStyle w:val="1006"/>
        <w:ind w:left="0" w:firstLine="0"/>
        <w:jc w:val="center"/>
        <w:keepLines w:val="0"/>
        <w:keepNext w:val="0"/>
        <w:pageBreakBefore w:val="0"/>
        <w:spacing w:before="0" w:after="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rPr>
        <w:t xml:space="preserve">项目编号：</w:t>
      </w:r>
      <w:bookmarkEnd w:id="11"/>
      <w:r>
        <w:rPr>
          <w:rFonts w:hint="eastAsia" w:ascii="宋体" w:hAnsi="宋体" w:cs="宋体"/>
          <w:b/>
          <w:bCs/>
          <w:color w:val="auto"/>
          <w:sz w:val="32"/>
          <w:szCs w:val="32"/>
          <w:highlight w:val="none"/>
          <w:lang w:eastAsia="zh-CN"/>
        </w:rPr>
        <w:t xml:space="preserve">JSZC-320582-DAZH-G2025-0008</w:t>
      </w:r>
      <w:r/>
    </w:p>
    <w:p>
      <w:pPr>
        <w:pStyle w:val="1006"/>
        <w:ind w:left="0" w:firstLine="0"/>
        <w:jc w:val="center"/>
        <w:keepLines w:val="0"/>
        <w:keepNext w:val="0"/>
        <w:pageBreakBefore w:val="0"/>
        <w:spacing w:before="0" w:after="0" w:line="360" w:lineRule="auto"/>
        <w:widowControl w:val="off"/>
        <w:rPr>
          <w:rFonts w:ascii="宋体" w:hAnsi="宋体" w:eastAsia="宋体" w:cs="宋体"/>
          <w:b/>
          <w:bCs/>
          <w:color w:val="auto"/>
          <w:sz w:val="32"/>
          <w:szCs w:val="32"/>
          <w:highlight w:val="none"/>
          <w:lang w:val="en-US" w:eastAsia="zh-CN"/>
        </w:rPr>
        <w:outlineLvl w:val="9"/>
      </w:pP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lang w:val="en-US" w:eastAsia="zh-CN"/>
        </w:rPr>
        <w:t xml:space="preserve">货物</w:t>
      </w:r>
      <w:r>
        <w:rPr>
          <w:rFonts w:hint="eastAsia" w:ascii="宋体" w:hAnsi="宋体"/>
          <w:b/>
          <w:bCs/>
          <w:color w:val="auto"/>
          <w:sz w:val="32"/>
          <w:szCs w:val="32"/>
          <w:highlight w:val="none"/>
        </w:rPr>
        <w:t xml:space="preserve">类</w:t>
      </w:r>
      <w:r/>
    </w:p>
    <w:p>
      <w:pPr>
        <w:pStyle w:val="1006"/>
        <w:ind w:firstLine="640"/>
        <w:spacing w:before="0" w:after="0" w:line="44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ind w:firstLine="2329"/>
        <w:jc w:val="center"/>
        <w:spacing w:line="300" w:lineRule="auto"/>
        <w:rPr>
          <w:b/>
          <w:bCs/>
          <w:color w:val="auto"/>
          <w:sz w:val="32"/>
          <w:szCs w:val="32"/>
          <w:highlight w:val="none"/>
        </w:rPr>
      </w:pPr>
      <w:r>
        <w:rPr>
          <w:b/>
          <w:bCs/>
          <w:color w:val="auto"/>
          <w:sz w:val="32"/>
          <w:szCs w:val="32"/>
          <w:highlight w:val="none"/>
        </w:rPr>
      </w:r>
      <w:r/>
    </w:p>
    <w:p>
      <w:pPr>
        <w:pStyle w:val="984"/>
        <w:ind w:left="0" w:firstLine="0"/>
        <w:rPr>
          <w:b/>
          <w:bCs/>
          <w:color w:val="auto"/>
          <w:sz w:val="32"/>
          <w:szCs w:val="32"/>
          <w:highlight w:val="none"/>
        </w:rPr>
      </w:pPr>
      <w:r>
        <w:rPr>
          <w:b/>
          <w:bCs/>
          <w:color w:val="auto"/>
          <w:sz w:val="32"/>
          <w:szCs w:val="32"/>
          <w:highlight w:val="none"/>
        </w:rPr>
      </w:r>
      <w:r/>
    </w:p>
    <w:p>
      <w:pPr>
        <w:rPr>
          <w:b/>
          <w:bCs/>
          <w:color w:val="auto"/>
          <w:sz w:val="32"/>
          <w:szCs w:val="32"/>
          <w:highlight w:val="none"/>
        </w:rPr>
      </w:pPr>
      <w:r>
        <w:rPr>
          <w:b/>
          <w:bCs/>
          <w:color w:val="auto"/>
          <w:sz w:val="32"/>
          <w:szCs w:val="32"/>
          <w:highlight w:val="none"/>
        </w:rPr>
      </w:r>
      <w:r/>
    </w:p>
    <w:p>
      <w:pPr>
        <w:pStyle w:val="829"/>
        <w:rPr>
          <w:b/>
          <w:bCs/>
          <w:color w:val="auto"/>
          <w:sz w:val="32"/>
          <w:szCs w:val="32"/>
          <w:highlight w:val="none"/>
        </w:rPr>
      </w:pPr>
      <w:r>
        <w:rPr>
          <w:b/>
          <w:bCs/>
          <w:color w:val="auto"/>
          <w:sz w:val="32"/>
          <w:szCs w:val="32"/>
          <w:highlight w:val="none"/>
        </w:rPr>
      </w:r>
      <w:r/>
    </w:p>
    <w:p>
      <w:pPr>
        <w:rPr>
          <w:b/>
          <w:bCs/>
          <w:color w:val="auto"/>
          <w:sz w:val="32"/>
          <w:szCs w:val="32"/>
          <w:highlight w:val="none"/>
        </w:rPr>
      </w:pPr>
      <w:r>
        <w:rPr>
          <w:b/>
          <w:bCs/>
          <w:color w:val="auto"/>
          <w:sz w:val="32"/>
          <w:szCs w:val="32"/>
          <w:highlight w:val="none"/>
        </w:rPr>
      </w:r>
      <w:r/>
    </w:p>
    <w:p>
      <w:pPr>
        <w:pStyle w:val="829"/>
        <w:rPr>
          <w:color w:val="auto"/>
          <w:highlight w:val="none"/>
        </w:rPr>
      </w:pPr>
      <w:r>
        <w:rPr>
          <w:color w:val="auto"/>
          <w:highlight w:val="none"/>
        </w:rPr>
      </w:r>
      <w:r/>
    </w:p>
    <w:p>
      <w:pPr>
        <w:ind w:firstLine="0"/>
        <w:jc w:val="center"/>
        <w:spacing w:line="300" w:lineRule="auto"/>
        <w:rPr>
          <w:rFonts w:hint="eastAsia"/>
          <w:b/>
          <w:bCs/>
          <w:color w:val="auto"/>
          <w:sz w:val="32"/>
          <w:szCs w:val="32"/>
          <w:highlight w:val="none"/>
        </w:rPr>
      </w:pPr>
      <w:r>
        <w:rPr>
          <w:rFonts w:hint="eastAsia"/>
          <w:b/>
          <w:bCs/>
          <w:color w:val="auto"/>
          <w:sz w:val="32"/>
          <w:szCs w:val="32"/>
          <w:highlight w:val="none"/>
        </w:rPr>
      </w:r>
      <w:r/>
    </w:p>
    <w:p>
      <w:pPr>
        <w:ind w:left="0" w:firstLine="0"/>
        <w:jc w:val="center"/>
        <w:keepLines w:val="0"/>
        <w:keepNext w:val="0"/>
        <w:pageBreakBefore w:val="0"/>
        <w:widowControl w:val="off"/>
        <w:rPr>
          <w:rFonts w:hint="eastAsia" w:eastAsia="宋体"/>
          <w:b/>
          <w:bCs/>
          <w:color w:val="auto"/>
          <w:sz w:val="32"/>
          <w:szCs w:val="32"/>
          <w:highlight w:val="none"/>
          <w:lang w:eastAsia="zh-CN"/>
        </w:rPr>
        <w:outlineLvl w:val="9"/>
      </w:pPr>
      <w:r/>
      <w:bookmarkStart w:id="12" w:name="_Toc16938516"/>
      <w:r/>
      <w:bookmarkStart w:id="13" w:name="_Toc120614211"/>
      <w:r/>
      <w:bookmarkStart w:id="14" w:name="_Toc513029200"/>
      <w:r/>
      <w:bookmarkStart w:id="15" w:name="_Toc479757206"/>
      <w:r/>
      <w:bookmarkStart w:id="16" w:name="_Toc523127445"/>
      <w:r/>
      <w:bookmarkStart w:id="17" w:name="_Toc20823272"/>
      <w:r>
        <w:rPr>
          <w:rFonts w:hint="eastAsia"/>
          <w:b/>
          <w:bCs/>
          <w:color w:val="auto"/>
          <w:sz w:val="32"/>
          <w:szCs w:val="32"/>
          <w:highlight w:val="none"/>
          <w:lang w:eastAsia="zh-CN"/>
        </w:rPr>
        <w:t xml:space="preserve">苏州大智项目管理咨询有限公司</w:t>
      </w:r>
      <w:r/>
    </w:p>
    <w:p>
      <w:pPr>
        <w:pStyle w:val="1006"/>
        <w:ind w:firstLine="0"/>
        <w:jc w:val="center"/>
        <w:keepLines w:val="0"/>
        <w:keepNext w:val="0"/>
        <w:pageBreakBefore w:val="0"/>
        <w:spacing w:before="0" w:after="0" w:line="440" w:lineRule="exact"/>
        <w:widowControl w:val="off"/>
        <w:rPr>
          <w:rFonts w:hint="eastAsia" w:ascii="宋体" w:hAnsi="宋体"/>
          <w:color w:val="auto"/>
          <w:sz w:val="32"/>
          <w:szCs w:val="32"/>
          <w:highlight w:val="none"/>
        </w:rPr>
      </w:pPr>
      <w:r>
        <w:rPr>
          <w:rFonts w:hint="eastAsia" w:ascii="宋体" w:hAnsi="宋体"/>
          <w:color w:val="auto"/>
          <w:sz w:val="32"/>
          <w:szCs w:val="32"/>
          <w:highlight w:val="none"/>
        </w:rPr>
      </w:r>
      <w:r/>
    </w:p>
    <w:p>
      <w:pPr>
        <w:pStyle w:val="985"/>
        <w:ind w:left="0" w:firstLine="0"/>
        <w:jc w:val="center"/>
        <w:keepLines w:val="0"/>
        <w:keepNext w:val="0"/>
        <w:pageBreakBefore w:val="0"/>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二〇二</w:t>
      </w:r>
      <w:r>
        <w:rPr>
          <w:rFonts w:hint="eastAsia" w:ascii="宋体" w:hAnsi="宋体"/>
          <w:b/>
          <w:bCs/>
          <w:color w:val="auto"/>
          <w:sz w:val="32"/>
          <w:szCs w:val="32"/>
          <w:highlight w:val="none"/>
          <w:lang w:val="en-US" w:eastAsia="zh-CN"/>
        </w:rPr>
        <w:t xml:space="preserve">五</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九</w:t>
      </w:r>
      <w:r>
        <w:rPr>
          <w:rFonts w:hint="eastAsia" w:ascii="宋体" w:hAnsi="宋体"/>
          <w:b/>
          <w:bCs/>
          <w:color w:val="auto"/>
          <w:sz w:val="32"/>
          <w:szCs w:val="32"/>
          <w:highlight w:val="none"/>
        </w:rPr>
        <w:t xml:space="preserve">月</w:t>
      </w:r>
      <w:r/>
    </w:p>
    <w:p>
      <w:pPr>
        <w:ind w:firstLine="420"/>
        <w:rPr>
          <w:rFonts w:hint="eastAsia"/>
          <w:color w:val="auto"/>
          <w:highlight w:val="none"/>
        </w:rPr>
      </w:pPr>
      <w:r>
        <w:rPr>
          <w:rFonts w:hint="eastAsia"/>
          <w:color w:val="auto"/>
          <w:highlight w:val="none"/>
        </w:rPr>
      </w:r>
      <w:r/>
    </w:p>
    <w:p>
      <w:pPr>
        <w:ind w:firstLine="0"/>
        <w:jc w:val="center"/>
        <w:keepLines w:val="0"/>
        <w:keepNext w:val="0"/>
        <w:pageBreakBefore/>
        <w:spacing w:before="200" w:after="120"/>
        <w:widowControl w:val="off"/>
        <w:rPr>
          <w:rFonts w:hint="eastAsia" w:ascii="宋体" w:hAnsi="宋体" w:eastAsia="宋体" w:cs="宋体"/>
          <w:b/>
          <w:bCs/>
          <w:color w:val="auto"/>
          <w:sz w:val="44"/>
          <w:szCs w:val="44"/>
          <w:highlight w:val="none"/>
        </w:rPr>
        <w:sectPr>
          <w:headerReference w:type="default" r:id="rId9"/>
          <w:footerReference w:type="default" r:id="rId11"/>
          <w:footerReference w:type="first" r:id="rId12"/>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8" w:name="_Toc120614210"/>
      <w:r/>
      <w:r/>
    </w:p>
    <w:p>
      <w:pPr>
        <w:ind w:firstLine="0"/>
        <w:jc w:val="center"/>
        <w:keepLines w:val="0"/>
        <w:keepNext w:val="0"/>
        <w:pageBreakBefore/>
        <w:spacing w:before="200" w:after="120"/>
        <w:widowControl w:val="off"/>
        <w:rPr>
          <w:rFonts w:ascii="Arial" w:hAnsi="宋体" w:eastAsia="黑体" w:cs="Arial"/>
          <w:color w:val="auto"/>
          <w:sz w:val="24"/>
          <w:highlight w:val="none"/>
        </w:rPr>
      </w:pPr>
      <w:r>
        <w:rPr>
          <w:rFonts w:hint="eastAsia" w:ascii="宋体" w:hAnsi="宋体" w:eastAsia="宋体" w:cs="宋体"/>
          <w:b/>
          <w:bCs/>
          <w:color w:val="auto"/>
          <w:sz w:val="44"/>
          <w:szCs w:val="44"/>
          <w:highlight w:val="none"/>
        </w:rPr>
        <w:t xml:space="preserve">总  目  录</w:t>
      </w:r>
      <w:r/>
    </w:p>
    <w:p>
      <w:pPr>
        <w:ind w:firstLine="562"/>
        <w:tabs>
          <w:tab w:val="left" w:pos="1440" w:leader="none"/>
        </w:tabs>
        <w:rPr>
          <w:color w:val="auto"/>
          <w:highlight w:val="none"/>
        </w:rPr>
      </w:pPr>
      <w:r>
        <w:rPr>
          <w:rFonts w:hint="eastAsia" w:ascii="仿宋_GB2312" w:eastAsia="仿宋_GB2312"/>
          <w:b/>
          <w:bCs/>
          <w:color w:val="auto"/>
          <w:sz w:val="28"/>
          <w:szCs w:val="28"/>
          <w:highlight w:val="none"/>
        </w:rPr>
        <w:t xml:space="preserve"> </w:t>
      </w:r>
      <w:r/>
    </w:p>
    <w:sdt>
      <w:sdtPr>
        <w15:appearance w15:val="boundingBox"/>
        <w15:color w:val="dbdbdb"/>
        <w:id w:val="147471572"/>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1007"/>
            <w:spacing w:line="480" w:lineRule="auto"/>
            <w:tabs>
              <w:tab w:val="right" w:pos="9746" w:leader="dot"/>
            </w:tabs>
            <w:rPr>
              <w:rFonts w:hint="eastAsia" w:ascii="宋体" w:hAnsi="宋体" w:eastAsia="宋体" w:cs="宋体"/>
              <w:color w:val="auto"/>
              <w:sz w:val="28"/>
              <w:szCs w:val="36"/>
              <w:highlight w:val="none"/>
              <w:lang w:val="en-US" w:eastAsia="zh-CN" w:bidi="ar-SA"/>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HYPERLINK \l _Toc9618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 xml:space="preserve">第一章 投标邀请</w:t>
          </w:r>
          <w:r>
            <w:rPr>
              <w:rFonts w:hint="eastAsia" w:ascii="宋体" w:hAnsi="宋体" w:eastAsia="宋体" w:cs="宋体"/>
              <w:color w:val="auto"/>
              <w:sz w:val="28"/>
              <w:szCs w:val="36"/>
              <w:highlight w:val="none"/>
              <w:lang w:val="en-US" w:eastAsia="zh-CN" w:bidi="ar-SA"/>
            </w:rPr>
            <w:tab/>
          </w: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PAGEREF _Toc9618 \h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 xml:space="preserve">1</w:t>
          </w:r>
          <w:r>
            <w:rPr>
              <w:rFonts w:hint="eastAsia" w:ascii="宋体" w:hAnsi="宋体" w:eastAsia="宋体" w:cs="宋体"/>
              <w:color w:val="auto"/>
              <w:sz w:val="28"/>
              <w:szCs w:val="36"/>
              <w:highlight w:val="none"/>
              <w:lang w:val="en-US" w:eastAsia="zh-CN" w:bidi="ar-SA"/>
            </w:rPr>
            <w:fldChar w:fldCharType="end"/>
          </w:r>
          <w:r>
            <w:rPr>
              <w:rFonts w:hint="eastAsia" w:ascii="宋体" w:hAnsi="宋体" w:eastAsia="宋体" w:cs="宋体"/>
              <w:color w:val="auto"/>
              <w:sz w:val="28"/>
              <w:szCs w:val="36"/>
              <w:highlight w:val="none"/>
              <w:lang w:val="en-US" w:eastAsia="zh-CN" w:bidi="ar-SA"/>
            </w:rPr>
            <w:fldChar w:fldCharType="end"/>
          </w:r>
          <w:r/>
        </w:p>
        <w:p>
          <w:pPr>
            <w:pStyle w:val="1007"/>
            <w:spacing w:line="480" w:lineRule="auto"/>
            <w:tabs>
              <w:tab w:val="right" w:pos="9746" w:leader="dot"/>
            </w:tabs>
            <w:rPr>
              <w:rFonts w:hint="eastAsia" w:ascii="宋体" w:hAnsi="宋体" w:eastAsia="宋体" w:cs="宋体"/>
              <w:color w:val="auto"/>
              <w:sz w:val="28"/>
              <w:szCs w:val="36"/>
              <w:highlight w:val="none"/>
              <w:lang w:val="en-US" w:eastAsia="zh-CN" w:bidi="ar-SA"/>
            </w:rPr>
          </w:pP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HYPERLINK \l _Toc13899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 xml:space="preserve">第二章 投标人须知</w:t>
          </w:r>
          <w:r>
            <w:rPr>
              <w:rFonts w:hint="eastAsia" w:ascii="宋体" w:hAnsi="宋体" w:eastAsia="宋体" w:cs="宋体"/>
              <w:color w:val="auto"/>
              <w:sz w:val="28"/>
              <w:szCs w:val="36"/>
              <w:highlight w:val="none"/>
              <w:lang w:val="en-US" w:eastAsia="zh-CN" w:bidi="ar-SA"/>
            </w:rPr>
            <w:tab/>
          </w: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PAGEREF _Toc13899 \h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 xml:space="preserve">4</w:t>
          </w:r>
          <w:r>
            <w:rPr>
              <w:rFonts w:hint="eastAsia" w:ascii="宋体" w:hAnsi="宋体" w:eastAsia="宋体" w:cs="宋体"/>
              <w:color w:val="auto"/>
              <w:sz w:val="28"/>
              <w:szCs w:val="36"/>
              <w:highlight w:val="none"/>
              <w:lang w:val="en-US" w:eastAsia="zh-CN" w:bidi="ar-SA"/>
            </w:rPr>
            <w:fldChar w:fldCharType="end"/>
          </w:r>
          <w:r>
            <w:rPr>
              <w:rFonts w:hint="eastAsia" w:ascii="宋体" w:hAnsi="宋体" w:eastAsia="宋体" w:cs="宋体"/>
              <w:color w:val="auto"/>
              <w:sz w:val="28"/>
              <w:szCs w:val="36"/>
              <w:highlight w:val="none"/>
              <w:lang w:val="en-US" w:eastAsia="zh-CN" w:bidi="ar-SA"/>
            </w:rPr>
            <w:fldChar w:fldCharType="end"/>
          </w:r>
          <w:r/>
        </w:p>
        <w:p>
          <w:pPr>
            <w:pStyle w:val="1007"/>
            <w:spacing w:line="480" w:lineRule="auto"/>
            <w:tabs>
              <w:tab w:val="right" w:pos="9746" w:leader="dot"/>
            </w:tabs>
            <w:rPr>
              <w:rFonts w:hint="eastAsia" w:ascii="宋体" w:hAnsi="宋体" w:eastAsia="宋体" w:cs="宋体"/>
              <w:color w:val="auto"/>
              <w:sz w:val="28"/>
              <w:szCs w:val="36"/>
              <w:highlight w:val="none"/>
              <w:lang w:val="en-US" w:eastAsia="zh-CN" w:bidi="ar-SA"/>
            </w:rPr>
          </w:pP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HYPERLINK \l _Toc28500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 xml:space="preserve">第三章 合同条款及格式</w:t>
          </w:r>
          <w:r>
            <w:rPr>
              <w:rFonts w:hint="eastAsia" w:ascii="宋体" w:hAnsi="宋体" w:eastAsia="宋体" w:cs="宋体"/>
              <w:color w:val="auto"/>
              <w:sz w:val="28"/>
              <w:szCs w:val="36"/>
              <w:highlight w:val="none"/>
              <w:lang w:val="en-US" w:eastAsia="zh-CN" w:bidi="ar-SA"/>
            </w:rPr>
            <w:tab/>
          </w: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PAGEREF _Toc28500 \h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 xml:space="preserve">13</w:t>
          </w:r>
          <w:r>
            <w:rPr>
              <w:rFonts w:hint="eastAsia" w:ascii="宋体" w:hAnsi="宋体" w:eastAsia="宋体" w:cs="宋体"/>
              <w:color w:val="auto"/>
              <w:sz w:val="28"/>
              <w:szCs w:val="36"/>
              <w:highlight w:val="none"/>
              <w:lang w:val="en-US" w:eastAsia="zh-CN" w:bidi="ar-SA"/>
            </w:rPr>
            <w:fldChar w:fldCharType="end"/>
          </w:r>
          <w:r>
            <w:rPr>
              <w:rFonts w:hint="eastAsia" w:ascii="宋体" w:hAnsi="宋体" w:eastAsia="宋体" w:cs="宋体"/>
              <w:color w:val="auto"/>
              <w:sz w:val="28"/>
              <w:szCs w:val="36"/>
              <w:highlight w:val="none"/>
              <w:lang w:val="en-US" w:eastAsia="zh-CN" w:bidi="ar-SA"/>
            </w:rPr>
            <w:fldChar w:fldCharType="end"/>
          </w:r>
          <w:r/>
        </w:p>
        <w:p>
          <w:pPr>
            <w:pStyle w:val="1007"/>
            <w:spacing w:line="480" w:lineRule="auto"/>
            <w:tabs>
              <w:tab w:val="right" w:pos="9746" w:leader="dot"/>
            </w:tabs>
            <w:rPr>
              <w:rFonts w:hint="eastAsia" w:ascii="宋体" w:hAnsi="宋体" w:eastAsia="宋体" w:cs="宋体"/>
              <w:color w:val="auto"/>
              <w:sz w:val="28"/>
              <w:szCs w:val="36"/>
              <w:highlight w:val="none"/>
              <w:lang w:val="en-US" w:eastAsia="zh-CN" w:bidi="ar-SA"/>
            </w:rPr>
          </w:pP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HYPERLINK \l _Toc3084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 xml:space="preserve">第四章 项目需求</w:t>
          </w:r>
          <w:r>
            <w:rPr>
              <w:rFonts w:hint="eastAsia" w:ascii="宋体" w:hAnsi="宋体" w:eastAsia="宋体" w:cs="宋体"/>
              <w:color w:val="auto"/>
              <w:sz w:val="28"/>
              <w:szCs w:val="36"/>
              <w:highlight w:val="none"/>
              <w:lang w:val="en-US" w:eastAsia="zh-CN" w:bidi="ar-SA"/>
            </w:rPr>
            <w:tab/>
          </w: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PAGEREF _Toc3084 \h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 xml:space="preserve">17</w:t>
          </w:r>
          <w:r>
            <w:rPr>
              <w:rFonts w:hint="eastAsia" w:ascii="宋体" w:hAnsi="宋体" w:eastAsia="宋体" w:cs="宋体"/>
              <w:color w:val="auto"/>
              <w:sz w:val="28"/>
              <w:szCs w:val="36"/>
              <w:highlight w:val="none"/>
              <w:lang w:val="en-US" w:eastAsia="zh-CN" w:bidi="ar-SA"/>
            </w:rPr>
            <w:fldChar w:fldCharType="end"/>
          </w:r>
          <w:r>
            <w:rPr>
              <w:rFonts w:hint="eastAsia" w:ascii="宋体" w:hAnsi="宋体" w:eastAsia="宋体" w:cs="宋体"/>
              <w:color w:val="auto"/>
              <w:sz w:val="28"/>
              <w:szCs w:val="36"/>
              <w:highlight w:val="none"/>
              <w:lang w:val="en-US" w:eastAsia="zh-CN" w:bidi="ar-SA"/>
            </w:rPr>
            <w:fldChar w:fldCharType="end"/>
          </w:r>
          <w:r/>
        </w:p>
        <w:p>
          <w:pPr>
            <w:pStyle w:val="1007"/>
            <w:spacing w:line="480" w:lineRule="auto"/>
            <w:tabs>
              <w:tab w:val="right" w:pos="9746" w:leader="dot"/>
            </w:tabs>
            <w:rPr>
              <w:rFonts w:hint="eastAsia" w:ascii="宋体" w:hAnsi="宋体" w:eastAsia="宋体" w:cs="宋体"/>
              <w:color w:val="auto"/>
              <w:sz w:val="28"/>
              <w:szCs w:val="36"/>
              <w:highlight w:val="none"/>
              <w:lang w:val="en-US" w:eastAsia="zh-CN" w:bidi="ar-SA"/>
            </w:rPr>
          </w:pPr>
          <w:r>
            <w:rPr>
              <w:rFonts w:hint="eastAsia" w:ascii="宋体" w:hAnsi="宋体" w:eastAsia="宋体" w:cs="宋体"/>
              <w:color w:val="auto"/>
              <w:sz w:val="28"/>
              <w:szCs w:val="36"/>
              <w:highlight w:val="none"/>
              <w:lang w:val="en-US" w:eastAsia="zh-CN" w:bidi="ar-SA"/>
            </w:rPr>
            <w:t xml:space="preserve">第五章 评标方法与评标标准</w:t>
          </w:r>
          <w:r>
            <w:rPr>
              <w:rFonts w:hint="eastAsia" w:ascii="宋体" w:hAnsi="宋体" w:eastAsia="宋体" w:cs="宋体"/>
              <w:color w:val="auto"/>
              <w:sz w:val="28"/>
              <w:szCs w:val="36"/>
              <w:highlight w:val="none"/>
              <w:lang w:val="en-US" w:eastAsia="zh-CN" w:bidi="ar-SA"/>
            </w:rPr>
            <w:tab/>
          </w:r>
          <w:r>
            <w:rPr>
              <w:rFonts w:hint="eastAsia" w:ascii="宋体" w:hAnsi="宋体" w:eastAsia="宋体" w:cs="宋体"/>
              <w:color w:val="auto"/>
              <w:sz w:val="28"/>
              <w:szCs w:val="36"/>
              <w:highlight w:val="none"/>
              <w:lang w:val="en-US" w:eastAsia="zh-CN" w:bidi="ar-SA"/>
            </w:rPr>
            <w:t xml:space="preserve">73</w:t>
          </w:r>
          <w:r/>
        </w:p>
        <w:p>
          <w:pPr>
            <w:pStyle w:val="1007"/>
            <w:spacing w:line="480" w:lineRule="auto"/>
            <w:tabs>
              <w:tab w:val="right" w:pos="9746" w:leader="dot"/>
            </w:tabs>
            <w:rPr>
              <w:color w:val="auto"/>
              <w:highlight w:val="none"/>
            </w:rPr>
          </w:pPr>
          <w:r>
            <w:rPr>
              <w:rFonts w:hint="eastAsia" w:ascii="宋体" w:hAnsi="宋体" w:eastAsia="宋体" w:cs="宋体"/>
              <w:color w:val="auto"/>
              <w:sz w:val="28"/>
              <w:szCs w:val="36"/>
              <w:highlight w:val="none"/>
              <w:lang w:val="en-US" w:eastAsia="zh-CN" w:bidi="ar-SA"/>
            </w:rPr>
            <w:t xml:space="preserve">第六章 投标文件格式</w:t>
          </w:r>
          <w:r>
            <w:rPr>
              <w:rFonts w:hint="eastAsia" w:ascii="宋体" w:hAnsi="宋体" w:eastAsia="宋体" w:cs="宋体"/>
              <w:color w:val="auto"/>
              <w:sz w:val="28"/>
              <w:szCs w:val="36"/>
              <w:highlight w:val="none"/>
              <w:lang w:val="en-US" w:eastAsia="zh-CN" w:bidi="ar-SA"/>
            </w:rPr>
            <w:tab/>
          </w:r>
          <w:r>
            <w:rPr>
              <w:rFonts w:hint="eastAsia" w:ascii="宋体" w:hAnsi="宋体" w:eastAsia="宋体" w:cs="宋体"/>
              <w:color w:val="auto"/>
              <w:sz w:val="28"/>
              <w:szCs w:val="36"/>
              <w:highlight w:val="none"/>
              <w:lang w:val="en-US" w:eastAsia="zh-CN" w:bidi="ar-SA"/>
            </w:rPr>
            <w:t xml:space="preserve">75</w:t>
          </w:r>
          <w:r/>
        </w:p>
        <w:p>
          <w:pPr>
            <w:spacing w:line="480" w:lineRule="auto"/>
            <w:rPr>
              <w:color w:val="auto"/>
              <w:highlight w:val="none"/>
            </w:rPr>
          </w:pPr>
          <w:r>
            <w:rPr>
              <w:color w:val="auto"/>
              <w:highlight w:val="none"/>
            </w:rPr>
            <w:fldChar w:fldCharType="end"/>
          </w:r>
          <w:r/>
        </w:p>
      </w:sdtContent>
    </w:sdt>
    <w:p>
      <w:pPr>
        <w:rPr>
          <w:color w:val="auto"/>
          <w:highlight w:val="none"/>
        </w:rPr>
      </w:pPr>
      <w:r>
        <w:rPr>
          <w:color w:val="auto"/>
          <w:highlight w:val="none"/>
        </w:rPr>
      </w:r>
      <w:r/>
    </w:p>
    <w:p>
      <w:pPr>
        <w:ind w:firstLine="723"/>
        <w:keepLines w:val="0"/>
        <w:keepNext w:val="0"/>
        <w:pageBreakBefore w:val="0"/>
        <w:spacing w:line="480" w:lineRule="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     </w:t>
      </w:r>
      <w:r/>
    </w:p>
    <w:p>
      <w:pPr>
        <w:ind w:firstLine="0"/>
        <w:keepLines w:val="0"/>
        <w:keepNext w:val="0"/>
        <w:pageBreakBefore w:val="0"/>
        <w:spacing w:line="480" w:lineRule="auto"/>
        <w:widowControl w:val="off"/>
        <w:rPr>
          <w:color w:val="auto"/>
          <w:highlight w:val="none"/>
        </w:rPr>
      </w:pPr>
      <w:r>
        <w:rPr>
          <w:color w:val="auto"/>
          <w:highlight w:val="none"/>
        </w:rPr>
      </w:r>
      <w:r/>
    </w:p>
    <w:p>
      <w:pPr>
        <w:ind w:firstLine="723"/>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 </w:t>
      </w:r>
      <w:r/>
    </w:p>
    <w:p>
      <w:pPr>
        <w:ind w:firstLine="723"/>
        <w:rPr>
          <w:rFonts w:hint="eastAsia" w:hAnsi="宋体"/>
          <w:color w:val="auto"/>
          <w:sz w:val="24"/>
          <w:highlight w:val="none"/>
        </w:rPr>
      </w:pPr>
      <w:r>
        <w:rPr>
          <w:rFonts w:hint="eastAsia"/>
          <w:b/>
          <w:color w:val="auto"/>
          <w:sz w:val="24"/>
          <w:highlight w:val="none"/>
        </w:rPr>
        <w:t xml:space="preserve">     </w:t>
      </w:r>
      <w:bookmarkEnd w:id="18"/>
      <w:r/>
      <w:r/>
    </w:p>
    <w:p>
      <w:pPr>
        <w:ind w:firstLine="420"/>
        <w:rPr>
          <w:rFonts w:hint="eastAsia" w:hAnsi="宋体"/>
          <w:color w:val="auto"/>
          <w:szCs w:val="21"/>
          <w:highlight w:val="none"/>
        </w:rPr>
      </w:pPr>
      <w:r>
        <w:rPr>
          <w:rFonts w:hint="eastAsia" w:hAnsi="宋体"/>
          <w:color w:val="auto"/>
          <w:szCs w:val="21"/>
          <w:highlight w:val="none"/>
        </w:rPr>
      </w:r>
      <w:r/>
    </w:p>
    <w:p>
      <w:pPr>
        <w:ind w:firstLine="420"/>
        <w:rPr>
          <w:rFonts w:hint="eastAsia" w:hAnsi="宋体"/>
          <w:color w:val="auto"/>
          <w:szCs w:val="21"/>
          <w:highlight w:val="none"/>
        </w:rPr>
      </w:pPr>
      <w:r>
        <w:rPr>
          <w:rFonts w:hint="eastAsia" w:hAnsi="宋体"/>
          <w:color w:val="auto"/>
          <w:szCs w:val="21"/>
          <w:highlight w:val="none"/>
        </w:rPr>
      </w:r>
      <w:r/>
    </w:p>
    <w:p>
      <w:pPr>
        <w:ind w:firstLine="199"/>
        <w:rPr>
          <w:rFonts w:hint="eastAsia" w:hAnsi="宋体"/>
          <w:color w:val="auto"/>
          <w:szCs w:val="21"/>
          <w:highlight w:val="none"/>
        </w:rPr>
        <w:sectPr>
          <w:footerReference w:type="defaul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color w:val="auto"/>
          <w:szCs w:val="21"/>
          <w:highlight w:val="none"/>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color w:val="auto"/>
          <w:sz w:val="32"/>
          <w:szCs w:val="32"/>
          <w:highlight w:val="none"/>
          <w:lang w:val="en-US" w:eastAsia="zh-CN" w:bidi="ar-SA"/>
        </w:rPr>
        <w:outlineLvl w:val="0"/>
      </w:pPr>
      <w:r/>
      <w:bookmarkStart w:id="19" w:name="_Toc31221"/>
      <w:r/>
      <w:bookmarkStart w:id="20" w:name="_Toc23092"/>
      <w:r/>
      <w:bookmarkStart w:id="21" w:name="_Toc789"/>
      <w:r/>
      <w:bookmarkStart w:id="22" w:name="_Toc9618"/>
      <w:r/>
      <w:bookmarkStart w:id="23" w:name="_Toc17527"/>
      <w:r/>
      <w:bookmarkStart w:id="24" w:name="_Toc25300"/>
      <w:r/>
      <w:bookmarkStart w:id="25" w:name="_Toc3895"/>
      <w:r>
        <w:rPr>
          <w:rFonts w:hint="eastAsia" w:ascii="宋体" w:hAnsi="宋体" w:eastAsia="宋体" w:cs="宋体"/>
          <w:b/>
          <w:bCs/>
          <w:color w:val="auto"/>
          <w:sz w:val="32"/>
          <w:szCs w:val="32"/>
          <w:highlight w:val="none"/>
          <w:lang w:val="en-US" w:eastAsia="zh-CN" w:bidi="ar-SA"/>
        </w:rPr>
        <w:t xml:space="preserve">投标邀请</w:t>
      </w:r>
      <w:bookmarkEnd w:id="19"/>
      <w:r/>
      <w:bookmarkEnd w:id="20"/>
      <w:r/>
      <w:bookmarkEnd w:id="21"/>
      <w:r/>
      <w:bookmarkEnd w:id="22"/>
      <w:r/>
      <w:bookmarkEnd w:id="23"/>
      <w:r/>
      <w:bookmarkEnd w:id="24"/>
      <w:r/>
      <w:bookmarkEnd w:id="25"/>
      <w:r/>
      <w:r/>
    </w:p>
    <w:p>
      <w:pPr>
        <w:numPr>
          <w:ilvl w:val="0"/>
          <w:numId w:val="0"/>
        </w:numPr>
        <w:ind w:firstLine="480"/>
        <w:spacing w:line="400" w:lineRule="exact"/>
        <w:rPr>
          <w:color w:val="auto"/>
          <w:highlight w:val="none"/>
        </w:rPr>
      </w:pPr>
      <w:r>
        <w:rPr>
          <w:rFonts w:hint="eastAsia" w:ascii="宋体" w:hAnsi="宋体" w:cs="宋体"/>
          <w:color w:val="auto"/>
          <w:sz w:val="24"/>
          <w:highlight w:val="none"/>
          <w:lang w:eastAsia="zh-CN"/>
        </w:rPr>
        <w:t xml:space="preserve">张家港市港口学校</w:t>
      </w:r>
      <w:r>
        <w:rPr>
          <w:rFonts w:hint="eastAsia" w:ascii="宋体" w:hAnsi="宋体" w:cs="宋体"/>
          <w:color w:val="auto"/>
          <w:sz w:val="24"/>
          <w:highlight w:val="none"/>
        </w:rPr>
        <w:t xml:space="preserve">的潜在投标人应在“苏采云政府采购一体化平台”中参与</w:t>
      </w:r>
      <w:r>
        <w:rPr>
          <w:rFonts w:hint="eastAsia" w:ascii="宋体" w:hAnsi="宋体" w:cs="宋体"/>
          <w:color w:val="auto"/>
          <w:sz w:val="24"/>
          <w:highlight w:val="none"/>
          <w:lang w:val="en-US" w:eastAsia="zh-CN"/>
        </w:rPr>
        <w:t xml:space="preserve">本</w:t>
      </w:r>
      <w:r>
        <w:rPr>
          <w:rFonts w:hint="eastAsia" w:ascii="宋体" w:hAnsi="宋体" w:cs="宋体"/>
          <w:color w:val="auto"/>
          <w:sz w:val="24"/>
          <w:highlight w:val="none"/>
        </w:rPr>
        <w:t xml:space="preserve">项目并下载获取电子招标文件，并于202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0（北京时间）前上传电子投标文件。</w:t>
      </w:r>
      <w:r/>
    </w:p>
    <w:p>
      <w:pPr>
        <w:numPr>
          <w:ilvl w:val="0"/>
          <w:numId w:val="3"/>
        </w:numPr>
        <w:ind w:firstLine="0"/>
        <w:spacing w:line="400" w:lineRule="exact"/>
        <w:rPr>
          <w:rFonts w:hint="eastAsia" w:ascii="宋体" w:hAnsi="宋体" w:eastAsia="宋体" w:cs="宋体"/>
          <w:b/>
          <w:bCs/>
          <w:i w:val="0"/>
          <w:iCs w:val="0"/>
          <w:color w:val="auto"/>
          <w:sz w:val="24"/>
          <w:highlight w:val="none"/>
          <w:u w:val="none"/>
        </w:rPr>
        <w:outlineLvl w:val="1"/>
      </w:pPr>
      <w:r/>
      <w:bookmarkStart w:id="26" w:name="_Toc1246"/>
      <w:r/>
      <w:bookmarkStart w:id="27" w:name="_Toc19500"/>
      <w:r/>
      <w:bookmarkStart w:id="28" w:name="_Toc22623"/>
      <w:r>
        <w:rPr>
          <w:rFonts w:hint="eastAsia" w:ascii="宋体" w:hAnsi="宋体" w:eastAsia="宋体" w:cs="宋体"/>
          <w:b/>
          <w:bCs/>
          <w:i w:val="0"/>
          <w:iCs w:val="0"/>
          <w:color w:val="auto"/>
          <w:sz w:val="24"/>
          <w:highlight w:val="none"/>
          <w:u w:val="none"/>
        </w:rPr>
        <w:t xml:space="preserve">项目</w:t>
      </w:r>
      <w:r>
        <w:rPr>
          <w:rFonts w:hint="eastAsia" w:ascii="宋体" w:hAnsi="宋体" w:eastAsia="宋体" w:cs="宋体"/>
          <w:b/>
          <w:bCs/>
          <w:i w:val="0"/>
          <w:iCs w:val="0"/>
          <w:color w:val="auto"/>
          <w:sz w:val="24"/>
          <w:highlight w:val="none"/>
          <w:u w:val="none"/>
          <w:lang w:val="en-US" w:eastAsia="zh-CN"/>
        </w:rPr>
        <w:t xml:space="preserve">概况</w:t>
      </w:r>
      <w:bookmarkEnd w:id="26"/>
      <w:r/>
      <w:bookmarkEnd w:id="27"/>
      <w:r/>
      <w:bookmarkEnd w:id="28"/>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Style w:val="794"/>
          <w:rFonts w:hint="eastAsia" w:ascii="宋体" w:hAnsi="宋体" w:cs="宋体"/>
          <w:b w:val="0"/>
          <w:color w:val="auto"/>
          <w:sz w:val="24"/>
          <w:szCs w:val="24"/>
          <w:highlight w:val="none"/>
          <w:lang w:eastAsia="zh-CN"/>
        </w:rPr>
        <w:t xml:space="preserve">张家港市港口学校小学部改扩建工程弱电采购</w:t>
      </w:r>
      <w:r>
        <w:rPr>
          <w:rFonts w:hint="eastAsia" w:ascii="宋体" w:hAnsi="宋体" w:cs="宋体"/>
          <w:color w:val="auto"/>
          <w:sz w:val="24"/>
          <w:highlight w:val="none"/>
        </w:rPr>
        <w:t xml:space="preserve"> </w:t>
      </w:r>
      <w:r/>
    </w:p>
    <w:p>
      <w:pPr>
        <w:ind w:firstLine="480"/>
        <w:jc w:val="left"/>
        <w:spacing w:line="400" w:lineRule="exact"/>
        <w:rPr>
          <w:rFonts w:hint="eastAsia" w:eastAsia="宋体"/>
          <w:color w:val="auto"/>
          <w:highlight w:val="none"/>
          <w:lang w:val="en-US"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JSZC-320582-DAZH-G2025-0008</w:t>
      </w:r>
      <w:r/>
    </w:p>
    <w:p>
      <w:pPr>
        <w:ind w:firstLine="480"/>
        <w:jc w:val="left"/>
        <w:spacing w:line="400" w:lineRule="exact"/>
        <w:rPr>
          <w:rStyle w:val="794"/>
          <w:rFonts w:hint="default" w:ascii="宋体" w:hAnsi="宋体" w:eastAsia="宋体" w:cs="宋体"/>
          <w:b w:val="0"/>
          <w:color w:val="auto"/>
          <w:sz w:val="24"/>
          <w:szCs w:val="24"/>
          <w:highlight w:val="none"/>
          <w:lang w:val="en-US"/>
        </w:rPr>
      </w:pPr>
      <w:r>
        <w:rPr>
          <w:rFonts w:hint="eastAsia" w:ascii="宋体" w:hAnsi="宋体" w:cs="宋体"/>
          <w:color w:val="auto"/>
          <w:sz w:val="24"/>
          <w:highlight w:val="none"/>
        </w:rPr>
        <w:t xml:space="preserve">预算</w:t>
      </w:r>
      <w:r>
        <w:rPr>
          <w:rFonts w:hint="eastAsia" w:ascii="宋体" w:hAnsi="宋体" w:cs="宋体"/>
          <w:color w:val="auto"/>
          <w:sz w:val="24"/>
          <w:highlight w:val="none"/>
          <w:lang w:val="en-US" w:eastAsia="zh-CN"/>
        </w:rPr>
        <w:t xml:space="preserve">金额</w:t>
      </w:r>
      <w:r>
        <w:rPr>
          <w:rFonts w:hint="eastAsia" w:ascii="宋体" w:hAnsi="宋体" w:cs="宋体"/>
          <w:color w:val="auto"/>
          <w:sz w:val="24"/>
          <w:highlight w:val="none"/>
        </w:rPr>
        <w:t xml:space="preserve">：</w:t>
      </w:r>
      <w:r>
        <w:rPr>
          <w:rStyle w:val="794"/>
          <w:rFonts w:hint="eastAsia" w:ascii="宋体" w:hAnsi="宋体" w:cs="宋体"/>
          <w:b w:val="0"/>
          <w:color w:val="auto"/>
          <w:sz w:val="24"/>
          <w:szCs w:val="24"/>
          <w:highlight w:val="none"/>
          <w:lang w:val="en-US" w:eastAsia="zh-CN"/>
        </w:rPr>
        <w:t xml:space="preserve">3500000.00</w:t>
      </w:r>
      <w:r>
        <w:rPr>
          <w:rStyle w:val="794"/>
          <w:rFonts w:hint="eastAsia" w:ascii="宋体" w:hAnsi="宋体" w:eastAsia="宋体" w:cs="宋体"/>
          <w:b w:val="0"/>
          <w:color w:val="auto"/>
          <w:sz w:val="24"/>
          <w:szCs w:val="24"/>
          <w:highlight w:val="none"/>
          <w:lang w:val="en-US" w:eastAsia="zh-CN"/>
        </w:rPr>
        <w:t xml:space="preserve">元。</w:t>
      </w:r>
      <w:r/>
    </w:p>
    <w:p>
      <w:pPr>
        <w:ind w:firstLine="480"/>
        <w:jc w:val="left"/>
        <w:spacing w:line="400" w:lineRule="exact"/>
        <w:rPr>
          <w:rStyle w:val="794"/>
          <w:rFonts w:hint="eastAsia" w:ascii="宋体" w:hAnsi="宋体" w:eastAsia="宋体" w:cs="宋体"/>
          <w:b w:val="0"/>
          <w:color w:val="auto"/>
          <w:sz w:val="24"/>
          <w:szCs w:val="24"/>
          <w:highlight w:val="none"/>
          <w:lang w:val="en-US"/>
        </w:rPr>
      </w:pPr>
      <w:r>
        <w:rPr>
          <w:rStyle w:val="794"/>
          <w:rFonts w:hint="eastAsia" w:ascii="宋体" w:hAnsi="宋体" w:eastAsia="宋体" w:cs="宋体"/>
          <w:b w:val="0"/>
          <w:color w:val="auto"/>
          <w:sz w:val="24"/>
          <w:szCs w:val="24"/>
          <w:highlight w:val="none"/>
        </w:rPr>
        <w:t xml:space="preserve">最高限价：</w:t>
      </w:r>
      <w:r>
        <w:rPr>
          <w:rStyle w:val="794"/>
          <w:rFonts w:hint="eastAsia" w:ascii="宋体" w:hAnsi="宋体" w:cs="宋体"/>
          <w:b w:val="0"/>
          <w:color w:val="auto"/>
          <w:sz w:val="24"/>
          <w:szCs w:val="24"/>
          <w:highlight w:val="none"/>
          <w:lang w:val="en-US" w:eastAsia="zh-CN"/>
        </w:rPr>
        <w:t xml:space="preserve">3500000.00</w:t>
      </w:r>
      <w:r>
        <w:rPr>
          <w:rStyle w:val="794"/>
          <w:rFonts w:hint="eastAsia" w:ascii="宋体" w:hAnsi="宋体" w:eastAsia="宋体" w:cs="宋体"/>
          <w:b w:val="0"/>
          <w:color w:val="auto"/>
          <w:sz w:val="24"/>
          <w:szCs w:val="24"/>
          <w:highlight w:val="none"/>
          <w:lang w:val="en-US" w:eastAsia="zh-CN"/>
        </w:rPr>
        <w:t xml:space="preserve">元。</w:t>
      </w:r>
      <w:r/>
    </w:p>
    <w:p>
      <w:pPr>
        <w:numPr>
          <w:ilvl w:val="0"/>
          <w:numId w:val="0"/>
        </w:numPr>
        <w:ind w:firstLine="480"/>
        <w:spacing w:line="400" w:lineRule="exact"/>
        <w:rPr>
          <w:rStyle w:val="794"/>
          <w:rFonts w:ascii="宋体" w:hAnsi="宋体" w:eastAsia="宋体" w:cs="宋体"/>
          <w:b w:val="0"/>
          <w:i w:val="0"/>
          <w:color w:val="auto"/>
          <w:sz w:val="24"/>
          <w:szCs w:val="24"/>
          <w:highlight w:val="none"/>
          <w:u w:val="none"/>
        </w:rPr>
      </w:pP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张家港市港口学校小学部改扩建工程弱电采购</w:t>
      </w:r>
      <w:r>
        <w:rPr>
          <w:rStyle w:val="794"/>
          <w:rFonts w:ascii="宋体" w:hAnsi="宋体" w:eastAsia="宋体" w:cs="宋体"/>
          <w:b w:val="0"/>
          <w:i w:val="0"/>
          <w:strike w:val="0"/>
          <w:color w:val="auto"/>
          <w:sz w:val="24"/>
          <w:szCs w:val="24"/>
          <w:highlight w:val="none"/>
          <w:u w:val="none"/>
        </w:rPr>
        <w:t xml:space="preserve">。</w:t>
      </w:r>
      <w:r/>
    </w:p>
    <w:p>
      <w:pPr>
        <w:numPr>
          <w:ilvl w:val="0"/>
          <w:numId w:val="0"/>
        </w:numPr>
        <w:ind w:firstLine="480"/>
        <w:spacing w:line="400" w:lineRule="exact"/>
        <w:rPr>
          <w:rStyle w:val="794"/>
          <w:rFonts w:hint="default" w:ascii="宋体" w:hAnsi="宋体" w:eastAsia="宋体" w:cs="宋体"/>
          <w:b w:val="0"/>
          <w:i w:val="0"/>
          <w:color w:val="auto"/>
          <w:sz w:val="24"/>
          <w:szCs w:val="24"/>
          <w:highlight w:val="none"/>
          <w:u w:val="none"/>
          <w:lang w:val="en-US" w:eastAsia="zh-CN"/>
        </w:rPr>
      </w:pPr>
      <w:r>
        <w:rPr>
          <w:rStyle w:val="794"/>
          <w:rFonts w:hint="eastAsia" w:ascii="宋体" w:hAnsi="宋体" w:cs="宋体"/>
          <w:b w:val="0"/>
          <w:i w:val="0"/>
          <w:color w:val="auto"/>
          <w:sz w:val="24"/>
          <w:szCs w:val="24"/>
          <w:highlight w:val="none"/>
          <w:u w:val="none"/>
          <w:lang w:val="en-US" w:eastAsia="zh-CN"/>
        </w:rPr>
        <w:t xml:space="preserve">交货期</w:t>
      </w:r>
      <w:r>
        <w:rPr>
          <w:rStyle w:val="794"/>
          <w:rFonts w:hint="eastAsia" w:ascii="宋体" w:hAnsi="宋体" w:eastAsia="宋体" w:cs="宋体"/>
          <w:b w:val="0"/>
          <w:i w:val="0"/>
          <w:color w:val="auto"/>
          <w:sz w:val="24"/>
          <w:szCs w:val="24"/>
          <w:highlight w:val="none"/>
          <w:u w:val="none"/>
        </w:rPr>
        <w:t xml:space="preserve">：</w:t>
      </w:r>
      <w:r>
        <w:rPr>
          <w:rStyle w:val="794"/>
          <w:rFonts w:hint="eastAsia" w:ascii="宋体" w:hAnsi="宋体" w:cs="宋体"/>
          <w:b w:val="0"/>
          <w:i w:val="0"/>
          <w:color w:val="auto"/>
          <w:sz w:val="24"/>
          <w:szCs w:val="24"/>
          <w:highlight w:val="none"/>
          <w:u w:val="none"/>
          <w:lang w:val="en-US" w:eastAsia="zh-CN"/>
        </w:rPr>
        <w:t xml:space="preserve">在合同生效后6个月内供货安装调试结束。遇不可抗力原因需迟延交货的，经采购方同意后可适当延期。</w:t>
      </w:r>
      <w:r>
        <w:rPr>
          <w:rStyle w:val="794"/>
          <w:rFonts w:ascii="宋体" w:hAnsi="宋体" w:eastAsia="宋体" w:cs="宋体"/>
          <w:b w:val="0"/>
          <w:i w:val="0"/>
          <w:color w:val="auto"/>
          <w:sz w:val="24"/>
          <w:szCs w:val="24"/>
          <w:highlight w:val="none"/>
          <w:u w:val="none"/>
        </w:rPr>
        <w:t xml:space="preserve"> </w:t>
      </w:r>
      <w:r/>
    </w:p>
    <w:p>
      <w:pPr>
        <w:numPr>
          <w:ilvl w:val="0"/>
          <w:numId w:val="3"/>
        </w:numPr>
        <w:ind w:firstLine="0"/>
        <w:spacing w:line="400" w:lineRule="exact"/>
        <w:rPr>
          <w:rFonts w:hint="eastAsia" w:ascii="宋体" w:hAnsi="宋体" w:cs="宋体"/>
          <w:b/>
          <w:bCs/>
          <w:i w:val="0"/>
          <w:iCs w:val="0"/>
          <w:color w:val="auto"/>
          <w:sz w:val="24"/>
          <w:highlight w:val="none"/>
          <w:u w:val="none"/>
        </w:rPr>
        <w:outlineLvl w:val="1"/>
      </w:pPr>
      <w:r/>
      <w:bookmarkStart w:id="29" w:name="_Toc23113"/>
      <w:r/>
      <w:bookmarkStart w:id="30" w:name="_Toc3044"/>
      <w:r/>
      <w:bookmarkStart w:id="31" w:name="_Toc7697"/>
      <w:r>
        <w:rPr>
          <w:rFonts w:hint="eastAsia" w:ascii="宋体" w:hAnsi="宋体" w:cs="宋体"/>
          <w:b/>
          <w:bCs/>
          <w:i w:val="0"/>
          <w:iCs w:val="0"/>
          <w:color w:val="auto"/>
          <w:sz w:val="24"/>
          <w:highlight w:val="none"/>
          <w:u w:val="none"/>
        </w:rPr>
        <w:t xml:space="preserve">供应商资格要求</w:t>
      </w:r>
      <w:bookmarkEnd w:id="29"/>
      <w:r/>
      <w:bookmarkEnd w:id="30"/>
      <w:r/>
      <w:bookmarkEnd w:id="31"/>
      <w:r/>
      <w:r/>
    </w:p>
    <w:p>
      <w:pPr>
        <w:pStyle w:val="829"/>
        <w:numPr>
          <w:ilvl w:val="0"/>
          <w:numId w:val="0"/>
        </w:numPr>
        <w:ind w:left="480"/>
        <w:keepLines w:val="0"/>
        <w:keepNext w:val="0"/>
        <w:pageBreakBefore w:val="0"/>
        <w:spacing w:line="400" w:lineRule="exact"/>
        <w:widowControl w:val="off"/>
        <w:rPr>
          <w:rFonts w:hint="eastAsia" w:cs="宋体"/>
          <w:i w:val="0"/>
          <w:iCs w:val="0"/>
          <w:color w:val="auto"/>
          <w:highlight w:val="none"/>
          <w:u w:val="none"/>
        </w:rPr>
      </w:pPr>
      <w:r>
        <w:rPr>
          <w:rFonts w:hint="eastAsia"/>
          <w:color w:val="auto"/>
          <w:highlight w:val="none"/>
          <w:lang w:val="en-US" w:eastAsia="zh-CN"/>
        </w:rPr>
        <w:t xml:space="preserve">1.</w:t>
      </w:r>
      <w:r>
        <w:rPr>
          <w:rFonts w:hint="eastAsia"/>
          <w:color w:val="auto"/>
          <w:highlight w:val="none"/>
        </w:rPr>
        <w:t xml:space="preserve">满足《中华人民共和国政府采购法》第二十二条规定；</w:t>
      </w:r>
      <w:r/>
    </w:p>
    <w:p>
      <w:pPr>
        <w:pStyle w:val="829"/>
        <w:numPr>
          <w:ilvl w:val="0"/>
          <w:numId w:val="0"/>
        </w:numPr>
        <w:ind w:left="480"/>
        <w:keepLines w:val="0"/>
        <w:keepNext w:val="0"/>
        <w:pageBreakBefore w:val="0"/>
        <w:spacing w:line="400" w:lineRule="exact"/>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2.落实政府采购政策需满足的资格要求：</w:t>
      </w:r>
      <w:r/>
    </w:p>
    <w:p>
      <w:pPr>
        <w:pStyle w:val="829"/>
        <w:numPr>
          <w:ilvl w:val="0"/>
          <w:numId w:val="0"/>
        </w:numPr>
        <w:ind w:left="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本项目专门面向中小企业采购</w:t>
      </w:r>
      <w:r>
        <w:rPr>
          <w:rFonts w:hint="eastAsia" w:ascii="宋体" w:hAnsi="宋体" w:cs="宋体"/>
          <w:color w:val="auto"/>
          <w:sz w:val="24"/>
          <w:szCs w:val="24"/>
          <w:highlight w:val="none"/>
          <w:lang w:eastAsia="zh-CN"/>
        </w:rPr>
        <w:t xml:space="preserve">。</w:t>
      </w:r>
      <w:r/>
    </w:p>
    <w:p>
      <w:pPr>
        <w:ind w:firstLine="480"/>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1)根据《关于促进残疾人就业政府采购政策的通知》（财库〔2017〕141号）的通知规定，在政府采购活动中，残疾人福利性单位视同小型、微型企业。</w:t>
      </w:r>
      <w:r/>
    </w:p>
    <w:p>
      <w:pPr>
        <w:ind w:firstLine="480"/>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2)根据《关于政府采购支持监狱企业发展有关问题的通知》（财库〔2014〕68号）的通知规定，在政府采购活动中，监狱企业视同小型、微型企业。</w:t>
      </w:r>
      <w:r/>
    </w:p>
    <w:p>
      <w:pPr>
        <w:pStyle w:val="829"/>
        <w:numPr>
          <w:ilvl w:val="0"/>
          <w:numId w:val="0"/>
        </w:numPr>
        <w:ind w:left="480"/>
        <w:keepLines w:val="0"/>
        <w:keepNext w:val="0"/>
        <w:pageBreakBefore w:val="0"/>
        <w:spacing w:line="400" w:lineRule="exact"/>
        <w:widowControl w:val="off"/>
        <w:rPr>
          <w:rFonts w:hint="eastAsia" w:ascii="宋体" w:hAnsi="宋体" w:eastAsia="宋体" w:cs="宋体"/>
          <w:i/>
          <w:iCs/>
          <w:color w:val="auto"/>
          <w:sz w:val="24"/>
          <w:szCs w:val="24"/>
          <w:highlight w:val="none"/>
          <w:u w:val="single"/>
          <w:lang w:val="en-US" w:eastAsia="zh-CN"/>
        </w:rPr>
      </w:pPr>
      <w:r>
        <w:rPr>
          <w:rFonts w:hint="eastAsia"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本项目的特定资格要求：</w:t>
      </w:r>
      <w:r>
        <w:rPr>
          <w:rFonts w:hint="eastAsia" w:cs="宋体"/>
          <w:i w:val="0"/>
          <w:iCs w:val="0"/>
          <w:color w:val="auto"/>
          <w:sz w:val="24"/>
          <w:szCs w:val="24"/>
          <w:highlight w:val="none"/>
          <w:u w:val="none"/>
          <w:lang w:val="en-US" w:eastAsia="zh-CN"/>
        </w:rPr>
        <w:t xml:space="preserve">无</w:t>
      </w:r>
      <w:r>
        <w:rPr>
          <w:rFonts w:hint="eastAsia" w:ascii="宋体" w:hAnsi="宋体" w:eastAsia="宋体" w:cs="宋体"/>
          <w:i w:val="0"/>
          <w:iCs w:val="0"/>
          <w:color w:val="auto"/>
          <w:sz w:val="24"/>
          <w:szCs w:val="24"/>
          <w:highlight w:val="none"/>
          <w:u w:val="none"/>
          <w:lang w:val="en-US" w:eastAsia="zh-CN"/>
        </w:rPr>
        <w:t xml:space="preserve">。</w:t>
      </w:r>
      <w:r/>
    </w:p>
    <w:p>
      <w:pPr>
        <w:pStyle w:val="829"/>
        <w:numPr>
          <w:ilvl w:val="0"/>
          <w:numId w:val="0"/>
        </w:numPr>
        <w:ind w:left="480"/>
        <w:keepLines w:val="0"/>
        <w:keepNext w:val="0"/>
        <w:pageBreakBefore w:val="0"/>
        <w:spacing w:line="400" w:lineRule="exact"/>
        <w:widowControl w:val="off"/>
        <w:rPr>
          <w:rFonts w:hint="eastAsia" w:ascii="宋体" w:hAnsi="宋体" w:eastAsia="宋体" w:cs="宋体"/>
          <w:i w:val="0"/>
          <w:iCs w:val="0"/>
          <w:color w:val="auto"/>
          <w:sz w:val="24"/>
          <w:szCs w:val="24"/>
          <w:highlight w:val="none"/>
          <w:u w:val="none"/>
        </w:rPr>
      </w:pPr>
      <w:r>
        <w:rPr>
          <w:rFonts w:hint="eastAsia"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本项目不接受联合体投标。 </w:t>
      </w:r>
      <w:r/>
    </w:p>
    <w:p>
      <w:pPr>
        <w:pStyle w:val="829"/>
        <w:numPr>
          <w:ilvl w:val="0"/>
          <w:numId w:val="0"/>
        </w:numPr>
        <w:ind w:left="480"/>
        <w:keepLines w:val="0"/>
        <w:keepNext w:val="0"/>
        <w:pageBreakBefore w:val="0"/>
        <w:spacing w:line="400" w:lineRule="exact"/>
        <w:widowControl w:val="off"/>
        <w:rPr>
          <w:rFonts w:hint="eastAsia" w:ascii="宋体" w:hAnsi="宋体" w:eastAsia="宋体" w:cs="宋体"/>
          <w:i w:val="0"/>
          <w:iCs w:val="0"/>
          <w:color w:val="auto"/>
          <w:sz w:val="24"/>
          <w:szCs w:val="24"/>
          <w:highlight w:val="none"/>
          <w:u w:val="none"/>
        </w:rPr>
      </w:pPr>
      <w:r>
        <w:rPr>
          <w:rFonts w:hint="eastAsia"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本项目不允许进口产品投标。</w:t>
      </w:r>
      <w:r/>
    </w:p>
    <w:p>
      <w:pPr>
        <w:pStyle w:val="829"/>
        <w:numPr>
          <w:ilvl w:val="0"/>
          <w:numId w:val="0"/>
        </w:numPr>
        <w:ind w:left="480"/>
        <w:keepLines w:val="0"/>
        <w:keepNext w:val="0"/>
        <w:pageBreakBefore w:val="0"/>
        <w:spacing w:line="400" w:lineRule="exact"/>
        <w:widowControl w:val="off"/>
        <w:rPr>
          <w:rFonts w:hint="eastAsia" w:ascii="宋体" w:hAnsi="宋体" w:eastAsia="宋体" w:cs="宋体"/>
          <w:i w:val="0"/>
          <w:iCs/>
          <w:color w:val="auto"/>
          <w:sz w:val="24"/>
          <w:szCs w:val="24"/>
          <w:highlight w:val="none"/>
          <w:u w:val="none"/>
        </w:rPr>
      </w:pPr>
      <w:r>
        <w:rPr>
          <w:rFonts w:hint="eastAsia" w:cs="宋体"/>
          <w:bCs w:val="0"/>
          <w:i w:val="0"/>
          <w:iCs/>
          <w:color w:val="auto"/>
          <w:sz w:val="24"/>
          <w:szCs w:val="24"/>
          <w:highlight w:val="none"/>
          <w:u w:val="none"/>
          <w:lang w:val="en-US" w:eastAsia="zh-CN"/>
        </w:rPr>
        <w:t xml:space="preserve">6.</w:t>
      </w:r>
      <w:r>
        <w:rPr>
          <w:rFonts w:hint="eastAsia" w:ascii="宋体" w:hAnsi="宋体" w:eastAsia="宋体" w:cs="宋体"/>
          <w:bCs w:val="0"/>
          <w:i w:val="0"/>
          <w:iCs/>
          <w:color w:val="auto"/>
          <w:sz w:val="24"/>
          <w:szCs w:val="24"/>
          <w:highlight w:val="none"/>
          <w:u w:val="none"/>
        </w:rPr>
        <w:t xml:space="preserve">拒绝</w:t>
      </w:r>
      <w:r>
        <w:rPr>
          <w:rFonts w:hint="eastAsia" w:ascii="宋体" w:hAnsi="宋体" w:eastAsia="宋体" w:cs="宋体"/>
          <w:i w:val="0"/>
          <w:iCs/>
          <w:color w:val="auto"/>
          <w:sz w:val="24"/>
          <w:szCs w:val="24"/>
          <w:highlight w:val="none"/>
          <w:u w:val="none"/>
        </w:rPr>
        <w:t xml:space="preserve">下述供应商参加本次</w:t>
      </w:r>
      <w:r>
        <w:rPr>
          <w:rFonts w:hint="eastAsia" w:ascii="宋体" w:hAnsi="宋体" w:eastAsia="宋体" w:cs="宋体"/>
          <w:i w:val="0"/>
          <w:iCs/>
          <w:color w:val="auto"/>
          <w:sz w:val="24"/>
          <w:szCs w:val="24"/>
          <w:highlight w:val="none"/>
          <w:u w:val="none"/>
          <w:lang w:val="en-US" w:eastAsia="zh-CN"/>
        </w:rPr>
        <w:t xml:space="preserve">招投标</w:t>
      </w:r>
      <w:r>
        <w:rPr>
          <w:rFonts w:hint="eastAsia" w:ascii="宋体" w:hAnsi="宋体" w:eastAsia="宋体" w:cs="宋体"/>
          <w:i w:val="0"/>
          <w:iCs/>
          <w:color w:val="auto"/>
          <w:sz w:val="24"/>
          <w:szCs w:val="24"/>
          <w:highlight w:val="none"/>
          <w:u w:val="none"/>
        </w:rPr>
        <w:t xml:space="preserve">活动：</w:t>
      </w:r>
      <w:r/>
    </w:p>
    <w:p>
      <w:pPr>
        <w:pStyle w:val="829"/>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6.1</w:t>
      </w:r>
      <w:r>
        <w:rPr>
          <w:rFonts w:hint="eastAsia" w:ascii="宋体" w:hAnsi="宋体" w:eastAsia="宋体" w:cs="宋体"/>
          <w:i w:val="0"/>
          <w:iCs w:val="0"/>
          <w:color w:val="auto"/>
          <w:sz w:val="24"/>
          <w:szCs w:val="24"/>
          <w:highlight w:val="none"/>
          <w:u w:val="none"/>
        </w:rPr>
        <w:t xml:space="preserve">单位负责人为同一人或者存在直接控股、管理关系的不同供应商，不得参加同一合同下的政府采购活动；</w:t>
      </w:r>
      <w:r/>
    </w:p>
    <w:p>
      <w:pPr>
        <w:pStyle w:val="829"/>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6.2</w:t>
      </w:r>
      <w:r>
        <w:rPr>
          <w:rFonts w:hint="eastAsia" w:ascii="宋体" w:hAnsi="宋体" w:eastAsia="宋体" w:cs="宋体"/>
          <w:i w:val="0"/>
          <w:iCs w:val="0"/>
          <w:color w:val="auto"/>
          <w:sz w:val="24"/>
          <w:szCs w:val="24"/>
          <w:highlight w:val="none"/>
          <w:u w:val="none"/>
        </w:rPr>
        <w:t xml:space="preserve">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numPr>
          <w:ilvl w:val="0"/>
          <w:numId w:val="3"/>
        </w:numPr>
        <w:ind w:firstLine="0"/>
        <w:spacing w:line="400" w:lineRule="exact"/>
        <w:rPr>
          <w:rFonts w:hint="eastAsia" w:ascii="宋体" w:hAnsi="宋体" w:eastAsia="宋体" w:cs="宋体"/>
          <w:b/>
          <w:bCs/>
          <w:color w:val="auto"/>
          <w:sz w:val="24"/>
          <w:szCs w:val="24"/>
          <w:highlight w:val="none"/>
        </w:rPr>
        <w:outlineLvl w:val="1"/>
      </w:pPr>
      <w:r/>
      <w:bookmarkStart w:id="32" w:name="_Toc10458"/>
      <w:r/>
      <w:bookmarkStart w:id="33" w:name="_Toc11655"/>
      <w:r/>
      <w:bookmarkStart w:id="34" w:name="_Toc29811"/>
      <w:r>
        <w:rPr>
          <w:rFonts w:hint="eastAsia" w:ascii="宋体" w:hAnsi="宋体" w:eastAsia="宋体" w:cs="宋体"/>
          <w:b/>
          <w:bCs/>
          <w:color w:val="auto"/>
          <w:sz w:val="24"/>
          <w:szCs w:val="24"/>
          <w:highlight w:val="none"/>
        </w:rPr>
        <w:t xml:space="preserve">获取招标文件</w:t>
      </w:r>
      <w:bookmarkEnd w:id="32"/>
      <w:r/>
      <w:bookmarkEnd w:id="33"/>
      <w:r/>
      <w:bookmarkEnd w:id="34"/>
      <w:r/>
      <w:r/>
    </w:p>
    <w:p>
      <w:pPr>
        <w:pStyle w:val="829"/>
        <w:numPr>
          <w:ilvl w:val="0"/>
          <w:numId w:val="4"/>
        </w:numPr>
        <w:ind w:firstLine="480"/>
        <w:jc w:val="left"/>
        <w:keepLines w:val="0"/>
        <w:keepNext w:val="0"/>
        <w:pageBreakBefore w:val="0"/>
        <w:spacing w:line="400" w:lineRule="exact"/>
        <w:widowControl w:val="off"/>
        <w:rPr>
          <w:rFonts w:hint="eastAsia" w:ascii="宋体" w:hAnsi="宋体" w:eastAsia="宋体" w:cs="宋体"/>
          <w:i w:val="0"/>
          <w:iCs w:val="0"/>
          <w:color w:val="auto"/>
          <w:sz w:val="24"/>
          <w:szCs w:val="24"/>
          <w:highlight w:val="none"/>
          <w:u w:val="none"/>
        </w:rPr>
        <w:outlineLvl w:val="9"/>
      </w:pPr>
      <w:r/>
      <w:bookmarkStart w:id="35" w:name="_Toc1910"/>
      <w:r>
        <w:rPr>
          <w:rFonts w:hint="eastAsia" w:ascii="宋体" w:hAnsi="宋体" w:eastAsia="宋体" w:cs="宋体"/>
          <w:i w:val="0"/>
          <w:iCs w:val="0"/>
          <w:color w:val="auto"/>
          <w:sz w:val="24"/>
          <w:szCs w:val="24"/>
          <w:highlight w:val="none"/>
          <w:u w:val="none"/>
        </w:rPr>
        <w:t xml:space="preserve">时间：</w:t>
      </w:r>
      <w:r>
        <w:rPr>
          <w:rFonts w:hint="eastAsia" w:ascii="宋体" w:hAnsi="宋体" w:eastAsia="宋体" w:cs="宋体"/>
          <w:i w:val="0"/>
          <w:iCs w:val="0"/>
          <w:color w:val="auto"/>
          <w:sz w:val="24"/>
          <w:szCs w:val="24"/>
          <w:highlight w:val="none"/>
          <w:u w:val="none"/>
          <w:lang w:val="en-US" w:eastAsia="zh-CN"/>
        </w:rPr>
        <w:t xml:space="preserve">2025</w:t>
      </w:r>
      <w:r>
        <w:rPr>
          <w:rFonts w:hint="eastAsia" w:ascii="宋体" w:hAnsi="宋体" w:eastAsia="宋体" w:cs="宋体"/>
          <w:i w:val="0"/>
          <w:iCs w:val="0"/>
          <w:color w:val="auto"/>
          <w:sz w:val="24"/>
          <w:szCs w:val="24"/>
          <w:highlight w:val="none"/>
          <w:u w:val="none"/>
        </w:rPr>
        <w:t xml:space="preserve">年</w:t>
      </w:r>
      <w:r>
        <w:rPr>
          <w:rFonts w:hint="eastAsia" w:cs="宋体"/>
          <w:i w:val="0"/>
          <w:iCs w:val="0"/>
          <w:color w:val="auto"/>
          <w:sz w:val="24"/>
          <w:szCs w:val="24"/>
          <w:highlight w:val="none"/>
          <w:u w:val="none"/>
          <w:lang w:val="en-US" w:eastAsia="zh-CN"/>
        </w:rPr>
        <w:t xml:space="preserve">08</w:t>
      </w:r>
      <w:r>
        <w:rPr>
          <w:rFonts w:hint="eastAsia" w:ascii="宋体" w:hAnsi="宋体" w:eastAsia="宋体" w:cs="宋体"/>
          <w:i w:val="0"/>
          <w:iCs w:val="0"/>
          <w:color w:val="auto"/>
          <w:sz w:val="24"/>
          <w:szCs w:val="24"/>
          <w:highlight w:val="none"/>
          <w:u w:val="none"/>
        </w:rPr>
        <w:t xml:space="preserve">月</w:t>
      </w:r>
      <w:r>
        <w:rPr>
          <w:rFonts w:hint="eastAsia" w:cs="宋体"/>
          <w:i w:val="0"/>
          <w:iCs w:val="0"/>
          <w:color w:val="auto"/>
          <w:sz w:val="24"/>
          <w:szCs w:val="24"/>
          <w:highlight w:val="none"/>
          <w:u w:val="none"/>
          <w:lang w:val="en-US" w:eastAsia="zh-CN"/>
        </w:rPr>
        <w:t xml:space="preserve">27</w:t>
      </w:r>
      <w:r>
        <w:rPr>
          <w:rFonts w:hint="eastAsia" w:ascii="宋体" w:hAnsi="宋体" w:eastAsia="宋体" w:cs="宋体"/>
          <w:i w:val="0"/>
          <w:iCs w:val="0"/>
          <w:color w:val="auto"/>
          <w:sz w:val="24"/>
          <w:szCs w:val="24"/>
          <w:highlight w:val="none"/>
          <w:u w:val="none"/>
        </w:rPr>
        <w:t xml:space="preserve">日至</w:t>
      </w:r>
      <w:r>
        <w:rPr>
          <w:rFonts w:hint="eastAsia" w:ascii="宋体" w:hAnsi="宋体" w:eastAsia="宋体" w:cs="宋体"/>
          <w:i w:val="0"/>
          <w:iCs w:val="0"/>
          <w:color w:val="auto"/>
          <w:sz w:val="24"/>
          <w:szCs w:val="24"/>
          <w:highlight w:val="none"/>
          <w:u w:val="none"/>
          <w:lang w:val="en-US" w:eastAsia="zh-CN"/>
        </w:rPr>
        <w:t xml:space="preserve">2025</w:t>
      </w:r>
      <w:r>
        <w:rPr>
          <w:rFonts w:hint="eastAsia" w:ascii="宋体" w:hAnsi="宋体" w:eastAsia="宋体" w:cs="宋体"/>
          <w:i w:val="0"/>
          <w:iCs w:val="0"/>
          <w:color w:val="auto"/>
          <w:sz w:val="24"/>
          <w:szCs w:val="24"/>
          <w:highlight w:val="none"/>
          <w:u w:val="none"/>
        </w:rPr>
        <w:t xml:space="preserve">年</w:t>
      </w:r>
      <w:r>
        <w:rPr>
          <w:rFonts w:hint="eastAsia" w:cs="宋体"/>
          <w:i w:val="0"/>
          <w:iCs w:val="0"/>
          <w:color w:val="auto"/>
          <w:sz w:val="24"/>
          <w:szCs w:val="24"/>
          <w:highlight w:val="none"/>
          <w:u w:val="none"/>
          <w:lang w:val="en-US" w:eastAsia="zh-CN"/>
        </w:rPr>
        <w:t xml:space="preserve">09</w:t>
      </w:r>
      <w:r>
        <w:rPr>
          <w:rFonts w:hint="eastAsia" w:ascii="宋体" w:hAnsi="宋体" w:eastAsia="宋体" w:cs="宋体"/>
          <w:i w:val="0"/>
          <w:iCs w:val="0"/>
          <w:color w:val="auto"/>
          <w:sz w:val="24"/>
          <w:szCs w:val="24"/>
          <w:highlight w:val="none"/>
          <w:u w:val="none"/>
        </w:rPr>
        <w:t xml:space="preserve">月</w:t>
      </w:r>
      <w:r>
        <w:rPr>
          <w:rFonts w:hint="eastAsia" w:cs="宋体"/>
          <w:i w:val="0"/>
          <w:iCs w:val="0"/>
          <w:color w:val="auto"/>
          <w:sz w:val="24"/>
          <w:szCs w:val="24"/>
          <w:highlight w:val="none"/>
          <w:u w:val="none"/>
          <w:lang w:val="en-US" w:eastAsia="zh-CN"/>
        </w:rPr>
        <w:t xml:space="preserve">03</w:t>
      </w:r>
      <w:r>
        <w:rPr>
          <w:rFonts w:hint="eastAsia" w:ascii="宋体" w:hAnsi="宋体" w:eastAsia="宋体" w:cs="宋体"/>
          <w:i w:val="0"/>
          <w:iCs w:val="0"/>
          <w:color w:val="auto"/>
          <w:sz w:val="24"/>
          <w:szCs w:val="24"/>
          <w:highlight w:val="none"/>
          <w:u w:val="none"/>
        </w:rPr>
        <w:t xml:space="preserve">日</w:t>
      </w:r>
      <w:bookmarkEnd w:id="35"/>
      <w:r/>
      <w:r/>
    </w:p>
    <w:p>
      <w:pPr>
        <w:pStyle w:val="829"/>
        <w:numPr>
          <w:ilvl w:val="0"/>
          <w:numId w:val="4"/>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：在“苏采云政府采购一体化平台”</w:t>
      </w:r>
      <w:r>
        <w:rPr>
          <w:rFonts w:hint="eastAsia" w:ascii="宋体" w:hAnsi="宋体" w:eastAsia="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rPr>
        <w:t xml:space="preserve">自行</w:t>
      </w:r>
      <w:r>
        <w:rPr>
          <w:rFonts w:hint="eastAsia" w:cs="宋体"/>
          <w:color w:val="auto"/>
          <w:sz w:val="24"/>
          <w:szCs w:val="24"/>
          <w:highlight w:val="none"/>
          <w:lang w:val="en-US" w:eastAsia="zh-CN"/>
        </w:rPr>
        <w:t xml:space="preserve">免费获取</w:t>
      </w:r>
      <w:r>
        <w:rPr>
          <w:rFonts w:hint="eastAsia" w:ascii="宋体" w:hAnsi="宋体" w:eastAsia="宋体" w:cs="宋体"/>
          <w:color w:val="auto"/>
          <w:sz w:val="24"/>
          <w:szCs w:val="24"/>
          <w:highlight w:val="none"/>
        </w:rPr>
        <w:t xml:space="preserve">招标文件</w:t>
      </w:r>
      <w:r>
        <w:rPr>
          <w:rFonts w:hint="eastAsia" w:cs="宋体"/>
          <w:color w:val="auto"/>
          <w:sz w:val="24"/>
          <w:szCs w:val="24"/>
          <w:highlight w:val="none"/>
          <w:lang w:eastAsia="zh-CN"/>
        </w:rPr>
        <w:t xml:space="preserve">。</w:t>
      </w:r>
      <w:r/>
    </w:p>
    <w:p>
      <w:pPr>
        <w:numPr>
          <w:ilvl w:val="0"/>
          <w:numId w:val="3"/>
        </w:numPr>
        <w:ind w:firstLine="0"/>
        <w:spacing w:line="400" w:lineRule="exact"/>
        <w:rPr>
          <w:rFonts w:hint="eastAsia" w:ascii="宋体" w:hAnsi="宋体" w:eastAsia="宋体" w:cs="宋体"/>
          <w:b/>
          <w:bCs/>
          <w:color w:val="auto"/>
          <w:sz w:val="24"/>
          <w:szCs w:val="24"/>
          <w:highlight w:val="none"/>
        </w:rPr>
        <w:outlineLvl w:val="1"/>
      </w:pPr>
      <w:r/>
      <w:bookmarkStart w:id="36" w:name="_Toc14544"/>
      <w:r/>
      <w:bookmarkStart w:id="37" w:name="_Toc22145"/>
      <w:r/>
      <w:bookmarkStart w:id="38" w:name="_Toc18899"/>
      <w:r>
        <w:rPr>
          <w:rFonts w:hint="eastAsia" w:ascii="宋体" w:hAnsi="宋体" w:eastAsia="宋体" w:cs="宋体"/>
          <w:b/>
          <w:bCs/>
          <w:color w:val="auto"/>
          <w:sz w:val="24"/>
          <w:szCs w:val="24"/>
          <w:highlight w:val="none"/>
        </w:rPr>
        <w:t xml:space="preserve">提交投标文件截止时间、开标时间和地点</w:t>
      </w:r>
      <w:bookmarkEnd w:id="36"/>
      <w:r/>
      <w:bookmarkEnd w:id="37"/>
      <w:r/>
      <w:bookmarkEnd w:id="38"/>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en-US" w:eastAsia="zh-CN" w:bidi="ar-SA"/>
        </w:rPr>
        <w:t xml:space="preserve">间：2025年</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日13：30(北京时间)</w:t>
      </w:r>
      <w:r/>
    </w:p>
    <w:p>
      <w:pPr>
        <w:ind w:firstLine="48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lang w:val="en-US" w:eastAsia="zh-CN" w:bidi="ar-SA"/>
        </w:rPr>
        <w:t xml:space="preserve">：江苏省政府采购一体化不见面开标（采购）大厅。</w:t>
      </w:r>
      <w:r/>
    </w:p>
    <w:p>
      <w:pPr>
        <w:numPr>
          <w:ilvl w:val="0"/>
          <w:numId w:val="3"/>
        </w:numPr>
        <w:ind w:firstLine="0"/>
        <w:spacing w:line="400" w:lineRule="exact"/>
        <w:rPr>
          <w:rFonts w:hint="eastAsia" w:ascii="宋体" w:hAnsi="宋体" w:eastAsia="宋体" w:cs="宋体"/>
          <w:b/>
          <w:bCs/>
          <w:color w:val="auto"/>
          <w:sz w:val="24"/>
          <w:szCs w:val="24"/>
          <w:highlight w:val="none"/>
        </w:rPr>
        <w:outlineLvl w:val="1"/>
      </w:pPr>
      <w:r/>
      <w:bookmarkStart w:id="39" w:name="_Toc17677"/>
      <w:r/>
      <w:bookmarkStart w:id="40" w:name="_Toc17599"/>
      <w:r/>
      <w:bookmarkStart w:id="41" w:name="_Toc27695"/>
      <w:r>
        <w:rPr>
          <w:rFonts w:hint="eastAsia" w:ascii="宋体" w:hAnsi="宋体" w:eastAsia="宋体" w:cs="宋体"/>
          <w:b/>
          <w:bCs/>
          <w:color w:val="auto"/>
          <w:sz w:val="24"/>
          <w:szCs w:val="24"/>
          <w:highlight w:val="none"/>
        </w:rPr>
        <w:t xml:space="preserve">公告期限</w:t>
      </w:r>
      <w:bookmarkEnd w:id="39"/>
      <w:r/>
      <w:bookmarkEnd w:id="40"/>
      <w:r/>
      <w:bookmarkEnd w:id="41"/>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color w:val="auto"/>
          <w:sz w:val="24"/>
          <w:szCs w:val="24"/>
          <w:highlight w:val="none"/>
        </w:rPr>
        <w:outlineLvl w:val="1"/>
      </w:pPr>
      <w:r/>
      <w:bookmarkStart w:id="42" w:name="_Toc20437"/>
      <w:r/>
      <w:bookmarkStart w:id="43" w:name="_Toc3003"/>
      <w:r/>
      <w:bookmarkStart w:id="44" w:name="_Toc10825"/>
      <w:r>
        <w:rPr>
          <w:rFonts w:hint="eastAsia" w:ascii="宋体" w:hAnsi="宋体" w:eastAsia="宋体" w:cs="宋体"/>
          <w:b/>
          <w:bCs/>
          <w:color w:val="auto"/>
          <w:sz w:val="24"/>
          <w:szCs w:val="24"/>
          <w:highlight w:val="none"/>
        </w:rPr>
        <w:t xml:space="preserve">其他补充事宜</w:t>
      </w:r>
      <w:bookmarkEnd w:id="42"/>
      <w:r/>
      <w:bookmarkEnd w:id="43"/>
      <w:r/>
      <w:bookmarkEnd w:id="44"/>
      <w:r/>
      <w:r/>
    </w:p>
    <w:p>
      <w:pPr>
        <w:pStyle w:val="829"/>
        <w:numPr>
          <w:ilvl w:val="0"/>
          <w:numId w:val="5"/>
        </w:numPr>
        <w:ind w:left="0" w:firstLine="48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CA证书办理</w:t>
      </w:r>
      <w:r/>
    </w:p>
    <w:p>
      <w:pPr>
        <w:pStyle w:val="829"/>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0512-69820834。</w:t>
      </w:r>
      <w:r/>
    </w:p>
    <w:p>
      <w:pPr>
        <w:pStyle w:val="829"/>
        <w:numPr>
          <w:ilvl w:val="0"/>
          <w:numId w:val="5"/>
        </w:numPr>
        <w:ind w:left="0" w:firstLine="48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参与采购活动</w:t>
      </w:r>
      <w:r/>
    </w:p>
    <w:p>
      <w:pPr>
        <w:pStyle w:val="829"/>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政府采购活动。</w:t>
      </w:r>
      <w:r/>
    </w:p>
    <w:p>
      <w:pPr>
        <w:pStyle w:val="829"/>
        <w:numPr>
          <w:ilvl w:val="0"/>
          <w:numId w:val="5"/>
        </w:numPr>
        <w:ind w:left="0" w:firstLine="48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电子投标准备</w:t>
      </w:r>
      <w:r/>
    </w:p>
    <w:p>
      <w:pPr>
        <w:pStyle w:val="829"/>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pStyle w:val="829"/>
        <w:numPr>
          <w:ilvl w:val="0"/>
          <w:numId w:val="5"/>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在系统操作过程中如有疑问，请按以下方式联系：</w:t>
      </w:r>
      <w:r/>
    </w:p>
    <w:p>
      <w:pPr>
        <w:pStyle w:val="829"/>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注册咨询：18261002950；</w:t>
      </w:r>
      <w:r/>
    </w:p>
    <w:p>
      <w:pPr>
        <w:pStyle w:val="829"/>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pStyle w:val="829"/>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pStyle w:val="829"/>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系统使用指导与咨询：联系电话：18261002950。</w:t>
      </w:r>
      <w:r/>
    </w:p>
    <w:p>
      <w:pPr>
        <w:pStyle w:val="829"/>
        <w:numPr>
          <w:ilvl w:val="0"/>
          <w:numId w:val="5"/>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bidi="ar-SA"/>
        </w:rPr>
        <w:t xml:space="preserve">请供应商确保电脑、系统及其他设备（视频输入输出设备等）无误，且开标直至项目结束始终保持系统在线状态。</w:t>
      </w:r>
      <w:r/>
    </w:p>
    <w:p>
      <w:pPr>
        <w:pStyle w:val="829"/>
        <w:numPr>
          <w:ilvl w:val="0"/>
          <w:numId w:val="5"/>
        </w:numPr>
        <w:ind w:left="0"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文件澄清或者修改内容及项目相关情况的告知方式：</w:t>
      </w:r>
      <w:r>
        <w:rPr>
          <w:rFonts w:hint="eastAsia" w:ascii="宋体" w:hAnsi="宋体" w:eastAsia="宋体" w:cs="宋体"/>
          <w:color w:val="auto"/>
          <w:sz w:val="24"/>
          <w:highlight w:val="none"/>
          <w:lang w:val="en-US" w:eastAsia="zh-CN"/>
        </w:rPr>
        <w:t xml:space="preserve">将</w:t>
      </w:r>
      <w:r>
        <w:rPr>
          <w:rFonts w:hint="eastAsia" w:ascii="宋体" w:hAnsi="宋体" w:eastAsia="宋体" w:cs="宋体"/>
          <w:color w:val="auto"/>
          <w:sz w:val="24"/>
          <w:highlight w:val="none"/>
        </w:rPr>
        <w:t xml:space="preserve">在“江苏政府采购网、苏州市政府采购网”公告的方式告知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投标人可自行查看并下载</w:t>
      </w:r>
      <w:r>
        <w:rPr>
          <w:rFonts w:hint="eastAsia" w:ascii="宋体" w:hAnsi="宋体" w:eastAsia="宋体" w:cs="宋体"/>
          <w:color w:val="auto"/>
          <w:sz w:val="24"/>
          <w:highlight w:val="none"/>
        </w:rPr>
        <w:t xml:space="preserve">。</w:t>
      </w:r>
      <w:r/>
    </w:p>
    <w:p>
      <w:pPr>
        <w:pStyle w:val="829"/>
        <w:numPr>
          <w:ilvl w:val="0"/>
          <w:numId w:val="5"/>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投标保证金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本次招标不收取投标保证金。</w:t>
      </w:r>
      <w:r/>
    </w:p>
    <w:p>
      <w:pPr>
        <w:numPr>
          <w:ilvl w:val="0"/>
          <w:numId w:val="3"/>
        </w:numPr>
        <w:ind w:firstLine="0"/>
        <w:spacing w:line="400" w:lineRule="exact"/>
        <w:rPr>
          <w:rFonts w:hint="eastAsia" w:ascii="宋体" w:hAnsi="宋体" w:eastAsia="宋体" w:cs="宋体"/>
          <w:b/>
          <w:bCs/>
          <w:color w:val="auto"/>
          <w:sz w:val="24"/>
          <w:szCs w:val="24"/>
          <w:highlight w:val="none"/>
        </w:rPr>
        <w:outlineLvl w:val="1"/>
      </w:pPr>
      <w:r/>
      <w:bookmarkStart w:id="45" w:name="_Toc24685"/>
      <w:r/>
      <w:bookmarkStart w:id="46" w:name="_Toc5578"/>
      <w:r/>
      <w:bookmarkStart w:id="47" w:name="_Toc12262"/>
      <w:r>
        <w:rPr>
          <w:rFonts w:hint="eastAsia" w:ascii="宋体" w:hAnsi="宋体" w:eastAsia="宋体" w:cs="宋体"/>
          <w:b/>
          <w:bCs/>
          <w:color w:val="auto"/>
          <w:sz w:val="24"/>
          <w:szCs w:val="24"/>
          <w:highlight w:val="none"/>
        </w:rPr>
        <w:t xml:space="preserve">对本次</w:t>
      </w:r>
      <w:r>
        <w:rPr>
          <w:rFonts w:hint="eastAsia" w:ascii="宋体" w:hAnsi="宋体" w:eastAsia="宋体" w:cs="宋体"/>
          <w:b/>
          <w:bCs/>
          <w:color w:val="auto"/>
          <w:sz w:val="24"/>
          <w:szCs w:val="24"/>
          <w:highlight w:val="none"/>
          <w:lang w:val="en-US" w:eastAsia="zh-CN"/>
        </w:rPr>
        <w:t xml:space="preserve">招投标</w:t>
      </w:r>
      <w:r>
        <w:rPr>
          <w:rFonts w:hint="eastAsia" w:ascii="宋体" w:hAnsi="宋体" w:eastAsia="宋体" w:cs="宋体"/>
          <w:b/>
          <w:bCs/>
          <w:color w:val="auto"/>
          <w:sz w:val="24"/>
          <w:szCs w:val="24"/>
          <w:highlight w:val="none"/>
        </w:rPr>
        <w:t xml:space="preserve">活动</w:t>
      </w:r>
      <w:r>
        <w:rPr>
          <w:rFonts w:hint="eastAsia" w:ascii="宋体" w:hAnsi="宋体" w:eastAsia="宋体" w:cs="宋体"/>
          <w:b/>
          <w:bCs/>
          <w:color w:val="auto"/>
          <w:sz w:val="24"/>
          <w:szCs w:val="24"/>
          <w:highlight w:val="none"/>
          <w:lang w:val="en-US" w:eastAsia="zh-CN"/>
        </w:rPr>
        <w:t xml:space="preserve">询问</w:t>
      </w:r>
      <w:r>
        <w:rPr>
          <w:rFonts w:hint="eastAsia" w:ascii="宋体" w:hAnsi="宋体" w:eastAsia="宋体" w:cs="宋体"/>
          <w:b/>
          <w:bCs/>
          <w:color w:val="auto"/>
          <w:sz w:val="24"/>
          <w:szCs w:val="24"/>
          <w:highlight w:val="none"/>
        </w:rPr>
        <w:t xml:space="preserve">联系方式</w:t>
      </w:r>
      <w:bookmarkEnd w:id="45"/>
      <w:r/>
      <w:bookmarkEnd w:id="46"/>
      <w:r/>
      <w:bookmarkEnd w:id="47"/>
      <w:r/>
      <w:r/>
    </w:p>
    <w:p>
      <w:pPr>
        <w:pStyle w:val="829"/>
        <w:numPr>
          <w:ilvl w:val="0"/>
          <w:numId w:val="6"/>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bookmarkStart w:id="48" w:name="_Toc17256"/>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信息</w:t>
      </w:r>
      <w:bookmarkEnd w:id="48"/>
      <w:r/>
      <w:r/>
    </w:p>
    <w:p>
      <w:pPr>
        <w:ind w:firstLine="480"/>
        <w:jc w:val="left"/>
        <w:keepLines w:val="0"/>
        <w:keepNext w:val="0"/>
        <w:pageBreakBefore w:val="0"/>
        <w:spacing w:line="46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名称：张家港市凤凰镇人民政府 </w:t>
      </w:r>
      <w:r/>
    </w:p>
    <w:p>
      <w:pPr>
        <w:ind w:firstLine="480"/>
        <w:jc w:val="left"/>
        <w:keepLines w:val="0"/>
        <w:keepNext w:val="0"/>
        <w:pageBreakBefore w:val="0"/>
        <w:spacing w:line="46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地址：张家港市凤凰镇金谷路9号凤凰镇人民政府</w:t>
      </w:r>
      <w:r/>
    </w:p>
    <w:p>
      <w:pPr>
        <w:ind w:firstLine="480"/>
        <w:jc w:val="left"/>
        <w:keepLines w:val="0"/>
        <w:keepNext w:val="0"/>
        <w:pageBreakBefore w:val="0"/>
        <w:spacing w:line="400" w:lineRule="exact"/>
        <w:widowControl/>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联系人：朱敏江  联系方式：0512-58480803</w:t>
      </w:r>
      <w:r/>
    </w:p>
    <w:p>
      <w:pPr>
        <w:pStyle w:val="829"/>
        <w:numPr>
          <w:ilvl w:val="0"/>
          <w:numId w:val="6"/>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bookmarkStart w:id="49" w:name="_Toc3823"/>
      <w:r>
        <w:rPr>
          <w:rFonts w:hint="eastAsia" w:ascii="宋体" w:hAnsi="宋体" w:eastAsia="宋体" w:cs="宋体"/>
          <w:color w:val="auto"/>
          <w:sz w:val="24"/>
          <w:szCs w:val="24"/>
          <w:highlight w:val="none"/>
        </w:rPr>
        <w:t xml:space="preserve">采购代理机构信息</w:t>
      </w:r>
      <w:bookmarkEnd w:id="49"/>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苏州大智项目管理咨询有限公司</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outlineLvl w:val="9"/>
      </w:pPr>
      <w:r/>
      <w:bookmarkStart w:id="50" w:name="_Toc54119645"/>
      <w:r/>
      <w:bookmarkStart w:id="51" w:name="_Toc35244867"/>
      <w:r/>
      <w:bookmarkStart w:id="52" w:name="_Toc256000001"/>
      <w:r>
        <w:rPr>
          <w:rFonts w:hint="eastAsia" w:ascii="宋体" w:hAnsi="宋体" w:eastAsia="宋体" w:cs="宋体"/>
          <w:color w:val="auto"/>
          <w:sz w:val="24"/>
          <w:szCs w:val="24"/>
          <w:highlight w:val="none"/>
          <w:lang w:val="en-US" w:eastAsia="zh-CN"/>
        </w:rPr>
        <w:t xml:space="preserve">地　址：张家港市杨舍镇泗杨路星河湾3-4幢M306室</w:t>
      </w:r>
      <w:r/>
    </w:p>
    <w:p>
      <w:pPr>
        <w:ind w:firstLine="480"/>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联系方式：15151563199</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3.项目联系方式</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项目联系人：赵敏慧</w:t>
      </w:r>
      <w:r/>
    </w:p>
    <w:p>
      <w:pPr>
        <w:ind w:firstLine="480"/>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电　话：15151563199</w:t>
      </w:r>
      <w:r/>
    </w:p>
    <w:p>
      <w:pPr>
        <w:ind w:firstLine="480"/>
        <w:jc w:val="left"/>
        <w:keepLines w:val="0"/>
        <w:keepNext w:val="0"/>
        <w:pageBreakBefore w:val="0"/>
        <w:spacing w:line="400" w:lineRule="exact"/>
        <w:widowControl/>
        <w:rPr>
          <w:rFonts w:ascii="宋体" w:hAnsi="宋体" w:eastAsia="宋体" w:cs="宋体"/>
          <w:color w:val="auto"/>
          <w:sz w:val="24"/>
          <w:szCs w:val="24"/>
          <w:highlight w:val="none"/>
          <w:lang w:val="en-US" w:eastAsia="zh-CN"/>
        </w:rPr>
        <w:outlineLvl w:val="9"/>
      </w:pPr>
      <w:r>
        <w:rPr>
          <w:rFonts w:ascii="宋体" w:hAnsi="宋体" w:eastAsia="宋体" w:cs="宋体"/>
          <w:color w:val="auto"/>
          <w:sz w:val="24"/>
          <w:szCs w:val="24"/>
          <w:highlight w:val="none"/>
          <w:lang w:val="en-US" w:eastAsia="zh-CN"/>
        </w:rPr>
      </w:r>
      <w:r/>
    </w:p>
    <w:p>
      <w:pPr>
        <w:pStyle w:val="829"/>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color w:val="auto"/>
          <w:sz w:val="32"/>
          <w:szCs w:val="32"/>
          <w:highlight w:val="none"/>
          <w:lang w:val="en-US" w:eastAsia="zh-CN" w:bidi="ar-SA"/>
        </w:rPr>
        <w:outlineLvl w:val="0"/>
      </w:pPr>
      <w:r/>
      <w:bookmarkStart w:id="53" w:name="_Toc12702"/>
      <w:r/>
      <w:bookmarkStart w:id="54" w:name="_Toc15478"/>
      <w:r/>
      <w:bookmarkStart w:id="55" w:name="_Toc24105"/>
      <w:r/>
      <w:bookmarkStart w:id="56" w:name="_Toc3236"/>
      <w:r/>
      <w:bookmarkStart w:id="57" w:name="_Toc29007"/>
      <w:r/>
      <w:bookmarkStart w:id="58" w:name="_Toc13899"/>
      <w:r/>
      <w:bookmarkStart w:id="59" w:name="_Toc2894"/>
      <w:r>
        <w:rPr>
          <w:rFonts w:hint="eastAsia" w:ascii="宋体" w:hAnsi="宋体" w:eastAsia="宋体" w:cs="宋体"/>
          <w:b/>
          <w:bCs/>
          <w:color w:val="auto"/>
          <w:sz w:val="32"/>
          <w:szCs w:val="32"/>
          <w:highlight w:val="none"/>
          <w:lang w:val="en-US" w:eastAsia="zh-CN" w:bidi="ar-SA"/>
        </w:rPr>
        <w:t xml:space="preserve">投标人须知</w:t>
      </w:r>
      <w:bookmarkEnd w:id="50"/>
      <w:r/>
      <w:bookmarkEnd w:id="51"/>
      <w:r/>
      <w:bookmarkEnd w:id="52"/>
      <w:r/>
      <w:bookmarkEnd w:id="53"/>
      <w:r/>
      <w:bookmarkEnd w:id="54"/>
      <w:r/>
      <w:bookmarkEnd w:id="55"/>
      <w:r/>
      <w:bookmarkEnd w:id="56"/>
      <w:r/>
      <w:bookmarkEnd w:id="57"/>
      <w:r/>
      <w:bookmarkEnd w:id="58"/>
      <w:r/>
      <w:bookmarkEnd w:id="59"/>
      <w:r/>
      <w:r/>
    </w:p>
    <w:p>
      <w:pPr>
        <w:numPr>
          <w:ilvl w:val="1"/>
          <w:numId w:val="7"/>
        </w:numPr>
        <w:ind w:left="0" w:firstLine="0"/>
        <w:jc w:val="left"/>
        <w:keepLines w:val="0"/>
        <w:keepNext w:val="0"/>
        <w:pageBreakBefore w:val="0"/>
        <w:spacing w:line="400" w:lineRule="exact"/>
        <w:widowControl w:val="off"/>
        <w:rPr>
          <w:rStyle w:val="1008"/>
          <w:rFonts w:hint="eastAsia" w:ascii="宋体" w:hAnsi="宋体" w:cs="宋体"/>
          <w:b/>
          <w:bCs/>
          <w:color w:val="auto"/>
          <w:sz w:val="24"/>
          <w:szCs w:val="24"/>
          <w:highlight w:val="none"/>
        </w:rPr>
        <w:outlineLvl w:val="1"/>
      </w:pPr>
      <w:r/>
      <w:bookmarkStart w:id="60" w:name="_Toc10713"/>
      <w:r/>
      <w:bookmarkStart w:id="61" w:name="_Toc35244868"/>
      <w:r/>
      <w:bookmarkStart w:id="62" w:name="_Toc256000002"/>
      <w:r/>
      <w:bookmarkStart w:id="63" w:name="_Toc21316"/>
      <w:r/>
      <w:bookmarkStart w:id="64" w:name="_Toc15644"/>
      <w:r/>
      <w:bookmarkStart w:id="65" w:name="_Toc54119646"/>
      <w:r>
        <w:rPr>
          <w:rStyle w:val="1008"/>
          <w:rFonts w:hint="eastAsia" w:ascii="宋体" w:hAnsi="宋体" w:cs="宋体"/>
          <w:b/>
          <w:bCs/>
          <w:color w:val="auto"/>
          <w:sz w:val="24"/>
          <w:szCs w:val="24"/>
          <w:highlight w:val="none"/>
        </w:rPr>
        <w:t xml:space="preserve">总则</w:t>
      </w:r>
      <w:bookmarkEnd w:id="60"/>
      <w:r/>
      <w:bookmarkEnd w:id="61"/>
      <w:r/>
      <w:bookmarkEnd w:id="62"/>
      <w:r/>
      <w:bookmarkEnd w:id="63"/>
      <w:r/>
      <w:bookmarkEnd w:id="64"/>
      <w:r/>
      <w:bookmarkEnd w:id="65"/>
      <w:r/>
      <w:r/>
    </w:p>
    <w:p>
      <w:pPr>
        <w:numPr>
          <w:ilvl w:val="0"/>
          <w:numId w:val="8"/>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66" w:name="_Toc14561"/>
      <w:r>
        <w:rPr>
          <w:rFonts w:hint="eastAsia" w:ascii="宋体" w:hAnsi="宋体" w:cs="宋体"/>
          <w:b/>
          <w:bCs/>
          <w:color w:val="auto"/>
          <w:sz w:val="24"/>
          <w:highlight w:val="none"/>
        </w:rPr>
        <w:t xml:space="preserve">招标方式</w:t>
      </w:r>
      <w:bookmarkEnd w:id="66"/>
      <w:r/>
      <w:r/>
    </w:p>
    <w:p>
      <w:pPr>
        <w:numPr>
          <w:ilvl w:val="1"/>
          <w:numId w:val="9"/>
        </w:numPr>
        <w:ind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本次招标</w:t>
      </w:r>
      <w:r>
        <w:rPr>
          <w:rFonts w:hint="eastAsia" w:ascii="宋体" w:hAnsi="宋体"/>
          <w:color w:val="auto"/>
          <w:sz w:val="24"/>
          <w:highlight w:val="none"/>
        </w:rPr>
        <w:t xml:space="preserve">采取公开招标方式</w:t>
      </w:r>
      <w:r>
        <w:rPr>
          <w:rFonts w:hint="eastAsia" w:ascii="宋体" w:hAnsi="宋体" w:cs="宋体"/>
          <w:color w:val="auto"/>
          <w:sz w:val="24"/>
          <w:highlight w:val="none"/>
        </w:rPr>
        <w:t xml:space="preserve">，本招标文件仅适用于招标公告中所述项目。</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rPr>
        <w:outlineLvl w:val="2"/>
      </w:pPr>
      <w:r/>
      <w:bookmarkStart w:id="67" w:name="_Toc2878"/>
      <w:r>
        <w:rPr>
          <w:rFonts w:hint="eastAsia" w:ascii="宋体" w:hAnsi="宋体" w:eastAsia="宋体" w:cs="宋体"/>
          <w:b/>
          <w:bCs/>
          <w:color w:val="auto"/>
          <w:sz w:val="24"/>
          <w:highlight w:val="none"/>
        </w:rPr>
        <w:t xml:space="preserve">合格的投标人</w:t>
      </w:r>
      <w:bookmarkEnd w:id="67"/>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满足招标公告中投标人的资格要求的规定。</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满足本文件实质性要求的规定</w:t>
      </w:r>
      <w:r>
        <w:rPr>
          <w:rFonts w:hint="eastAsia" w:ascii="宋体" w:hAnsi="宋体" w:eastAsia="宋体" w:cs="宋体"/>
          <w:b/>
          <w:bCs/>
          <w:color w:val="auto"/>
          <w:sz w:val="24"/>
          <w:highlight w:val="none"/>
        </w:rPr>
        <w:t xml:space="preserve">（本招标文件中斜体且有下划线部分为实质性要求）</w:t>
      </w:r>
      <w:r>
        <w:rPr>
          <w:rFonts w:hint="eastAsia" w:ascii="宋体" w:hAnsi="宋体" w:eastAsia="宋体" w:cs="宋体"/>
          <w:color w:val="auto"/>
          <w:sz w:val="24"/>
          <w:highlight w:val="none"/>
        </w:rPr>
        <w:t xml:space="preserve">。</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rPr>
        <w:outlineLvl w:val="2"/>
      </w:pPr>
      <w:r/>
      <w:bookmarkStart w:id="68" w:name="_Toc6011"/>
      <w:r>
        <w:rPr>
          <w:rFonts w:hint="eastAsia" w:ascii="宋体" w:hAnsi="宋体" w:eastAsia="宋体" w:cs="宋体"/>
          <w:b/>
          <w:bCs/>
          <w:color w:val="auto"/>
          <w:sz w:val="24"/>
          <w:highlight w:val="none"/>
        </w:rPr>
        <w:t xml:space="preserve">适用法律</w:t>
      </w:r>
      <w:bookmarkEnd w:id="68"/>
      <w:r/>
      <w:r/>
    </w:p>
    <w:p>
      <w:pPr>
        <w:numPr>
          <w:ilvl w:val="1"/>
          <w:numId w:val="8"/>
        </w:numPr>
        <w:ind w:left="0"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本次招标及由此产生的合同受中华人民共和国有关的法律法规制约和保护。</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rPr>
        <w:outlineLvl w:val="2"/>
      </w:pPr>
      <w:r/>
      <w:bookmarkStart w:id="69" w:name="_Toc9150"/>
      <w:r>
        <w:rPr>
          <w:rFonts w:hint="eastAsia" w:ascii="宋体" w:hAnsi="宋体" w:eastAsia="宋体" w:cs="宋体"/>
          <w:b/>
          <w:bCs/>
          <w:color w:val="auto"/>
          <w:sz w:val="24"/>
          <w:highlight w:val="none"/>
        </w:rPr>
        <w:t xml:space="preserve">投标费用</w:t>
      </w:r>
      <w:bookmarkEnd w:id="69"/>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投标人应自行承担所有与参加投标有关的费用，无论投标过程中的做法和结果如何，采购代理机构在任何情况下均无义务和责任承担这些费用。</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本次招标采购代理机构收取代理服务费由中标</w:t>
      </w:r>
      <w:r>
        <w:rPr>
          <w:rFonts w:hint="eastAsia" w:ascii="宋体" w:hAnsi="宋体" w:eastAsia="宋体" w:cs="宋体"/>
          <w:color w:val="auto"/>
          <w:sz w:val="24"/>
          <w:highlight w:val="none"/>
          <w:lang w:val="en-US" w:eastAsia="zh-CN"/>
        </w:rPr>
        <w:t xml:space="preserve">单位支付，</w:t>
      </w:r>
      <w:r>
        <w:rPr>
          <w:rFonts w:hint="eastAsia" w:ascii="宋体" w:hAnsi="宋体" w:eastAsia="宋体" w:cs="宋体"/>
          <w:color w:val="auto"/>
          <w:sz w:val="24"/>
          <w:highlight w:val="none"/>
        </w:rPr>
        <w:t xml:space="preserve">收费标准：100万元内1.5%、100～500万元内1.1%；按差额定率累进法计算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计算结果打7折，即29750元，</w:t>
      </w:r>
      <w:r>
        <w:rPr>
          <w:rFonts w:hint="eastAsia" w:ascii="宋体" w:hAnsi="宋体" w:eastAsia="宋体" w:cs="宋体"/>
          <w:color w:val="auto"/>
          <w:sz w:val="24"/>
          <w:highlight w:val="none"/>
        </w:rPr>
        <w:t xml:space="preserve">该费用由中标单位在签订合同前向采购代理机构一次性付清</w:t>
      </w:r>
      <w:r>
        <w:rPr>
          <w:rFonts w:hint="eastAsia" w:ascii="宋体" w:hAnsi="宋体" w:cs="宋体"/>
          <w:color w:val="auto"/>
          <w:sz w:val="24"/>
          <w:highlight w:val="none"/>
          <w:lang w:eastAsia="zh-CN"/>
        </w:rPr>
        <w:t xml:space="preserve">。</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rPr>
        <w:outlineLvl w:val="2"/>
      </w:pPr>
      <w:r/>
      <w:bookmarkStart w:id="70" w:name="_Toc31542"/>
      <w:r>
        <w:rPr>
          <w:rFonts w:hint="eastAsia" w:ascii="宋体" w:hAnsi="宋体" w:eastAsia="宋体" w:cs="宋体"/>
          <w:b/>
          <w:bCs/>
          <w:color w:val="auto"/>
          <w:sz w:val="24"/>
          <w:highlight w:val="none"/>
        </w:rPr>
        <w:t xml:space="preserve">招标文件的约束力</w:t>
      </w:r>
      <w:bookmarkEnd w:id="70"/>
      <w:r/>
      <w:r/>
    </w:p>
    <w:p>
      <w:pPr>
        <w:numPr>
          <w:ilvl w:val="1"/>
          <w:numId w:val="8"/>
        </w:numPr>
        <w:ind w:left="0" w:firstLine="480"/>
        <w:jc w:val="left"/>
        <w:keepLines w:val="0"/>
        <w:keepNext w:val="0"/>
        <w:pageBreakBefore w:val="0"/>
        <w:spacing w:line="400" w:lineRule="exact"/>
        <w:widowControl w:val="off"/>
        <w:rPr>
          <w:rFonts w:hint="eastAsia" w:ascii="宋体" w:hAnsi="宋体" w:cs="宋体"/>
          <w:color w:val="auto"/>
          <w:sz w:val="24"/>
          <w:highlight w:val="none"/>
        </w:rPr>
      </w:pPr>
      <w:r/>
      <w:bookmarkStart w:id="71" w:name="_Toc256000003"/>
      <w:r/>
      <w:bookmarkStart w:id="72" w:name="_Toc35244869"/>
      <w:r/>
      <w:bookmarkStart w:id="73" w:name="_Toc54119647"/>
      <w:r>
        <w:rPr>
          <w:rFonts w:hint="eastAsia" w:ascii="宋体" w:hAnsi="宋体" w:cs="宋体"/>
          <w:color w:val="auto"/>
          <w:sz w:val="24"/>
          <w:highlight w:val="none"/>
        </w:rPr>
        <w:t xml:space="preserve">投标人一旦</w:t>
      </w:r>
      <w:r>
        <w:rPr>
          <w:rFonts w:hint="eastAsia" w:ascii="宋体" w:hAnsi="宋体" w:cs="宋体"/>
          <w:color w:val="auto"/>
          <w:sz w:val="24"/>
          <w:highlight w:val="none"/>
          <w:lang w:val="en-US" w:eastAsia="zh-CN"/>
        </w:rPr>
        <w:t xml:space="preserve">在“苏采云”平台上</w:t>
      </w:r>
      <w:r>
        <w:rPr>
          <w:rFonts w:hint="eastAsia" w:ascii="宋体" w:hAnsi="宋体" w:cs="宋体"/>
          <w:color w:val="auto"/>
          <w:sz w:val="24"/>
          <w:highlight w:val="none"/>
        </w:rPr>
        <w:t xml:space="preserve">获取</w:t>
      </w:r>
      <w:r>
        <w:rPr>
          <w:rFonts w:hint="eastAsia" w:ascii="宋体" w:hAnsi="宋体" w:cs="宋体"/>
          <w:color w:val="auto"/>
          <w:sz w:val="24"/>
          <w:highlight w:val="none"/>
          <w:lang w:val="en-US" w:eastAsia="zh-CN"/>
        </w:rPr>
        <w:t xml:space="preserve">了</w:t>
      </w:r>
      <w:r>
        <w:rPr>
          <w:rFonts w:hint="eastAsia" w:ascii="宋体" w:hAnsi="宋体" w:cs="宋体"/>
          <w:color w:val="auto"/>
          <w:sz w:val="24"/>
          <w:highlight w:val="none"/>
        </w:rPr>
        <w:t xml:space="preserve">本招标文件决定参加投标，即被认为接受本招标文件的规定和约束，并且视为已经知道或应当知道自身权益是否受到了损害。</w:t>
      </w:r>
      <w:r/>
    </w:p>
    <w:p>
      <w:pPr>
        <w:numPr>
          <w:ilvl w:val="1"/>
          <w:numId w:val="7"/>
        </w:numPr>
        <w:ind w:left="0" w:firstLine="0"/>
        <w:jc w:val="left"/>
        <w:keepLines w:val="0"/>
        <w:keepNext w:val="0"/>
        <w:pageBreakBefore w:val="0"/>
        <w:spacing w:line="400" w:lineRule="exact"/>
        <w:widowControl w:val="off"/>
        <w:rPr>
          <w:rStyle w:val="1008"/>
          <w:rFonts w:hint="eastAsia" w:ascii="宋体" w:hAnsi="宋体" w:cs="宋体"/>
          <w:b/>
          <w:bCs w:val="0"/>
          <w:color w:val="auto"/>
          <w:sz w:val="24"/>
          <w:szCs w:val="24"/>
          <w:highlight w:val="none"/>
        </w:rPr>
        <w:outlineLvl w:val="1"/>
      </w:pPr>
      <w:r/>
      <w:bookmarkStart w:id="74" w:name="_Toc4727"/>
      <w:r/>
      <w:bookmarkStart w:id="75" w:name="_Toc14347"/>
      <w:r/>
      <w:bookmarkStart w:id="76" w:name="_Toc21400"/>
      <w:r>
        <w:rPr>
          <w:rStyle w:val="1008"/>
          <w:rFonts w:hint="eastAsia" w:ascii="宋体" w:hAnsi="宋体" w:cs="宋体"/>
          <w:b/>
          <w:bCs w:val="0"/>
          <w:color w:val="auto"/>
          <w:sz w:val="24"/>
          <w:szCs w:val="24"/>
          <w:highlight w:val="none"/>
        </w:rPr>
        <w:t xml:space="preserve">招标文件</w:t>
      </w:r>
      <w:bookmarkEnd w:id="71"/>
      <w:r/>
      <w:bookmarkEnd w:id="72"/>
      <w:r/>
      <w:bookmarkEnd w:id="73"/>
      <w:r/>
      <w:bookmarkEnd w:id="74"/>
      <w:r/>
      <w:bookmarkEnd w:id="75"/>
      <w:r/>
      <w:bookmarkEnd w:id="76"/>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bookmarkStart w:id="77" w:name="_Toc31846"/>
      <w:r>
        <w:rPr>
          <w:rFonts w:hint="eastAsia" w:ascii="宋体" w:hAnsi="宋体" w:eastAsia="宋体" w:cs="宋体"/>
          <w:b/>
          <w:bCs/>
          <w:color w:val="auto"/>
          <w:sz w:val="24"/>
          <w:szCs w:val="24"/>
          <w:highlight w:val="none"/>
        </w:rPr>
        <w:t xml:space="preserve">招标文件构成</w:t>
      </w:r>
      <w:bookmarkEnd w:id="77"/>
      <w:r/>
      <w:r/>
    </w:p>
    <w:p>
      <w:pPr>
        <w:numPr>
          <w:ilvl w:val="1"/>
          <w:numId w:val="8"/>
        </w:numPr>
        <w:ind w:left="0"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招标文件有以下部分组成：</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投标邀请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投标人须知</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合同条款及格式</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项目需求</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评标方法与评标标准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w:t>
      </w:r>
      <w:r/>
    </w:p>
    <w:p>
      <w:pPr>
        <w:ind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w:t>
      </w:r>
      <w:r>
        <w:rPr>
          <w:rFonts w:hint="eastAsia" w:ascii="宋体" w:hAnsi="宋体" w:cs="宋体"/>
          <w:color w:val="auto"/>
          <w:sz w:val="24"/>
          <w:highlight w:val="none"/>
          <w:lang w:eastAsia="zh-CN"/>
        </w:rPr>
        <w:t xml:space="preserve">苏州大智项目管理咨询有限公司</w:t>
      </w:r>
      <w:r>
        <w:rPr>
          <w:rFonts w:hint="eastAsia" w:ascii="宋体" w:hAnsi="宋体" w:cs="宋体"/>
          <w:color w:val="auto"/>
          <w:sz w:val="24"/>
          <w:highlight w:val="none"/>
        </w:rPr>
        <w:t xml:space="preserve">联系解决。</w:t>
      </w:r>
      <w:r/>
    </w:p>
    <w:p>
      <w:pPr>
        <w:numPr>
          <w:ilvl w:val="1"/>
          <w:numId w:val="8"/>
        </w:numPr>
        <w:ind w:left="0"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bookmarkStart w:id="78" w:name="_Toc21877"/>
      <w:r>
        <w:rPr>
          <w:rFonts w:hint="eastAsia" w:ascii="宋体" w:hAnsi="宋体" w:eastAsia="宋体" w:cs="宋体"/>
          <w:b/>
          <w:bCs/>
          <w:color w:val="auto"/>
          <w:sz w:val="24"/>
          <w:szCs w:val="24"/>
          <w:highlight w:val="none"/>
        </w:rPr>
        <w:t xml:space="preserve">招标文件的澄清</w:t>
      </w:r>
      <w:r>
        <w:rPr>
          <w:rFonts w:hint="eastAsia" w:ascii="宋体" w:hAnsi="宋体" w:eastAsia="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rPr>
        <w:t xml:space="preserve">修改</w:t>
      </w:r>
      <w:bookmarkEnd w:id="78"/>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提交</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文件截止之日前，</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人、采购代理机构</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权对已发出的</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文件进行必要的澄清或者修改，</w:t>
      </w:r>
      <w:r>
        <w:rPr>
          <w:rFonts w:hint="eastAsia" w:ascii="宋体" w:hAnsi="宋体"/>
          <w:color w:val="auto"/>
          <w:sz w:val="24"/>
          <w:highlight w:val="none"/>
        </w:rPr>
        <w:t xml:space="preserve">有权按照法定的要求推迟投标截止日期和开标日期</w:t>
      </w:r>
      <w:r>
        <w:rPr>
          <w:rFonts w:hint="eastAsia" w:ascii="宋体" w:hAnsi="宋体" w:eastAsia="宋体" w:cs="宋体"/>
          <w:color w:val="auto"/>
          <w:sz w:val="24"/>
          <w:szCs w:val="24"/>
          <w:highlight w:val="none"/>
        </w:rPr>
        <w:t xml:space="preserve">。</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招标文件的实质性变动或修改将在政府采购公告媒体网通知，投标人可自行下载。补充文件将作为招标文件的组成部分，并对投标人具有约束力。</w:t>
      </w:r>
      <w:r/>
    </w:p>
    <w:p>
      <w:pPr>
        <w:numPr>
          <w:ilvl w:val="1"/>
          <w:numId w:val="7"/>
        </w:numPr>
        <w:ind w:left="0" w:firstLine="0"/>
        <w:jc w:val="left"/>
        <w:keepLines w:val="0"/>
        <w:keepNext w:val="0"/>
        <w:pageBreakBefore w:val="0"/>
        <w:spacing w:line="400" w:lineRule="exact"/>
        <w:widowControl w:val="off"/>
        <w:rPr>
          <w:rStyle w:val="1008"/>
          <w:rFonts w:hint="eastAsia" w:ascii="宋体" w:hAnsi="宋体" w:eastAsia="宋体" w:cs="宋体"/>
          <w:b/>
          <w:bCs w:val="0"/>
          <w:color w:val="auto"/>
          <w:sz w:val="24"/>
          <w:szCs w:val="24"/>
          <w:highlight w:val="none"/>
        </w:rPr>
        <w:outlineLvl w:val="1"/>
      </w:pPr>
      <w:r/>
      <w:bookmarkStart w:id="79" w:name="_Toc9095"/>
      <w:r/>
      <w:bookmarkStart w:id="80" w:name="_Toc20600"/>
      <w:r/>
      <w:bookmarkStart w:id="81" w:name="_Toc21471"/>
      <w:r/>
      <w:bookmarkStart w:id="82" w:name="_Toc35244870"/>
      <w:r/>
      <w:bookmarkStart w:id="83" w:name="_Toc256000004"/>
      <w:r/>
      <w:bookmarkStart w:id="84" w:name="_Toc54119648"/>
      <w:r>
        <w:rPr>
          <w:rStyle w:val="1008"/>
          <w:rFonts w:hint="eastAsia" w:ascii="宋体" w:hAnsi="宋体" w:eastAsia="宋体" w:cs="宋体"/>
          <w:b/>
          <w:bCs w:val="0"/>
          <w:color w:val="auto"/>
          <w:sz w:val="24"/>
          <w:szCs w:val="24"/>
          <w:highlight w:val="none"/>
        </w:rPr>
        <w:t xml:space="preserve">投标文件的编制</w:t>
      </w:r>
      <w:bookmarkEnd w:id="79"/>
      <w:r/>
      <w:bookmarkEnd w:id="80"/>
      <w:r/>
      <w:bookmarkEnd w:id="81"/>
      <w:r/>
      <w:bookmarkEnd w:id="82"/>
      <w:r/>
      <w:bookmarkEnd w:id="83"/>
      <w:r/>
      <w:bookmarkEnd w:id="84"/>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bookmarkStart w:id="85" w:name="_Toc4429"/>
      <w:r>
        <w:rPr>
          <w:rFonts w:hint="eastAsia" w:ascii="宋体" w:hAnsi="宋体" w:cs="宋体"/>
          <w:b/>
          <w:bCs/>
          <w:color w:val="auto"/>
          <w:sz w:val="24"/>
          <w:highlight w:val="none"/>
        </w:rPr>
        <w:t xml:space="preserve">投标文件的语言及度量衡单位</w:t>
      </w:r>
      <w:bookmarkEnd w:id="85"/>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投标人提交的投标文件以及投标人与</w:t>
      </w:r>
      <w:r>
        <w:rPr>
          <w:rFonts w:hint="eastAsia" w:ascii="宋体" w:hAnsi="宋体" w:cs="宋体"/>
          <w:color w:val="auto"/>
          <w:sz w:val="24"/>
          <w:highlight w:val="none"/>
          <w:lang w:eastAsia="zh-CN"/>
        </w:rPr>
        <w:t xml:space="preserve">苏州大智项目管理咨询有限公司</w:t>
      </w:r>
      <w:r>
        <w:rPr>
          <w:rFonts w:hint="eastAsia" w:ascii="宋体" w:hAnsi="宋体" w:eastAsia="宋体" w:cs="宋体"/>
          <w:color w:val="auto"/>
          <w:sz w:val="24"/>
          <w:highlight w:val="none"/>
        </w:rPr>
        <w:t xml:space="preserve">就有关投标的所有来往通知、函件和文件均应使用简体中文。</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bookmarkStart w:id="86" w:name="_Toc28334"/>
      <w:r>
        <w:rPr>
          <w:rFonts w:hint="eastAsia" w:ascii="宋体" w:hAnsi="宋体" w:eastAsia="宋体" w:cs="宋体"/>
          <w:b/>
          <w:bCs/>
          <w:color w:val="auto"/>
          <w:sz w:val="24"/>
          <w:szCs w:val="24"/>
          <w:highlight w:val="none"/>
        </w:rPr>
        <w:t xml:space="preserve">投标文件构成</w:t>
      </w:r>
      <w:bookmarkEnd w:id="86"/>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编写的</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文件应</w:t>
      </w:r>
      <w:r>
        <w:rPr>
          <w:rFonts w:hint="eastAsia" w:ascii="宋体" w:hAnsi="宋体" w:eastAsia="宋体" w:cs="宋体"/>
          <w:color w:val="auto"/>
          <w:sz w:val="24"/>
          <w:highlight w:val="none"/>
          <w:lang w:val="en-US" w:eastAsia="zh-CN"/>
        </w:rPr>
        <w:t xml:space="preserve">包括招标文件中第六章投标文件格式</w:t>
      </w:r>
      <w:r>
        <w:rPr>
          <w:rFonts w:hint="eastAsia" w:ascii="宋体" w:hAnsi="宋体" w:cs="宋体"/>
          <w:color w:val="auto"/>
          <w:sz w:val="24"/>
          <w:highlight w:val="none"/>
          <w:lang w:val="en-US" w:eastAsia="zh-CN"/>
        </w:rPr>
        <w:t xml:space="preserve">中</w:t>
      </w:r>
      <w:r>
        <w:rPr>
          <w:rFonts w:hint="eastAsia" w:ascii="宋体" w:hAnsi="宋体" w:eastAsia="宋体" w:cs="宋体"/>
          <w:color w:val="auto"/>
          <w:sz w:val="24"/>
          <w:highlight w:val="none"/>
          <w:lang w:val="en-US" w:eastAsia="zh-CN"/>
        </w:rPr>
        <w:t xml:space="preserve">相关内容</w:t>
      </w:r>
      <w:r>
        <w:rPr>
          <w:rFonts w:hint="eastAsia" w:ascii="宋体" w:hAnsi="宋体" w:eastAsia="宋体" w:cs="宋体"/>
          <w:color w:val="auto"/>
          <w:sz w:val="24"/>
          <w:highlight w:val="none"/>
        </w:rPr>
        <w:t xml:space="preserve">。</w:t>
      </w:r>
      <w:r/>
    </w:p>
    <w:p>
      <w:pPr>
        <w:numPr>
          <w:ilvl w:val="1"/>
          <w:numId w:val="8"/>
        </w:numPr>
        <w:ind w:left="0"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投标人必须在投标文件接收截止时间之前在系统中提交所有与开评标相关的资料。开评标现场不接收任何资料。</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87" w:name="_Toc5753"/>
      <w:r>
        <w:rPr>
          <w:rFonts w:hint="eastAsia" w:ascii="宋体" w:hAnsi="宋体" w:cs="宋体"/>
          <w:b/>
          <w:bCs/>
          <w:color w:val="auto"/>
          <w:sz w:val="24"/>
          <w:highlight w:val="none"/>
        </w:rPr>
        <w:t xml:space="preserve">投标函和开标一览表</w:t>
      </w:r>
      <w:bookmarkEnd w:id="87"/>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投标人应按照招标文件中提供的格式完整、正确填写投标函、开标一览表。</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开标一览表中的价格应与投标文件中投标配置与分项报价表或</w:t>
      </w:r>
      <w:r>
        <w:rPr>
          <w:rFonts w:hint="eastAsia" w:ascii="宋体" w:hAnsi="宋体"/>
          <w:bCs/>
          <w:color w:val="auto"/>
          <w:sz w:val="24"/>
          <w:highlight w:val="none"/>
        </w:rPr>
        <w:t xml:space="preserve">经费测算</w:t>
      </w:r>
      <w:r>
        <w:rPr>
          <w:rFonts w:hint="eastAsia" w:ascii="宋体" w:hAnsi="宋体"/>
          <w:bCs/>
          <w:color w:val="auto"/>
          <w:sz w:val="24"/>
          <w:highlight w:val="none"/>
          <w:lang w:val="en-US" w:eastAsia="zh-CN"/>
        </w:rPr>
        <w:t xml:space="preserve">明细</w:t>
      </w:r>
      <w:r>
        <w:rPr>
          <w:rFonts w:hint="eastAsia" w:ascii="宋体" w:hAnsi="宋体"/>
          <w:bCs/>
          <w:color w:val="auto"/>
          <w:sz w:val="24"/>
          <w:highlight w:val="none"/>
        </w:rPr>
        <w:t xml:space="preserve">表</w:t>
      </w:r>
      <w:r>
        <w:rPr>
          <w:rFonts w:hint="eastAsia" w:ascii="宋体" w:hAnsi="宋体" w:eastAsia="宋体" w:cs="宋体"/>
          <w:color w:val="auto"/>
          <w:sz w:val="24"/>
          <w:highlight w:val="none"/>
          <w:lang w:val="en-US" w:eastAsia="zh-CN"/>
        </w:rPr>
        <w:t xml:space="preserve">中的价格一致，若出现价格不一致的情况，评标时一律按开标一览表中价格为准。</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88" w:name="_Toc7298"/>
      <w:r>
        <w:rPr>
          <w:rFonts w:hint="eastAsia" w:ascii="宋体" w:hAnsi="宋体" w:cs="宋体"/>
          <w:b/>
          <w:bCs/>
          <w:color w:val="auto"/>
          <w:sz w:val="24"/>
          <w:highlight w:val="none"/>
        </w:rPr>
        <w:t xml:space="preserve">投标人资格证明文件</w:t>
      </w:r>
      <w:bookmarkEnd w:id="88"/>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投标人应按招标文件的要求提交资格证明文件。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89" w:name="_Toc6816"/>
      <w:r>
        <w:rPr>
          <w:rFonts w:hint="eastAsia" w:ascii="宋体" w:hAnsi="宋体" w:cs="宋体"/>
          <w:b/>
          <w:bCs/>
          <w:color w:val="auto"/>
          <w:sz w:val="24"/>
          <w:highlight w:val="none"/>
        </w:rPr>
        <w:t xml:space="preserve">投标配置与分项报价</w:t>
      </w:r>
      <w:bookmarkStart w:id="90" w:name="_Hlt26670373"/>
      <w:r/>
      <w:bookmarkEnd w:id="90"/>
      <w:r>
        <w:rPr>
          <w:rFonts w:hint="eastAsia" w:ascii="宋体" w:hAnsi="宋体" w:eastAsia="宋体" w:cs="宋体"/>
          <w:b/>
          <w:bCs/>
          <w:color w:val="auto"/>
          <w:sz w:val="24"/>
          <w:highlight w:val="none"/>
        </w:rPr>
        <w:t xml:space="preserve">表或经费测算</w:t>
      </w:r>
      <w:r>
        <w:rPr>
          <w:rFonts w:hint="eastAsia" w:ascii="宋体" w:hAnsi="宋体" w:eastAsia="宋体" w:cs="宋体"/>
          <w:b/>
          <w:bCs/>
          <w:color w:val="auto"/>
          <w:sz w:val="24"/>
          <w:highlight w:val="none"/>
          <w:lang w:val="en-US" w:eastAsia="zh-CN"/>
        </w:rPr>
        <w:t xml:space="preserve">明细</w:t>
      </w:r>
      <w:r>
        <w:rPr>
          <w:rFonts w:hint="eastAsia" w:ascii="宋体" w:hAnsi="宋体" w:eastAsia="宋体" w:cs="宋体"/>
          <w:b/>
          <w:bCs/>
          <w:color w:val="auto"/>
          <w:sz w:val="24"/>
          <w:highlight w:val="none"/>
        </w:rPr>
        <w:t xml:space="preserve">表</w:t>
      </w:r>
      <w:bookmarkEnd w:id="89"/>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投标人应按照招标文件规定格式填报。每项货物和服务等只允许有一个报价。</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标的物</w:t>
      </w:r>
      <w:r/>
    </w:p>
    <w:p>
      <w:pPr>
        <w:numPr>
          <w:ilvl w:val="2"/>
          <w:numId w:val="8"/>
        </w:numPr>
        <w:ind w:left="0" w:firstLine="72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采购人需求的相关服务等。</w:t>
      </w:r>
      <w:r/>
    </w:p>
    <w:p>
      <w:pPr>
        <w:numPr>
          <w:ilvl w:val="2"/>
          <w:numId w:val="8"/>
        </w:numPr>
        <w:ind w:left="0" w:firstLine="72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bCs/>
          <w:color w:val="auto"/>
          <w:sz w:val="24"/>
          <w:highlight w:val="non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8"/>
        </w:numPr>
        <w:ind w:left="0" w:firstLine="480"/>
        <w:jc w:val="left"/>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eastAsia="宋体" w:cs="宋体"/>
          <w:color w:val="auto"/>
          <w:sz w:val="24"/>
          <w:highlight w:val="none"/>
          <w:lang w:val="en-US" w:eastAsia="zh-CN"/>
        </w:rPr>
        <w:t xml:space="preserve">投标货币：</w:t>
      </w: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投标配置与分项报价表上的价格应按下列方式分开填写：</w:t>
      </w:r>
      <w:r/>
    </w:p>
    <w:p>
      <w:pPr>
        <w:numPr>
          <w:ilvl w:val="2"/>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bookmarkStart w:id="91" w:name="_Hlt26670425"/>
      <w:r/>
      <w:bookmarkEnd w:id="91"/>
      <w:r/>
      <w:bookmarkStart w:id="92" w:name="_Hlt26668983"/>
      <w:r/>
      <w:bookmarkEnd w:id="92"/>
      <w:r/>
      <w:bookmarkStart w:id="93" w:name="_Hlt26954842"/>
      <w:r/>
      <w:bookmarkEnd w:id="93"/>
      <w:r/>
      <w:bookmarkStart w:id="94" w:name="_Hlt26954844"/>
      <w:r/>
      <w:bookmarkEnd w:id="94"/>
      <w:r/>
      <w:bookmarkStart w:id="95" w:name="_Hlt26670403"/>
      <w:r/>
      <w:bookmarkEnd w:id="95"/>
      <w:r>
        <w:rPr>
          <w:rFonts w:hint="eastAsia" w:ascii="宋体" w:hAnsi="宋体" w:eastAsia="宋体" w:cs="宋体"/>
          <w:color w:val="auto"/>
          <w:sz w:val="24"/>
          <w:highlight w:val="none"/>
          <w:lang w:val="en-US" w:eastAsia="zh-CN"/>
        </w:rPr>
        <w:t xml:space="preserve">项目总价：投标人总报价是为完成招标文件规定的所有内容所涉及到的一切费用。总价包括但不限于内容详见开标一览表注释内容。</w:t>
      </w:r>
      <w:r/>
    </w:p>
    <w:p>
      <w:pPr>
        <w:numPr>
          <w:ilvl w:val="2"/>
          <w:numId w:val="8"/>
        </w:numPr>
        <w:ind w:left="0" w:firstLine="480"/>
        <w:jc w:val="left"/>
        <w:keepLines w:val="0"/>
        <w:keepNext w:val="0"/>
        <w:pageBreakBefore w:val="0"/>
        <w:spacing w:line="40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项目单价按投标配置及分项报价表或</w:t>
      </w:r>
      <w:r>
        <w:rPr>
          <w:rFonts w:hint="eastAsia" w:ascii="宋体" w:hAnsi="宋体" w:eastAsia="宋体" w:cs="宋体"/>
          <w:b w:val="0"/>
          <w:bCs w:val="0"/>
          <w:color w:val="auto"/>
          <w:sz w:val="24"/>
          <w:highlight w:val="none"/>
        </w:rPr>
        <w:t xml:space="preserve">经费测算</w:t>
      </w:r>
      <w:r>
        <w:rPr>
          <w:rFonts w:hint="eastAsia" w:ascii="宋体" w:hAnsi="宋体" w:eastAsia="宋体" w:cs="宋体"/>
          <w:b w:val="0"/>
          <w:bCs w:val="0"/>
          <w:color w:val="auto"/>
          <w:sz w:val="24"/>
          <w:highlight w:val="none"/>
          <w:lang w:val="en-US" w:eastAsia="zh-CN"/>
        </w:rPr>
        <w:t xml:space="preserve">明细</w:t>
      </w:r>
      <w:r>
        <w:rPr>
          <w:rFonts w:hint="eastAsia" w:ascii="宋体" w:hAnsi="宋体" w:eastAsia="宋体" w:cs="宋体"/>
          <w:b w:val="0"/>
          <w:bCs w:val="0"/>
          <w:color w:val="auto"/>
          <w:sz w:val="24"/>
          <w:highlight w:val="none"/>
        </w:rPr>
        <w:t xml:space="preserve">表</w:t>
      </w:r>
      <w:r>
        <w:rPr>
          <w:rFonts w:hint="eastAsia" w:ascii="宋体" w:hAnsi="宋体" w:eastAsia="宋体" w:cs="宋体"/>
          <w:b w:val="0"/>
          <w:bCs w:val="0"/>
          <w:color w:val="auto"/>
          <w:sz w:val="24"/>
          <w:highlight w:val="none"/>
          <w:lang w:val="en-US" w:eastAsia="zh-CN"/>
        </w:rPr>
        <w:t xml:space="preserve">中要求填报。</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本报价必须充分考虑所有可能影响到报价的价格因素，一旦投标结束最终成交，总价将包定。如发生漏、缺、少项，都将被认为是中标人的报价让利行为。</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rPr>
        <w:outlineLvl w:val="2"/>
      </w:pPr>
      <w:r/>
      <w:bookmarkStart w:id="96" w:name="_Toc3390"/>
      <w:r>
        <w:rPr>
          <w:rFonts w:hint="eastAsia" w:ascii="宋体" w:hAnsi="宋体" w:eastAsia="宋体" w:cs="宋体"/>
          <w:b/>
          <w:bCs/>
          <w:color w:val="auto"/>
          <w:sz w:val="24"/>
          <w:highlight w:val="none"/>
        </w:rPr>
        <w:t xml:space="preserve">技术及服务方案</w:t>
      </w:r>
      <w:bookmarkEnd w:id="96"/>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根据自己对需求的理解撰写需求分析和服务方案。</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lang w:val="zh-CN" w:eastAsia="zh-CN"/>
        </w:rPr>
        <w:outlineLvl w:val="2"/>
      </w:pPr>
      <w:r/>
      <w:bookmarkStart w:id="97" w:name="_Toc18124"/>
      <w:r>
        <w:rPr>
          <w:rFonts w:hint="eastAsia" w:ascii="宋体" w:hAnsi="宋体" w:eastAsia="宋体" w:cs="宋体"/>
          <w:b/>
          <w:bCs/>
          <w:color w:val="auto"/>
          <w:sz w:val="24"/>
          <w:highlight w:val="none"/>
        </w:rPr>
        <w:t xml:space="preserve">投标人情况介绍</w:t>
      </w:r>
      <w:bookmarkEnd w:id="97"/>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投标人的总体情况应在电子投标文件中作出说明。</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98" w:name="_Toc27190"/>
      <w:r>
        <w:rPr>
          <w:rFonts w:hint="eastAsia" w:ascii="宋体" w:hAnsi="宋体" w:cs="宋体"/>
          <w:b/>
          <w:bCs/>
          <w:color w:val="auto"/>
          <w:sz w:val="24"/>
          <w:highlight w:val="none"/>
        </w:rPr>
        <w:t xml:space="preserve">投标保证金</w:t>
      </w:r>
      <w:bookmarkEnd w:id="98"/>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cs="宋体"/>
          <w:color w:val="auto"/>
          <w:spacing w:val="7"/>
          <w:sz w:val="24"/>
          <w:szCs w:val="24"/>
          <w:highlight w:val="none"/>
          <w:lang w:val="en-US" w:eastAsia="zh-CN" w:bidi="ar-SA"/>
        </w:rPr>
        <w:t xml:space="preserve">本次招标不收取投标保证金。</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99" w:name="_Toc19819"/>
      <w:r>
        <w:rPr>
          <w:rFonts w:hint="eastAsia" w:ascii="宋体" w:hAnsi="宋体" w:cs="宋体"/>
          <w:b/>
          <w:bCs/>
          <w:color w:val="auto"/>
          <w:sz w:val="24"/>
          <w:highlight w:val="none"/>
        </w:rPr>
        <w:t xml:space="preserve">投标有效期</w:t>
      </w:r>
      <w:bookmarkEnd w:id="99"/>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投标有效期为</w:t>
      </w:r>
      <w:r>
        <w:rPr>
          <w:rFonts w:hint="eastAsia" w:ascii="宋体" w:hAnsi="宋体" w:cs="宋体"/>
          <w:color w:val="auto"/>
          <w:spacing w:val="7"/>
          <w:sz w:val="24"/>
          <w:szCs w:val="24"/>
          <w:highlight w:val="none"/>
          <w:lang w:val="en-US" w:eastAsia="zh-CN" w:bidi="ar-SA"/>
        </w:rPr>
        <w:t xml:space="preserve">苏州大智项目管理咨询有限公司</w:t>
      </w:r>
      <w:r>
        <w:rPr>
          <w:rFonts w:hint="eastAsia" w:ascii="宋体" w:hAnsi="宋体" w:eastAsia="宋体" w:cs="宋体"/>
          <w:color w:val="auto"/>
          <w:spacing w:val="7"/>
          <w:sz w:val="24"/>
          <w:szCs w:val="24"/>
          <w:highlight w:val="none"/>
          <w:lang w:val="en-US" w:eastAsia="zh-CN" w:bidi="ar-SA"/>
        </w:rPr>
        <w:t xml:space="preserve">规定的开标之日后九十（90）天。投标有效期比规定短的将被视为非响应性投标而予以拒绝。</w:t>
      </w:r>
      <w:r/>
    </w:p>
    <w:p>
      <w:pPr>
        <w:numPr>
          <w:ilvl w:val="1"/>
          <w:numId w:val="8"/>
        </w:numPr>
        <w:ind w:left="0" w:firstLine="508"/>
        <w:jc w:val="left"/>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eastAsia="宋体" w:cs="宋体"/>
          <w:color w:val="auto"/>
          <w:spacing w:val="7"/>
          <w:sz w:val="24"/>
          <w:szCs w:val="24"/>
          <w:highlight w:val="none"/>
          <w:lang w:val="en-US" w:eastAsia="zh-CN" w:bidi="ar-SA"/>
        </w:rPr>
        <w:t xml:space="preserve">在特殊情况下，</w:t>
      </w:r>
      <w:r>
        <w:rPr>
          <w:rFonts w:hint="eastAsia" w:ascii="宋体" w:hAnsi="宋体" w:cs="宋体"/>
          <w:color w:val="auto"/>
          <w:spacing w:val="7"/>
          <w:sz w:val="24"/>
          <w:szCs w:val="24"/>
          <w:highlight w:val="none"/>
          <w:lang w:val="en-US" w:eastAsia="zh-CN" w:bidi="ar-SA"/>
        </w:rPr>
        <w:t xml:space="preserve">苏州大智项目管理咨询有限公司</w:t>
      </w:r>
      <w:r>
        <w:rPr>
          <w:rFonts w:hint="eastAsia" w:ascii="宋体" w:hAnsi="宋体" w:eastAsia="宋体" w:cs="宋体"/>
          <w:color w:val="auto"/>
          <w:spacing w:val="7"/>
          <w:sz w:val="24"/>
          <w:szCs w:val="24"/>
          <w:highlight w:val="none"/>
          <w:lang w:val="en-US" w:eastAsia="zh-CN" w:bidi="ar-SA"/>
        </w:rPr>
        <w:t xml:space="preserve">于原投标有效期满之前，可向投标人提出延长投标有效期的要求。这种要求与答复均应采用书面形式。投标人可以拒绝</w:t>
      </w:r>
      <w:r>
        <w:rPr>
          <w:rFonts w:hint="eastAsia" w:ascii="宋体" w:hAnsi="宋体" w:cs="宋体"/>
          <w:color w:val="auto"/>
          <w:spacing w:val="7"/>
          <w:sz w:val="24"/>
          <w:szCs w:val="24"/>
          <w:highlight w:val="none"/>
          <w:lang w:val="en-US" w:eastAsia="zh-CN" w:bidi="ar-SA"/>
        </w:rPr>
        <w:t xml:space="preserve">苏州大智项目管理咨询有限公司</w:t>
      </w:r>
      <w:r>
        <w:rPr>
          <w:rFonts w:hint="eastAsia" w:ascii="宋体" w:hAnsi="宋体" w:eastAsia="宋体" w:cs="宋体"/>
          <w:color w:val="auto"/>
          <w:spacing w:val="7"/>
          <w:sz w:val="24"/>
          <w:szCs w:val="24"/>
          <w:highlight w:val="none"/>
          <w:lang w:val="en-US" w:eastAsia="zh-CN" w:bidi="ar-SA"/>
        </w:rPr>
        <w:t xml:space="preserve">的这一要求而放弃投标。同意延长投标有效期的投标人既不能要求也不允许修改其投标文件。受投标有效期约束的所有权利与义务均延长至新的有效期。</w:t>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color w:val="auto"/>
          <w:spacing w:val="7"/>
          <w:sz w:val="24"/>
          <w:szCs w:val="32"/>
          <w:highlight w:val="none"/>
        </w:rPr>
        <w:outlineLvl w:val="2"/>
      </w:pPr>
      <w:r/>
      <w:bookmarkStart w:id="100" w:name="_Toc16988"/>
      <w:r>
        <w:rPr>
          <w:rFonts w:hint="eastAsia" w:ascii="宋体" w:hAnsi="宋体" w:eastAsia="宋体" w:cs="宋体"/>
          <w:b/>
          <w:bCs/>
          <w:color w:val="auto"/>
          <w:spacing w:val="7"/>
          <w:sz w:val="24"/>
          <w:szCs w:val="32"/>
          <w:highlight w:val="none"/>
        </w:rPr>
        <w:t xml:space="preserve">投标文件签署</w:t>
      </w:r>
      <w:bookmarkEnd w:id="100"/>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7"/>
        </w:numPr>
        <w:ind w:left="0" w:firstLine="0"/>
        <w:jc w:val="left"/>
        <w:keepLines w:val="0"/>
        <w:keepNext w:val="0"/>
        <w:pageBreakBefore w:val="0"/>
        <w:spacing w:line="400" w:lineRule="exact"/>
        <w:widowControl w:val="off"/>
        <w:rPr>
          <w:rStyle w:val="1008"/>
          <w:rFonts w:hint="eastAsia" w:ascii="宋体" w:hAnsi="宋体" w:eastAsia="宋体" w:cs="宋体"/>
          <w:b/>
          <w:bCs w:val="0"/>
          <w:color w:val="auto"/>
          <w:sz w:val="24"/>
          <w:szCs w:val="24"/>
          <w:highlight w:val="none"/>
        </w:rPr>
        <w:outlineLvl w:val="1"/>
      </w:pPr>
      <w:r/>
      <w:bookmarkStart w:id="101" w:name="_Toc54119649"/>
      <w:r/>
      <w:bookmarkStart w:id="102" w:name="_Toc256000005"/>
      <w:r/>
      <w:bookmarkStart w:id="103" w:name="_Toc9093"/>
      <w:r/>
      <w:bookmarkStart w:id="104" w:name="_Toc13063"/>
      <w:r/>
      <w:bookmarkStart w:id="105" w:name="_Toc8407"/>
      <w:r>
        <w:rPr>
          <w:rStyle w:val="1008"/>
          <w:rFonts w:hint="eastAsia" w:ascii="宋体" w:hAnsi="宋体" w:cs="宋体"/>
          <w:b/>
          <w:bCs w:val="0"/>
          <w:color w:val="auto"/>
          <w:sz w:val="24"/>
          <w:szCs w:val="24"/>
          <w:highlight w:val="none"/>
        </w:rPr>
        <w:t xml:space="preserve">投标文件的</w:t>
      </w:r>
      <w:bookmarkEnd w:id="101"/>
      <w:r/>
      <w:bookmarkEnd w:id="102"/>
      <w:r>
        <w:rPr>
          <w:rStyle w:val="1008"/>
          <w:rFonts w:hint="eastAsia" w:ascii="宋体" w:hAnsi="宋体" w:cs="宋体"/>
          <w:b/>
          <w:bCs w:val="0"/>
          <w:color w:val="auto"/>
          <w:sz w:val="24"/>
          <w:szCs w:val="24"/>
          <w:highlight w:val="none"/>
        </w:rPr>
        <w:t xml:space="preserve">制作、上传、</w:t>
      </w:r>
      <w:r>
        <w:rPr>
          <w:rStyle w:val="1008"/>
          <w:rFonts w:hint="eastAsia" w:ascii="宋体" w:hAnsi="宋体" w:cs="宋体"/>
          <w:b/>
          <w:bCs w:val="0"/>
          <w:color w:val="auto"/>
          <w:sz w:val="24"/>
          <w:szCs w:val="24"/>
          <w:highlight w:val="none"/>
          <w:lang w:val="en-US" w:eastAsia="zh-CN"/>
        </w:rPr>
        <w:t xml:space="preserve">提</w:t>
      </w:r>
      <w:r>
        <w:rPr>
          <w:rStyle w:val="1008"/>
          <w:rFonts w:hint="eastAsia" w:ascii="宋体" w:hAnsi="宋体" w:cs="宋体"/>
          <w:b/>
          <w:bCs w:val="0"/>
          <w:color w:val="auto"/>
          <w:sz w:val="24"/>
          <w:szCs w:val="24"/>
          <w:highlight w:val="none"/>
        </w:rPr>
        <w:t xml:space="preserve">交</w:t>
      </w:r>
      <w:bookmarkEnd w:id="103"/>
      <w:r/>
      <w:bookmarkEnd w:id="104"/>
      <w:r/>
      <w:bookmarkEnd w:id="105"/>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color w:val="auto"/>
          <w:spacing w:val="7"/>
          <w:sz w:val="24"/>
          <w:szCs w:val="32"/>
          <w:highlight w:val="none"/>
        </w:rPr>
        <w:outlineLvl w:val="2"/>
      </w:pPr>
      <w:r/>
      <w:bookmarkStart w:id="106" w:name="_Toc12544"/>
      <w:r>
        <w:rPr>
          <w:rFonts w:hint="eastAsia" w:ascii="宋体" w:hAnsi="宋体" w:eastAsia="宋体" w:cs="宋体"/>
          <w:b/>
          <w:bCs/>
          <w:color w:val="auto"/>
          <w:spacing w:val="7"/>
          <w:sz w:val="24"/>
          <w:szCs w:val="32"/>
          <w:highlight w:val="none"/>
        </w:rPr>
        <w:t xml:space="preserve">投标文件的</w:t>
      </w:r>
      <w:r>
        <w:rPr>
          <w:rFonts w:hint="eastAsia" w:ascii="宋体" w:hAnsi="宋体" w:eastAsia="宋体" w:cs="宋体"/>
          <w:b/>
          <w:bCs/>
          <w:color w:val="auto"/>
          <w:spacing w:val="7"/>
          <w:sz w:val="24"/>
          <w:szCs w:val="32"/>
          <w:highlight w:val="none"/>
          <w:lang w:val="en-US" w:eastAsia="zh-CN"/>
        </w:rPr>
        <w:t xml:space="preserve">制作</w:t>
      </w:r>
      <w:bookmarkEnd w:id="106"/>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投标人应当按照《</w:t>
      </w:r>
      <w:r>
        <w:rPr>
          <w:rStyle w:val="1054"/>
          <w:rFonts w:hint="eastAsia" w:ascii="宋体" w:hAnsi="宋体" w:eastAsia="宋体" w:cs="宋体"/>
          <w:b w:val="0"/>
          <w:color w:val="auto"/>
          <w:spacing w:val="7"/>
          <w:sz w:val="24"/>
          <w:szCs w:val="24"/>
          <w:highlight w:val="none"/>
        </w:rPr>
        <w:t xml:space="preserve">苏采云系统</w:t>
      </w:r>
      <w:r>
        <w:rPr>
          <w:rFonts w:hint="eastAsia" w:ascii="宋体" w:hAnsi="宋体" w:eastAsia="宋体" w:cs="宋体"/>
          <w:color w:val="auto"/>
          <w:spacing w:val="7"/>
          <w:sz w:val="24"/>
          <w:szCs w:val="24"/>
          <w:highlight w:val="none"/>
          <w:lang w:val="en-US" w:eastAsia="zh-CN" w:bidi="ar-SA"/>
        </w:rPr>
        <w:t xml:space="preserve">操作手册》规定，在投标截止时间前制作并上传电子投标文件。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107" w:name="_Toc19418"/>
      <w:r/>
      <w:bookmarkStart w:id="108" w:name="_Toc6388850"/>
      <w:r/>
      <w:bookmarkStart w:id="109" w:name="_Toc6389298"/>
      <w:r>
        <w:rPr>
          <w:rFonts w:hint="eastAsia" w:ascii="宋体" w:hAnsi="宋体" w:cs="宋体"/>
          <w:b/>
          <w:bCs/>
          <w:color w:val="auto"/>
          <w:sz w:val="24"/>
          <w:highlight w:val="none"/>
        </w:rPr>
        <w:t xml:space="preserve">投标截止日期</w:t>
      </w:r>
      <w:bookmarkEnd w:id="107"/>
      <w:r/>
      <w:bookmarkEnd w:id="108"/>
      <w:r/>
      <w:bookmarkEnd w:id="109"/>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bookmarkStart w:id="110" w:name="_Toc6389299"/>
      <w:r/>
      <w:bookmarkStart w:id="111" w:name="_Toc6388851"/>
      <w:r>
        <w:rPr>
          <w:rFonts w:hint="eastAsia" w:ascii="宋体" w:hAnsi="宋体" w:eastAsia="宋体" w:cs="宋体"/>
          <w:color w:val="auto"/>
          <w:spacing w:val="7"/>
          <w:sz w:val="24"/>
          <w:szCs w:val="24"/>
          <w:highlight w:val="none"/>
          <w:lang w:val="en-US" w:eastAsia="zh-CN" w:bidi="ar-SA"/>
        </w:rPr>
        <w:t xml:space="preserve">投标人上传电子投标文件的时间不得迟于招标公告中规定的投标截止时间。</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投标人应充分考虑到网络环境、网络带宽等风险因素，如因投标人自身原因造成的电子投标文件上传不成功由投标人自行承担全部责任。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采购代理机构可以按照规定，通过修改招标文件有权酌情延长投标截止日期，在此情况下，投标人的所有权利和义务以及投标人受制的截止日期均应以延长后新的截止日期为准。</w:t>
      </w:r>
      <w:bookmarkEnd w:id="110"/>
      <w:r/>
      <w:bookmarkEnd w:id="111"/>
      <w:r/>
      <w:r/>
    </w:p>
    <w:p>
      <w:pPr>
        <w:numPr>
          <w:ilvl w:val="1"/>
          <w:numId w:val="8"/>
        </w:numPr>
        <w:ind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采购代理机构</w:t>
      </w:r>
      <w:r>
        <w:rPr>
          <w:rFonts w:hint="eastAsia" w:ascii="宋体" w:hAnsi="宋体" w:cs="宋体"/>
          <w:color w:val="auto"/>
          <w:sz w:val="24"/>
          <w:highlight w:val="none"/>
        </w:rPr>
        <w:t xml:space="preserve">拒绝接收在其规定的投标截止时间后</w:t>
      </w:r>
      <w:r>
        <w:rPr>
          <w:rFonts w:hint="eastAsia" w:ascii="宋体" w:hAnsi="宋体" w:cs="宋体"/>
          <w:color w:val="auto"/>
          <w:sz w:val="24"/>
          <w:highlight w:val="none"/>
          <w:lang w:eastAsia="zh-CN"/>
        </w:rPr>
        <w:t xml:space="preserve">提交</w:t>
      </w:r>
      <w:r>
        <w:rPr>
          <w:rFonts w:hint="eastAsia" w:ascii="宋体" w:hAnsi="宋体" w:cs="宋体"/>
          <w:color w:val="auto"/>
          <w:sz w:val="24"/>
          <w:highlight w:val="none"/>
        </w:rPr>
        <w:t xml:space="preserve">的任何投标文件。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112" w:name="_Toc28400"/>
      <w:r/>
      <w:bookmarkStart w:id="113" w:name="_Toc6388852"/>
      <w:r/>
      <w:bookmarkStart w:id="114" w:name="_Toc6389300"/>
      <w:r>
        <w:rPr>
          <w:rFonts w:hint="eastAsia" w:ascii="宋体" w:hAnsi="宋体" w:cs="宋体"/>
          <w:b/>
          <w:bCs/>
          <w:color w:val="auto"/>
          <w:sz w:val="24"/>
          <w:highlight w:val="none"/>
        </w:rPr>
        <w:t xml:space="preserve">投标文件的修改和撤回</w:t>
      </w:r>
      <w:bookmarkEnd w:id="112"/>
      <w:r/>
      <w:bookmarkEnd w:id="113"/>
      <w:r/>
      <w:bookmarkEnd w:id="114"/>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投投标人在</w:t>
      </w:r>
      <w:r>
        <w:rPr>
          <w:rFonts w:hint="eastAsia" w:ascii="宋体" w:hAnsi="宋体" w:cs="宋体"/>
          <w:color w:val="auto"/>
          <w:spacing w:val="7"/>
          <w:sz w:val="24"/>
          <w:szCs w:val="24"/>
          <w:highlight w:val="none"/>
          <w:lang w:val="en-US" w:eastAsia="zh-CN" w:bidi="ar-SA"/>
        </w:rPr>
        <w:t xml:space="preserve">提交</w:t>
      </w:r>
      <w:r>
        <w:rPr>
          <w:rFonts w:hint="eastAsia" w:ascii="宋体" w:hAnsi="宋体" w:eastAsia="宋体" w:cs="宋体"/>
          <w:color w:val="auto"/>
          <w:spacing w:val="7"/>
          <w:sz w:val="24"/>
          <w:szCs w:val="24"/>
          <w:highlight w:val="none"/>
          <w:lang w:val="en-US" w:eastAsia="zh-CN" w:bidi="ar-SA"/>
        </w:rPr>
        <w:t xml:space="preserve">投标文件后，可以修改或撤回其投标文件，但这种修改和撤回，必须在规定的投标截止时间前，具体操作方法见《</w:t>
      </w:r>
      <w:r>
        <w:rPr>
          <w:rStyle w:val="1054"/>
          <w:rFonts w:hint="eastAsia" w:ascii="宋体" w:hAnsi="宋体" w:eastAsia="宋体" w:cs="宋体"/>
          <w:b w:val="0"/>
          <w:color w:val="auto"/>
          <w:spacing w:val="7"/>
          <w:sz w:val="24"/>
          <w:szCs w:val="24"/>
          <w:highlight w:val="none"/>
        </w:rPr>
        <w:t xml:space="preserve">苏采云系统</w:t>
      </w:r>
      <w:r>
        <w:rPr>
          <w:rFonts w:hint="eastAsia" w:ascii="宋体" w:hAnsi="宋体" w:eastAsia="宋体" w:cs="宋体"/>
          <w:color w:val="auto"/>
          <w:spacing w:val="7"/>
          <w:sz w:val="24"/>
          <w:szCs w:val="24"/>
          <w:highlight w:val="none"/>
          <w:lang w:val="en-US" w:eastAsia="zh-CN" w:bidi="ar-SA"/>
        </w:rPr>
        <w:t xml:space="preserve">操作手册》。</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投标人撤回电子投标文件，则认为其不再参与本项目投标活动。</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在投标截止时间之后，投标人不得对其电子投标文件作任何修改。</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不论投标人中标与否，投标文件均不退回。</w:t>
      </w:r>
      <w:r/>
    </w:p>
    <w:p>
      <w:pPr>
        <w:numPr>
          <w:ilvl w:val="1"/>
          <w:numId w:val="7"/>
        </w:numPr>
        <w:ind w:left="0" w:firstLine="0"/>
        <w:jc w:val="left"/>
        <w:keepLines w:val="0"/>
        <w:keepNext w:val="0"/>
        <w:pageBreakBefore w:val="0"/>
        <w:spacing w:line="400" w:lineRule="exact"/>
        <w:widowControl w:val="off"/>
        <w:rPr>
          <w:rStyle w:val="1008"/>
          <w:rFonts w:hint="eastAsia" w:ascii="宋体" w:hAnsi="宋体" w:eastAsia="宋体" w:cs="宋体"/>
          <w:b/>
          <w:bCs w:val="0"/>
          <w:color w:val="auto"/>
          <w:sz w:val="24"/>
          <w:szCs w:val="24"/>
          <w:highlight w:val="none"/>
        </w:rPr>
        <w:outlineLvl w:val="1"/>
      </w:pPr>
      <w:r/>
      <w:bookmarkStart w:id="115" w:name="_Toc21743"/>
      <w:r/>
      <w:bookmarkStart w:id="116" w:name="_Toc35244872"/>
      <w:r/>
      <w:bookmarkStart w:id="117" w:name="_Toc22772"/>
      <w:r/>
      <w:bookmarkStart w:id="118" w:name="_Toc256000006"/>
      <w:r/>
      <w:bookmarkStart w:id="119" w:name="_Toc5723"/>
      <w:r/>
      <w:bookmarkStart w:id="120" w:name="_Toc54119650"/>
      <w:r>
        <w:rPr>
          <w:rStyle w:val="1008"/>
          <w:rFonts w:hint="eastAsia" w:ascii="宋体" w:hAnsi="宋体" w:eastAsia="宋体" w:cs="宋体"/>
          <w:b/>
          <w:bCs w:val="0"/>
          <w:color w:val="auto"/>
          <w:sz w:val="24"/>
          <w:szCs w:val="24"/>
          <w:highlight w:val="none"/>
        </w:rPr>
        <w:t xml:space="preserve">开标与评标</w:t>
      </w:r>
      <w:bookmarkEnd w:id="115"/>
      <w:r/>
      <w:bookmarkEnd w:id="116"/>
      <w:r/>
      <w:bookmarkEnd w:id="117"/>
      <w:r/>
      <w:bookmarkEnd w:id="118"/>
      <w:r/>
      <w:bookmarkEnd w:id="119"/>
      <w:r/>
      <w:bookmarkEnd w:id="120"/>
      <w:r/>
      <w:r/>
    </w:p>
    <w:p>
      <w:pPr>
        <w:numPr>
          <w:ilvl w:val="0"/>
          <w:numId w:val="8"/>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121" w:name="_Toc30366"/>
      <w:r>
        <w:rPr>
          <w:rFonts w:hint="eastAsia" w:ascii="宋体" w:hAnsi="宋体" w:cs="宋体"/>
          <w:b/>
          <w:bCs/>
          <w:color w:val="auto"/>
          <w:sz w:val="24"/>
          <w:highlight w:val="none"/>
        </w:rPr>
        <w:t xml:space="preserve">开标</w:t>
      </w:r>
      <w:bookmarkEnd w:id="121"/>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Style w:val="1054"/>
          <w:rFonts w:hint="eastAsia" w:ascii="宋体" w:hAnsi="宋体" w:eastAsia="宋体" w:cs="宋体"/>
          <w:b w:val="0"/>
          <w:color w:val="auto"/>
          <w:spacing w:val="7"/>
          <w:sz w:val="24"/>
          <w:szCs w:val="24"/>
          <w:highlight w:val="none"/>
        </w:rPr>
        <w:t xml:space="preserve">开标由采购代理机构在线主持，邀请投标人在线参加。投标人应当按照《苏采云系统操作手册》规定，参加开标活动和在“苏采云”系统规定的时间内对投标文件进行解密。</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开标</w:t>
      </w:r>
      <w:r>
        <w:rPr>
          <w:rFonts w:hint="eastAsia" w:ascii="宋体" w:hAnsi="宋体" w:cs="宋体"/>
          <w:color w:val="auto"/>
          <w:spacing w:val="7"/>
          <w:sz w:val="24"/>
          <w:szCs w:val="24"/>
          <w:highlight w:val="none"/>
          <w:lang w:val="en-US" w:eastAsia="zh-CN" w:bidi="ar-SA"/>
        </w:rPr>
        <w:t xml:space="preserve">时</w:t>
      </w:r>
      <w:r>
        <w:rPr>
          <w:rFonts w:hint="eastAsia" w:ascii="宋体" w:hAnsi="宋体" w:eastAsia="宋体" w:cs="宋体"/>
          <w:color w:val="auto"/>
          <w:spacing w:val="7"/>
          <w:sz w:val="24"/>
          <w:szCs w:val="24"/>
          <w:highlight w:val="none"/>
          <w:lang w:val="en-US" w:eastAsia="zh-CN" w:bidi="ar-SA"/>
        </w:rPr>
        <w:t xml:space="preserve">，</w:t>
      </w:r>
      <w:r>
        <w:rPr>
          <w:rStyle w:val="1054"/>
          <w:rFonts w:hint="eastAsia" w:ascii="宋体" w:hAnsi="宋体" w:eastAsia="宋体" w:cs="宋体"/>
          <w:b w:val="0"/>
          <w:color w:val="auto"/>
          <w:spacing w:val="7"/>
          <w:sz w:val="24"/>
          <w:szCs w:val="24"/>
          <w:highlight w:val="none"/>
        </w:rPr>
        <w:t xml:space="preserve">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122" w:name="_Toc4671"/>
      <w:r>
        <w:rPr>
          <w:rFonts w:hint="eastAsia" w:ascii="宋体" w:hAnsi="宋体" w:cs="宋体"/>
          <w:b/>
          <w:bCs/>
          <w:color w:val="auto"/>
          <w:sz w:val="24"/>
          <w:highlight w:val="none"/>
        </w:rPr>
        <w:t xml:space="preserve">评标委员会</w:t>
      </w:r>
      <w:bookmarkEnd w:id="122"/>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开标后，代理机构将立即组织评标委员会（以下简称评委会）进行评标。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评委会由评审专家、采购人代表组成，且人员构成符合政府采购有关规定。</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评委会将对投标人的商业、技术秘密予以保密。</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123" w:name="_Toc2623"/>
      <w:r>
        <w:rPr>
          <w:rFonts w:hint="eastAsia" w:ascii="宋体" w:hAnsi="宋体" w:cs="宋体"/>
          <w:b/>
          <w:bCs/>
          <w:color w:val="auto"/>
          <w:sz w:val="24"/>
          <w:highlight w:val="none"/>
        </w:rPr>
        <w:t xml:space="preserve">评标过程的保密与公正</w:t>
      </w:r>
      <w:bookmarkEnd w:id="123"/>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在评标过程中，如果投标人试图向</w:t>
      </w:r>
      <w:r>
        <w:rPr>
          <w:rFonts w:hint="eastAsia" w:ascii="宋体" w:hAnsi="宋体" w:cs="宋体"/>
          <w:color w:val="auto"/>
          <w:spacing w:val="7"/>
          <w:sz w:val="24"/>
          <w:szCs w:val="24"/>
          <w:highlight w:val="none"/>
          <w:lang w:val="en-US" w:eastAsia="zh-CN" w:bidi="ar-SA"/>
        </w:rPr>
        <w:t xml:space="preserve">苏州大智项目管理咨询有限公司</w:t>
      </w:r>
      <w:r>
        <w:rPr>
          <w:rFonts w:hint="eastAsia" w:ascii="宋体" w:hAnsi="宋体" w:eastAsia="宋体" w:cs="宋体"/>
          <w:color w:val="auto"/>
          <w:spacing w:val="7"/>
          <w:sz w:val="24"/>
          <w:szCs w:val="24"/>
          <w:highlight w:val="none"/>
          <w:lang w:val="en-US" w:eastAsia="zh-CN" w:bidi="ar-SA"/>
        </w:rPr>
        <w:t xml:space="preserve">和参与评标的人员施加任何影响，都将会导致其投标被拒绝。</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z w:val="24"/>
          <w:szCs w:val="24"/>
          <w:highlight w:val="none"/>
        </w:rPr>
        <w:t xml:space="preserve">投标人可于中标结果公告期限届满之日起通过苏采云系统查看自己的评审得分及排序情况。</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124" w:name="_Toc6849"/>
      <w:r>
        <w:rPr>
          <w:rFonts w:hint="eastAsia" w:ascii="宋体" w:hAnsi="宋体" w:cs="宋体"/>
          <w:b/>
          <w:bCs/>
          <w:color w:val="auto"/>
          <w:sz w:val="24"/>
          <w:highlight w:val="none"/>
        </w:rPr>
        <w:t xml:space="preserve">投标的澄清</w:t>
      </w:r>
      <w:bookmarkEnd w:id="124"/>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Style w:val="1054"/>
          <w:rFonts w:hint="eastAsia" w:ascii="宋体" w:hAnsi="宋体" w:eastAsia="宋体" w:cs="宋体"/>
          <w:b w:val="0"/>
          <w:color w:val="auto"/>
          <w:spacing w:val="7"/>
          <w:sz w:val="24"/>
          <w:szCs w:val="24"/>
          <w:highlight w:val="none"/>
        </w:rPr>
        <w:t xml:space="preserve">接到评委会澄清要求的投标人应该派人按评委会通知的时间和格式在系统中澄清，澄清的内容须由投标人法定代表人（或负责人）或</w:t>
      </w:r>
      <w:r>
        <w:rPr>
          <w:rStyle w:val="1054"/>
          <w:rFonts w:hint="eastAsia" w:ascii="宋体" w:hAnsi="宋体" w:cs="宋体"/>
          <w:b w:val="0"/>
          <w:color w:val="auto"/>
          <w:spacing w:val="7"/>
          <w:sz w:val="24"/>
          <w:szCs w:val="24"/>
          <w:highlight w:val="none"/>
          <w:lang w:val="en-US" w:eastAsia="zh-CN"/>
        </w:rPr>
        <w:t xml:space="preserve">被</w:t>
      </w:r>
      <w:r>
        <w:rPr>
          <w:rStyle w:val="1054"/>
          <w:rFonts w:hint="eastAsia" w:ascii="宋体" w:hAnsi="宋体" w:eastAsia="宋体" w:cs="宋体"/>
          <w:b w:val="0"/>
          <w:color w:val="auto"/>
          <w:spacing w:val="7"/>
          <w:sz w:val="24"/>
          <w:szCs w:val="24"/>
          <w:highlight w:val="none"/>
        </w:rPr>
        <w:t xml:space="preserve">授权代表签署，并作为投标文件的补充部分，但投标的价格和实质性的内容不得做任何修改。</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需要供应商进行澄清、说明和补正的，评委会将通过苏采云系统向供应商发出“澄清要求函”，接到“澄清要求函”的投标人应当按照要求</w:t>
      </w:r>
      <w:r>
        <w:rPr>
          <w:rStyle w:val="1054"/>
          <w:rFonts w:hint="eastAsia" w:ascii="宋体" w:hAnsi="宋体" w:eastAsia="宋体" w:cs="宋体"/>
          <w:b w:val="0"/>
          <w:bCs w:val="0"/>
          <w:color w:val="auto"/>
          <w:spacing w:val="7"/>
          <w:sz w:val="24"/>
          <w:szCs w:val="24"/>
          <w:highlight w:val="none"/>
          <w:lang w:val="zh-CN" w:eastAsia="zh-CN"/>
        </w:rPr>
        <w:t xml:space="preserve">在规定时间内</w:t>
      </w:r>
      <w:r>
        <w:rPr>
          <w:rStyle w:val="1054"/>
          <w:rFonts w:hint="eastAsia" w:ascii="宋体" w:hAnsi="宋体" w:cs="宋体"/>
          <w:b w:val="0"/>
          <w:bCs w:val="0"/>
          <w:color w:val="auto"/>
          <w:spacing w:val="7"/>
          <w:sz w:val="24"/>
          <w:szCs w:val="24"/>
          <w:highlight w:val="none"/>
          <w:lang w:val="en-US" w:eastAsia="zh-CN"/>
        </w:rPr>
        <w:t xml:space="preserve">在</w:t>
      </w:r>
      <w:r>
        <w:rPr>
          <w:rFonts w:hint="eastAsia" w:ascii="宋体" w:hAnsi="宋体" w:eastAsia="宋体" w:cs="宋体"/>
          <w:color w:val="auto"/>
          <w:spacing w:val="7"/>
          <w:sz w:val="24"/>
          <w:szCs w:val="24"/>
          <w:highlight w:val="none"/>
          <w:lang w:val="en-US" w:eastAsia="zh-CN" w:bidi="ar-SA"/>
        </w:rPr>
        <w:t xml:space="preserve">苏采云系统中提交“澄清响应函”并加盖CA电子公章。澄清、说明和补正的内容作为投标文件的补充部分</w:t>
      </w:r>
      <w:r>
        <w:rPr>
          <w:rFonts w:hint="eastAsia" w:ascii="宋体" w:hAnsi="宋体" w:cs="宋体"/>
          <w:color w:val="auto"/>
          <w:spacing w:val="7"/>
          <w:sz w:val="24"/>
          <w:szCs w:val="24"/>
          <w:highlight w:val="none"/>
          <w:lang w:val="en-US" w:eastAsia="zh-CN" w:bidi="ar-SA"/>
        </w:rPr>
        <w:t xml:space="preserve">。</w:t>
      </w:r>
      <w:r>
        <w:rPr>
          <w:rStyle w:val="1054"/>
          <w:rFonts w:hint="eastAsia" w:ascii="宋体" w:hAnsi="宋体" w:eastAsia="宋体" w:cs="宋体"/>
          <w:b w:val="0"/>
          <w:color w:val="auto"/>
          <w:spacing w:val="7"/>
          <w:sz w:val="24"/>
          <w:szCs w:val="24"/>
          <w:highlight w:val="none"/>
          <w:lang w:val="zh-CN" w:eastAsia="zh-CN"/>
        </w:rPr>
        <w:t xml:space="preserve">此处规定时间的计算以系统中的倒计时间为准，供应商应随</w:t>
      </w:r>
      <w:r>
        <w:rPr>
          <w:rStyle w:val="1054"/>
          <w:rFonts w:hint="eastAsia" w:ascii="宋体" w:hAnsi="宋体" w:eastAsia="宋体" w:cs="宋体"/>
          <w:b w:val="0"/>
          <w:color w:val="auto"/>
          <w:spacing w:val="7"/>
          <w:sz w:val="24"/>
          <w:szCs w:val="24"/>
          <w:highlight w:val="none"/>
          <w:lang w:val="zh-CN" w:eastAsia="zh-CN" w:bidi="ar-SA"/>
        </w:rPr>
        <w:t xml:space="preserve">时保持系统在线，如因供应商自身原因未在规定时间内提交澄清确认资料的，导致的不利后果由供应商自行承担。</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接到评委会澄清要求的投标人如未按规定做出澄清，其风险由投标人自行承担。</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125" w:name="_Toc13348"/>
      <w:r>
        <w:rPr>
          <w:rFonts w:hint="eastAsia" w:ascii="宋体" w:hAnsi="宋体" w:cs="宋体"/>
          <w:b/>
          <w:bCs/>
          <w:color w:val="auto"/>
          <w:sz w:val="24"/>
          <w:highlight w:val="none"/>
        </w:rPr>
        <w:t xml:space="preserve">对投标文件的初审</w:t>
      </w:r>
      <w:bookmarkEnd w:id="125"/>
      <w:r/>
      <w:r/>
    </w:p>
    <w:p>
      <w:pPr>
        <w:numPr>
          <w:ilvl w:val="1"/>
          <w:numId w:val="8"/>
        </w:numPr>
        <w:ind w:firstLine="508"/>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eastAsia="宋体" w:cs="宋体"/>
          <w:color w:val="auto"/>
          <w:spacing w:val="7"/>
          <w:sz w:val="24"/>
          <w:szCs w:val="24"/>
          <w:highlight w:val="none"/>
          <w:lang w:val="en-US" w:eastAsia="zh-CN" w:bidi="ar-SA"/>
        </w:rPr>
        <w:t xml:space="preserve">投标文件初审分为资格审查和符合性审查。</w:t>
      </w:r>
      <w:r/>
    </w:p>
    <w:p>
      <w:pPr>
        <w:numPr>
          <w:ilvl w:val="2"/>
          <w:numId w:val="8"/>
        </w:numPr>
        <w:ind w:left="0" w:firstLine="508"/>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eastAsia="宋体" w:cs="宋体"/>
          <w:color w:val="auto"/>
          <w:spacing w:val="7"/>
          <w:sz w:val="24"/>
          <w:szCs w:val="24"/>
          <w:highlight w:val="none"/>
          <w:lang w:val="en-US" w:eastAsia="zh-CN" w:bidi="ar-SA"/>
        </w:rPr>
        <w:t xml:space="preserve">资格性审查：采购人或者采购代理机构依法对投标人的资格进行审查。</w:t>
      </w:r>
      <w:r/>
    </w:p>
    <w:p>
      <w:pPr>
        <w:numPr>
          <w:ilvl w:val="3"/>
          <w:numId w:val="8"/>
        </w:numPr>
        <w:ind w:left="0" w:firstLine="508"/>
        <w:jc w:val="left"/>
        <w:keepLines w:val="0"/>
        <w:keepNext w:val="0"/>
        <w:pageBreakBefore w:val="0"/>
        <w:spacing w:line="400" w:lineRule="exact"/>
        <w:widowControl w:val="off"/>
        <w:rPr>
          <w:rFonts w:hint="eastAsia" w:ascii="宋体" w:hAnsi="宋体" w:cs="宋体"/>
          <w:color w:val="auto"/>
          <w:sz w:val="24"/>
          <w:highlight w:val="none"/>
          <w:lang w:val="zh-CN"/>
        </w:rPr>
      </w:pPr>
      <w:r>
        <w:rPr>
          <w:rFonts w:hint="eastAsia" w:ascii="宋体" w:hAnsi="宋体" w:eastAsia="宋体" w:cs="宋体"/>
          <w:color w:val="auto"/>
          <w:spacing w:val="7"/>
          <w:sz w:val="24"/>
          <w:szCs w:val="24"/>
          <w:highlight w:val="none"/>
          <w:lang w:val="zh-CN" w:eastAsia="zh-CN" w:bidi="ar-SA"/>
        </w:rPr>
        <w:t xml:space="preserve">关于信用查询：</w:t>
      </w:r>
      <w:r/>
    </w:p>
    <w:p>
      <w:pPr>
        <w:numPr>
          <w:ilvl w:val="4"/>
          <w:numId w:val="8"/>
        </w:numPr>
        <w:ind w:left="0" w:firstLine="480"/>
        <w:jc w:val="left"/>
        <w:keepLines w:val="0"/>
        <w:keepNext w:val="0"/>
        <w:pageBreakBefore w:val="0"/>
        <w:spacing w:line="400" w:lineRule="exact"/>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查询时间：投标文件</w:t>
      </w:r>
      <w:r>
        <w:rPr>
          <w:rFonts w:hint="eastAsia" w:ascii="宋体" w:hAnsi="宋体" w:cs="宋体"/>
          <w:color w:val="auto"/>
          <w:sz w:val="24"/>
          <w:highlight w:val="none"/>
          <w:lang w:val="zh-CN"/>
        </w:rPr>
        <w:t xml:space="preserve">提交</w:t>
      </w:r>
      <w:r>
        <w:rPr>
          <w:rFonts w:hint="eastAsia" w:ascii="宋体" w:hAnsi="宋体" w:eastAsia="宋体" w:cs="宋体"/>
          <w:color w:val="auto"/>
          <w:sz w:val="24"/>
          <w:highlight w:val="none"/>
          <w:lang w:val="zh-CN"/>
        </w:rPr>
        <w:t xml:space="preserve">截止时间。</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查询渠道：将在“信用中国”网站查询投标人的信用记录，以确定投标人是否具备投标资格。</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numPr>
          <w:ilvl w:val="2"/>
          <w:numId w:val="8"/>
        </w:numPr>
        <w:ind w:left="0" w:firstLine="508"/>
        <w:jc w:val="left"/>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eastAsia="宋体" w:cs="宋体"/>
          <w:color w:val="auto"/>
          <w:spacing w:val="7"/>
          <w:sz w:val="24"/>
          <w:szCs w:val="24"/>
          <w:highlight w:val="none"/>
          <w:lang w:val="en-US" w:eastAsia="zh-CN" w:bidi="ar-SA"/>
        </w:rPr>
        <w:t xml:space="preserve">符合性审查：</w:t>
      </w:r>
      <w:r>
        <w:rPr>
          <w:rFonts w:hint="eastAsia" w:ascii="宋体" w:hAnsi="宋体" w:cs="宋体"/>
          <w:bCs/>
          <w:color w:val="auto"/>
          <w:sz w:val="24"/>
          <w:highlight w:val="none"/>
        </w:rPr>
        <w:t xml:space="preserve">依据招标文件的规定，由评委会对投标文件进行审查，以确定是否对招标文件的实质性要求作出响应。</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bCs/>
          <w:color w:val="auto"/>
          <w:sz w:val="24"/>
          <w:highlight w:val="none"/>
          <w:lang w:eastAsia="zh-CN"/>
        </w:rPr>
      </w:pPr>
      <w:r>
        <w:rPr>
          <w:rFonts w:hint="eastAsia" w:ascii="宋体" w:hAnsi="宋体" w:eastAsia="宋体" w:cs="宋体"/>
          <w:color w:val="auto"/>
          <w:spacing w:val="7"/>
          <w:sz w:val="24"/>
          <w:szCs w:val="24"/>
          <w:highlight w:val="none"/>
          <w:lang w:val="en-US" w:eastAsia="zh-CN" w:bidi="ar-SA"/>
        </w:rPr>
        <w:t xml:space="preserve">投标文件报价出现前后不一致的，按下列规定修正：</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投标文件中开标一览表（报价表）内容与投标文件中相应内容不一致的，以开标一览表（报价表）为准；</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大写金额和小写金额不一致的，以大写金额为准；</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单价金额小数点或者百分比有明显错位的，以开标一览表的总价为准，并修改单价；</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同时出现两种以上不一致的，按照前款规定的顺序修正。修正后的报价按照财政部87号令第五十一条第二款的规定通过苏采云系统告知投标人并经投标人确认后产生约束力。如果投标人不接受修正后的价格，则其投标将被拒绝。</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25.5.根据《关于推动解决政府采购异常低价问题相关工作的通知》苏财购〔2025〕62号规定，政府采购评审中出现下列情形之一的，评委会应当启动异常低价投标（响应）审查程序：</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（1）投标（响应）报价低于采购项目预算 50% 的，即投标（响应）报价＜采购项目预算×50%；</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（2）投标（响应）报价低于采购项目最高限价 45% 的，即投标（响应）报价＜采购项目最高限价×45%；</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（3）评委会认定的投标人报价过低，有可能影响产品质量或者不能诚信履约的其他情形。</w:t>
      </w:r>
      <w:r/>
    </w:p>
    <w:p>
      <w:pPr>
        <w:pStyle w:val="1013"/>
        <w:ind w:firstLine="500"/>
        <w:spacing w:line="440" w:lineRule="exact"/>
        <w:rPr>
          <w:rFonts w:hint="eastAsia" w:eastAsia="宋体"/>
          <w:color w:val="auto"/>
          <w:spacing w:val="7"/>
          <w:highlight w:val="none"/>
        </w:rPr>
      </w:pPr>
      <w:r>
        <w:rPr>
          <w:rFonts w:hint="eastAsia" w:ascii="宋体" w:hAnsi="宋体" w:eastAsia="宋体" w:cs="宋体"/>
          <w:color w:val="auto"/>
          <w:spacing w:val="7"/>
          <w:sz w:val="24"/>
          <w:szCs w:val="24"/>
          <w:highlight w:val="none"/>
          <w:lang w:val="en-US" w:eastAsia="zh-CN" w:bidi="ar-SA"/>
        </w:rPr>
        <w:t xml:space="preserve">25.6.</w:t>
      </w:r>
      <w:r>
        <w:rPr>
          <w:rFonts w:hint="eastAsia" w:eastAsia="宋体"/>
          <w:color w:val="auto"/>
          <w:spacing w:val="7"/>
          <w:highlight w:val="none"/>
        </w:rPr>
        <w:t xml:space="preserve">启动异常低价投标（响应）审查后，评委会应当通过“苏采云系统”要求相关投标人在合理的时间内视情况，提供项目具体成本测算等与报价合理性相关的书面说明及相关证明材料，对投标（响应）价格作出解释，由评委会结合同类产品在主要电商平台的价格、该行业当地薪资水平等情况，依据专业经验对投标人报价合理性进行判断。投标（响应）投标人不提供书面说明、证明材料，或者提供的书面说明、证明材料不能证明其报价合理性的，评委会应当将其作为无效投标（响应）处理。审查相关情况应当在评审报告中进行记录。</w:t>
      </w:r>
      <w:r/>
    </w:p>
    <w:p>
      <w:pPr>
        <w:numPr>
          <w:ilvl w:val="0"/>
          <w:numId w:val="0"/>
        </w:numPr>
        <w:ind w:left="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cs="宋体"/>
          <w:color w:val="auto"/>
          <w:spacing w:val="7"/>
          <w:sz w:val="24"/>
          <w:szCs w:val="24"/>
          <w:highlight w:val="none"/>
          <w:lang w:val="en-US" w:eastAsia="zh-CN" w:bidi="ar-SA"/>
        </w:rPr>
        <w:t xml:space="preserve">25.7</w:t>
      </w:r>
      <w:r>
        <w:rPr>
          <w:rFonts w:hint="eastAsia" w:ascii="宋体" w:hAnsi="宋体" w:eastAsia="宋体" w:cs="宋体"/>
          <w:color w:val="auto"/>
          <w:spacing w:val="7"/>
          <w:sz w:val="24"/>
          <w:szCs w:val="24"/>
          <w:highlight w:val="none"/>
          <w:lang w:val="en-US" w:eastAsia="zh-CN" w:bidi="ar-SA"/>
        </w:rPr>
        <w:t xml:space="preserve">评委会将允许修正投标文件中不构成重大偏离的、微小的、非正规的、不一致</w:t>
      </w:r>
      <w:r/>
    </w:p>
    <w:p>
      <w:pPr>
        <w:numPr>
          <w:ilvl w:val="0"/>
          <w:numId w:val="0"/>
        </w:numPr>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的或不规则的地方，但这些修改不能影响任何投标人相应的名次排列。</w:t>
      </w:r>
      <w:r/>
    </w:p>
    <w:p>
      <w:pPr>
        <w:numPr>
          <w:ilvl w:val="0"/>
          <w:numId w:val="0"/>
        </w:numPr>
        <w:ind w:left="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cs="宋体"/>
          <w:color w:val="auto"/>
          <w:spacing w:val="7"/>
          <w:sz w:val="24"/>
          <w:szCs w:val="24"/>
          <w:highlight w:val="none"/>
          <w:lang w:val="en-US" w:eastAsia="zh-CN" w:bidi="ar-SA"/>
        </w:rPr>
        <w:t xml:space="preserve">25.8</w:t>
      </w:r>
      <w:r>
        <w:rPr>
          <w:rFonts w:hint="eastAsia" w:ascii="宋体" w:hAnsi="宋体" w:eastAsia="宋体" w:cs="宋体"/>
          <w:color w:val="auto"/>
          <w:spacing w:val="7"/>
          <w:sz w:val="24"/>
          <w:szCs w:val="24"/>
          <w:highlight w:val="none"/>
          <w:lang w:val="en-US" w:eastAsia="zh-CN" w:bidi="ar-SA"/>
        </w:rPr>
        <w:t xml:space="preserve">投标人在开、评标全过程中应保持通讯畅通，及时登录苏采云系统查阅、答复</w:t>
      </w:r>
      <w:r/>
    </w:p>
    <w:p>
      <w:pPr>
        <w:numPr>
          <w:ilvl w:val="0"/>
          <w:numId w:val="0"/>
        </w:numPr>
        <w:jc w:val="left"/>
        <w:keepLines w:val="0"/>
        <w:keepNext w:val="0"/>
        <w:pageBreakBefore w:val="0"/>
        <w:spacing w:line="400" w:lineRule="exact"/>
        <w:widowControl w:val="off"/>
        <w:rPr>
          <w:rFonts w:hint="eastAsia" w:eastAsia="宋体"/>
          <w:color w:val="auto"/>
          <w:spacing w:val="7"/>
          <w:highlight w:val="none"/>
          <w:lang w:val="en-US" w:eastAsia="zh-CN"/>
        </w:rPr>
      </w:pPr>
      <w:r>
        <w:rPr>
          <w:rFonts w:hint="eastAsia" w:ascii="宋体" w:hAnsi="宋体" w:eastAsia="宋体" w:cs="宋体"/>
          <w:color w:val="auto"/>
          <w:spacing w:val="7"/>
          <w:sz w:val="24"/>
          <w:szCs w:val="24"/>
          <w:highlight w:val="none"/>
          <w:lang w:val="en-US" w:eastAsia="zh-CN" w:bidi="ar-SA"/>
        </w:rPr>
        <w:t xml:space="preserve">相关信息，并安排专人与采购代理机构及评标委员会联系。</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bookmarkStart w:id="126" w:name="_Toc10736"/>
      <w:r>
        <w:rPr>
          <w:rFonts w:hint="eastAsia" w:ascii="宋体" w:hAnsi="宋体" w:eastAsia="宋体" w:cs="宋体"/>
          <w:b/>
          <w:bCs/>
          <w:color w:val="auto"/>
          <w:sz w:val="24"/>
          <w:szCs w:val="24"/>
          <w:highlight w:val="none"/>
        </w:rPr>
        <w:t xml:space="preserve">无效投标条款和废标条款</w:t>
      </w:r>
      <w:bookmarkEnd w:id="126"/>
      <w:r/>
      <w:r/>
    </w:p>
    <w:p>
      <w:pPr>
        <w:numPr>
          <w:ilvl w:val="1"/>
          <w:numId w:val="8"/>
        </w:numPr>
        <w:ind w:firstLine="510"/>
        <w:jc w:val="left"/>
        <w:keepLines w:val="0"/>
        <w:keepNext w:val="0"/>
        <w:pageBreakBefore w:val="0"/>
        <w:spacing w:line="400" w:lineRule="exact"/>
        <w:widowControl w:val="off"/>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无效投标条款</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投标人未按照招标文件要求上传电子投标文件的；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投标文件中没有《开标一览表》或《开标一览表》未加盖投标人公章的；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投标文件中任何有选择的报价；</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投标文件报价出现前后不一致的，按招标文件规定修正后投标人不确认的；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不同投标人的投标文件由同一单位或者个人编制；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不同投标人委托同一单位或者个人办理投标事宜；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不同投标人的投标文件载明的项目管理成员或者联系人员为同一人；</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不同投标人的投标文件异常一致或者投标报价呈规律性差异；</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不同投标人的投标文件制作机器码一致的；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凡“节能产品政府采购品目清单”中以</w:t>
      </w:r>
      <w:r>
        <w:rPr>
          <w:rFonts w:ascii="宋体" w:hAnsi="宋体" w:eastAsia="宋体" w:cs="宋体"/>
          <w:color w:val="auto"/>
          <w:spacing w:val="7"/>
          <w:sz w:val="24"/>
          <w:highlight w:val="none"/>
        </w:rPr>
        <w:t xml:space="preserve">★</w:t>
      </w:r>
      <w:r>
        <w:rPr>
          <w:rFonts w:hint="eastAsia" w:ascii="宋体" w:hAnsi="宋体" w:eastAsia="宋体" w:cs="宋体"/>
          <w:color w:val="auto"/>
          <w:spacing w:val="7"/>
          <w:sz w:val="24"/>
          <w:szCs w:val="24"/>
          <w:highlight w:val="none"/>
          <w:lang w:val="en-US" w:eastAsia="zh-CN" w:bidi="ar-SA"/>
        </w:rPr>
        <w:t xml:space="preserve">标注的政府强制采购产品，投标文件中未提供国家确定的认证机构出具的、处于有效期之内的节能产品认证证书的（若证书有附件（附录）的，附件（附录）须随证书一起提供)；</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供应商被列入失信被执行人名单、重大税收违法案件当事人名单、政府采购严重违法失信行为记录名单以及其他不符合《中华人民共和国政府采购法》第二十二条规定条件的信用记录的；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不同供应商的单位负责人为同一人或者存在直接控股、管理关系的；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为采购项目提供整体设计、规范编制或者项目管理、监理、检测等服务的；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资格证明文件中要求加盖公章而未加盖公章的；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投标文件未按招标文件要求签署、盖章的；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不具备招标文件中规定的资格要求或未按招标文件规定的要求提供资格证明文件的或未通过符合性审查的；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报价超过招标文件中规定的预算金额或者最高限价的；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投标文件含有采购人不能接受的附加条件的；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pacing w:val="7"/>
          <w:sz w:val="24"/>
          <w:szCs w:val="24"/>
          <w:highlight w:val="none"/>
          <w:lang w:val="en-US" w:eastAsia="zh-CN" w:bidi="ar-SA"/>
        </w:rPr>
        <w:t xml:space="preserve">法律、法规和采购文件规定的其他无效情形; </w:t>
      </w:r>
      <w:r/>
    </w:p>
    <w:p>
      <w:pPr>
        <w:numPr>
          <w:ilvl w:val="1"/>
          <w:numId w:val="8"/>
        </w:numPr>
        <w:ind w:firstLine="510"/>
        <w:jc w:val="left"/>
        <w:keepLines w:val="0"/>
        <w:keepNext w:val="0"/>
        <w:pageBreakBefore w:val="0"/>
        <w:spacing w:line="400" w:lineRule="exact"/>
        <w:widowControl w:val="off"/>
        <w:rPr>
          <w:rFonts w:hint="eastAsia" w:ascii="宋体" w:hAnsi="宋体" w:eastAsia="宋体" w:cs="宋体"/>
          <w:b/>
          <w:bCs/>
          <w:color w:val="auto"/>
          <w:spacing w:val="7"/>
          <w:highlight w:val="none"/>
        </w:rPr>
      </w:pPr>
      <w:r>
        <w:rPr>
          <w:rFonts w:hint="eastAsia" w:ascii="宋体" w:hAnsi="宋体" w:eastAsia="宋体" w:cs="宋体"/>
          <w:b/>
          <w:bCs/>
          <w:color w:val="auto"/>
          <w:spacing w:val="7"/>
          <w:sz w:val="24"/>
          <w:szCs w:val="24"/>
          <w:highlight w:val="none"/>
          <w:lang w:val="en-US" w:eastAsia="zh-CN" w:bidi="ar-SA"/>
        </w:rPr>
        <w:t xml:space="preserve">废标条款</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符合专业条件的供应商或者对招标文件作实质响应的供应商不足三家的；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出现影响采购公正的违法、违规行为的；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投标人的报价均超过了采购预算，采购人不能支付的；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因重大变故，采购任务取消的</w:t>
      </w:r>
      <w:r>
        <w:rPr>
          <w:rFonts w:hint="eastAsia" w:ascii="宋体" w:hAnsi="宋体" w:cs="宋体"/>
          <w:color w:val="auto"/>
          <w:spacing w:val="7"/>
          <w:sz w:val="24"/>
          <w:szCs w:val="24"/>
          <w:highlight w:val="none"/>
          <w:lang w:val="en-US" w:eastAsia="zh-CN" w:bidi="ar-SA"/>
        </w:rPr>
        <w:t xml:space="preserve">；</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因苏采云系统系统故障原因造成开标不成功的</w:t>
      </w:r>
      <w:r>
        <w:rPr>
          <w:rFonts w:hint="eastAsia" w:ascii="宋体" w:hAnsi="宋体" w:cs="宋体"/>
          <w:color w:val="auto"/>
          <w:spacing w:val="7"/>
          <w:sz w:val="24"/>
          <w:szCs w:val="24"/>
          <w:highlight w:val="none"/>
          <w:lang w:val="en-US" w:eastAsia="zh-CN" w:bidi="ar-SA"/>
        </w:rPr>
        <w:t xml:space="preserve">。</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投标截止时间结束后参加投标的供应商不足三家的处理：</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color w:val="auto"/>
          <w:spacing w:val="7"/>
          <w:highlight w:val="none"/>
          <w:lang w:eastAsia="zh-CN"/>
        </w:rPr>
      </w:pPr>
      <w:r>
        <w:rPr>
          <w:rFonts w:hint="eastAsia" w:ascii="宋体" w:hAnsi="宋体" w:eastAsia="宋体" w:cs="宋体"/>
          <w:color w:val="auto"/>
          <w:spacing w:val="7"/>
          <w:sz w:val="24"/>
          <w:szCs w:val="32"/>
          <w:highlight w:val="none"/>
        </w:rPr>
        <w:t xml:space="preserve">如出现投标截止时间结束后参加投标的供应商或者在评标期间对招标文件做出实质响应的供应商不足三家情况</w:t>
      </w:r>
      <w:bookmarkStart w:id="127" w:name="_Toc54119651"/>
      <w:r/>
      <w:bookmarkStart w:id="128" w:name="_Toc35244873"/>
      <w:r/>
      <w:bookmarkStart w:id="129" w:name="_Toc256000007"/>
      <w:r>
        <w:rPr>
          <w:rFonts w:hint="eastAsia" w:ascii="宋体" w:hAnsi="宋体" w:cs="宋体"/>
          <w:color w:val="auto"/>
          <w:spacing w:val="7"/>
          <w:sz w:val="24"/>
          <w:szCs w:val="32"/>
          <w:highlight w:val="none"/>
          <w:lang w:eastAsia="zh-CN"/>
        </w:rPr>
        <w:t xml:space="preserve">，</w:t>
      </w:r>
      <w:r>
        <w:rPr>
          <w:rStyle w:val="980"/>
          <w:rFonts w:ascii="宋体" w:hAnsi="宋体" w:eastAsia="宋体" w:cs="宋体"/>
          <w:b w:val="0"/>
          <w:color w:val="auto"/>
          <w:spacing w:val="7"/>
          <w:sz w:val="24"/>
          <w:highlight w:val="none"/>
        </w:rPr>
        <w:t xml:space="preserve">按财政部第87号令第四十三条的规定执行</w:t>
      </w:r>
      <w:r>
        <w:rPr>
          <w:rFonts w:hint="eastAsia" w:ascii="宋体" w:hAnsi="宋体" w:eastAsia="宋体" w:cs="宋体"/>
          <w:color w:val="auto"/>
          <w:spacing w:val="7"/>
          <w:sz w:val="24"/>
          <w:szCs w:val="32"/>
          <w:highlight w:val="none"/>
          <w:lang w:eastAsia="zh-CN"/>
        </w:rPr>
        <w:t xml:space="preserve">。</w:t>
      </w:r>
      <w:r/>
    </w:p>
    <w:p>
      <w:pPr>
        <w:numPr>
          <w:ilvl w:val="1"/>
          <w:numId w:val="7"/>
        </w:numPr>
        <w:ind w:left="0" w:firstLine="0"/>
        <w:jc w:val="left"/>
        <w:keepLines w:val="0"/>
        <w:keepNext w:val="0"/>
        <w:pageBreakBefore w:val="0"/>
        <w:spacing w:line="400" w:lineRule="exact"/>
        <w:widowControl w:val="off"/>
        <w:rPr>
          <w:rStyle w:val="1008"/>
          <w:rFonts w:hint="eastAsia" w:ascii="宋体" w:hAnsi="宋体" w:eastAsia="宋体" w:cs="宋体"/>
          <w:b/>
          <w:bCs w:val="0"/>
          <w:color w:val="auto"/>
          <w:sz w:val="24"/>
          <w:szCs w:val="24"/>
          <w:highlight w:val="none"/>
        </w:rPr>
        <w:outlineLvl w:val="1"/>
      </w:pPr>
      <w:r/>
      <w:bookmarkStart w:id="130" w:name="_Toc24282"/>
      <w:r/>
      <w:bookmarkStart w:id="131" w:name="_Toc4706"/>
      <w:r/>
      <w:bookmarkStart w:id="132" w:name="_Toc23197"/>
      <w:r>
        <w:rPr>
          <w:rStyle w:val="1008"/>
          <w:rFonts w:hint="eastAsia" w:ascii="宋体" w:hAnsi="宋体" w:eastAsia="宋体" w:cs="宋体"/>
          <w:b/>
          <w:bCs w:val="0"/>
          <w:color w:val="auto"/>
          <w:sz w:val="24"/>
          <w:szCs w:val="24"/>
          <w:highlight w:val="none"/>
        </w:rPr>
        <w:t xml:space="preserve">定标</w:t>
      </w:r>
      <w:bookmarkEnd w:id="127"/>
      <w:r/>
      <w:bookmarkEnd w:id="128"/>
      <w:r/>
      <w:bookmarkEnd w:id="129"/>
      <w:r/>
      <w:bookmarkEnd w:id="130"/>
      <w:r/>
      <w:bookmarkEnd w:id="131"/>
      <w:r/>
      <w:bookmarkEnd w:id="132"/>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bookmarkStart w:id="133" w:name="_Toc19094"/>
      <w:r>
        <w:rPr>
          <w:rFonts w:hint="eastAsia" w:ascii="宋体" w:hAnsi="宋体" w:eastAsia="宋体" w:cs="宋体"/>
          <w:b/>
          <w:bCs/>
          <w:color w:val="auto"/>
          <w:sz w:val="24"/>
          <w:szCs w:val="24"/>
          <w:highlight w:val="none"/>
        </w:rPr>
        <w:t xml:space="preserve">确定中标单位</w:t>
      </w:r>
      <w:bookmarkEnd w:id="133"/>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评委会根据本招标文件规定评标办法与评标标准向采购人推荐出3名中标候选人。</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8"/>
        </w:numPr>
        <w:ind w:firstLine="508"/>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eastAsia="宋体" w:cs="宋体"/>
          <w:color w:val="auto"/>
          <w:spacing w:val="7"/>
          <w:sz w:val="24"/>
          <w:szCs w:val="24"/>
          <w:highlight w:val="none"/>
          <w:lang w:val="en-US" w:eastAsia="zh-CN" w:bidi="ar-SA"/>
        </w:rPr>
        <w:t xml:space="preserve">若有充分证据证明，中标人出现下列情况之一的，一经查实，</w:t>
      </w:r>
      <w:r>
        <w:rPr>
          <w:rFonts w:hint="eastAsia" w:ascii="宋体" w:hAnsi="宋体"/>
          <w:color w:val="auto"/>
          <w:sz w:val="24"/>
          <w:highlight w:val="none"/>
        </w:rPr>
        <w:t xml:space="preserve">中标无效</w:t>
      </w:r>
      <w:r>
        <w:rPr>
          <w:rFonts w:hint="eastAsia" w:ascii="宋体" w:hAnsi="宋体" w:eastAsia="宋体" w:cs="宋体"/>
          <w:color w:val="auto"/>
          <w:spacing w:val="7"/>
          <w:sz w:val="24"/>
          <w:szCs w:val="24"/>
          <w:highlight w:val="none"/>
          <w:lang w:val="en-US" w:eastAsia="zh-CN" w:bidi="ar-SA"/>
        </w:rPr>
        <w:t xml:space="preserve">：</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提供虚假材料谋取中标的；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color w:val="auto"/>
          <w:sz w:val="24"/>
          <w:highlight w:val="none"/>
          <w:lang w:val="zh-CN"/>
        </w:rPr>
        <w:t xml:space="preserve">采取不正当手段诋毁、排挤其他供应商的；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与评审专家、采购人、其他供应商或者代理机构工作人员恶意串通的；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向评审专家、采购人或代理机构工作人员行贿或者提供其他不正当利益的；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在招标采购过程中与采购人进行协商谈判的；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其他不符合法律、法规规定的。</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bookmarkStart w:id="134" w:name="_Toc3103"/>
      <w:r>
        <w:rPr>
          <w:rFonts w:hint="eastAsia" w:ascii="宋体" w:hAnsi="宋体" w:eastAsia="宋体" w:cs="宋体"/>
          <w:b/>
          <w:bCs/>
          <w:color w:val="auto"/>
          <w:sz w:val="24"/>
          <w:szCs w:val="24"/>
          <w:highlight w:val="none"/>
        </w:rPr>
        <w:t xml:space="preserve">质疑</w:t>
      </w:r>
      <w:bookmarkEnd w:id="134"/>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质疑形式</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供应商认为采购文件、采购过程和中标结果使自己的合法权益受到损害的，可以在知道或者应当知道其权</w:t>
      </w:r>
      <w:r>
        <w:rPr>
          <w:rFonts w:hint="eastAsia" w:ascii="宋体" w:hAnsi="宋体" w:eastAsia="宋体" w:cs="宋体"/>
          <w:b w:val="0"/>
          <w:bCs w:val="0"/>
          <w:color w:val="auto"/>
          <w:sz w:val="24"/>
          <w:szCs w:val="24"/>
          <w:highlight w:val="none"/>
          <w:lang w:eastAsia="zh-CN"/>
        </w:rPr>
        <w:t xml:space="preserve">益受到损害之日起七个工作日内。</w:t>
      </w:r>
      <w:r>
        <w:rPr>
          <w:rFonts w:hint="eastAsia" w:ascii="宋体" w:hAnsi="宋体" w:eastAsia="宋体" w:cs="宋体"/>
          <w:b w:val="0"/>
          <w:bCs w:val="0"/>
          <w:color w:val="auto"/>
          <w:sz w:val="24"/>
          <w:szCs w:val="24"/>
          <w:highlight w:val="none"/>
          <w:lang w:val="en-US" w:eastAsia="zh-CN"/>
        </w:rPr>
        <w:t xml:space="preserve">通过</w:t>
      </w:r>
      <w:r>
        <w:rPr>
          <w:rFonts w:hint="eastAsia" w:ascii="宋体" w:hAnsi="宋体" w:eastAsia="宋体" w:cs="宋体"/>
          <w:b w:val="0"/>
          <w:bCs w:val="0"/>
          <w:color w:val="auto"/>
          <w:sz w:val="24"/>
          <w:szCs w:val="24"/>
          <w:highlight w:val="none"/>
          <w:lang w:eastAsia="zh-CN"/>
        </w:rPr>
        <w:t xml:space="preserve">书面形式提出质疑，</w:t>
      </w:r>
      <w:r>
        <w:rPr>
          <w:rFonts w:hint="eastAsia" w:ascii="宋体" w:hAnsi="宋体" w:eastAsia="宋体" w:cs="宋体"/>
          <w:color w:val="auto"/>
          <w:sz w:val="24"/>
          <w:szCs w:val="24"/>
          <w:highlight w:val="none"/>
        </w:rPr>
        <w:t xml:space="preserve">涉及采购方式、采购需求、供应商资格条件、评标方法和评标标准、合同文本，向采购单位提出；涉及采购程序问题的，向</w:t>
      </w:r>
      <w:r>
        <w:rPr>
          <w:rFonts w:hint="eastAsia" w:ascii="宋体" w:hAnsi="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提出</w:t>
      </w:r>
      <w:r>
        <w:rPr>
          <w:rFonts w:hint="eastAsia" w:ascii="宋体" w:hAnsi="宋体" w:eastAsia="宋体" w:cs="宋体"/>
          <w:b w:val="0"/>
          <w:bCs w:val="0"/>
          <w:color w:val="auto"/>
          <w:sz w:val="24"/>
          <w:szCs w:val="24"/>
          <w:highlight w:val="none"/>
          <w:lang w:eastAsia="zh-CN"/>
        </w:rPr>
        <w:t xml:space="preserve">。</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质疑必须按《政府采购法》、《政府采购法实施条例》及财政部94号令的相关规定提交，未按上述要求提交的质疑函</w:t>
      </w:r>
      <w:r>
        <w:rPr>
          <w:rFonts w:hint="eastAsia" w:ascii="宋体" w:hAnsi="宋体" w:cs="宋体"/>
          <w:b w:val="0"/>
          <w:bCs w:val="0"/>
          <w:color w:val="auto"/>
          <w:sz w:val="24"/>
          <w:szCs w:val="24"/>
          <w:highlight w:val="none"/>
          <w:lang w:eastAsia="zh-CN"/>
        </w:rPr>
        <w:t xml:space="preserve">苏州大智项目管理咨询有限公司</w:t>
      </w:r>
      <w:r>
        <w:rPr>
          <w:rFonts w:hint="eastAsia" w:ascii="宋体" w:hAnsi="宋体" w:eastAsia="宋体" w:cs="宋体"/>
          <w:b w:val="0"/>
          <w:bCs w:val="0"/>
          <w:color w:val="auto"/>
          <w:sz w:val="24"/>
          <w:szCs w:val="24"/>
          <w:highlight w:val="none"/>
        </w:rPr>
        <w:t xml:space="preserve">有权不予受理。</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特别提示</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根据财政部94号令第十一条规定，提出质疑的供应商应当是参与所质疑项目采购活动的供应商。</w:t>
      </w:r>
      <w:r>
        <w:rPr>
          <w:rFonts w:hint="eastAsia" w:ascii="宋体" w:hAnsi="宋体" w:cs="宋体"/>
          <w:b w:val="0"/>
          <w:bCs w:val="0"/>
          <w:color w:val="auto"/>
          <w:sz w:val="24"/>
          <w:szCs w:val="24"/>
          <w:highlight w:val="none"/>
          <w:lang w:val="en-US" w:eastAsia="zh-CN"/>
        </w:rPr>
        <w:t xml:space="preserve">故</w:t>
      </w:r>
      <w:r>
        <w:rPr>
          <w:rFonts w:hint="eastAsia" w:ascii="宋体" w:hAnsi="宋体" w:eastAsia="宋体" w:cs="宋体"/>
          <w:b w:val="0"/>
          <w:bCs w:val="0"/>
          <w:color w:val="auto"/>
          <w:sz w:val="24"/>
          <w:szCs w:val="24"/>
          <w:highlight w:val="none"/>
        </w:rPr>
        <w:t xml:space="preserve">对招标文件提出质疑的供应商，必须是依法获取招标文件</w:t>
      </w:r>
      <w:r>
        <w:rPr>
          <w:rFonts w:hint="eastAsia" w:ascii="宋体" w:hAnsi="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rPr>
        <w:t xml:space="preserve">，请将合法获取招标文件</w:t>
      </w:r>
      <w:r>
        <w:rPr>
          <w:rFonts w:hint="eastAsia" w:ascii="宋体" w:hAnsi="宋体" w:eastAsia="宋体" w:cs="宋体"/>
          <w:b w:val="0"/>
          <w:bCs w:val="0"/>
          <w:color w:val="auto"/>
          <w:sz w:val="24"/>
          <w:szCs w:val="24"/>
          <w:highlight w:val="none"/>
          <w:lang w:val="en-US" w:eastAsia="zh-CN"/>
        </w:rPr>
        <w:t xml:space="preserve">时的“</w:t>
      </w:r>
      <w:r>
        <w:rPr>
          <w:rFonts w:hint="eastAsia" w:ascii="宋体" w:hAnsi="宋体" w:eastAsia="宋体" w:cs="宋体"/>
          <w:b w:val="0"/>
          <w:bCs w:val="0"/>
          <w:color w:val="auto"/>
          <w:sz w:val="24"/>
          <w:szCs w:val="24"/>
          <w:highlight w:val="none"/>
        </w:rPr>
        <w:t xml:space="preserve">投标供应商确认函</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证明材料</w:t>
      </w:r>
      <w:r>
        <w:rPr>
          <w:rFonts w:hint="eastAsia" w:ascii="宋体" w:hAnsi="宋体" w:eastAsia="宋体" w:cs="宋体"/>
          <w:b w:val="0"/>
          <w:bCs w:val="0"/>
          <w:color w:val="auto"/>
          <w:sz w:val="24"/>
          <w:szCs w:val="24"/>
          <w:highlight w:val="none"/>
        </w:rPr>
        <w:t xml:space="preserve">与质疑函</w:t>
      </w:r>
      <w:r>
        <w:rPr>
          <w:rFonts w:hint="eastAsia" w:ascii="宋体" w:hAnsi="宋体" w:eastAsia="宋体" w:cs="宋体"/>
          <w:b w:val="0"/>
          <w:bCs w:val="0"/>
          <w:color w:val="auto"/>
          <w:sz w:val="24"/>
          <w:szCs w:val="24"/>
          <w:highlight w:val="none"/>
          <w:lang w:val="en-US" w:eastAsia="zh-CN"/>
        </w:rPr>
        <w:t xml:space="preserve">同时提交</w:t>
      </w:r>
      <w:r>
        <w:rPr>
          <w:rFonts w:hint="eastAsia" w:ascii="宋体" w:hAnsi="宋体" w:eastAsia="宋体" w:cs="宋体"/>
          <w:b w:val="0"/>
          <w:bCs w:val="0"/>
          <w:color w:val="auto"/>
          <w:sz w:val="24"/>
          <w:szCs w:val="24"/>
          <w:highlight w:val="none"/>
        </w:rPr>
        <w:t xml:space="preserve">，否则</w:t>
      </w:r>
      <w:r>
        <w:rPr>
          <w:rFonts w:hint="eastAsia" w:ascii="宋体" w:hAnsi="宋体" w:eastAsia="宋体" w:cs="宋体"/>
          <w:b w:val="0"/>
          <w:bCs w:val="0"/>
          <w:color w:val="auto"/>
          <w:sz w:val="24"/>
          <w:szCs w:val="24"/>
          <w:highlight w:val="none"/>
          <w:lang w:val="en-US" w:eastAsia="zh-CN"/>
        </w:rPr>
        <w:t xml:space="preserve">将</w:t>
      </w:r>
      <w:r>
        <w:rPr>
          <w:rFonts w:hint="eastAsia" w:ascii="宋体" w:hAnsi="宋体" w:eastAsia="宋体" w:cs="宋体"/>
          <w:b w:val="0"/>
          <w:bCs w:val="0"/>
          <w:color w:val="auto"/>
          <w:sz w:val="24"/>
          <w:szCs w:val="24"/>
          <w:highlight w:val="none"/>
        </w:rPr>
        <w:t xml:space="preserve">不予受理。</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供应商在法定质疑期内应一次性提出针对同一采购程序环节的质疑。</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供应商提出质疑必须有理、有据，不得恶意质疑或提交虚假质疑。否则，一经查实，采购人或</w:t>
      </w:r>
      <w:r>
        <w:rPr>
          <w:rFonts w:hint="eastAsia" w:ascii="宋体" w:hAnsi="宋体" w:cs="宋体"/>
          <w:b w:val="0"/>
          <w:bCs w:val="0"/>
          <w:color w:val="auto"/>
          <w:sz w:val="24"/>
          <w:szCs w:val="24"/>
          <w:highlight w:val="none"/>
          <w:lang w:eastAsia="zh-CN"/>
        </w:rPr>
        <w:t xml:space="preserve">苏州大智项目管理咨询有限公司</w:t>
      </w:r>
      <w:r>
        <w:rPr>
          <w:rFonts w:hint="eastAsia" w:ascii="宋体" w:hAnsi="宋体" w:eastAsia="宋体" w:cs="宋体"/>
          <w:b w:val="0"/>
          <w:bCs w:val="0"/>
          <w:color w:val="auto"/>
          <w:sz w:val="24"/>
          <w:szCs w:val="24"/>
          <w:highlight w:val="none"/>
        </w:rPr>
        <w:t xml:space="preserve">有权依据政府采购的有关规定，报请政府采购监管部门对该投标人进行相应的行政处罚。</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其他</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采购人或</w:t>
      </w:r>
      <w:r>
        <w:rPr>
          <w:rFonts w:hint="eastAsia" w:ascii="宋体" w:hAnsi="宋体" w:cs="宋体"/>
          <w:b w:val="0"/>
          <w:bCs w:val="0"/>
          <w:color w:val="auto"/>
          <w:sz w:val="24"/>
          <w:szCs w:val="24"/>
          <w:highlight w:val="none"/>
          <w:lang w:eastAsia="zh-CN"/>
        </w:rPr>
        <w:t xml:space="preserve">苏州大智项目管理咨询有限公司</w:t>
      </w:r>
      <w:r>
        <w:rPr>
          <w:rFonts w:hint="eastAsia" w:ascii="宋体" w:hAnsi="宋体" w:eastAsia="宋体" w:cs="宋体"/>
          <w:b w:val="0"/>
          <w:bCs w:val="0"/>
          <w:color w:val="auto"/>
          <w:sz w:val="24"/>
          <w:szCs w:val="24"/>
          <w:highlight w:val="none"/>
        </w:rPr>
        <w:t xml:space="preserve">将在收到供应商的质疑后七个工作日内作出答复，答复的内容不涉及商业秘密。</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bookmarkStart w:id="135" w:name="_Toc3291"/>
      <w:r>
        <w:rPr>
          <w:rFonts w:hint="eastAsia" w:ascii="宋体" w:hAnsi="宋体" w:eastAsia="宋体" w:cs="宋体"/>
          <w:b/>
          <w:bCs/>
          <w:color w:val="auto"/>
          <w:sz w:val="24"/>
          <w:szCs w:val="24"/>
          <w:highlight w:val="none"/>
        </w:rPr>
        <w:t xml:space="preserve">中标通知书</w:t>
      </w:r>
      <w:bookmarkEnd w:id="135"/>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auto"/>
          <w:sz w:val="24"/>
          <w:szCs w:val="24"/>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8"/>
        </w:numPr>
        <w:ind w:firstLine="508"/>
        <w:jc w:val="left"/>
        <w:keepLines w:val="0"/>
        <w:keepNext w:val="0"/>
        <w:pageBreakBefore w:val="0"/>
        <w:spacing w:line="400" w:lineRule="exact"/>
        <w:widowControl w:val="off"/>
        <w:rPr>
          <w:rFonts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color w:val="auto"/>
          <w:sz w:val="24"/>
          <w:szCs w:val="24"/>
          <w:highlight w:val="none"/>
        </w:rPr>
        <w:t xml:space="preserve">对采购人和</w:t>
      </w:r>
      <w:r>
        <w:rPr>
          <w:rFonts w:hint="eastAsia" w:ascii="宋体" w:hAnsi="宋体" w:eastAsia="宋体" w:cs="宋体"/>
          <w:color w:val="auto"/>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color w:val="auto"/>
          <w:sz w:val="24"/>
          <w:szCs w:val="24"/>
          <w:highlight w:val="none"/>
        </w:rPr>
        <w:t xml:space="preserve">采购人改变中标结果的，或者中标供应商放弃中标项目的</w:t>
      </w:r>
      <w:r>
        <w:rPr>
          <w:rFonts w:hint="eastAsia" w:ascii="宋体" w:hAnsi="宋体" w:eastAsia="宋体" w:cs="宋体"/>
          <w:color w:val="auto"/>
          <w:spacing w:val="7"/>
          <w:sz w:val="24"/>
          <w:szCs w:val="24"/>
          <w:highlight w:val="none"/>
          <w:lang w:val="en-US" w:eastAsia="zh-CN" w:bidi="ar-SA"/>
        </w:rPr>
        <w:t xml:space="preserve">，应当依法承担法律责任</w:t>
      </w:r>
      <w:bookmarkStart w:id="136" w:name="_Toc54119652"/>
      <w:r/>
      <w:bookmarkStart w:id="137" w:name="_Toc256000008"/>
      <w:r/>
      <w:bookmarkStart w:id="138" w:name="_Toc35244874"/>
      <w:r>
        <w:rPr>
          <w:rFonts w:hint="eastAsia" w:ascii="宋体" w:hAnsi="宋体" w:eastAsia="宋体" w:cs="宋体"/>
          <w:color w:val="auto"/>
          <w:spacing w:val="7"/>
          <w:sz w:val="24"/>
          <w:szCs w:val="24"/>
          <w:highlight w:val="none"/>
          <w:lang w:val="en-US" w:eastAsia="zh-CN" w:bidi="ar-SA"/>
        </w:rPr>
        <w:t xml:space="preserve">。</w:t>
      </w:r>
      <w:r/>
    </w:p>
    <w:p>
      <w:pPr>
        <w:numPr>
          <w:ilvl w:val="1"/>
          <w:numId w:val="7"/>
        </w:numPr>
        <w:ind w:left="0" w:firstLine="0"/>
        <w:jc w:val="left"/>
        <w:keepLines w:val="0"/>
        <w:keepNext w:val="0"/>
        <w:pageBreakBefore w:val="0"/>
        <w:spacing w:line="400" w:lineRule="exact"/>
        <w:widowControl w:val="off"/>
        <w:rPr>
          <w:rStyle w:val="1008"/>
          <w:rFonts w:hint="eastAsia" w:ascii="宋体" w:hAnsi="宋体" w:eastAsia="宋体" w:cs="宋体"/>
          <w:b/>
          <w:bCs w:val="0"/>
          <w:color w:val="auto"/>
          <w:sz w:val="24"/>
          <w:szCs w:val="24"/>
          <w:highlight w:val="none"/>
        </w:rPr>
        <w:outlineLvl w:val="1"/>
      </w:pPr>
      <w:r/>
      <w:bookmarkStart w:id="139" w:name="_Toc3470"/>
      <w:r/>
      <w:bookmarkStart w:id="140" w:name="_Toc26742"/>
      <w:r/>
      <w:bookmarkStart w:id="141" w:name="_Toc30218"/>
      <w:r>
        <w:rPr>
          <w:rStyle w:val="1008"/>
          <w:rFonts w:hint="eastAsia" w:ascii="宋体" w:hAnsi="宋体" w:eastAsia="宋体" w:cs="宋体"/>
          <w:b/>
          <w:bCs w:val="0"/>
          <w:color w:val="auto"/>
          <w:sz w:val="24"/>
          <w:szCs w:val="24"/>
          <w:highlight w:val="none"/>
        </w:rPr>
        <w:t xml:space="preserve">授予合同</w:t>
      </w:r>
      <w:bookmarkEnd w:id="136"/>
      <w:r/>
      <w:bookmarkEnd w:id="137"/>
      <w:r/>
      <w:bookmarkEnd w:id="138"/>
      <w:r/>
      <w:bookmarkEnd w:id="139"/>
      <w:r/>
      <w:bookmarkEnd w:id="140"/>
      <w:r/>
      <w:bookmarkEnd w:id="141"/>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bookmarkStart w:id="142" w:name="_Toc18927"/>
      <w:r>
        <w:rPr>
          <w:rFonts w:hint="eastAsia" w:ascii="宋体" w:hAnsi="宋体" w:eastAsia="宋体" w:cs="宋体"/>
          <w:b/>
          <w:bCs/>
          <w:color w:val="auto"/>
          <w:sz w:val="24"/>
          <w:szCs w:val="24"/>
          <w:highlight w:val="none"/>
        </w:rPr>
        <w:t xml:space="preserve">签订合同</w:t>
      </w:r>
      <w:bookmarkEnd w:id="142"/>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中标人应按中标通知书规定的时间,按照招标文件</w:t>
      </w:r>
      <w:r>
        <w:rPr>
          <w:rFonts w:hint="eastAsia" w:ascii="宋体" w:hAnsi="宋体" w:cs="宋体"/>
          <w:color w:val="auto"/>
          <w:spacing w:val="7"/>
          <w:sz w:val="24"/>
          <w:szCs w:val="24"/>
          <w:highlight w:val="none"/>
          <w:lang w:val="en-US" w:eastAsia="zh-CN" w:bidi="ar-SA"/>
        </w:rPr>
        <w:t xml:space="preserve">及投标文件</w:t>
      </w:r>
      <w:r>
        <w:rPr>
          <w:rFonts w:hint="eastAsia" w:ascii="宋体" w:hAnsi="宋体" w:eastAsia="宋体" w:cs="宋体"/>
          <w:color w:val="auto"/>
          <w:spacing w:val="7"/>
          <w:sz w:val="24"/>
          <w:szCs w:val="24"/>
          <w:highlight w:val="none"/>
          <w:lang w:val="en-US" w:eastAsia="zh-CN" w:bidi="ar-SA"/>
        </w:rPr>
        <w:t xml:space="preserve">确定的事项与采购人签订政府采购合同，且原则上不得迟于中标通知书发出之日起</w:t>
      </w:r>
      <w:r>
        <w:rPr>
          <w:rFonts w:hint="eastAsia" w:ascii="宋体" w:hAnsi="宋体" w:cs="宋体"/>
          <w:color w:val="auto"/>
          <w:spacing w:val="7"/>
          <w:sz w:val="24"/>
          <w:szCs w:val="24"/>
          <w:highlight w:val="none"/>
          <w:lang w:val="en-US" w:eastAsia="zh-CN" w:bidi="ar-SA"/>
        </w:rPr>
        <w:t xml:space="preserve">三十</w:t>
      </w:r>
      <w:r>
        <w:rPr>
          <w:rFonts w:hint="eastAsia" w:ascii="宋体" w:hAnsi="宋体" w:eastAsia="宋体" w:cs="宋体"/>
          <w:color w:val="auto"/>
          <w:spacing w:val="7"/>
          <w:sz w:val="24"/>
          <w:szCs w:val="24"/>
          <w:highlight w:val="none"/>
          <w:lang w:val="en-US" w:eastAsia="zh-CN" w:bidi="ar-SA"/>
        </w:rPr>
        <w:t xml:space="preserve">日，否则给采购人造成损失的，中标人应承担赔偿责任。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招标文件、中标人的投标文件及招标过程中有关澄清、承诺文件均应作为合同附件。</w:t>
      </w:r>
      <w:r/>
    </w:p>
    <w:p>
      <w:pPr>
        <w:numPr>
          <w:ilvl w:val="1"/>
          <w:numId w:val="8"/>
        </w:numPr>
        <w:ind w:firstLine="508"/>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eastAsia="宋体" w:cs="宋体"/>
          <w:color w:val="auto"/>
          <w:spacing w:val="7"/>
          <w:sz w:val="24"/>
          <w:szCs w:val="24"/>
          <w:highlight w:val="none"/>
          <w:lang w:val="en-US" w:eastAsia="zh-CN" w:bidi="ar-SA"/>
        </w:rPr>
        <w:t xml:space="preserve">签订合同后，中标人不得将货物及其他相关服务进行转包和分包。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bookmarkStart w:id="143" w:name="_Toc17363"/>
      <w:r>
        <w:rPr>
          <w:rFonts w:hint="eastAsia" w:ascii="宋体" w:hAnsi="宋体" w:eastAsia="宋体" w:cs="宋体"/>
          <w:b/>
          <w:bCs/>
          <w:color w:val="auto"/>
          <w:sz w:val="24"/>
          <w:szCs w:val="24"/>
          <w:highlight w:val="none"/>
        </w:rPr>
        <w:t xml:space="preserve">货物和服务的追加、减少和添购。</w:t>
      </w:r>
      <w:bookmarkEnd w:id="143"/>
      <w:r>
        <w:rPr>
          <w:rFonts w:hint="eastAsia" w:ascii="宋体" w:hAnsi="宋体" w:eastAsia="宋体" w:cs="宋体"/>
          <w:b/>
          <w:bCs/>
          <w:color w:val="auto"/>
          <w:sz w:val="24"/>
          <w:szCs w:val="24"/>
          <w:highlight w:val="none"/>
        </w:rPr>
        <w:t xml:space="preserve"> </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bookmarkStart w:id="144" w:name="_Toc18878"/>
      <w:r>
        <w:rPr>
          <w:rFonts w:hint="eastAsia" w:ascii="宋体" w:hAnsi="宋体" w:eastAsia="宋体" w:cs="宋体"/>
          <w:b/>
          <w:bCs/>
          <w:color w:val="auto"/>
          <w:sz w:val="24"/>
          <w:szCs w:val="24"/>
          <w:highlight w:val="none"/>
        </w:rPr>
        <w:t xml:space="preserve">履约保证金</w:t>
      </w:r>
      <w:bookmarkEnd w:id="144"/>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合同签订前，中标人向采购单位交付的履约保证金为合同总价款的2％。</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color w:val="auto"/>
          <w:spacing w:val="7"/>
          <w:sz w:val="24"/>
          <w:szCs w:val="24"/>
          <w:highlight w:val="none"/>
          <w:lang w:val="en-US" w:eastAsia="zh-CN" w:bidi="ar-SA"/>
        </w:rPr>
        <w:outlineLvl w:val="2"/>
      </w:pPr>
      <w:r/>
      <w:bookmarkStart w:id="145" w:name="_Toc6954"/>
      <w:r>
        <w:rPr>
          <w:rFonts w:hint="eastAsia" w:ascii="宋体" w:hAnsi="宋体" w:eastAsia="宋体" w:cs="宋体"/>
          <w:b/>
          <w:bCs/>
          <w:color w:val="auto"/>
          <w:spacing w:val="7"/>
          <w:sz w:val="24"/>
          <w:szCs w:val="24"/>
          <w:highlight w:val="none"/>
          <w:lang w:val="en-US" w:eastAsia="zh-CN" w:bidi="ar-SA"/>
        </w:rPr>
        <w:t xml:space="preserve">监督和公证</w:t>
      </w:r>
      <w:bookmarkEnd w:id="145"/>
      <w:r/>
      <w:r/>
    </w:p>
    <w:p>
      <w:pPr>
        <w:numPr>
          <w:ilvl w:val="1"/>
          <w:numId w:val="8"/>
        </w:numPr>
        <w:ind w:left="0" w:firstLine="254"/>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政府有关监督部门将对投标全过程进行监督。</w:t>
      </w:r>
      <w:bookmarkEnd w:id="12"/>
      <w:r/>
      <w:bookmarkEnd w:id="13"/>
      <w:r/>
      <w:bookmarkEnd w:id="14"/>
      <w:r/>
      <w:bookmarkEnd w:id="15"/>
      <w:r/>
      <w:bookmarkEnd w:id="16"/>
      <w:r/>
      <w:bookmarkEnd w:id="17"/>
      <w:r/>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color w:val="auto"/>
          <w:sz w:val="32"/>
          <w:szCs w:val="32"/>
          <w:highlight w:val="none"/>
          <w:lang w:val="en-US" w:eastAsia="zh-CN" w:bidi="ar-SA"/>
        </w:rPr>
        <w:outlineLvl w:val="0"/>
      </w:pPr>
      <w:r/>
      <w:bookmarkStart w:id="146" w:name="_Toc10256"/>
      <w:r/>
      <w:bookmarkStart w:id="147" w:name="_Toc9061"/>
      <w:r/>
      <w:bookmarkStart w:id="148" w:name="_Toc913"/>
      <w:r/>
      <w:bookmarkStart w:id="149" w:name="_Toc28500"/>
      <w:r/>
      <w:bookmarkStart w:id="150" w:name="_Toc26922"/>
      <w:r/>
      <w:bookmarkStart w:id="151" w:name="_Toc3639"/>
      <w:r/>
      <w:bookmarkStart w:id="152" w:name="_Toc9399"/>
      <w:r/>
      <w:bookmarkStart w:id="153" w:name="_Toc120614244"/>
      <w:r/>
      <w:bookmarkStart w:id="154" w:name="_Toc20823346"/>
      <w:r/>
      <w:bookmarkStart w:id="155" w:name="_Hlk65328514"/>
      <w:r/>
      <w:bookmarkStart w:id="156" w:name="_Toc16938590"/>
      <w:r/>
      <w:bookmarkStart w:id="157" w:name="_Hlt16619350"/>
      <w:r/>
      <w:bookmarkStart w:id="158" w:name="_Toc462564139"/>
      <w:r/>
      <w:bookmarkStart w:id="159" w:name="_Toc479757211"/>
      <w:r>
        <w:rPr>
          <w:rFonts w:hint="eastAsia" w:ascii="宋体" w:hAnsi="宋体" w:eastAsia="宋体" w:cs="宋体"/>
          <w:b/>
          <w:bCs/>
          <w:color w:val="auto"/>
          <w:sz w:val="32"/>
          <w:szCs w:val="32"/>
          <w:highlight w:val="none"/>
          <w:lang w:val="en-US" w:eastAsia="zh-CN" w:bidi="ar-SA"/>
        </w:rPr>
        <w:t xml:space="preserve">合同条款及格式</w:t>
      </w:r>
      <w:bookmarkEnd w:id="146"/>
      <w:r/>
      <w:bookmarkEnd w:id="147"/>
      <w:r/>
      <w:bookmarkEnd w:id="148"/>
      <w:r/>
      <w:bookmarkEnd w:id="149"/>
      <w:r/>
      <w:bookmarkEnd w:id="150"/>
      <w:r/>
      <w:bookmarkEnd w:id="151"/>
      <w:r/>
      <w:bookmarkEnd w:id="152"/>
      <w:r/>
      <w:r/>
    </w:p>
    <w:p>
      <w:pPr>
        <w:pStyle w:val="1016"/>
        <w:ind w:firstLine="480"/>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以下为中标(成交)后签定本项目合同的通用条款，中标(成交)供应商不得提出实质性的修改。</w:t>
      </w:r>
      <w:r/>
    </w:p>
    <w:p>
      <w:pPr>
        <w:pStyle w:val="1017"/>
        <w:ind w:left="0" w:firstLine="0"/>
        <w:jc w:val="center"/>
        <w:rPr>
          <w:rStyle w:val="980"/>
          <w:rFonts w:hint="eastAsia" w:ascii="宋体" w:hAnsi="宋体" w:eastAsia="宋体" w:cs="宋体"/>
          <w:b/>
          <w:bCs w:val="0"/>
          <w:color w:val="auto"/>
          <w:sz w:val="32"/>
          <w:szCs w:val="32"/>
          <w:highlight w:val="none"/>
        </w:rPr>
      </w:pPr>
      <w:r>
        <w:rPr>
          <w:rStyle w:val="980"/>
          <w:rFonts w:hint="eastAsia" w:ascii="宋体" w:hAnsi="宋体" w:eastAsia="宋体" w:cs="宋体"/>
          <w:b/>
          <w:bCs w:val="0"/>
          <w:color w:val="auto"/>
          <w:sz w:val="32"/>
          <w:szCs w:val="32"/>
          <w:highlight w:val="none"/>
        </w:rPr>
        <w:t xml:space="preserve">张家港市政府采购合同</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u w:val="single"/>
        </w:rPr>
      </w:pPr>
      <w:r>
        <w:rPr>
          <w:rStyle w:val="980"/>
          <w:rFonts w:hint="eastAsia" w:ascii="宋体" w:hAnsi="宋体" w:eastAsia="宋体" w:cs="宋体"/>
          <w:bCs/>
          <w:color w:val="auto"/>
          <w:sz w:val="24"/>
          <w:highlight w:val="none"/>
        </w:rPr>
        <w:t xml:space="preserve">项目名称：</w:t>
      </w:r>
      <w:bookmarkStart w:id="160" w:name="biaoduanname_1"/>
      <w:r>
        <w:rPr>
          <w:rStyle w:val="980"/>
          <w:rFonts w:hint="eastAsia" w:ascii="宋体" w:hAnsi="宋体" w:eastAsia="宋体" w:cs="宋体"/>
          <w:bCs/>
          <w:color w:val="auto"/>
          <w:sz w:val="24"/>
          <w:highlight w:val="none"/>
          <w:u w:val="single"/>
        </w:rPr>
        <w:t xml:space="preserve">             </w:t>
      </w:r>
      <w:bookmarkEnd w:id="160"/>
      <w:r>
        <w:rPr>
          <w:rStyle w:val="980"/>
          <w:rFonts w:hint="eastAsia" w:ascii="宋体" w:hAnsi="宋体" w:eastAsia="宋体" w:cs="宋体"/>
          <w:bCs/>
          <w:color w:val="auto"/>
          <w:sz w:val="24"/>
          <w:highlight w:val="none"/>
          <w:u w:val="single"/>
        </w:rPr>
        <w:t xml:space="preserve">               </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u w:val="single"/>
        </w:rPr>
      </w:pPr>
      <w:r>
        <w:rPr>
          <w:rStyle w:val="980"/>
          <w:rFonts w:hint="eastAsia" w:ascii="宋体" w:hAnsi="宋体" w:eastAsia="宋体" w:cs="宋体"/>
          <w:bCs/>
          <w:color w:val="auto"/>
          <w:sz w:val="24"/>
          <w:highlight w:val="none"/>
        </w:rPr>
        <w:t xml:space="preserve">项目编号：</w:t>
      </w:r>
      <w:bookmarkStart w:id="161" w:name="projectno"/>
      <w:r>
        <w:rPr>
          <w:rStyle w:val="980"/>
          <w:rFonts w:hint="eastAsia" w:ascii="宋体" w:hAnsi="宋体" w:eastAsia="宋体" w:cs="宋体"/>
          <w:bCs/>
          <w:color w:val="auto"/>
          <w:sz w:val="24"/>
          <w:highlight w:val="none"/>
          <w:u w:val="single"/>
        </w:rPr>
        <w:t xml:space="preserve">        </w:t>
      </w:r>
      <w:r>
        <w:rPr>
          <w:rStyle w:val="980"/>
          <w:rFonts w:hint="eastAsia" w:cs="宋体"/>
          <w:bCs/>
          <w:color w:val="auto"/>
          <w:sz w:val="24"/>
          <w:highlight w:val="none"/>
          <w:u w:val="single"/>
          <w:lang w:val="en-US" w:eastAsia="zh-CN"/>
        </w:rPr>
        <w:t xml:space="preserve">                 </w:t>
      </w:r>
      <w:r>
        <w:rPr>
          <w:rStyle w:val="980"/>
          <w:rFonts w:hint="eastAsia" w:ascii="宋体" w:hAnsi="宋体" w:eastAsia="宋体" w:cs="宋体"/>
          <w:bCs/>
          <w:color w:val="auto"/>
          <w:sz w:val="24"/>
          <w:highlight w:val="none"/>
          <w:u w:val="single"/>
        </w:rPr>
        <w:t xml:space="preserve">   </w:t>
      </w:r>
      <w:bookmarkEnd w:id="161"/>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u w:val="single"/>
        </w:rPr>
      </w:pPr>
      <w:r>
        <w:rPr>
          <w:rStyle w:val="980"/>
          <w:rFonts w:hint="eastAsia" w:ascii="宋体" w:hAnsi="宋体" w:eastAsia="宋体" w:cs="宋体"/>
          <w:bCs/>
          <w:color w:val="auto"/>
          <w:sz w:val="24"/>
          <w:highlight w:val="none"/>
        </w:rPr>
        <w:t xml:space="preserve">甲方：（买方）</w:t>
      </w:r>
      <w:r>
        <w:rPr>
          <w:rStyle w:val="980"/>
          <w:rFonts w:hint="eastAsia" w:ascii="宋体" w:hAnsi="宋体" w:eastAsia="宋体" w:cs="宋体"/>
          <w:bCs/>
          <w:color w:val="auto"/>
          <w:sz w:val="24"/>
          <w:highlight w:val="none"/>
          <w:u w:val="single"/>
        </w:rPr>
        <w:t xml:space="preserve"> </w:t>
      </w:r>
      <w:bookmarkStart w:id="162" w:name="jianshedanwei_1"/>
      <w:r>
        <w:rPr>
          <w:rStyle w:val="980"/>
          <w:rFonts w:hint="eastAsia" w:ascii="宋体" w:hAnsi="宋体" w:eastAsia="宋体" w:cs="宋体"/>
          <w:bCs/>
          <w:color w:val="auto"/>
          <w:sz w:val="24"/>
          <w:highlight w:val="none"/>
          <w:u w:val="single"/>
        </w:rPr>
        <w:t xml:space="preserve">      </w:t>
      </w:r>
      <w:r>
        <w:rPr>
          <w:rStyle w:val="980"/>
          <w:rFonts w:hint="eastAsia" w:cs="宋体"/>
          <w:bCs/>
          <w:color w:val="auto"/>
          <w:sz w:val="24"/>
          <w:highlight w:val="none"/>
          <w:u w:val="single"/>
          <w:lang w:val="en-US" w:eastAsia="zh-CN"/>
        </w:rPr>
        <w:t xml:space="preserve">              </w:t>
      </w:r>
      <w:r>
        <w:rPr>
          <w:rStyle w:val="980"/>
          <w:rFonts w:hint="eastAsia" w:ascii="宋体" w:hAnsi="宋体" w:eastAsia="宋体" w:cs="宋体"/>
          <w:bCs/>
          <w:color w:val="auto"/>
          <w:sz w:val="24"/>
          <w:highlight w:val="none"/>
          <w:u w:val="single"/>
        </w:rPr>
        <w:t xml:space="preserve">  </w:t>
      </w:r>
      <w:bookmarkEnd w:id="162"/>
      <w:r>
        <w:rPr>
          <w:rStyle w:val="980"/>
          <w:rFonts w:hint="eastAsia" w:ascii="宋体" w:hAnsi="宋体" w:eastAsia="宋体" w:cs="宋体"/>
          <w:bCs/>
          <w:color w:val="auto"/>
          <w:sz w:val="24"/>
          <w:highlight w:val="none"/>
          <w:u w:val="single"/>
        </w:rPr>
        <w:t xml:space="preserve"> </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u w:val="single"/>
        </w:rPr>
      </w:pPr>
      <w:r>
        <w:rPr>
          <w:rStyle w:val="980"/>
          <w:rFonts w:hint="eastAsia" w:ascii="宋体" w:hAnsi="宋体" w:eastAsia="宋体" w:cs="宋体"/>
          <w:bCs/>
          <w:color w:val="auto"/>
          <w:sz w:val="24"/>
          <w:highlight w:val="none"/>
        </w:rPr>
        <w:t xml:space="preserve">乙方：（卖方）</w:t>
      </w:r>
      <w:r>
        <w:rPr>
          <w:rStyle w:val="980"/>
          <w:rFonts w:hint="eastAsia" w:ascii="宋体" w:hAnsi="宋体" w:eastAsia="宋体" w:cs="宋体"/>
          <w:bCs/>
          <w:color w:val="auto"/>
          <w:sz w:val="24"/>
          <w:highlight w:val="none"/>
          <w:u w:val="single"/>
        </w:rPr>
        <w:t xml:space="preserve"> </w:t>
      </w:r>
      <w:bookmarkStart w:id="163" w:name="zhongbiaodanweiname_1"/>
      <w:r>
        <w:rPr>
          <w:rStyle w:val="980"/>
          <w:rFonts w:hint="eastAsia" w:ascii="宋体" w:hAnsi="宋体" w:eastAsia="宋体" w:cs="宋体"/>
          <w:bCs/>
          <w:color w:val="auto"/>
          <w:sz w:val="24"/>
          <w:highlight w:val="none"/>
          <w:u w:val="single"/>
        </w:rPr>
        <w:t xml:space="preserve">        </w:t>
      </w:r>
      <w:r>
        <w:rPr>
          <w:rStyle w:val="980"/>
          <w:rFonts w:hint="eastAsia" w:cs="宋体"/>
          <w:bCs/>
          <w:color w:val="auto"/>
          <w:sz w:val="24"/>
          <w:highlight w:val="none"/>
          <w:u w:val="single"/>
          <w:lang w:val="en-US" w:eastAsia="zh-CN"/>
        </w:rPr>
        <w:t xml:space="preserve">            </w:t>
      </w:r>
      <w:r>
        <w:rPr>
          <w:rStyle w:val="980"/>
          <w:rFonts w:hint="eastAsia" w:ascii="宋体" w:hAnsi="宋体" w:eastAsia="宋体" w:cs="宋体"/>
          <w:bCs/>
          <w:color w:val="auto"/>
          <w:sz w:val="24"/>
          <w:highlight w:val="none"/>
          <w:u w:val="single"/>
        </w:rPr>
        <w:t xml:space="preserve">  </w:t>
      </w:r>
      <w:bookmarkEnd w:id="163"/>
      <w:r>
        <w:rPr>
          <w:rStyle w:val="980"/>
          <w:rFonts w:hint="eastAsia" w:ascii="宋体" w:hAnsi="宋体" w:eastAsia="宋体" w:cs="宋体"/>
          <w:bCs/>
          <w:color w:val="auto"/>
          <w:sz w:val="24"/>
          <w:highlight w:val="none"/>
          <w:u w:val="single"/>
        </w:rPr>
        <w:t xml:space="preserve"> </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甲、乙双方根据</w:t>
      </w:r>
      <w:r>
        <w:rPr>
          <w:rStyle w:val="980"/>
          <w:rFonts w:hint="eastAsia" w:cs="宋体"/>
          <w:bCs/>
          <w:color w:val="auto"/>
          <w:sz w:val="24"/>
          <w:highlight w:val="none"/>
          <w:lang w:eastAsia="zh-CN"/>
        </w:rPr>
        <w:t xml:space="preserve">苏州大智项目管理咨询有限公司</w:t>
      </w:r>
      <w:r>
        <w:rPr>
          <w:rStyle w:val="980"/>
          <w:rFonts w:hint="eastAsia" w:ascii="宋体" w:hAnsi="宋体" w:eastAsia="宋体" w:cs="宋体"/>
          <w:bCs/>
          <w:color w:val="auto"/>
          <w:sz w:val="24"/>
          <w:highlight w:val="none"/>
          <w:u w:val="single"/>
        </w:rPr>
        <w:t xml:space="preserve"> </w:t>
      </w:r>
      <w:bookmarkStart w:id="164" w:name="biaoduanname_2"/>
      <w:r>
        <w:rPr>
          <w:rStyle w:val="980"/>
          <w:rFonts w:hint="eastAsia" w:ascii="宋体" w:hAnsi="宋体" w:eastAsia="宋体" w:cs="宋体"/>
          <w:bCs/>
          <w:color w:val="auto"/>
          <w:sz w:val="24"/>
          <w:highlight w:val="none"/>
          <w:u w:val="single"/>
        </w:rPr>
        <w:t xml:space="preserve">    </w:t>
      </w:r>
      <w:bookmarkEnd w:id="164"/>
      <w:r>
        <w:rPr>
          <w:rStyle w:val="980"/>
          <w:rFonts w:hint="eastAsia" w:ascii="宋体" w:hAnsi="宋体" w:eastAsia="宋体" w:cs="宋体"/>
          <w:bCs/>
          <w:color w:val="auto"/>
          <w:sz w:val="24"/>
          <w:highlight w:val="none"/>
          <w:u w:val="single"/>
        </w:rPr>
        <w:t xml:space="preserve"> </w:t>
      </w:r>
      <w:r>
        <w:rPr>
          <w:rStyle w:val="980"/>
          <w:rFonts w:hint="eastAsia" w:ascii="宋体" w:hAnsi="宋体" w:eastAsia="宋体" w:cs="宋体"/>
          <w:bCs/>
          <w:color w:val="auto"/>
          <w:sz w:val="24"/>
          <w:highlight w:val="none"/>
        </w:rPr>
        <w:t xml:space="preserve">项目公开招标的结果，签署本合同。</w:t>
      </w:r>
      <w:r/>
    </w:p>
    <w:p>
      <w:pPr>
        <w:pStyle w:val="1016"/>
        <w:ind w:firstLine="482"/>
        <w:rPr>
          <w:rStyle w:val="794"/>
          <w:rFonts w:ascii="宋体" w:hAnsi="宋体" w:cs="宋体"/>
          <w:b/>
          <w:bCs/>
          <w:color w:val="auto"/>
          <w:sz w:val="24"/>
          <w:highlight w:val="none"/>
        </w:rPr>
      </w:pPr>
      <w:r>
        <w:rPr>
          <w:rStyle w:val="794"/>
          <w:rFonts w:hint="eastAsia" w:ascii="宋体" w:hAnsi="宋体" w:cs="宋体"/>
          <w:b/>
          <w:bCs/>
          <w:color w:val="auto"/>
          <w:sz w:val="24"/>
          <w:highlight w:val="none"/>
        </w:rPr>
        <w:t xml:space="preserve">一、</w:t>
      </w:r>
      <w:r>
        <w:rPr>
          <w:rStyle w:val="794"/>
          <w:rFonts w:hint="eastAsia" w:ascii="宋体" w:hAnsi="宋体" w:eastAsia="宋体" w:cs="宋体"/>
          <w:b/>
          <w:bCs/>
          <w:color w:val="auto"/>
          <w:sz w:val="24"/>
          <w:highlight w:val="none"/>
          <w:lang w:val="en-US" w:eastAsia="zh-CN"/>
        </w:rPr>
        <w:t xml:space="preserve">货物</w:t>
      </w:r>
      <w:r>
        <w:rPr>
          <w:rStyle w:val="794"/>
          <w:rFonts w:hint="eastAsia" w:ascii="宋体" w:hAnsi="宋体" w:cs="宋体"/>
          <w:b/>
          <w:bCs/>
          <w:color w:val="auto"/>
          <w:sz w:val="24"/>
          <w:highlight w:val="none"/>
        </w:rPr>
        <w:t xml:space="preserve">内容</w:t>
      </w:r>
      <w:r/>
    </w:p>
    <w:tbl>
      <w:tblPr>
        <w:tblStyle w:val="795"/>
        <w:tblW w:w="79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1016"/>
              <w:ind w:firstLine="0"/>
              <w:jc w:val="center"/>
              <w:spacing w:line="440" w:lineRule="exact"/>
              <w:widowControl w:val="off"/>
              <w:rPr>
                <w:rStyle w:val="794"/>
                <w:rFonts w:ascii="宋体" w:hAnsi="宋体" w:eastAsia="宋体" w:cs="宋体"/>
                <w:color w:val="auto"/>
                <w:sz w:val="24"/>
                <w:szCs w:val="24"/>
                <w:highlight w:val="none"/>
                <w:lang w:val="en-US" w:eastAsia="zh-CN" w:bidi="ar-SA"/>
              </w:rPr>
            </w:pPr>
            <w:r>
              <w:rPr>
                <w:rStyle w:val="794"/>
                <w:rFonts w:hint="eastAsia" w:ascii="宋体" w:hAnsi="宋体" w:eastAsia="宋体" w:cs="宋体"/>
                <w:color w:val="auto"/>
                <w:sz w:val="24"/>
                <w:szCs w:val="24"/>
                <w:highlight w:val="none"/>
                <w:lang w:val="en-US" w:eastAsia="zh-CN" w:bidi="ar-SA"/>
              </w:rPr>
              <w:t xml:space="preserve">投标货物名称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1016"/>
              <w:ind w:firstLine="480"/>
              <w:jc w:val="center"/>
              <w:spacing w:line="440" w:lineRule="exact"/>
              <w:widowControl w:val="off"/>
              <w:rPr>
                <w:rStyle w:val="794"/>
                <w:rFonts w:ascii="宋体" w:hAnsi="宋体" w:eastAsia="宋体" w:cs="宋体"/>
                <w:color w:val="auto"/>
                <w:sz w:val="24"/>
                <w:szCs w:val="24"/>
                <w:highlight w:val="none"/>
                <w:lang w:val="en-US" w:eastAsia="zh-CN" w:bidi="ar-SA"/>
              </w:rPr>
            </w:pPr>
            <w:r>
              <w:rPr>
                <w:rStyle w:val="794"/>
                <w:rFonts w:hint="eastAsia" w:ascii="宋体" w:hAnsi="宋体" w:eastAsia="宋体" w:cs="宋体"/>
                <w:color w:val="auto"/>
                <w:sz w:val="24"/>
                <w:szCs w:val="24"/>
                <w:highlight w:val="none"/>
                <w:lang w:val="en-US" w:eastAsia="zh-CN" w:bidi="ar-SA"/>
              </w:rPr>
              <w:t xml:space="preserve">总价（元）</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1016"/>
              <w:ind w:firstLine="960"/>
              <w:jc w:val="both"/>
              <w:spacing w:line="440" w:lineRule="exact"/>
              <w:widowControl w:val="off"/>
              <w:rPr>
                <w:rStyle w:val="794"/>
                <w:rFonts w:ascii="宋体" w:hAnsi="宋体" w:eastAsia="宋体" w:cs="宋体"/>
                <w:color w:val="auto"/>
                <w:sz w:val="24"/>
                <w:szCs w:val="24"/>
                <w:highlight w:val="none"/>
                <w:lang w:val="en-US" w:eastAsia="zh-CN" w:bidi="ar-SA"/>
              </w:rPr>
            </w:pPr>
            <w:r>
              <w:rPr>
                <w:rStyle w:val="794"/>
                <w:rFonts w:hint="eastAsia" w:ascii="宋体" w:hAnsi="宋体" w:eastAsia="宋体" w:cs="宋体"/>
                <w:color w:val="auto"/>
                <w:sz w:val="24"/>
                <w:szCs w:val="24"/>
                <w:highlight w:val="none"/>
                <w:lang w:val="en-US" w:eastAsia="zh-CN" w:bidi="ar-SA"/>
              </w:rPr>
              <w:t xml:space="preserve">备注</w:t>
            </w:r>
            <w:r/>
          </w:p>
        </w:tc>
      </w:tr>
      <w:tr>
        <w:trPr>
          <w:cantSplit/>
          <w:jc w:val="center"/>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1016"/>
              <w:ind w:firstLine="0"/>
              <w:jc w:val="both"/>
              <w:spacing w:line="440" w:lineRule="exact"/>
              <w:widowControl w:val="off"/>
              <w:rPr>
                <w:rStyle w:val="794"/>
                <w:rFonts w:ascii="宋体" w:hAnsi="宋体" w:eastAsia="宋体" w:cs="宋体"/>
                <w:color w:val="auto"/>
                <w:sz w:val="24"/>
                <w:szCs w:val="24"/>
                <w:highlight w:val="none"/>
                <w:lang w:val="en-US" w:eastAsia="zh-CN" w:bidi="ar-SA"/>
              </w:rPr>
            </w:pPr>
            <w:r>
              <w:rPr>
                <w:rStyle w:val="794"/>
                <w:rFonts w:hint="eastAsia" w:ascii="宋体" w:hAnsi="宋体" w:eastAsia="宋体" w:cs="宋体"/>
                <w:color w:val="auto"/>
                <w:sz w:val="24"/>
                <w:szCs w:val="24"/>
                <w:highlight w:val="none"/>
                <w:lang w:val="en-US" w:eastAsia="zh-CN" w:bidi="ar-SA"/>
              </w:rPr>
              <w:t xml:space="preserve">   </w:t>
            </w:r>
            <w:bookmarkStart w:id="165" w:name="biaoduanname_3"/>
            <w:r>
              <w:rPr>
                <w:rStyle w:val="794"/>
                <w:rFonts w:hint="eastAsia" w:ascii="宋体" w:hAnsi="宋体" w:eastAsia="宋体" w:cs="宋体"/>
                <w:color w:val="auto"/>
                <w:sz w:val="24"/>
                <w:szCs w:val="24"/>
                <w:highlight w:val="none"/>
                <w:lang w:val="en-US" w:eastAsia="zh-CN" w:bidi="ar-SA"/>
              </w:rPr>
              <w:t xml:space="preserve">         </w:t>
            </w:r>
            <w:bookmarkEnd w:id="165"/>
            <w:r>
              <w:rPr>
                <w:rStyle w:val="794"/>
                <w:rFonts w:hint="eastAsia" w:ascii="宋体" w:hAnsi="宋体" w:eastAsia="宋体" w:cs="宋体"/>
                <w:color w:val="auto"/>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1016"/>
              <w:ind w:firstLine="0"/>
              <w:jc w:val="both"/>
              <w:spacing w:line="440" w:lineRule="exact"/>
              <w:widowControl w:val="off"/>
              <w:rPr>
                <w:rStyle w:val="794"/>
                <w:rFonts w:ascii="宋体" w:hAnsi="宋体" w:eastAsia="宋体" w:cs="宋体"/>
                <w:color w:val="auto"/>
                <w:sz w:val="24"/>
                <w:szCs w:val="24"/>
                <w:highlight w:val="none"/>
                <w:lang w:val="en-US" w:eastAsia="zh-CN" w:bidi="ar-SA"/>
              </w:rPr>
            </w:pPr>
            <w:r>
              <w:rPr>
                <w:rStyle w:val="794"/>
                <w:rFonts w:hint="eastAsia" w:ascii="宋体" w:hAnsi="宋体" w:eastAsia="宋体" w:cs="宋体"/>
                <w:color w:val="auto"/>
                <w:sz w:val="24"/>
                <w:szCs w:val="24"/>
                <w:highlight w:val="none"/>
                <w:lang w:val="en-US" w:eastAsia="zh-CN" w:bidi="ar-SA"/>
              </w:rPr>
              <w:t xml:space="preserve">   </w:t>
            </w:r>
            <w:bookmarkStart w:id="166" w:name="zhongbiaopricelow_1"/>
            <w:r>
              <w:rPr>
                <w:rStyle w:val="794"/>
                <w:rFonts w:hint="eastAsia" w:ascii="宋体" w:hAnsi="宋体" w:eastAsia="宋体" w:cs="宋体"/>
                <w:color w:val="auto"/>
                <w:sz w:val="24"/>
                <w:szCs w:val="24"/>
                <w:highlight w:val="none"/>
                <w:lang w:val="en-US" w:eastAsia="zh-CN" w:bidi="ar-SA"/>
              </w:rPr>
              <w:t xml:space="preserve">         </w:t>
            </w:r>
            <w:bookmarkEnd w:id="166"/>
            <w:r>
              <w:rPr>
                <w:rStyle w:val="794"/>
                <w:rFonts w:hint="eastAsia" w:ascii="宋体" w:hAnsi="宋体" w:eastAsia="宋体" w:cs="宋体"/>
                <w:color w:val="auto"/>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1016"/>
              <w:ind w:firstLine="0"/>
              <w:jc w:val="both"/>
              <w:spacing w:line="440" w:lineRule="exact"/>
              <w:widowControl w:val="off"/>
              <w:rPr>
                <w:rStyle w:val="794"/>
                <w:rFonts w:ascii="宋体" w:hAnsi="宋体" w:eastAsia="宋体" w:cs="宋体"/>
                <w:color w:val="auto"/>
                <w:sz w:val="24"/>
                <w:szCs w:val="24"/>
                <w:highlight w:val="none"/>
                <w:lang w:val="en-US" w:eastAsia="zh-CN" w:bidi="ar-SA"/>
              </w:rPr>
            </w:pPr>
            <w:r>
              <w:rPr>
                <w:rStyle w:val="794"/>
                <w:rFonts w:hint="eastAsia" w:ascii="宋体" w:hAnsi="宋体" w:eastAsia="宋体" w:cs="宋体"/>
                <w:color w:val="auto"/>
                <w:sz w:val="24"/>
                <w:szCs w:val="24"/>
                <w:highlight w:val="none"/>
                <w:lang w:val="en-US" w:eastAsia="zh-CN" w:bidi="ar-SA"/>
              </w:rPr>
              <w:t xml:space="preserve">  </w:t>
            </w:r>
            <w:bookmarkStart w:id="167" w:name="fuwuneirong"/>
            <w:r>
              <w:rPr>
                <w:rStyle w:val="794"/>
                <w:rFonts w:hint="eastAsia" w:ascii="宋体" w:hAnsi="宋体" w:eastAsia="宋体" w:cs="宋体"/>
                <w:color w:val="auto"/>
                <w:sz w:val="24"/>
                <w:szCs w:val="24"/>
                <w:highlight w:val="none"/>
                <w:lang w:val="en-US" w:eastAsia="zh-CN" w:bidi="ar-SA"/>
              </w:rPr>
              <w:t xml:space="preserve">        </w:t>
            </w:r>
            <w:bookmarkEnd w:id="167"/>
            <w:r>
              <w:rPr>
                <w:rStyle w:val="794"/>
                <w:rFonts w:hint="eastAsia" w:ascii="宋体" w:hAnsi="宋体" w:eastAsia="宋体" w:cs="宋体"/>
                <w:color w:val="auto"/>
                <w:sz w:val="24"/>
                <w:szCs w:val="24"/>
                <w:highlight w:val="none"/>
                <w:lang w:val="en-US" w:eastAsia="zh-CN" w:bidi="ar-SA"/>
              </w:rPr>
              <w:t xml:space="preserve">   </w:t>
            </w:r>
            <w:r/>
          </w:p>
        </w:tc>
      </w:tr>
    </w:tbl>
    <w:p>
      <w:pPr>
        <w:pStyle w:val="1017"/>
        <w:keepLines w:val="0"/>
        <w:keepNext w:val="0"/>
        <w:pageBreakBefore w:val="0"/>
        <w:spacing w:line="400" w:lineRule="exact"/>
        <w:widowControl w:val="off"/>
        <w:rPr>
          <w:rStyle w:val="980"/>
          <w:rFonts w:hint="eastAsia" w:ascii="宋体" w:hAnsi="宋体" w:eastAsia="宋体" w:cs="宋体"/>
          <w:b/>
          <w:bCs w:val="0"/>
          <w:color w:val="auto"/>
          <w:sz w:val="24"/>
          <w:highlight w:val="none"/>
        </w:rPr>
      </w:pPr>
      <w:r>
        <w:rPr>
          <w:rStyle w:val="980"/>
          <w:rFonts w:hint="eastAsia" w:ascii="宋体" w:hAnsi="宋体" w:eastAsia="宋体" w:cs="宋体"/>
          <w:b/>
          <w:bCs w:val="0"/>
          <w:color w:val="auto"/>
          <w:sz w:val="24"/>
          <w:highlight w:val="none"/>
        </w:rPr>
        <w:t xml:space="preserve">二、合同金额</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2.1 本合同金额为（大写）：</w:t>
      </w:r>
      <w:r>
        <w:rPr>
          <w:rStyle w:val="980"/>
          <w:rFonts w:hint="eastAsia" w:ascii="宋体" w:hAnsi="宋体" w:eastAsia="宋体" w:cs="宋体"/>
          <w:bCs/>
          <w:color w:val="auto"/>
          <w:sz w:val="24"/>
          <w:highlight w:val="none"/>
          <w:u w:val="single"/>
        </w:rPr>
        <w:t xml:space="preserve"> </w:t>
      </w:r>
      <w:bookmarkStart w:id="168" w:name="zhongbiaopriceup"/>
      <w:r>
        <w:rPr>
          <w:rStyle w:val="980"/>
          <w:rFonts w:hint="eastAsia" w:ascii="宋体" w:hAnsi="宋体" w:eastAsia="宋体" w:cs="宋体"/>
          <w:bCs/>
          <w:color w:val="auto"/>
          <w:sz w:val="24"/>
          <w:highlight w:val="none"/>
          <w:u w:val="single"/>
        </w:rPr>
        <w:t xml:space="preserve">                   </w:t>
      </w:r>
      <w:bookmarkEnd w:id="168"/>
      <w:r>
        <w:rPr>
          <w:rStyle w:val="980"/>
          <w:rFonts w:hint="eastAsia" w:ascii="宋体" w:hAnsi="宋体" w:eastAsia="宋体" w:cs="宋体"/>
          <w:bCs/>
          <w:color w:val="auto"/>
          <w:sz w:val="24"/>
          <w:highlight w:val="none"/>
        </w:rPr>
        <w:t xml:space="preserve">（</w:t>
      </w:r>
      <w:r>
        <w:rPr>
          <w:rStyle w:val="980"/>
          <w:rFonts w:hint="eastAsia" w:ascii="宋体" w:hAnsi="宋体" w:eastAsia="宋体" w:cs="宋体"/>
          <w:bCs/>
          <w:color w:val="auto"/>
          <w:sz w:val="24"/>
          <w:highlight w:val="none"/>
          <w:u w:val="single"/>
        </w:rPr>
        <w:t xml:space="preserve"> </w:t>
      </w:r>
      <w:bookmarkStart w:id="169" w:name="zhongbiaopricelow_2"/>
      <w:r>
        <w:rPr>
          <w:rStyle w:val="980"/>
          <w:rFonts w:hint="eastAsia" w:ascii="宋体" w:hAnsi="宋体" w:eastAsia="宋体" w:cs="宋体"/>
          <w:bCs/>
          <w:color w:val="auto"/>
          <w:sz w:val="24"/>
          <w:highlight w:val="none"/>
          <w:u w:val="single"/>
        </w:rPr>
        <w:t xml:space="preserve">             </w:t>
      </w:r>
      <w:bookmarkEnd w:id="169"/>
      <w:r>
        <w:rPr>
          <w:rStyle w:val="980"/>
          <w:rFonts w:hint="eastAsia" w:ascii="宋体" w:hAnsi="宋体" w:eastAsia="宋体" w:cs="宋体"/>
          <w:bCs/>
          <w:color w:val="auto"/>
          <w:sz w:val="24"/>
          <w:highlight w:val="none"/>
          <w:u w:val="single"/>
        </w:rPr>
        <w:t xml:space="preserve"> </w:t>
      </w:r>
      <w:r>
        <w:rPr>
          <w:rStyle w:val="980"/>
          <w:rFonts w:hint="eastAsia" w:ascii="宋体" w:hAnsi="宋体" w:eastAsia="宋体" w:cs="宋体"/>
          <w:bCs/>
          <w:color w:val="auto"/>
          <w:sz w:val="24"/>
          <w:highlight w:val="none"/>
        </w:rPr>
        <w:t xml:space="preserve">元）人民币。</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Fonts w:ascii="宋体" w:hAnsi="宋体" w:eastAsia="宋体" w:cs="宋体"/>
          <w:color w:val="auto"/>
          <w:sz w:val="24"/>
          <w:highlight w:val="none"/>
        </w:rPr>
        <w:t xml:space="preserve">合同金额包括但不限于含所需货物以及相应的附件、备件、配件、包装、税费、运杂（到位）、保险、验收、管理、售后服务、维护、人员培训等所产生的费用。</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三、技术资料</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3.1乙方应按招标文件规定的时间向甲方提供使用货物的有关技术资料。</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四、知识产权</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五、产权担保</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5.1 乙方保证所交付的货物的所有权完全属于乙方且无任何抵押、查封等产权瑕疵。</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六、履约保证金</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6.1合同签订前，乙方向甲方交纳人民币元作为本合同的履约保证金。履约保证金应当以支票、汇票、本票或者金融机构、担保机构出具的保函等非现金形式提交。</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6.2合同履行完毕退还履约保证金。逾期退还的，应当支付逾期利息，且逾期利息的利率不得低于合同订立时1年期贷款市场报价利率。</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6.3乙方不履行与甲方订立的合同的，履约保证金不予退还。</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七.转包或分包</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7.1本合同范围的货物，应由乙方直接供应，不得转让他人供应；</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7.2 如有转包和分包行为，甲方有权给予终止合同。</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八、交货期、交货方式及交货地点</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8.1 交货期：                       </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8.2 交货方式：                     </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8.3 交货地点：                     </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九、货款支付</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9.1结付程序：                   。</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9.2结付期限：                   。</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9.3乙方收款账户：                </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9.4甲方合同款支付方式：              （若乙方为中小企业，不得强制其接受非现金支付方式）</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十.税</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10.1本合同执行中相关的一切税费均由乙方负担。</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十一、质量保证及售后服务</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11.1 乙方应按招标文件规定的货物性能、技术要求、质量标准向甲方提供未经使用的全新产品。</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11.2 乙方提供的货物在免费质保期内因货物本身的质量问题发生故障，乙方应负责免费更换。对达不到技术要求者，根据实际情况，经双方协商，可按以下办法处理：</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(1)更换：由乙方承担所发生的全部费用。</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(2)贬值处理：由甲乙双方合议定价。</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(3)退货处理：乙方应退还甲方支付的合同款，同时应承担该货物的直接费用（运输、保险、检验、货款利息及银行手续费等）。</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11.3响应时间：                      。</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11.4 在免费质保期内，乙方应对货物出现的质量及安全问题负责处理解决并承担一切费用。</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11.5上述的货物免费质保期为：                    。</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十二、调试和验收</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12.1 甲方对乙方提交的货物依据招标文件上的技术规格要求和国家有关质量标准进行现场初步验收，外观、说明书符合招标文件技术要求的，给予签收，初步验收不合格的不予签收。货到后，甲方需在      个工作日内完成验收。</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12.2 乙方交货前应对产品作出全面检查和对验收文件进行整理，并列出清单，作为甲方收货验收和使用的技术条件依据，检验的结果应随货物交甲方。</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12.3 甲方对乙方提供的货物在使用前进行调试时，乙方需负责安装并培训甲方的使用操作人员，并协助甲方一起调试，直到符合技术要求，甲方才做最终验收。</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12.4甲方有权请国家认可的专业检测机构参与抽样送检，并由其出具质量检测报告，抽样送检费用同乙方承担。</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12.5 验收时乙方必须在现场，验收完毕后作出验收结果报告；验收费用由乙方承担。</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十三、货物包装、发运及运输</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13.1 乙方应在货物发运前对其进行满足运输距离、防潮、防震、防锈和防破损装卸等要求包装，以保证货物安全运达甲方指定地点。</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13.2 使用说明书、质量检验证明书、随配附件和工具以及清单一并附于货物内。</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13.3 乙方在货物发运手续办理完毕后24小时内或货到甲方48小时前通知甲方，以准备接货。</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13.4 货物在交付甲方前发生的风险均由乙方负责。</w:t>
      </w:r>
      <w:r/>
    </w:p>
    <w:p>
      <w:pPr>
        <w:pStyle w:val="1017"/>
        <w:keepLines w:val="0"/>
        <w:keepNext w:val="0"/>
        <w:pageBreakBefore w:val="0"/>
        <w:spacing w:line="400" w:lineRule="exact"/>
        <w:widowControl w:val="off"/>
        <w:rPr>
          <w:color w:val="auto"/>
          <w:highlight w:val="none"/>
        </w:rPr>
      </w:pPr>
      <w:r>
        <w:rPr>
          <w:rStyle w:val="980"/>
          <w:rFonts w:hint="eastAsia" w:ascii="宋体" w:hAnsi="宋体" w:eastAsia="宋体" w:cs="宋体"/>
          <w:bCs/>
          <w:color w:val="auto"/>
          <w:sz w:val="24"/>
          <w:highlight w:val="none"/>
        </w:rPr>
        <w:t xml:space="preserve">13.5 货物在规定的交付期限内由乙方送达甲方指定的地点视为交付，乙方同时需通知甲方货物已送达。</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十四、违约责任</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14.1 甲方无正当理由拒收货物的，甲方向乙方偿付拒收货款总值的百分之五违约金。</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14.2 甲方逾期办理货款支付的,应当支付逾期利息，且逾期利息的利率不得低于合同订立时1年期贷款市场报价利率。</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十五、不可抗力事件处理</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15.1 在合同有效期内，任何一方因不可抗力事件导致不能履行合同，则合同履行期可延长，其延长期与不可抗力影响期相同。</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15.2 不可抗力事件发生后，应立即通知对方，并寄送有关权威机构出具的证明。</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15.3 不可抗力事件延续120天以上，双方应通过友好协商，确定是否继续履行合同。</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十六、诉讼</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16.1 双方在执行合同中所发生的一切争议，应通过协商解决。如协商不成，可向合同签订地法院起诉，合同签订地在此约定为张家港市。</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十七、合同其他文件</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17.1下列文件为本合同不可分割部份，与本合同具有同等效力。</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(1)中标通知书；</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(2)供方中标的投标书；</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(3)招标文件；</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(4)供方在招投标过程中所作的其他承诺、声明、书面澄清等。</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十八、合同生效及其它</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18.1合同经双方法定代表人（或负责人）或授权委托代表人签字并加盖单位公章后生效,生效后至张家港市政府采购管理中心备案。</w:t>
      </w:r>
      <w:r/>
    </w:p>
    <w:p>
      <w:pPr>
        <w:pStyle w:val="1017"/>
        <w:keepLines w:val="0"/>
        <w:keepNext w:val="0"/>
        <w:pageBreakBefore w:val="0"/>
        <w:spacing w:line="400" w:lineRule="exact"/>
        <w:widowControl w:val="off"/>
        <w:rPr>
          <w:rStyle w:val="980"/>
          <w:rFonts w:hint="eastAsia" w:ascii="宋体" w:hAnsi="宋体" w:eastAsia="宋体" w:cs="宋体"/>
          <w:bCs/>
          <w:color w:val="auto"/>
          <w:sz w:val="24"/>
          <w:highlight w:val="none"/>
        </w:rPr>
      </w:pPr>
      <w:r>
        <w:rPr>
          <w:rStyle w:val="980"/>
          <w:rFonts w:hint="eastAsia" w:ascii="宋体" w:hAnsi="宋体" w:eastAsia="宋体" w:cs="宋体"/>
          <w:bCs/>
          <w:color w:val="auto"/>
          <w:sz w:val="24"/>
          <w:highlight w:val="none"/>
        </w:rPr>
        <w:t xml:space="preserve">18.2 本合同未尽事宜，遵照《民法典》合同编有关条文执行。</w:t>
      </w:r>
      <w:r/>
    </w:p>
    <w:p>
      <w:pPr>
        <w:pStyle w:val="1017"/>
        <w:rPr>
          <w:rStyle w:val="980"/>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bl>
      <w:tblPr>
        <w:tblStyle w:val="795"/>
        <w:tblW w:w="1024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19"/>
        <w:gridCol w:w="5124"/>
      </w:tblGrid>
      <w:tr>
        <w:trPr>
          <w:trHeight w:val="584"/>
        </w:trPr>
        <w:tc>
          <w:tcPr>
            <w:tcMar>
              <w:top w:w="100" w:type="dxa"/>
              <w:bottom w:w="100" w:type="dxa"/>
            </w:tcMar>
            <w:tcW w:w="5119" w:type="dxa"/>
            <w:vAlign w:val="center"/>
            <w:textDirection w:val="lrTb"/>
            <w:noWrap w:val="false"/>
          </w:tcPr>
          <w:p>
            <w:pPr>
              <w:pStyle w:val="1019"/>
              <w:jc w:val="left"/>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w:t>
            </w:r>
            <w:r/>
          </w:p>
          <w:p>
            <w:pPr>
              <w:pStyle w:val="1019"/>
              <w:jc w:val="left"/>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签订日期：      年    月   日</w:t>
            </w:r>
            <w:r/>
          </w:p>
        </w:tc>
        <w:tc>
          <w:tcPr>
            <w:tcMar>
              <w:top w:w="100" w:type="dxa"/>
              <w:bottom w:w="100" w:type="dxa"/>
            </w:tcMar>
            <w:tcW w:w="5124" w:type="dxa"/>
            <w:vAlign w:val="center"/>
            <w:textDirection w:val="lrTb"/>
            <w:noWrap w:val="false"/>
          </w:tcPr>
          <w:p>
            <w:pPr>
              <w:pStyle w:val="1019"/>
              <w:jc w:val="left"/>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w:t>
            </w:r>
            <w:r/>
          </w:p>
          <w:p>
            <w:pPr>
              <w:pStyle w:val="1019"/>
              <w:jc w:val="left"/>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p>
          <w:p>
            <w:pPr>
              <w:pStyle w:val="1019"/>
              <w:jc w:val="right"/>
              <w:keepLines w:val="0"/>
              <w:keepNext w:val="0"/>
              <w:pageBreakBefore w:val="0"/>
              <w:spacing w:line="400" w:lineRule="exact"/>
              <w:widowControl w:val="off"/>
              <w:rPr>
                <w:rStyle w:val="980"/>
                <w:rFonts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rPr>
              <w:t xml:space="preserve">签订日期：      年    月   日</w:t>
            </w:r>
            <w:r/>
          </w:p>
        </w:tc>
      </w:tr>
      <w:tr>
        <w:trPr/>
        <w:tc>
          <w:tcPr>
            <w:tcMar>
              <w:top w:w="100" w:type="dxa"/>
              <w:bottom w:w="100" w:type="dxa"/>
            </w:tcMar>
            <w:tcW w:w="5119" w:type="dxa"/>
            <w:vAlign w:val="center"/>
            <w:textDirection w:val="lrTb"/>
            <w:noWrap w:val="false"/>
          </w:tcPr>
          <w:p>
            <w:pPr>
              <w:pStyle w:val="984"/>
              <w:ind w:left="0" w:right="0" w:firstLine="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代理机构：</w:t>
            </w:r>
            <w:r>
              <w:rPr>
                <w:rFonts w:hint="eastAsia" w:ascii="宋体" w:hAnsi="宋体" w:cs="宋体"/>
                <w:color w:val="auto"/>
                <w:sz w:val="24"/>
                <w:szCs w:val="24"/>
                <w:highlight w:val="none"/>
                <w:lang w:eastAsia="zh-CN"/>
              </w:rPr>
              <w:t xml:space="preserve">苏州大智项目管理咨询有限公司</w:t>
            </w:r>
            <w:r/>
          </w:p>
          <w:p>
            <w:pPr>
              <w:pStyle w:val="984"/>
              <w:ind w:left="0" w:right="0" w:firstLine="0"/>
              <w:jc w:val="left"/>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经办</w:t>
            </w:r>
            <w:r>
              <w:rPr>
                <w:rFonts w:hint="eastAsia" w:ascii="宋体" w:hAnsi="宋体" w:eastAsia="宋体" w:cs="宋体"/>
                <w:color w:val="auto"/>
                <w:sz w:val="24"/>
                <w:szCs w:val="24"/>
                <w:highlight w:val="none"/>
              </w:rPr>
              <w:t xml:space="preserve">人：</w:t>
            </w:r>
            <w:r/>
          </w:p>
          <w:p>
            <w:pPr>
              <w:pStyle w:val="984"/>
              <w:ind w:left="0" w:right="0" w:firstLine="0"/>
              <w:jc w:val="left"/>
              <w:keepLines w:val="0"/>
              <w:keepNext w:val="0"/>
              <w:pageBreakBefore w:val="0"/>
              <w:spacing w:after="0" w:line="400" w:lineRule="exact"/>
              <w:widowControl w:val="off"/>
              <w:rPr>
                <w:rStyle w:val="980"/>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0512-58558506</w:t>
            </w:r>
            <w:r/>
          </w:p>
        </w:tc>
        <w:tc>
          <w:tcPr>
            <w:tcMar>
              <w:top w:w="100" w:type="dxa"/>
              <w:bottom w:w="100" w:type="dxa"/>
            </w:tcMar>
            <w:tcW w:w="5124" w:type="dxa"/>
            <w:vAlign w:val="center"/>
            <w:textDirection w:val="lrTb"/>
            <w:noWrap w:val="false"/>
          </w:tcPr>
          <w:p>
            <w:pPr>
              <w:pStyle w:val="1019"/>
              <w:jc w:val="left"/>
              <w:keepLines w:val="0"/>
              <w:keepNext w:val="0"/>
              <w:pageBreakBefore w:val="0"/>
              <w:spacing w:line="400" w:lineRule="exact"/>
              <w:widowControl w:val="off"/>
              <w:rPr>
                <w:rStyle w:val="980"/>
                <w:rFonts w:ascii="宋体" w:hAnsi="宋体" w:eastAsia="宋体" w:cs="宋体"/>
                <w:b w:val="0"/>
                <w:color w:val="auto"/>
                <w:sz w:val="24"/>
                <w:szCs w:val="24"/>
                <w:highlight w:val="none"/>
                <w:lang w:val="en-US" w:eastAsia="zh-CN"/>
              </w:rPr>
              <w:outlineLvl w:val="9"/>
            </w:pPr>
            <w:r>
              <w:rPr>
                <w:rStyle w:val="980"/>
                <w:rFonts w:hint="eastAsia" w:ascii="宋体" w:hAnsi="宋体" w:eastAsia="宋体" w:cs="宋体"/>
                <w:b w:val="0"/>
                <w:color w:val="auto"/>
                <w:sz w:val="24"/>
                <w:szCs w:val="24"/>
                <w:highlight w:val="none"/>
                <w:lang w:val="en-US" w:eastAsia="zh-CN"/>
              </w:rPr>
              <w:t xml:space="preserve">备案方：张家港市政府采购管理中心</w:t>
            </w:r>
            <w:bookmarkEnd w:id="153"/>
            <w:r/>
            <w:bookmarkEnd w:id="154"/>
            <w:r/>
            <w:bookmarkEnd w:id="155"/>
            <w:r/>
            <w:bookmarkEnd w:id="156"/>
            <w:r/>
            <w:bookmarkEnd w:id="157"/>
            <w:r/>
            <w:r/>
          </w:p>
        </w:tc>
      </w:tr>
    </w:tbl>
    <w:p>
      <w:pPr>
        <w:rPr>
          <w:color w:val="auto"/>
          <w:highlight w:val="none"/>
        </w:rPr>
      </w:pPr>
      <w:r>
        <w:rPr>
          <w:color w:val="auto"/>
          <w:highlight w:val="none"/>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color w:val="auto"/>
          <w:sz w:val="32"/>
          <w:szCs w:val="32"/>
          <w:highlight w:val="none"/>
          <w:lang w:val="en-US" w:eastAsia="zh-CN" w:bidi="ar-SA"/>
        </w:rPr>
        <w:outlineLvl w:val="0"/>
      </w:pPr>
      <w:r/>
      <w:bookmarkStart w:id="170" w:name="_Toc18404"/>
      <w:r/>
      <w:bookmarkStart w:id="171" w:name="_Toc3084"/>
      <w:r/>
      <w:bookmarkStart w:id="172" w:name="_Toc7502"/>
      <w:r/>
      <w:bookmarkStart w:id="173" w:name="_Toc3329"/>
      <w:r/>
      <w:bookmarkStart w:id="174" w:name="_Toc13251"/>
      <w:r/>
      <w:bookmarkStart w:id="175" w:name="_Toc2284"/>
      <w:r/>
      <w:bookmarkStart w:id="176" w:name="_Toc25031"/>
      <w:r/>
      <w:bookmarkStart w:id="177" w:name="_Toc26554093"/>
      <w:r/>
      <w:bookmarkStart w:id="178" w:name="_Toc120614281"/>
      <w:r/>
      <w:bookmarkStart w:id="179" w:name="_Toc49090575"/>
      <w:r>
        <w:rPr>
          <w:rFonts w:hint="eastAsia" w:ascii="宋体" w:hAnsi="宋体" w:eastAsia="宋体" w:cs="宋体"/>
          <w:b/>
          <w:bCs/>
          <w:color w:val="auto"/>
          <w:sz w:val="32"/>
          <w:szCs w:val="32"/>
          <w:highlight w:val="none"/>
          <w:lang w:val="en-US" w:eastAsia="zh-CN" w:bidi="ar-SA"/>
        </w:rPr>
        <w:t xml:space="preserve">项目需求</w:t>
      </w:r>
      <w:bookmarkEnd w:id="170"/>
      <w:r/>
      <w:bookmarkEnd w:id="171"/>
      <w:r/>
      <w:bookmarkEnd w:id="172"/>
      <w:r/>
      <w:bookmarkEnd w:id="173"/>
      <w:r/>
      <w:bookmarkEnd w:id="174"/>
      <w:r/>
      <w:bookmarkEnd w:id="175"/>
      <w:r/>
      <w:bookmarkEnd w:id="176"/>
      <w:r/>
      <w:r/>
    </w:p>
    <w:p>
      <w:pPr>
        <w:numPr>
          <w:ilvl w:val="0"/>
          <w:numId w:val="13"/>
        </w:numPr>
        <w:ind w:left="0" w:firstLine="0"/>
        <w:keepLines w:val="0"/>
        <w:keepNext w:val="0"/>
        <w:pageBreakBefore w:val="0"/>
        <w:spacing w:before="120" w:after="120" w:line="440" w:lineRule="exact"/>
        <w:widowControl/>
        <w:rPr>
          <w:rFonts w:ascii="宋体" w:hAnsi="宋体" w:cs="宋体"/>
          <w:b/>
          <w:color w:val="auto"/>
          <w:sz w:val="28"/>
          <w:szCs w:val="28"/>
          <w:highlight w:val="none"/>
        </w:rPr>
        <w:outlineLvl w:val="1"/>
      </w:pPr>
      <w:r/>
      <w:bookmarkStart w:id="180" w:name="_Toc9671"/>
      <w:r/>
      <w:bookmarkStart w:id="181" w:name="_Toc14486"/>
      <w:r/>
      <w:bookmarkStart w:id="182" w:name="_Toc6092"/>
      <w:r>
        <w:rPr>
          <w:rFonts w:hint="eastAsia" w:ascii="宋体" w:hAnsi="宋体" w:cs="宋体"/>
          <w:b/>
          <w:color w:val="auto"/>
          <w:sz w:val="28"/>
          <w:szCs w:val="28"/>
          <w:highlight w:val="none"/>
        </w:rPr>
        <w:t xml:space="preserve">清单</w:t>
      </w:r>
      <w:bookmarkEnd w:id="180"/>
      <w:r/>
      <w:bookmarkEnd w:id="181"/>
      <w:r/>
      <w:bookmarkEnd w:id="182"/>
      <w:r/>
      <w:r/>
    </w:p>
    <w:p>
      <w:pPr>
        <w:pStyle w:val="1038"/>
        <w:ind w:firstLine="500"/>
        <w:spacing w:line="440" w:lineRule="exact"/>
        <w:rPr>
          <w:rStyle w:val="794"/>
          <w:rFonts w:ascii="宋体" w:hAnsi="宋体" w:eastAsia="宋体" w:cs="宋体"/>
          <w:b w:val="0"/>
          <w:color w:val="auto"/>
          <w:spacing w:val="7"/>
          <w:sz w:val="24"/>
          <w:highlight w:val="none"/>
        </w:rPr>
        <w:outlineLvl w:val="9"/>
      </w:pPr>
      <w:r>
        <w:rPr>
          <w:rStyle w:val="794"/>
          <w:rFonts w:ascii="宋体" w:hAnsi="宋体" w:eastAsia="宋体" w:cs="宋体"/>
          <w:b w:val="0"/>
          <w:color w:val="auto"/>
          <w:spacing w:val="7"/>
          <w:sz w:val="24"/>
          <w:highlight w:val="none"/>
        </w:rPr>
        <w:t xml:space="preserve">1.清单</w:t>
      </w:r>
      <w:r/>
    </w:p>
    <w:tbl>
      <w:tblPr>
        <w:tblStyle w:val="795"/>
        <w:tblW w:w="98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1557"/>
        <w:gridCol w:w="855"/>
        <w:gridCol w:w="908"/>
        <w:gridCol w:w="757"/>
        <w:gridCol w:w="2723"/>
        <w:gridCol w:w="1173"/>
        <w:gridCol w:w="1147"/>
      </w:tblGrid>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25"/>
              <w:jc w:val="center"/>
              <w:spacing w:line="240" w:lineRule="auto"/>
              <w:rPr>
                <w:rStyle w:val="794"/>
                <w:rFonts w:hint="eastAsia" w:ascii="宋体" w:hAnsi="宋体" w:eastAsia="宋体" w:cs="宋体"/>
                <w:b/>
                <w:bCs/>
                <w:color w:val="auto"/>
                <w:spacing w:val="7"/>
                <w:sz w:val="21"/>
                <w:szCs w:val="21"/>
                <w:highlight w:val="none"/>
              </w:rPr>
              <w:outlineLvl w:val="9"/>
            </w:pPr>
            <w:r>
              <w:rPr>
                <w:rStyle w:val="794"/>
                <w:rFonts w:hint="eastAsia" w:ascii="宋体" w:hAnsi="宋体" w:eastAsia="宋体" w:cs="宋体"/>
                <w:b/>
                <w:bCs/>
                <w:color w:val="auto"/>
                <w:spacing w:val="7"/>
                <w:sz w:val="21"/>
                <w:szCs w:val="21"/>
                <w:highlight w:val="none"/>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jc w:val="center"/>
              <w:spacing w:line="240" w:lineRule="auto"/>
              <w:rPr>
                <w:rStyle w:val="794"/>
                <w:rFonts w:hint="eastAsia" w:ascii="宋体" w:hAnsi="宋体" w:eastAsia="宋体" w:cs="宋体"/>
                <w:b/>
                <w:bCs/>
                <w:color w:val="auto"/>
                <w:spacing w:val="7"/>
                <w:sz w:val="21"/>
                <w:szCs w:val="21"/>
                <w:highlight w:val="none"/>
              </w:rPr>
              <w:outlineLvl w:val="9"/>
            </w:pPr>
            <w:r>
              <w:rPr>
                <w:rStyle w:val="794"/>
                <w:rFonts w:hint="eastAsia" w:ascii="宋体" w:hAnsi="宋体" w:eastAsia="宋体" w:cs="宋体"/>
                <w:b/>
                <w:bCs/>
                <w:color w:val="auto"/>
                <w:spacing w:val="7"/>
                <w:sz w:val="21"/>
                <w:szCs w:val="21"/>
                <w:highlight w:val="none"/>
                <w:lang w:val="en-US" w:eastAsia="zh-CN"/>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bCs/>
                <w:color w:val="auto"/>
                <w:spacing w:val="7"/>
                <w:sz w:val="21"/>
                <w:szCs w:val="21"/>
                <w:highlight w:val="none"/>
              </w:rPr>
              <w:outlineLvl w:val="9"/>
            </w:pPr>
            <w:r>
              <w:rPr>
                <w:rStyle w:val="794"/>
                <w:rFonts w:hint="eastAsia" w:ascii="宋体" w:hAnsi="宋体" w:eastAsia="宋体" w:cs="宋体"/>
                <w:b/>
                <w:bCs/>
                <w:color w:val="auto"/>
                <w:spacing w:val="7"/>
                <w:sz w:val="21"/>
                <w:szCs w:val="21"/>
                <w:highlight w:val="none"/>
                <w:lang w:val="en-US" w:eastAsia="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bCs/>
                <w:color w:val="auto"/>
                <w:spacing w:val="7"/>
                <w:sz w:val="21"/>
                <w:szCs w:val="21"/>
                <w:highlight w:val="none"/>
              </w:rPr>
              <w:outlineLvl w:val="9"/>
            </w:pPr>
            <w:r>
              <w:rPr>
                <w:rStyle w:val="794"/>
                <w:rFonts w:hint="eastAsia" w:ascii="宋体" w:hAnsi="宋体" w:eastAsia="宋体" w:cs="宋体"/>
                <w:b/>
                <w:bCs/>
                <w:color w:val="auto"/>
                <w:spacing w:val="7"/>
                <w:sz w:val="21"/>
                <w:szCs w:val="21"/>
                <w:highlight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bottom"/>
            <w:textDirection w:val="lrTb"/>
            <w:noWrap/>
          </w:tcPr>
          <w:p>
            <w:pPr>
              <w:pStyle w:val="1025"/>
              <w:jc w:val="center"/>
              <w:spacing w:line="240" w:lineRule="auto"/>
              <w:rPr>
                <w:rStyle w:val="794"/>
                <w:rFonts w:hint="eastAsia" w:ascii="宋体" w:hAnsi="宋体" w:eastAsia="宋体" w:cs="宋体"/>
                <w:b/>
                <w:bCs/>
                <w:color w:val="auto"/>
                <w:spacing w:val="7"/>
                <w:sz w:val="21"/>
                <w:szCs w:val="21"/>
                <w:highlight w:val="none"/>
              </w:rPr>
              <w:outlineLvl w:val="9"/>
            </w:pPr>
            <w:r>
              <w:rPr>
                <w:rStyle w:val="794"/>
                <w:rFonts w:hint="eastAsia" w:ascii="宋体" w:hAnsi="宋体" w:eastAsia="宋体" w:cs="宋体"/>
                <w:b/>
                <w:bCs/>
                <w:color w:val="auto"/>
                <w:spacing w:val="7"/>
                <w:sz w:val="21"/>
                <w:szCs w:val="21"/>
                <w:highlight w:val="none"/>
                <w:lang w:val="en-US" w:eastAsia="zh-CN"/>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bottom"/>
            <w:textDirection w:val="lrTb"/>
            <w:noWrap w:val="false"/>
          </w:tcPr>
          <w:p>
            <w:pPr>
              <w:pStyle w:val="1025"/>
              <w:jc w:val="center"/>
              <w:spacing w:line="240" w:lineRule="auto"/>
              <w:rPr>
                <w:rStyle w:val="794"/>
                <w:rFonts w:hint="eastAsia" w:ascii="宋体" w:hAnsi="宋体" w:eastAsia="宋体" w:cs="宋体"/>
                <w:b/>
                <w:bCs/>
                <w:color w:val="auto"/>
                <w:spacing w:val="7"/>
                <w:sz w:val="21"/>
                <w:szCs w:val="21"/>
                <w:highlight w:val="none"/>
              </w:rPr>
              <w:outlineLvl w:val="9"/>
            </w:pPr>
            <w:r>
              <w:rPr>
                <w:rStyle w:val="794"/>
                <w:rFonts w:hint="eastAsia" w:ascii="宋体" w:hAnsi="宋体" w:eastAsia="宋体" w:cs="宋体"/>
                <w:b/>
                <w:bCs/>
                <w:color w:val="auto"/>
                <w:spacing w:val="7"/>
                <w:sz w:val="21"/>
                <w:szCs w:val="21"/>
                <w:highlight w:val="none"/>
                <w:lang w:val="en-US" w:eastAsia="zh-CN"/>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1025"/>
              <w:jc w:val="center"/>
              <w:spacing w:line="240" w:lineRule="auto"/>
              <w:rPr>
                <w:rStyle w:val="794"/>
                <w:rFonts w:hint="eastAsia" w:ascii="宋体" w:hAnsi="宋体" w:eastAsia="宋体" w:cs="宋体"/>
                <w:b/>
                <w:bCs/>
                <w:color w:val="auto"/>
                <w:spacing w:val="7"/>
                <w:sz w:val="21"/>
                <w:szCs w:val="21"/>
                <w:highlight w:val="none"/>
              </w:rPr>
              <w:outlineLvl w:val="9"/>
            </w:pPr>
            <w:r>
              <w:rPr>
                <w:rStyle w:val="794"/>
                <w:rFonts w:hint="eastAsia" w:ascii="宋体" w:hAnsi="宋体" w:eastAsia="宋体" w:cs="宋体"/>
                <w:b/>
                <w:bCs/>
                <w:color w:val="auto"/>
                <w:spacing w:val="7"/>
                <w:sz w:val="21"/>
                <w:szCs w:val="21"/>
                <w:highlight w:val="none"/>
                <w:lang w:val="en-US" w:eastAsia="zh-CN"/>
              </w:rPr>
              <w:t xml:space="preserve">标的类型</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jc w:val="center"/>
              <w:spacing w:line="240" w:lineRule="auto"/>
              <w:rPr>
                <w:rStyle w:val="794"/>
                <w:rFonts w:hint="eastAsia" w:ascii="宋体" w:hAnsi="宋体" w:eastAsia="宋体" w:cs="宋体"/>
                <w:b/>
                <w:bCs/>
                <w:color w:val="auto"/>
                <w:spacing w:val="7"/>
                <w:sz w:val="21"/>
                <w:szCs w:val="21"/>
                <w:highlight w:val="none"/>
              </w:rPr>
              <w:outlineLvl w:val="9"/>
            </w:pPr>
            <w:r>
              <w:rPr>
                <w:rStyle w:val="794"/>
                <w:rFonts w:hint="eastAsia" w:ascii="宋体" w:hAnsi="宋体" w:eastAsia="宋体" w:cs="宋体"/>
                <w:b/>
                <w:bCs/>
                <w:color w:val="auto"/>
                <w:spacing w:val="7"/>
                <w:sz w:val="21"/>
                <w:szCs w:val="21"/>
                <w:highlight w:val="none"/>
                <w:lang w:val="en-US" w:eastAsia="zh-CN"/>
              </w:rPr>
              <w:t xml:space="preserve">标的属性</w:t>
            </w:r>
            <w:r/>
          </w:p>
        </w:tc>
      </w:tr>
      <w:tr>
        <w:trPr>
          <w:jc w:val="center"/>
          <w:trHeight w:val="840"/>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双口面板</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单口面板</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模块</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双绞线缆</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16500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8芯光缆</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2500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12芯光缆</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24芯光缆</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1500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配线RVV3*2.5</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3800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光纤连接</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344</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芯(端口)</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机柜、机架</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理线器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跳线</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8口光缆终端盒</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12口光缆终端盒</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24口光缆终端盒</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144口光缆终端盒</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光纤连接</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344</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芯(端口)</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布放尾纤</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344</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交换机1</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交换机2</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交换机3</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控制器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无线AP</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光模块</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交换机3</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交换机4</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光模块</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交换机5</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交换机2</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交换机6</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光模块</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交换机3</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交换机4</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光模块</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红外夜视枪型摄像机防拥堵</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枪机支架</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红外夜视半球摄像机</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电梯半球摄像机</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电梯半球无线网桥</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400W室外低照度摄像机</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支架</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报警柱</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摄像机电源</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Style w:val="794"/>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default"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NVR</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default" w:ascii="宋体" w:hAnsi="宋体" w:eastAsia="宋体" w:cs="宋体"/>
                <w:b w:val="0"/>
                <w:color w:val="auto"/>
                <w:spacing w:val="7"/>
                <w:sz w:val="21"/>
                <w:szCs w:val="21"/>
                <w:highlight w:val="none"/>
                <w:lang w:val="en-US"/>
              </w:rPr>
              <w:outlineLvl w:val="9"/>
            </w:pPr>
            <w:r>
              <w:rPr>
                <w:rStyle w:val="794"/>
                <w:rFonts w:hint="eastAsia" w:ascii="宋体" w:hAnsi="宋体" w:eastAsia="宋体" w:cs="宋体"/>
                <w:b w:val="0"/>
                <w:color w:val="auto"/>
                <w:spacing w:val="7"/>
                <w:sz w:val="21"/>
                <w:szCs w:val="21"/>
                <w:highlight w:val="none"/>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Style w:val="794"/>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智慧校园综合管理平台</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全景摄像机</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行为分析摄像机</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人脸摄像机</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车辆卡口摄像机</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车辆抓拍服务器器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访客机</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Fonts w:hint="eastAsia" w:ascii="宋体" w:hAnsi="宋体" w:eastAsia="宋体" w:cs="宋体"/>
                <w:b w:val="0"/>
                <w:color w:val="auto"/>
                <w:spacing w:val="7"/>
                <w:sz w:val="21"/>
                <w:szCs w:val="21"/>
                <w:highlight w:val="none"/>
                <w:lang w:val="en-US" w:eastAsia="zh-CN"/>
              </w:rPr>
              <w:t xml:space="preserve">智能服务器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NTP时钟同步服务器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rPr>
              <w:t xml:space="preserve">监控辅助设备</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双绞线缆</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14550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监控摄像设备1</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监控摄像设备2</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配电箱</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6线张力式双防区控制器</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6线张力式单防区控制器</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张力终端受力杆（6线含全套配件）</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张力式过线杆(6线含全套配件）</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转角用滑轮</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不锈钢合金线（500米/卷或1000米/卷）</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5500</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不锈钢收紧器</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高压避雷器</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接地桩</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不锈钢弹簧</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束线器</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室外防水警号</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红外对射(4光束50米)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探测器支架</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单防区地址模块</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电源防水箱（含电源）</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报警管理主机（含键盘）</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报警管理多功能软件</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电子地图</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视频联动模块</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紧急按钮</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入侵报警中心显示设备</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配线1</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1200</w:t>
            </w:r>
            <w:r/>
          </w:p>
        </w:tc>
        <w:tc>
          <w:tcPr>
            <w:shd w:val="clear" w:color="auto" w:fill="ffffff"/>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配线2</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1200</w:t>
            </w:r>
            <w:r/>
          </w:p>
        </w:tc>
        <w:tc>
          <w:tcPr>
            <w:shd w:val="clear" w:color="auto" w:fill="ffffff"/>
            <w:tcBorders>
              <w:top w:val="single" w:color="000000" w:sz="4" w:space="0"/>
              <w:left w:val="single" w:color="000000" w:sz="4" w:space="0"/>
              <w:bottom w:val="single" w:color="000000" w:sz="4" w:space="0"/>
              <w:right w:val="non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人脸发卡器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单机芯摆闸</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双机芯摆闸</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人脸读卡器-闸机头组件</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数据采集器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数据变送器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巡更点信息纽扣</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标示牌</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中文软件</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液压一体升降柱</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控制系统</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自动道闸-直杆</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Fonts w:hint="default" w:ascii="宋体" w:hAnsi="宋体" w:eastAsia="宋体" w:cs="宋体"/>
                <w:b w:val="0"/>
                <w:color w:val="auto"/>
                <w:spacing w:val="7"/>
                <w:sz w:val="21"/>
                <w:szCs w:val="21"/>
                <w:highlight w:val="none"/>
                <w:lang w:val="en-US" w:eastAsia="zh-CN"/>
              </w:rPr>
              <w:outlineLvl w:val="9"/>
            </w:pPr>
            <w:r>
              <w:rPr>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道闸杆</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Fonts w:hint="eastAsia" w:ascii="宋体" w:hAnsi="宋体" w:eastAsia="宋体" w:cs="宋体"/>
                <w:b w:val="0"/>
                <w:color w:val="auto"/>
                <w:spacing w:val="7"/>
                <w:sz w:val="21"/>
                <w:szCs w:val="21"/>
                <w:highlight w:val="none"/>
                <w:lang w:val="en-US" w:eastAsia="zh-CN"/>
              </w:rPr>
              <w:outlineLvl w:val="9"/>
            </w:pPr>
            <w:r>
              <w:rPr>
                <w:rFonts w:hint="eastAsia" w:ascii="宋体" w:hAnsi="宋体" w:eastAsia="宋体" w:cs="宋体"/>
                <w:b w:val="0"/>
                <w:color w:val="auto"/>
                <w:spacing w:val="7"/>
                <w:sz w:val="21"/>
                <w:szCs w:val="21"/>
                <w:highlight w:val="none"/>
                <w:lang w:val="en-US" w:eastAsia="zh-CN"/>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车牌识别仪</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vMerge w:val="restart"/>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小型提示终端</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Fonts w:hint="eastAsia" w:ascii="宋体" w:hAnsi="宋体" w:eastAsia="宋体" w:cs="宋体"/>
                <w:b w:val="0"/>
                <w:color w:val="auto"/>
                <w:spacing w:val="7"/>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Fonts w:hint="eastAsia" w:ascii="宋体" w:hAnsi="宋体" w:eastAsia="宋体" w:cs="宋体"/>
                <w:b w:val="0"/>
                <w:color w:val="auto"/>
                <w:spacing w:val="7"/>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补光灯</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Fonts w:hint="eastAsia" w:ascii="宋体" w:hAnsi="宋体" w:eastAsia="宋体" w:cs="宋体"/>
                <w:b w:val="0"/>
                <w:color w:val="auto"/>
                <w:spacing w:val="7"/>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Fonts w:hint="eastAsia" w:ascii="宋体" w:hAnsi="宋体" w:eastAsia="宋体" w:cs="宋体"/>
                <w:b w:val="0"/>
                <w:color w:val="auto"/>
                <w:spacing w:val="7"/>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立柱</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Fonts w:hint="eastAsia" w:ascii="宋体" w:hAnsi="宋体" w:eastAsia="宋体" w:cs="宋体"/>
                <w:b w:val="0"/>
                <w:color w:val="auto"/>
                <w:spacing w:val="7"/>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Fonts w:hint="eastAsia" w:ascii="宋体" w:hAnsi="宋体" w:eastAsia="宋体" w:cs="宋体"/>
                <w:b w:val="0"/>
                <w:color w:val="auto"/>
                <w:spacing w:val="7"/>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遥控器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Fonts w:hint="eastAsia" w:ascii="宋体" w:hAnsi="宋体" w:eastAsia="宋体" w:cs="宋体"/>
                <w:b w:val="0"/>
                <w:color w:val="auto"/>
                <w:spacing w:val="7"/>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Fonts w:hint="eastAsia" w:ascii="宋体" w:hAnsi="宋体" w:eastAsia="宋体" w:cs="宋体"/>
                <w:b w:val="0"/>
                <w:color w:val="auto"/>
                <w:spacing w:val="7"/>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车辆防砸雷达</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vMerge w:val="restart"/>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IP功放终端</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Fonts w:hint="eastAsia" w:ascii="宋体" w:hAnsi="宋体" w:eastAsia="宋体" w:cs="宋体"/>
                <w:b w:val="0"/>
                <w:color w:val="auto"/>
                <w:spacing w:val="7"/>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数字合并式功放</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草坪音箱</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专业功放</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音频处理器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CD播放器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多功能音源控制嵌入软件</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vMerge w:val="restart"/>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IP功放终端</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Fonts w:hint="eastAsia" w:ascii="宋体" w:hAnsi="宋体" w:eastAsia="宋体" w:cs="宋体"/>
                <w:b w:val="0"/>
                <w:color w:val="auto"/>
                <w:spacing w:val="7"/>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定向音箱</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隔音罩</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发射机</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调音台</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U段无线话筒</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天线放大器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话筒天线</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IP音频采集器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音柱</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数字合并式功放</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音频处理器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抑制器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调音台</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话筒天线</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天线分配器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无线话筒</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话筒呼叫控制嵌入软件</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IP功放终端</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数字化IP网络终端嵌入软件</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电源管理器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IP广播安卓APP软件</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vMerge w:val="restart"/>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IP功放终端</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Fonts w:hint="eastAsia" w:ascii="宋体" w:hAnsi="宋体" w:eastAsia="宋体" w:cs="宋体"/>
                <w:b w:val="0"/>
                <w:color w:val="auto"/>
                <w:spacing w:val="7"/>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数字合并式功放</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shd w:val="clear" w:color="auto" w:fill="ffffff"/>
            <w:tcBorders>
              <w:top w:val="single" w:color="000000" w:sz="4" w:space="0"/>
              <w:left w:val="single" w:color="000000" w:sz="4" w:space="0"/>
              <w:bottom w:val="non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壁挂音箱</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vMerge w:val="restart"/>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IP网络音箱</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Fonts w:hint="eastAsia" w:ascii="宋体" w:hAnsi="宋体" w:eastAsia="宋体" w:cs="宋体"/>
                <w:b w:val="0"/>
                <w:color w:val="auto"/>
                <w:spacing w:val="7"/>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面板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default" w:ascii="宋体" w:hAnsi="宋体" w:eastAsia="宋体" w:cs="宋体"/>
                <w:b w:val="0"/>
                <w:color w:val="auto"/>
                <w:spacing w:val="7"/>
                <w:sz w:val="21"/>
                <w:szCs w:val="21"/>
                <w:highlight w:val="none"/>
                <w:lang w:val="en-US"/>
              </w:rPr>
              <w:outlineLvl w:val="9"/>
            </w:pPr>
            <w:r>
              <w:rPr>
                <w:rStyle w:val="794"/>
                <w:rFonts w:hint="eastAsia" w:ascii="宋体" w:hAnsi="宋体" w:eastAsia="宋体" w:cs="宋体"/>
                <w:b w:val="0"/>
                <w:color w:val="auto"/>
                <w:spacing w:val="7"/>
                <w:sz w:val="21"/>
                <w:szCs w:val="21"/>
                <w:highlight w:val="none"/>
                <w:lang w:val="en-US" w:eastAsia="zh-CN"/>
              </w:rPr>
              <w:t xml:space="preserve">音频连接线1</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default" w:ascii="宋体" w:hAnsi="宋体" w:eastAsia="宋体" w:cs="宋体"/>
                <w:b w:val="0"/>
                <w:color w:val="auto"/>
                <w:spacing w:val="7"/>
                <w:sz w:val="21"/>
                <w:szCs w:val="21"/>
                <w:highlight w:val="none"/>
                <w:lang w:val="en-US"/>
              </w:rPr>
              <w:outlineLvl w:val="9"/>
            </w:pPr>
            <w:r>
              <w:rPr>
                <w:rStyle w:val="794"/>
                <w:rFonts w:hint="eastAsia" w:ascii="宋体" w:hAnsi="宋体" w:eastAsia="宋体" w:cs="宋体"/>
                <w:b w:val="0"/>
                <w:color w:val="auto"/>
                <w:spacing w:val="7"/>
                <w:sz w:val="21"/>
                <w:szCs w:val="21"/>
                <w:highlight w:val="none"/>
                <w:lang w:val="en-US" w:eastAsia="zh-CN"/>
              </w:rPr>
              <w:t xml:space="preserve">音频连接线2</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default" w:ascii="宋体" w:hAnsi="宋体" w:eastAsia="宋体" w:cs="宋体"/>
                <w:b w:val="0"/>
                <w:color w:val="auto"/>
                <w:spacing w:val="7"/>
                <w:sz w:val="21"/>
                <w:szCs w:val="21"/>
                <w:highlight w:val="none"/>
                <w:lang w:val="en-US"/>
              </w:rPr>
              <w:outlineLvl w:val="9"/>
            </w:pPr>
            <w:r>
              <w:rPr>
                <w:rStyle w:val="794"/>
                <w:rFonts w:hint="eastAsia" w:ascii="宋体" w:hAnsi="宋体" w:eastAsia="宋体" w:cs="宋体"/>
                <w:b w:val="0"/>
                <w:color w:val="auto"/>
                <w:spacing w:val="7"/>
                <w:sz w:val="21"/>
                <w:szCs w:val="21"/>
                <w:highlight w:val="none"/>
                <w:lang w:val="en-US" w:eastAsia="zh-CN"/>
              </w:rPr>
              <w:t xml:space="preserve">音频连接线3</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default" w:ascii="宋体" w:hAnsi="宋体" w:eastAsia="宋体" w:cs="宋体"/>
                <w:b w:val="0"/>
                <w:color w:val="auto"/>
                <w:spacing w:val="7"/>
                <w:sz w:val="21"/>
                <w:szCs w:val="21"/>
                <w:highlight w:val="none"/>
                <w:lang w:val="en-US"/>
              </w:rPr>
              <w:outlineLvl w:val="9"/>
            </w:pPr>
            <w:r>
              <w:rPr>
                <w:rStyle w:val="794"/>
                <w:rFonts w:hint="eastAsia" w:ascii="宋体" w:hAnsi="宋体" w:eastAsia="宋体" w:cs="宋体"/>
                <w:b w:val="0"/>
                <w:color w:val="auto"/>
                <w:spacing w:val="7"/>
                <w:sz w:val="21"/>
                <w:szCs w:val="21"/>
                <w:highlight w:val="none"/>
                <w:lang w:val="en-US" w:eastAsia="zh-CN"/>
              </w:rPr>
              <w:t xml:space="preserve">音频连接线4</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网线</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4200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喇叭线</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2800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管理主机</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电子班牌终端</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红外网络半球摄像机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巡查分发存储单元</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视频拼接解码器</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高清网上巡查客户端软件</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SIP转发管理服务器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摄像机存储卡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网络时钟</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考场时钟监管系统服务器软件</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屏蔽终端</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Fonts w:hint="eastAsia" w:ascii="宋体" w:hAnsi="宋体" w:eastAsia="宋体" w:cs="宋体"/>
                <w:i w:val="0"/>
                <w:iCs w:val="0"/>
                <w:color w:val="auto"/>
                <w:sz w:val="21"/>
                <w:szCs w:val="21"/>
                <w:highlight w:val="none"/>
                <w:u w:val="none"/>
                <w:lang w:val="en-US" w:eastAsia="zh-CN" w:bidi="ar"/>
              </w:rPr>
              <w:t xml:space="preserve">LED显示屏</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同步接收卡</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视频处理器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配电系统</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制冷器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铝塑板包边及框架结构</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辅材</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控制器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default" w:ascii="宋体" w:hAnsi="宋体" w:eastAsia="宋体" w:cs="宋体"/>
                <w:b w:val="0"/>
                <w:color w:val="auto"/>
                <w:spacing w:val="7"/>
                <w:sz w:val="21"/>
                <w:szCs w:val="21"/>
                <w:highlight w:val="none"/>
                <w:lang w:val="en-US"/>
              </w:rPr>
              <w:outlineLvl w:val="9"/>
            </w:pPr>
            <w:r>
              <w:rPr>
                <w:rStyle w:val="794"/>
                <w:rFonts w:hint="eastAsia" w:ascii="宋体" w:hAnsi="宋体" w:eastAsia="宋体" w:cs="宋体"/>
                <w:b w:val="0"/>
                <w:color w:val="auto"/>
                <w:spacing w:val="7"/>
                <w:sz w:val="21"/>
                <w:szCs w:val="21"/>
                <w:highlight w:val="none"/>
                <w:lang w:val="en-US" w:eastAsia="zh-CN"/>
              </w:rPr>
              <w:t xml:space="preserve">室外全彩屏框架</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拼接屏</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拼接屏支架</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解码器</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台(套)</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rPr>
              <w:t xml:space="preserve">机房辅助设备</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室外AI体育锻炼屏</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室外AI体育教学屏</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校级智慧体育数据平台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strike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default" w:ascii="宋体" w:hAnsi="宋体" w:eastAsia="宋体" w:cs="宋体"/>
                <w:b w:val="0"/>
                <w:color w:val="auto"/>
                <w:spacing w:val="7"/>
                <w:sz w:val="21"/>
                <w:szCs w:val="21"/>
                <w:highlight w:val="none"/>
                <w:lang w:val="en-US"/>
              </w:rPr>
              <w:outlineLvl w:val="9"/>
            </w:pPr>
            <w:r>
              <w:rPr>
                <w:rStyle w:val="794"/>
                <w:rFonts w:hint="eastAsia" w:ascii="宋体" w:hAnsi="宋体" w:eastAsia="宋体" w:cs="宋体"/>
                <w:b w:val="0"/>
                <w:color w:val="auto"/>
                <w:spacing w:val="7"/>
                <w:sz w:val="21"/>
                <w:szCs w:val="21"/>
                <w:highlight w:val="none"/>
                <w:lang w:val="en-US" w:eastAsia="zh-CN"/>
              </w:rPr>
              <w:t xml:space="preserve">配管1</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4500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strike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小电器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个(套、台)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Fonts w:hint="eastAsia" w:ascii="宋体" w:hAnsi="宋体" w:eastAsia="宋体" w:cs="宋体"/>
                <w:b w:val="0"/>
                <w:strike w:val="0"/>
                <w:color w:val="auto"/>
                <w:spacing w:val="7"/>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default" w:ascii="宋体" w:hAnsi="宋体" w:eastAsia="宋体" w:cs="宋体"/>
                <w:b w:val="0"/>
                <w:color w:val="auto"/>
                <w:spacing w:val="7"/>
                <w:sz w:val="21"/>
                <w:szCs w:val="21"/>
                <w:highlight w:val="none"/>
                <w:lang w:val="en-US"/>
              </w:rPr>
              <w:outlineLvl w:val="9"/>
            </w:pPr>
            <w:r>
              <w:rPr>
                <w:rStyle w:val="794"/>
                <w:rFonts w:hint="eastAsia" w:ascii="宋体" w:hAnsi="宋体" w:eastAsia="宋体" w:cs="宋体"/>
                <w:b w:val="0"/>
                <w:color w:val="auto"/>
                <w:spacing w:val="7"/>
                <w:sz w:val="21"/>
                <w:szCs w:val="21"/>
                <w:highlight w:val="none"/>
                <w:lang w:val="en-US" w:eastAsia="zh-CN"/>
              </w:rPr>
              <w:t xml:space="preserve">配管2</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Style w:val="794"/>
                <w:rFonts w:hint="default" w:ascii="宋体" w:hAnsi="宋体" w:eastAsia="宋体" w:cs="宋体"/>
                <w:b w:val="0"/>
                <w:color w:val="auto"/>
                <w:spacing w:val="7"/>
                <w:sz w:val="21"/>
                <w:szCs w:val="21"/>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default" w:ascii="宋体" w:hAnsi="宋体" w:eastAsia="宋体" w:cs="宋体"/>
                <w:b w:val="0"/>
                <w:color w:val="auto"/>
                <w:spacing w:val="7"/>
                <w:sz w:val="21"/>
                <w:szCs w:val="21"/>
                <w:highlight w:val="none"/>
                <w:lang w:val="en-US"/>
              </w:rPr>
              <w:outlineLvl w:val="9"/>
            </w:pPr>
            <w:r>
              <w:rPr>
                <w:rStyle w:val="794"/>
                <w:rFonts w:hint="eastAsia" w:ascii="宋体" w:hAnsi="宋体" w:eastAsia="宋体" w:cs="宋体"/>
                <w:b w:val="0"/>
                <w:color w:val="auto"/>
                <w:spacing w:val="7"/>
                <w:sz w:val="21"/>
                <w:szCs w:val="21"/>
                <w:highlight w:val="none"/>
                <w:lang w:val="en-US" w:eastAsia="zh-CN"/>
              </w:rPr>
              <w:t xml:space="preserve">配管3</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Style w:val="794"/>
                <w:rFonts w:hint="default" w:ascii="宋体" w:hAnsi="宋体" w:eastAsia="宋体" w:cs="宋体"/>
                <w:b w:val="0"/>
                <w:color w:val="auto"/>
                <w:spacing w:val="7"/>
                <w:sz w:val="21"/>
                <w:szCs w:val="21"/>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default" w:ascii="宋体" w:hAnsi="宋体" w:eastAsia="宋体" w:cs="宋体"/>
                <w:b w:val="0"/>
                <w:color w:val="auto"/>
                <w:spacing w:val="7"/>
                <w:sz w:val="21"/>
                <w:szCs w:val="21"/>
                <w:highlight w:val="none"/>
                <w:lang w:val="en-US"/>
              </w:rPr>
              <w:outlineLvl w:val="9"/>
            </w:pPr>
            <w:r>
              <w:rPr>
                <w:rStyle w:val="794"/>
                <w:rFonts w:hint="eastAsia" w:ascii="宋体" w:hAnsi="宋体" w:eastAsia="宋体" w:cs="宋体"/>
                <w:b w:val="0"/>
                <w:color w:val="auto"/>
                <w:spacing w:val="7"/>
                <w:sz w:val="21"/>
                <w:szCs w:val="21"/>
                <w:highlight w:val="none"/>
                <w:lang w:val="en-US" w:eastAsia="zh-CN"/>
              </w:rPr>
              <w:t xml:space="preserve">配管4</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1800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Style w:val="794"/>
                <w:rFonts w:hint="default" w:ascii="宋体" w:hAnsi="宋体" w:eastAsia="宋体" w:cs="宋体"/>
                <w:b w:val="0"/>
                <w:color w:val="auto"/>
                <w:spacing w:val="7"/>
                <w:sz w:val="21"/>
                <w:szCs w:val="21"/>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default" w:ascii="宋体" w:hAnsi="宋体" w:eastAsia="宋体" w:cs="宋体"/>
                <w:b w:val="0"/>
                <w:color w:val="auto"/>
                <w:spacing w:val="7"/>
                <w:sz w:val="21"/>
                <w:szCs w:val="21"/>
                <w:highlight w:val="none"/>
                <w:lang w:val="en-US"/>
              </w:rPr>
              <w:outlineLvl w:val="9"/>
            </w:pPr>
            <w:r>
              <w:rPr>
                <w:rStyle w:val="794"/>
                <w:rFonts w:hint="eastAsia" w:ascii="宋体" w:hAnsi="宋体" w:eastAsia="宋体" w:cs="宋体"/>
                <w:b w:val="0"/>
                <w:color w:val="auto"/>
                <w:spacing w:val="7"/>
                <w:sz w:val="21"/>
                <w:szCs w:val="21"/>
                <w:highlight w:val="none"/>
                <w:lang w:val="en-US" w:eastAsia="zh-CN"/>
              </w:rPr>
              <w:t xml:space="preserve">配管5</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left="0" w:firstLine="0"/>
              <w:jc w:val="both"/>
              <w:keepLines w:val="0"/>
              <w:keepNext w:val="0"/>
              <w:widowControl/>
              <w:rPr>
                <w:rStyle w:val="794"/>
                <w:rFonts w:hint="default" w:ascii="宋体" w:hAnsi="宋体" w:eastAsia="宋体" w:cs="宋体"/>
                <w:b w:val="0"/>
                <w:color w:val="auto"/>
                <w:spacing w:val="7"/>
                <w:sz w:val="21"/>
                <w:szCs w:val="21"/>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750</w:t>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pStyle w:val="1025"/>
              <w:jc w:val="center"/>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主要采购标的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pStyle w:val="1025"/>
              <w:spacing w:line="240" w:lineRule="auto"/>
              <w:rPr>
                <w:rStyle w:val="794"/>
                <w:rFonts w:hint="eastAsia" w:ascii="宋体" w:hAnsi="宋体" w:eastAsia="宋体" w:cs="宋体"/>
                <w:b w:val="0"/>
                <w:color w:val="auto"/>
                <w:spacing w:val="7"/>
                <w:sz w:val="21"/>
                <w:szCs w:val="21"/>
                <w:highlight w:val="none"/>
              </w:rPr>
              <w:outlineLvl w:val="9"/>
            </w:pPr>
            <w:r>
              <w:rPr>
                <w:rStyle w:val="794"/>
                <w:rFonts w:hint="eastAsia" w:ascii="宋体" w:hAnsi="宋体" w:eastAsia="宋体" w:cs="宋体"/>
                <w:b w:val="0"/>
                <w:color w:val="auto"/>
                <w:spacing w:val="7"/>
                <w:sz w:val="21"/>
                <w:szCs w:val="21"/>
                <w:highlight w:val="none"/>
                <w:lang w:val="en-US" w:eastAsia="zh-CN"/>
              </w:rPr>
              <w:t xml:space="preserve">货物类</w:t>
            </w:r>
            <w:r/>
          </w:p>
        </w:tc>
      </w:tr>
    </w:tbl>
    <w:p>
      <w:pPr>
        <w:pStyle w:val="1025"/>
        <w:spacing w:line="440" w:lineRule="exact"/>
        <w:rPr>
          <w:rStyle w:val="794"/>
          <w:rFonts w:ascii="宋体" w:hAnsi="宋体" w:eastAsia="宋体" w:cs="宋体"/>
          <w:b w:val="0"/>
          <w:color w:val="auto"/>
          <w:spacing w:val="7"/>
          <w:sz w:val="24"/>
          <w:highlight w:val="none"/>
        </w:rPr>
        <w:outlineLvl w:val="9"/>
      </w:pPr>
      <w:r>
        <w:rPr>
          <w:rFonts w:ascii="宋体" w:hAnsi="宋体" w:eastAsia="宋体" w:cs="宋体"/>
          <w:b w:val="0"/>
          <w:color w:val="auto"/>
          <w:spacing w:val="7"/>
          <w:sz w:val="24"/>
          <w:highlight w:val="none"/>
        </w:rPr>
      </w:r>
      <w:r/>
    </w:p>
    <w:p>
      <w:pPr>
        <w:ind w:left="0" w:right="0" w:firstLine="50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numPr>
          <w:ilvl w:val="0"/>
          <w:numId w:val="9"/>
        </w:numPr>
        <w:ind w:left="425" w:right="0" w:hanging="425"/>
        <w:spacing w:before="0" w:after="0" w:line="439" w:lineRule="atLeast"/>
        <w:rPr>
          <w:rFonts w:ascii="宋体" w:hAnsi="宋体" w:eastAsia="宋体" w:cs="宋体"/>
          <w:color w:val="auto"/>
          <w:spacing w:val="7"/>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4"/>
          <w:highlight w:val="none"/>
        </w:rPr>
        <w:t xml:space="preserve">核心产品清单</w:t>
      </w:r>
      <w:r/>
    </w:p>
    <w:tbl>
      <w:tblPr>
        <w:tblStyle w:val="822"/>
        <w:tblpPr w:horzAnchor="page" w:tblpX="1334" w:vertAnchor="text" w:tblpY="440" w:leftFromText="180" w:topFromText="0" w:rightFromText="180" w:bottomFromText="0"/>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8"/>
        <w:gridCol w:w="7416"/>
      </w:tblGrid>
      <w:tr>
        <w:trPr/>
        <w:tc>
          <w:tcPr>
            <w:tcMar>
              <w:left w:w="108" w:type="dxa"/>
              <w:top w:w="100" w:type="dxa"/>
              <w:right w:w="108" w:type="dxa"/>
              <w:bottom w:w="100" w:type="dxa"/>
            </w:tcMar>
            <w:tcW w:w="130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Mar>
              <w:left w:w="108" w:type="dxa"/>
              <w:top w:w="100" w:type="dxa"/>
              <w:right w:w="108" w:type="dxa"/>
              <w:bottom w:w="100" w:type="dxa"/>
            </w:tcMar>
            <w:tcW w:w="741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名称</w:t>
            </w:r>
            <w:r/>
          </w:p>
        </w:tc>
      </w:tr>
      <w:tr>
        <w:trPr/>
        <w:tc>
          <w:tcPr>
            <w:tcMar>
              <w:left w:w="108" w:type="dxa"/>
              <w:top w:w="100" w:type="dxa"/>
              <w:right w:w="108" w:type="dxa"/>
              <w:bottom w:w="100" w:type="dxa"/>
            </w:tcMar>
            <w:tcW w:w="130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Mar>
              <w:left w:w="108" w:type="dxa"/>
              <w:top w:w="100" w:type="dxa"/>
              <w:right w:w="108" w:type="dxa"/>
              <w:bottom w:w="100" w:type="dxa"/>
            </w:tcMar>
            <w:tcW w:w="7416" w:type="dxa"/>
            <w:vAlign w:val="center"/>
            <w:textDirection w:val="lrTb"/>
            <w:noWrap w:val="false"/>
          </w:tcPr>
          <w:p>
            <w:pPr>
              <w:ind w:left="0" w:right="0" w:firstLine="0"/>
              <w:jc w:val="center"/>
              <w:spacing w:before="0" w:after="0" w:line="240" w:lineRule="auto"/>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液压一体升降柱</w:t>
            </w:r>
            <w:r/>
          </w:p>
        </w:tc>
      </w:tr>
      <w:tr>
        <w:trPr/>
        <w:tc>
          <w:tcPr>
            <w:tcMar>
              <w:left w:w="108" w:type="dxa"/>
              <w:top w:w="100" w:type="dxa"/>
              <w:right w:w="108" w:type="dxa"/>
              <w:bottom w:w="100" w:type="dxa"/>
            </w:tcMar>
            <w:tcW w:w="13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p>
        </w:tc>
        <w:tc>
          <w:tcPr>
            <w:tcMar>
              <w:left w:w="108" w:type="dxa"/>
              <w:top w:w="100" w:type="dxa"/>
              <w:right w:w="108" w:type="dxa"/>
              <w:bottom w:w="100" w:type="dxa"/>
            </w:tcMar>
            <w:tcW w:w="7416" w:type="dxa"/>
            <w:vAlign w:val="center"/>
            <w:textDirection w:val="lrTb"/>
            <w:noWrap w:val="false"/>
          </w:tcPr>
          <w:p>
            <w:pPr>
              <w:ind w:left="0" w:right="0" w:firstLine="0"/>
              <w:jc w:val="center"/>
              <w:spacing w:before="0" w:after="0" w:line="240" w:lineRule="auto"/>
              <w:rPr>
                <w:rFonts w:hint="eastAsia" w:ascii="宋体" w:hAnsi="宋体" w:eastAsia="宋体" w:cs="宋体"/>
                <w:b/>
                <w:bCs/>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t xml:space="preserve">智慧校园综合管理平台</w:t>
            </w:r>
            <w:r/>
          </w:p>
        </w:tc>
      </w:tr>
    </w:tbl>
    <w:p>
      <w:pPr>
        <w:numPr>
          <w:ilvl w:val="0"/>
          <w:numId w:val="0"/>
        </w:numPr>
        <w:ind w:right="0"/>
        <w:spacing w:before="0" w:after="0" w:line="439" w:lineRule="atLeast"/>
        <w:rPr>
          <w:rFonts w:ascii="宋体" w:hAnsi="宋体" w:eastAsia="宋体" w:cs="宋体"/>
          <w:color w:val="auto"/>
          <w:spacing w:val="7"/>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4"/>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00"/>
        <w:spacing w:before="0" w:after="0" w:line="85" w:lineRule="atLeast"/>
        <w:rPr>
          <w:rFonts w:ascii="宋体" w:hAnsi="宋体" w:eastAsia="宋体" w:cs="宋体"/>
          <w:color w:val="auto"/>
          <w:spacing w:val="7"/>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4"/>
          <w:highlight w:val="none"/>
        </w:rPr>
      </w:r>
      <w:r/>
    </w:p>
    <w:p>
      <w:pPr>
        <w:ind w:left="0" w:right="0" w:firstLine="500"/>
        <w:spacing w:before="0" w:after="0" w:line="85" w:lineRule="atLeast"/>
        <w:rPr>
          <w:rFonts w:ascii="宋体" w:hAnsi="宋体" w:eastAsia="宋体" w:cs="宋体"/>
          <w:color w:val="auto"/>
          <w:spacing w:val="7"/>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4"/>
          <w:highlight w:val="none"/>
        </w:rPr>
      </w:r>
      <w:r/>
    </w:p>
    <w:p>
      <w:pPr>
        <w:ind w:firstLine="508"/>
        <w:keepLines w:val="0"/>
        <w:keepNext w:val="0"/>
        <w:pageBreakBefore w:val="0"/>
        <w:spacing w:line="460" w:lineRule="exact"/>
        <w:shd w:val="clear" w:color="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w:t>
      </w:r>
      <w:r/>
    </w:p>
    <w:p>
      <w:pPr>
        <w:ind w:firstLine="508"/>
        <w:keepLines w:val="0"/>
        <w:keepNext w:val="0"/>
        <w:pageBreakBefore w:val="0"/>
        <w:spacing w:line="460" w:lineRule="exact"/>
        <w:shd w:val="clear" w:color="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ind w:left="0" w:right="0" w:firstLine="500"/>
        <w:keepLines w:val="0"/>
        <w:keepNext w:val="0"/>
        <w:pageBreakBefore w:val="0"/>
        <w:spacing w:before="0" w:after="0" w:line="460" w:lineRule="exact"/>
        <w:widowControl w:val="off"/>
        <w:rPr>
          <w:rFonts w:ascii="宋体" w:hAnsi="宋体" w:eastAsia="宋体" w:cs="宋体"/>
          <w:color w:val="auto"/>
          <w:spacing w:val="7"/>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7"/>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left="0" w:right="0" w:firstLine="500"/>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4"/>
          <w:highlight w:val="none"/>
        </w:rPr>
        <w:t xml:space="preserve">3</w:t>
      </w:r>
      <w:r>
        <w:rPr>
          <w:rFonts w:hint="eastAsia" w:ascii="宋体" w:hAnsi="宋体" w:cs="宋体"/>
          <w:color w:val="auto"/>
          <w:spacing w:val="7"/>
          <w:sz w:val="24"/>
          <w:highlight w:val="none"/>
          <w:lang w:eastAsia="zh-CN"/>
        </w:rPr>
        <w:t xml:space="preserve">.</w:t>
      </w:r>
      <w:r>
        <w:rPr>
          <w:rFonts w:ascii="宋体" w:hAnsi="宋体" w:eastAsia="宋体" w:cs="宋体"/>
          <w:color w:val="auto"/>
          <w:spacing w:val="7"/>
          <w:sz w:val="24"/>
          <w:highlight w:val="none"/>
        </w:rPr>
        <w:t xml:space="preserve">节能、环境标志产品清单(请提供国家确定的认证机构出具的、处于有效期之内的节能产品、环境标志产品认证证书（若证书有附件（附录）的，附件（附录）须随证书一起提供)</w:t>
      </w:r>
      <w:r/>
    </w:p>
    <w:p>
      <w:pPr>
        <w:ind w:left="0" w:right="0" w:firstLine="508"/>
        <w:keepLines w:val="0"/>
        <w:keepNext w:val="0"/>
        <w:pageBreakBefore w:val="0"/>
        <w:spacing w:before="240" w:after="240" w:line="460" w:lineRule="exact"/>
        <w:widowControl w:val="off"/>
        <w:rPr>
          <w:rFonts w:hint="eastAsia" w:ascii="Times New Roman" w:hAnsi="Times New Roman" w:eastAsia="宋体" w:cs="Times New Roman"/>
          <w:color w:val="auto"/>
          <w:spacing w:val="7"/>
          <w:sz w:val="24"/>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7"/>
          <w:sz w:val="24"/>
          <w:highlight w:val="none"/>
        </w:rPr>
        <w:t xml:space="preserve">节能产品政府采购品目清单：</w:t>
      </w:r>
      <w:r>
        <w:rPr>
          <w:rFonts w:hint="eastAsia" w:cs="Times New Roman"/>
          <w:color w:val="auto"/>
          <w:spacing w:val="7"/>
          <w:sz w:val="24"/>
          <w:highlight w:val="none"/>
          <w:lang w:val="en-US" w:eastAsia="zh-CN"/>
        </w:rPr>
        <w:t xml:space="preserve">无</w:t>
      </w:r>
      <w:r/>
    </w:p>
    <w:p>
      <w:pPr>
        <w:ind w:left="0" w:right="0" w:firstLine="508"/>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7"/>
          <w:sz w:val="24"/>
          <w:highlight w:val="none"/>
        </w:rPr>
        <w:t xml:space="preserve"> 环境标志产品采购品目清单：</w:t>
      </w:r>
      <w:r>
        <w:rPr>
          <w:rFonts w:hint="eastAsia" w:ascii="Times New Roman" w:hAnsi="Times New Roman" w:eastAsia="宋体" w:cs="Times New Roman"/>
          <w:color w:val="auto"/>
          <w:spacing w:val="7"/>
          <w:sz w:val="24"/>
          <w:highlight w:val="none"/>
          <w:lang w:val="en-US" w:eastAsia="zh-CN"/>
        </w:rPr>
        <w:t xml:space="preserve">无</w:t>
      </w: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注：以</w:t>
      </w:r>
      <w:r>
        <w:rPr>
          <w:rFonts w:ascii="宋体" w:hAnsi="宋体" w:eastAsia="宋体" w:cs="宋体"/>
          <w:color w:val="auto"/>
          <w:spacing w:val="7"/>
          <w:sz w:val="24"/>
          <w:highlight w:val="none"/>
        </w:rPr>
        <w:t xml:space="preserve">★</w:t>
      </w:r>
      <w:r>
        <w:rPr>
          <w:rFonts w:ascii="宋体" w:hAnsi="宋体" w:eastAsia="宋体" w:cs="宋体"/>
          <w:color w:val="auto"/>
          <w:sz w:val="24"/>
          <w:highlight w:val="none"/>
        </w:rPr>
        <w:t xml:space="preserve">标注的为政府强制采购产品</w:t>
      </w:r>
      <w:r/>
    </w:p>
    <w:p>
      <w:pPr>
        <w:ind w:left="0" w:right="0" w:firstLine="50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4"/>
          <w:highlight w:val="none"/>
        </w:rPr>
        <w:t xml:space="preserve"> 凡“节能产品政府采购品目清单”中以★标注的为政府强制采购产品</w:t>
      </w:r>
      <w:r/>
    </w:p>
    <w:p>
      <w:pPr>
        <w:numPr>
          <w:ilvl w:val="0"/>
          <w:numId w:val="14"/>
        </w:numPr>
        <w:spacing w:before="120" w:after="120"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技术要求</w:t>
      </w:r>
      <w:r/>
    </w:p>
    <w:tbl>
      <w:tblPr>
        <w:tblStyle w:val="795"/>
        <w:tblW w:w="9739" w:type="dxa"/>
        <w:tblInd w:w="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
        <w:gridCol w:w="704"/>
        <w:gridCol w:w="1492"/>
        <w:gridCol w:w="7537"/>
      </w:tblGrid>
      <w:tr>
        <w:trPr>
          <w:trHeight w:val="270"/>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r>
      <w:tr>
        <w:trPr>
          <w:gridBefore w:val="1"/>
          <w:trHeight w:val="315"/>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一、综合布线系统</w:t>
            </w:r>
            <w:r/>
          </w:p>
        </w:tc>
      </w:tr>
      <w:tr>
        <w:trPr>
          <w:gridBefore w:val="1"/>
          <w:trHeight w:val="11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双口面板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1）规格：86型双口，与RJ45模块插座配套，双层结构，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2）面板均采用优质工程塑料，具有防撞阻燃抗冲击的特点;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3）面板带保护门，主体与面盖独立的结构设计，可防止施工时污染面板;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4）彩色端口识别标识，易于快速识别和方便管理，信息口端接选择灵活多样;</w:t>
            </w:r>
            <w:r/>
          </w:p>
        </w:tc>
      </w:tr>
      <w:tr>
        <w:trPr>
          <w:gridBefore w:val="1"/>
          <w:trHeight w:val="5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单口面板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1）规格：86型单口，与RJ45模块插座配套，双层结构，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2）面板均采用优质工程塑料，具有防撞阻燃抗冲击的特点;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3）面板带保护门，主体与面盖独立的结构设计，可防止施工时污染面板;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4）彩色端口识别标识，易于快速识别和方便管理，信息口端接选择灵活多样;</w:t>
            </w:r>
            <w:r/>
          </w:p>
        </w:tc>
      </w:tr>
      <w:tr>
        <w:trPr>
          <w:gridBefore w:val="1"/>
          <w:trHeight w:val="21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1）满足</w:t>
            </w:r>
            <w:r>
              <w:rPr>
                <w:rFonts w:hint="eastAsia" w:ascii="宋体" w:hAnsi="宋体" w:cs="宋体"/>
                <w:i w:val="0"/>
                <w:iCs w:val="0"/>
                <w:strike w:val="0"/>
                <w:color w:val="auto"/>
                <w:sz w:val="21"/>
                <w:szCs w:val="21"/>
                <w:highlight w:val="none"/>
                <w:u w:val="none"/>
                <w:lang w:val="en-US" w:eastAsia="zh-CN" w:bidi="ar"/>
              </w:rPr>
              <w:t xml:space="preserve">相关</w:t>
            </w:r>
            <w:r>
              <w:rPr>
                <w:rFonts w:hint="eastAsia" w:ascii="宋体" w:hAnsi="宋体" w:eastAsia="宋体" w:cs="宋体"/>
                <w:i w:val="0"/>
                <w:iCs w:val="0"/>
                <w:color w:val="auto"/>
                <w:sz w:val="21"/>
                <w:szCs w:val="21"/>
                <w:highlight w:val="none"/>
                <w:u w:val="none"/>
                <w:lang w:val="en-US" w:eastAsia="zh-CN" w:bidi="ar"/>
              </w:rPr>
              <w:t xml:space="preserve">国家标准，电气性能满足Cat6/Class E所规定的测试要求，带宽应用：250MHz以上；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2）110通用工具打线180度压接，简单方便、快捷;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3）免焊接的独特PCB板设计，绿色环保;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4）满足从AWG24到AWG22不同线规的安装要求;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5）IDC端子：满足FCC第68.5部分关于镀金层厚度的要求；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6）耐压：1000V(AC750V)1分钟无击穿和飞弧现象，耐用性：IDC卡接次数≥250，插座插拔次数≥750；</w:t>
            </w:r>
            <w:r/>
          </w:p>
        </w:tc>
      </w:tr>
      <w:tr>
        <w:trPr>
          <w:gridBefore w:val="1"/>
          <w:trHeight w:val="30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双绞线缆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外护套低烟无卤线径 0.5</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电气性能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直流电阻（20℃） 93.8Ω/km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100MHz特性阻抗 100Ω±15Ω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延迟偏差 25ns/100m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NVP 69%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最小弯曲半径 动态：24mm，静态：48mm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最大安装拉力 100N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抗挤压能力 1000N/10cm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抗冲击能力 ≥10次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使用温度 安装：-0℃~+40℃；工作：-20℃~+75℃</w:t>
            </w:r>
            <w:r/>
          </w:p>
        </w:tc>
      </w:tr>
      <w:tr>
        <w:trPr>
          <w:gridBefore w:val="1"/>
          <w:trHeight w:val="107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8芯光缆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符合</w:t>
            </w:r>
            <w:r>
              <w:rPr>
                <w:rFonts w:hint="eastAsia" w:ascii="宋体" w:hAnsi="宋体" w:cs="宋体"/>
                <w:i w:val="0"/>
                <w:iCs w:val="0"/>
                <w:strike w:val="0"/>
                <w:color w:val="auto"/>
                <w:sz w:val="21"/>
                <w:szCs w:val="21"/>
                <w:highlight w:val="none"/>
                <w:u w:val="none"/>
                <w:lang w:val="en-US" w:eastAsia="zh-CN" w:bidi="ar"/>
              </w:rPr>
              <w:t xml:space="preserve">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可以用于室内网络主干或水平应用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支持连接器现场端接或尾纤熔接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900μm紧套管结构，干燥结构，方便现场端接处理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护套防火等级： 符合</w:t>
            </w:r>
            <w:r>
              <w:rPr>
                <w:rFonts w:hint="eastAsia" w:ascii="宋体" w:hAnsi="宋体" w:cs="宋体"/>
                <w:i w:val="0"/>
                <w:iCs w:val="0"/>
                <w:strike w:val="0"/>
                <w:color w:val="auto"/>
                <w:sz w:val="21"/>
                <w:szCs w:val="21"/>
                <w:highlight w:val="none"/>
                <w:u w:val="none"/>
                <w:lang w:val="en-US" w:eastAsia="zh-CN" w:bidi="ar"/>
              </w:rPr>
              <w:t xml:space="preserve">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光纤衰减系数@1300nm 0.36dB/km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光纤衰减系数@1550nm 0.23dB/km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符合测试要求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存储：-40—70ºC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使用：-20—70ºC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安装：-10—60ºC</w:t>
            </w:r>
            <w:r/>
          </w:p>
        </w:tc>
      </w:tr>
      <w:tr>
        <w:trPr>
          <w:gridBefore w:val="1"/>
          <w:trHeight w:val="29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12芯光缆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符合</w:t>
            </w:r>
            <w:r>
              <w:rPr>
                <w:rFonts w:hint="eastAsia" w:ascii="宋体" w:hAnsi="宋体" w:cs="宋体"/>
                <w:i w:val="0"/>
                <w:iCs w:val="0"/>
                <w:strike w:val="0"/>
                <w:color w:val="auto"/>
                <w:sz w:val="21"/>
                <w:szCs w:val="21"/>
                <w:highlight w:val="none"/>
                <w:u w:val="none"/>
                <w:lang w:val="en-US" w:eastAsia="zh-CN" w:bidi="ar"/>
              </w:rPr>
              <w:t xml:space="preserve">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可以用于室内网络主干或水平应用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支持连接器现场端接 或尾纤熔接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900 μm紧套管结构，干燥结构，方便现场端接处理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护套防火等级：符合</w:t>
            </w:r>
            <w:r>
              <w:rPr>
                <w:rFonts w:hint="eastAsia" w:ascii="宋体" w:hAnsi="宋体" w:cs="宋体"/>
                <w:i w:val="0"/>
                <w:iCs w:val="0"/>
                <w:strike w:val="0"/>
                <w:color w:val="auto"/>
                <w:sz w:val="21"/>
                <w:szCs w:val="21"/>
                <w:highlight w:val="none"/>
                <w:u w:val="none"/>
                <w:lang w:val="en-US" w:eastAsia="zh-CN" w:bidi="ar"/>
              </w:rPr>
              <w:t xml:space="preserve">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光纤衰减系数@1300nm 0.36dB/km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光纤衰减系数@1550nm 0.23dB/km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符合测试要求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存储：-40—70ºC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使用：-20—70ºC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安装：-10—60ºC</w:t>
            </w:r>
            <w:r/>
          </w:p>
        </w:tc>
      </w:tr>
      <w:tr>
        <w:trPr>
          <w:gridBefore w:val="1"/>
          <w:trHeight w:val="51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24芯光缆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符合</w:t>
            </w:r>
            <w:r>
              <w:rPr>
                <w:rFonts w:hint="eastAsia" w:ascii="宋体" w:hAnsi="宋体" w:cs="宋体"/>
                <w:i w:val="0"/>
                <w:iCs w:val="0"/>
                <w:strike w:val="0"/>
                <w:color w:val="auto"/>
                <w:sz w:val="21"/>
                <w:szCs w:val="21"/>
                <w:highlight w:val="none"/>
                <w:u w:val="none"/>
                <w:lang w:val="en-US" w:eastAsia="zh-CN" w:bidi="ar"/>
              </w:rPr>
              <w:t xml:space="preserve">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可以用于室内网络主干或水平应用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支持连接器现场端接或尾纤熔接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900 μm紧套管结构，干燥结构，方便现场端接处理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护套防火等级：符合</w:t>
            </w:r>
            <w:r>
              <w:rPr>
                <w:rFonts w:hint="eastAsia" w:ascii="宋体" w:hAnsi="宋体" w:cs="宋体"/>
                <w:i w:val="0"/>
                <w:iCs w:val="0"/>
                <w:strike w:val="0"/>
                <w:color w:val="auto"/>
                <w:sz w:val="21"/>
                <w:szCs w:val="21"/>
                <w:highlight w:val="none"/>
                <w:u w:val="none"/>
                <w:lang w:val="en-US" w:eastAsia="zh-CN" w:bidi="ar"/>
              </w:rPr>
              <w:t xml:space="preserve">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光纤衰减系数@1300nm 0.36dB/km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光纤衰减系数@1550nm 0.23dB/km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符合测试要求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存储：-40—70ºC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使用：-20—70ºC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安装：-10—60ºC</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配线RVV3*2.5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管内穿线RVV-3*2.5mm2</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光纤连接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热熔、符合现有国家规范标准</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熔接损耗：单模光纤≤0.02dB，多模光纤≤0.01dB，色散位移光纤≤0.04dB。</w:t>
            </w:r>
            <w:r/>
          </w:p>
        </w:tc>
      </w:tr>
      <w:tr>
        <w:trPr>
          <w:gridBefore w:val="1"/>
          <w:trHeight w:val="20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机柜、机架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42U标准机柜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材料：全部选用 SPCC 优质冷轧钢板制作；表面：脱脂、酸洗、防锈磷化、纯水清洗、喷塑处理、外型美观 结构：可方便地安装机柜集中配电单元及设备；带透气孔的后门，方便通风散热，提高内置设备运行可靠性，门型可按需选配；可同时安装脚轮和支撑脚；结构坚固，最大静载达 800KG；可关闭的上部、下部多处走线通道，底部大走线孔</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尺寸可按需调整；可选配安装底座，达到固定机柜、底部过线、底部送冷风、防鼠的要求；高级 旋把机柜门锁，高效坚固的并柜连接</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静态承重：≥800Kg 防护等级:</w:t>
            </w:r>
            <w:r>
              <w:rPr>
                <w:rFonts w:hint="eastAsia" w:ascii="宋体" w:hAnsi="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IP20</w:t>
            </w:r>
            <w:r/>
          </w:p>
        </w:tc>
      </w:tr>
      <w:tr>
        <w:trPr>
          <w:gridBefore w:val="1"/>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理线器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高度：1U；材质：冷轧板 1.2mm；</w:t>
            </w:r>
            <w:r>
              <w:rPr>
                <w:rFonts w:hint="eastAsia" w:ascii="宋体" w:hAnsi="宋体" w:eastAsia="宋体" w:cs="宋体"/>
                <w:i w:val="0"/>
                <w:iCs w:val="0"/>
                <w:color w:val="auto"/>
                <w:sz w:val="21"/>
                <w:szCs w:val="21"/>
                <w:highlight w:val="none"/>
                <w:u w:val="none"/>
                <w:lang w:val="en-US" w:eastAsia="zh-CN" w:bidi="ar"/>
              </w:rPr>
              <w:t xml:space="preserve"> 特殊的可拆卸盖板设计,方便施工操作;从上和下，以及把整个盖板可以轻易的翻转和拆卸；表面处理：经过静电粉末喷涂，坚固、美观、不易划伤；最多可容纳24根4对线缆，便于识别；通用化</w:t>
            </w:r>
            <w:r/>
          </w:p>
        </w:tc>
      </w:tr>
      <w:tr>
        <w:trPr>
          <w:gridBefore w:val="1"/>
          <w:trHeight w:val="18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跳线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1、名称：光纤跳线Sc-lc 3M单/多模光纤跳线；</w:t>
            </w:r>
            <w:r>
              <w:rPr>
                <w:rFonts w:hint="eastAsia" w:ascii="宋体" w:hAnsi="宋体" w:eastAsia="宋体" w:cs="宋体"/>
                <w:i w:val="0"/>
                <w:iCs w:val="0"/>
                <w:color w:val="auto"/>
                <w:sz w:val="21"/>
                <w:szCs w:val="21"/>
                <w:highlight w:val="none"/>
                <w:u w:val="none"/>
                <w:lang w:val="en-US" w:eastAsia="zh-CN" w:bidi="ar"/>
              </w:rPr>
              <w:t xml:space="preserve"> 材料：提供种类齐全的ST,SC,FC,LC型号的插头， 插头使用高精密度陶瓷插芯，精密研磨并全 数检测，稳定性、重复性好,插入损耗低； 结构：双工结构外加护套设计，提供最好的机械 性能，防止弯曲造成损坏。 插入损耗：单模:≤0.3dB@1310nm/1550nm 多模:≤0.3dB@850nm/1300nm 回拨损耗：单模:≥50dB@1310nm/1550nm 多模: ≥35dB@850nm/1300nm 最小连接次数：1000 次重复插拔：≤0.2dB，每500次插拔工作温度范围：－40 至 80 度</w:t>
            </w:r>
            <w:r/>
          </w:p>
        </w:tc>
      </w:tr>
      <w:tr>
        <w:trPr>
          <w:gridBefore w:val="1"/>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8口光缆终端盒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15"/>
              </w:num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名称：光纤熔接盒8口1U 19 寸；</w:t>
            </w:r>
            <w:r/>
          </w:p>
          <w:p>
            <w:pPr>
              <w:numPr>
                <w:ilvl w:val="0"/>
                <w:numId w:val="15"/>
              </w:numPr>
              <w:ind w:left="0"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材料：采用冷轧钢板材料，板材厚度 1.5mm </w:t>
            </w:r>
            <w:r/>
          </w:p>
          <w:p>
            <w:pPr>
              <w:numPr>
                <w:ilvl w:val="0"/>
                <w:numId w:val="0"/>
              </w:numPr>
              <w:ind w:left="20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结构：完善的光纤收容盒及绕线架，可灵活配置 FC、ST、SC、LC 等多种类型的光纤适配器；三段式金属导轨，支持配线架全景抽拉，极大的方便熔纤操作；</w:t>
            </w:r>
            <w:r/>
          </w:p>
        </w:tc>
      </w:tr>
      <w:tr>
        <w:trPr>
          <w:gridBefore w:val="1"/>
          <w:trHeight w:val="8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12口光缆终端盒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16"/>
              </w:num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名称：光纤熔接盒12口1U19寸；</w:t>
            </w:r>
            <w:r/>
          </w:p>
          <w:p>
            <w:pPr>
              <w:numPr>
                <w:ilvl w:val="0"/>
                <w:numId w:val="16"/>
              </w:numPr>
              <w:ind w:left="0"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材料：采用冷轧钢板材料，板材厚度 1.5mm </w:t>
            </w:r>
            <w:r/>
          </w:p>
          <w:p>
            <w:pPr>
              <w:numPr>
                <w:ilvl w:val="0"/>
                <w:numId w:val="0"/>
              </w:numPr>
              <w:ind w:left="20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结构：完善的光纤收容盒及绕线架，可灵活配置 FC、ST、SC、LC 等多种类型的光纤适配器；三段式金属导轨，支持配线架全景抽拉，极大的方便熔纤操作；</w:t>
            </w:r>
            <w:r/>
          </w:p>
        </w:tc>
      </w:tr>
      <w:tr>
        <w:trPr>
          <w:gridBefore w:val="1"/>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24口光缆终端盒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17"/>
              </w:num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名称：光纤熔接盒24口机架式光纤配线架，1U 19 寸；</w:t>
            </w:r>
            <w:r/>
          </w:p>
          <w:p>
            <w:pPr>
              <w:numPr>
                <w:ilvl w:val="0"/>
                <w:numId w:val="17"/>
              </w:numPr>
              <w:ind w:left="0"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材料：采用冷轧钢板材料，板材厚度 1.5mm </w:t>
            </w:r>
            <w:r/>
          </w:p>
          <w:p>
            <w:pPr>
              <w:numPr>
                <w:ilvl w:val="0"/>
                <w:numId w:val="0"/>
              </w:numPr>
              <w:ind w:left="20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结构：完善的光纤收容盒及绕线架，可灵活配置 FC、ST、SC、LC 等多种类型的光纤适配器；三 段式金属导轨，支持配线架全景抽拉，极大的方便熔纤操作；</w:t>
            </w:r>
            <w:r/>
          </w:p>
        </w:tc>
      </w:tr>
      <w:tr>
        <w:trPr>
          <w:gridBefore w:val="1"/>
          <w:trHeight w:val="14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144口光缆终端盒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18"/>
              </w:numPr>
              <w:jc w:val="left"/>
              <w:keepLines w:val="0"/>
              <w:keepNext w:val="0"/>
              <w:spacing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名称：ODF架144口招标技术要求</w:t>
            </w:r>
            <w:r>
              <w:rPr>
                <w:rFonts w:hint="eastAsia" w:ascii="宋体" w:hAnsi="宋体" w:cs="宋体"/>
                <w:i w:val="0"/>
                <w:iCs w:val="0"/>
                <w:color w:val="auto"/>
                <w:sz w:val="21"/>
                <w:szCs w:val="21"/>
                <w:highlight w:val="none"/>
                <w:u w:val="none"/>
                <w:lang w:val="en-US" w:eastAsia="zh-CN" w:bidi="ar"/>
              </w:rPr>
              <w:t xml:space="preserve">；</w:t>
            </w:r>
            <w:r/>
          </w:p>
          <w:p>
            <w:pPr>
              <w:numPr>
                <w:ilvl w:val="0"/>
                <w:numId w:val="18"/>
              </w:numPr>
              <w:ind w:left="0"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规格：19〞标准安装 </w:t>
            </w:r>
            <w:r/>
          </w:p>
          <w:p>
            <w:pPr>
              <w:numPr>
                <w:ilvl w:val="0"/>
                <w:numId w:val="18"/>
              </w:numPr>
              <w:ind w:left="0"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材质：壳 体采用厚度冷扎板制成,环氧静电喷塑。</w:t>
            </w:r>
            <w:r/>
          </w:p>
          <w:p>
            <w:pPr>
              <w:numPr>
                <w:ilvl w:val="0"/>
                <w:numId w:val="0"/>
              </w:numPr>
              <w:ind w:left="20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 ODF 单元箱技术特性： 耐久寿命：≥1000 次 工作温度：-25℃～+70℃ 耦合器材料：氧化锆陶瓷套管 插入损耗：≤0.2dB 大气压力：70～106Kpa 绝缘电阻：＞1000MΩ/500VDC 耐电压：3000VDC/1min 不击穿，无飞弧</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光纤连接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规格：9/125μm 单模SC接口</w:t>
            </w:r>
            <w:r/>
          </w:p>
        </w:tc>
      </w:tr>
      <w:tr>
        <w:trPr>
          <w:gridBefore w:val="1"/>
          <w:trHeight w:val="16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布放尾纤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尾纤规格：单/多模光纤</w:t>
            </w:r>
            <w:r>
              <w:rPr>
                <w:rFonts w:hint="eastAsia" w:ascii="宋体" w:hAnsi="宋体" w:eastAsia="宋体" w:cs="宋体"/>
                <w:i w:val="0"/>
                <w:iCs w:val="0"/>
                <w:color w:val="auto"/>
                <w:sz w:val="21"/>
                <w:szCs w:val="21"/>
                <w:highlight w:val="none"/>
                <w:u w:val="none"/>
                <w:lang w:val="en-US" w:eastAsia="zh-CN" w:bidi="ar"/>
              </w:rPr>
              <w:t xml:space="preserve">尾纤；材料：提供种类齐全的ST,SC,FC,LC型号的插头，插头使用高精密度陶瓷插芯，精密研磨并全数检测，稳定性、重复性好,插入损耗低；结构：尾纤可连接各种型号的连接器，采用耐用的防水接头，安装方便、可靠；插入损耗：单模:≤0.3dB@1310nm/1550nm 多模:≤0.3dB@850nm/1300nm 回拨损耗：单模:≥50dB@1310nm/1550nm 多模: ≥35dB@850nm/1300nm 重复插拔：≤0.2dB，每 500 次插拔连接头衰耗：0.2dB 工作温度范围：－40 至 80 度</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二、计算机网络系统</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（一）数据网</w:t>
            </w:r>
            <w:r/>
          </w:p>
        </w:tc>
      </w:tr>
      <w:tr>
        <w:trPr>
          <w:gridBefore w:val="1"/>
          <w:trHeight w:val="20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网管型12*10/100/1000M电口+28*100/1000M SFP光口插槽+4*1/10G(SFP+)万兆光口插槽，以太网汇聚/核心交换机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背板带宽：598Gbps,包转发缓存：32M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包转发率：119.04Mpps，MAC地址表：32K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交换机具备QOS,STP/RSTP/MSTP、VLAN、ERPS、LACP、IGMP、DHCP、SNMP、WEB/CLI、端口镜像等功能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内置交流电源，标准1U机架安装，带散热风扇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不含光纤模块，可配SFP百兆或千兆光模块</w:t>
            </w:r>
            <w:r/>
          </w:p>
        </w:tc>
      </w:tr>
      <w:tr>
        <w:trPr>
          <w:gridBefore w:val="1"/>
          <w:trHeight w:val="127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24*10/100/1000M电口+2*1000M SFP光口插槽非网管POE交换机，其中1-24口支持</w:t>
            </w:r>
            <w:r>
              <w:rPr>
                <w:rFonts w:hint="eastAsia" w:ascii="宋体" w:hAnsi="宋体" w:cs="宋体"/>
                <w:i w:val="0"/>
                <w:iCs w:val="0"/>
                <w:strike w:val="0"/>
                <w:color w:val="auto"/>
                <w:sz w:val="21"/>
                <w:szCs w:val="21"/>
                <w:highlight w:val="none"/>
                <w:u w:val="none"/>
                <w:lang w:val="en-US" w:eastAsia="zh-CN" w:bidi="ar"/>
              </w:rPr>
              <w:t xml:space="preserve">国家相关</w:t>
            </w:r>
            <w:r>
              <w:rPr>
                <w:rFonts w:hint="eastAsia" w:ascii="宋体" w:hAnsi="宋体" w:eastAsia="宋体" w:cs="宋体"/>
                <w:i w:val="0"/>
                <w:iCs w:val="0"/>
                <w:color w:val="auto"/>
                <w:sz w:val="21"/>
                <w:szCs w:val="21"/>
                <w:highlight w:val="none"/>
                <w:u w:val="none"/>
                <w:lang w:val="en-US" w:eastAsia="zh-CN" w:bidi="ar"/>
              </w:rPr>
              <w:t xml:space="preserve">标准，单端口最大功率30W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交换容量：52Gbps,包转发率：38.69Mpps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默认网络4芯供电，仅支持1,2(+)/3,6(-)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内置电源，配套挂耳，支持1U/19寸机柜安</w:t>
            </w:r>
            <w:r/>
          </w:p>
        </w:tc>
      </w:tr>
      <w:tr>
        <w:trPr>
          <w:gridBefore w:val="1"/>
          <w:trHeight w:val="50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24*10/100/1000M+2*1000M SFP光口插槽以太网安防交换机，整机总功率＜25W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交换容量：52Gbps ，包缓存：4M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包转发率：38.69Mpps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MAC地址：8K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内置电源，配套挂耳，支持1U/19寸机柜安装</w:t>
            </w:r>
            <w:r/>
          </w:p>
        </w:tc>
      </w:tr>
      <w:tr>
        <w:trPr>
          <w:gridBefore w:val="1"/>
          <w:trHeight w:val="15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千兆10口AC控制管理网关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256M高速内存，闪存：16MB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AC管理+路由+POE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全千兆电口(1WAN、7LAN)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组网AP数：100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终端用户数：256</w:t>
            </w:r>
            <w:r/>
          </w:p>
        </w:tc>
      </w:tr>
      <w:tr>
        <w:trPr>
          <w:gridBefore w:val="1"/>
          <w:trHeight w:val="127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无线AP</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1500Mbps   WiFi6 千兆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2.4/5.8GHz双频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千兆电口(1WAN、1LAN)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POE 48V供电、胖瘦一体AP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最大接入用户数：80台</w:t>
            </w:r>
            <w:r/>
          </w:p>
        </w:tc>
      </w:tr>
      <w:tr>
        <w:trPr>
          <w:gridBefore w:val="1"/>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光模块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1.25Gbps速率SFP光模块，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单模单纤（双向）LC接口，波长：TX1310/RX1550nm，工作电压3.3VDC，支持DDM功能，支持热插拔，工作温度：0至+70℃</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（二）教学设备网</w:t>
            </w:r>
            <w:r/>
          </w:p>
        </w:tc>
      </w:tr>
      <w:tr>
        <w:trPr>
          <w:gridBefore w:val="1"/>
          <w:trHeight w:val="127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24*10/100/1000M+2*1000M SFP光口插槽以太网安防交换机，整机总功率＜25W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交换容量：52Gbps ，包缓存：4M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包转发率：38.69Mpps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MAC地址：8K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内置电源，配套挂耳，支持1U/19寸机柜安装</w:t>
            </w:r>
            <w:r/>
          </w:p>
        </w:tc>
      </w:tr>
      <w:tr>
        <w:trPr>
          <w:gridBefore w:val="1"/>
          <w:trHeight w:val="178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L2+网管型8*10/100/1000M电口+8*100/1000M SFP光口插槽，以太网交换机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背板带宽：256Gbps,包转发缓存：6M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包转发率：23.81Mpps，MAC地址表：8K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交换机具备QOS,STP/RSTP/MSTP、VLAN、ERPS、LACP、IGMP、DHCP、SNMP、WEB/CLI、端口镜像等功能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内置交流电源，标准1U机架安装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不含光纤模块，可配SFP百兆或千兆光模块</w:t>
            </w:r>
            <w:r/>
          </w:p>
        </w:tc>
      </w:tr>
      <w:tr>
        <w:trPr>
          <w:gridBefore w:val="1"/>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光模块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1.25Gbps速率SFP光模块，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单模单纤（双向）LC接口，波长：TX1310/RX1550nm，工作电压3.3VDC，支持DDM功能，支持热插拔，工作温度：0至+70℃</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（三）监控网</w:t>
            </w:r>
            <w:r/>
          </w:p>
        </w:tc>
      </w:tr>
      <w:tr>
        <w:trPr>
          <w:gridBefore w:val="1"/>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三层网管24*10/100/1000M电口+24*100/1000M SFP光口插槽+6*1/10G (SFP+)万兆光口插槽,以太网核心路由交换机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背板带宽：598Gbps，包转发缓存：16M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包转发率：160.7Mpps，MAC地址表：32K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交换机具备QOS,STP/RSTP/MSTP、IGMP、DHCP、SNMP、WEB、VLAN等功能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支持IPv4/IPv6线速转发,三层动态路由功能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支持RIP v1/v2、OSPFv2，BGPv4等多种动态路由协议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采用集群技术,支持1主多备VRRP虚拟化功能,利用统一的IP地址进行集中管理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标准1U机架,内置电源（默认配置72W单电源），固化单电源，不支持电源扩展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不含光纤模块,可配SFP+万兆光模块</w:t>
            </w:r>
            <w:r/>
          </w:p>
        </w:tc>
      </w:tr>
      <w:tr>
        <w:trPr>
          <w:gridBefore w:val="1"/>
          <w:trHeight w:val="127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24*10/100/1000M电口+2*1000M SFP光口插槽非网管POE交换机，其中1-24口支持</w:t>
            </w:r>
            <w:r>
              <w:rPr>
                <w:rFonts w:hint="eastAsia" w:ascii="宋体" w:hAnsi="宋体" w:cs="宋体"/>
                <w:i w:val="0"/>
                <w:iCs w:val="0"/>
                <w:strike w:val="0"/>
                <w:color w:val="auto"/>
                <w:sz w:val="21"/>
                <w:szCs w:val="21"/>
                <w:highlight w:val="none"/>
                <w:u w:val="none"/>
                <w:lang w:val="en-US" w:eastAsia="zh-CN" w:bidi="ar"/>
              </w:rPr>
              <w:t xml:space="preserve">国家相关</w:t>
            </w:r>
            <w:r>
              <w:rPr>
                <w:rFonts w:hint="eastAsia" w:ascii="宋体" w:hAnsi="宋体" w:eastAsia="宋体" w:cs="宋体"/>
                <w:i w:val="0"/>
                <w:iCs w:val="0"/>
                <w:color w:val="auto"/>
                <w:sz w:val="21"/>
                <w:szCs w:val="21"/>
                <w:highlight w:val="none"/>
                <w:u w:val="none"/>
                <w:lang w:val="en-US" w:eastAsia="zh-CN" w:bidi="ar"/>
              </w:rPr>
              <w:t xml:space="preserve">标准，单端口最大功率30W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交换容量：52Gbps,包转发率：38.69Mpps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默认网络4芯供电，仅支持1,2(+)/3,6(-)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内置电源，配套挂耳，支持1U/19寸机柜安装</w:t>
            </w:r>
            <w:r/>
          </w:p>
        </w:tc>
      </w:tr>
      <w:tr>
        <w:trPr>
          <w:gridBefore w:val="1"/>
          <w:trHeight w:val="33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16*10/100/1000M+2*1000M SFP光口插槽以太网安防交换机，整机总功率＜18W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交换容量：48Gbps，包转发缓存：4M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包转发率：26.78Mpps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MAC地址：8K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内置电源，配套挂耳，支持1U/19寸机柜安装</w:t>
            </w:r>
            <w:r/>
          </w:p>
        </w:tc>
      </w:tr>
      <w:tr>
        <w:trPr>
          <w:gridBefore w:val="1"/>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光模块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1.25Gbps速率SFP光模块，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单模单纤（双向）LC接口，波长：TX1310/RX1550nm，工作电压3.3VDC，支持DDM功能，支持热插拔，工作温度：0至+70℃</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（四）考场专用网</w:t>
            </w:r>
            <w:r/>
          </w:p>
        </w:tc>
      </w:tr>
      <w:tr>
        <w:trPr>
          <w:gridBefore w:val="1"/>
          <w:trHeight w:val="127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24*10/100/1000M+2*1000M SFP光口插槽以太网安防交换机，整机总功率＜25W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交换容量：52Gbps ，包缓存：4M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包转发率：38.69Mpps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MAC地址：8K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内置电源，配套挂耳，支持1U/19寸机柜安装</w:t>
            </w:r>
            <w:r/>
          </w:p>
        </w:tc>
      </w:tr>
      <w:tr>
        <w:trPr>
          <w:gridBefore w:val="1"/>
          <w:trHeight w:val="178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L2+网管型8*10/100/1000M电口+8*100/1000M SFP光口插槽，以太网交换机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背板带宽：256Gbps,包转发缓存：6M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包转发率：23.81Mpps，MAC地址表：8K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交换机具备QOS,STP/RSTP/MSTP、VLAN、ERPS、LACP、IGMP、DHCP、SNMP、WEB/CLI、端口镜像等功能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内置交流电源，标准1U机架安装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不含光纤模块，可配SFP百兆或千兆光模块</w:t>
            </w:r>
            <w:r/>
          </w:p>
        </w:tc>
      </w:tr>
      <w:tr>
        <w:trPr>
          <w:gridBefore w:val="1"/>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光模块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1.25Gbps速率SFP光模块，单模单纤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（双向）LC接口，波长：TX1310/RX1550nm，工作电压3.3VDC，支持DDM功能，支持热插拔，工作温度：0至+70℃</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三、监控系统</w:t>
            </w:r>
            <w:r/>
          </w:p>
        </w:tc>
      </w:tr>
      <w:tr>
        <w:trPr>
          <w:gridBefore w:val="1"/>
          <w:trHeight w:val="1396"/>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红外夜视枪型摄像机防拥堵</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1/3"CMOS传感器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≥4mm定焦镜头，F1.6定光圈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支持2颗红外灯，2颗白光灯，红外补光30米，白光补光距离≥20米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支持主副码流、主码流默认分辨率≥25fps@2560x1440，默认码率≥4Mbps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支持绊线、周界智能分析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支持遮挡报警、电压报警、IP冲突、网线断（日志）异常报警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支持抓拍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1个内置mic、1个RJ45,10M/100M自适应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防护等级：</w:t>
            </w:r>
            <w:r>
              <w:rPr>
                <w:rFonts w:hint="eastAsia" w:ascii="宋体" w:hAnsi="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IP67</w:t>
            </w:r>
            <w:r/>
          </w:p>
        </w:tc>
      </w:tr>
      <w:tr>
        <w:trPr>
          <w:gridBefore w:val="1"/>
          <w:trHeight w:val="270"/>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枪机支架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spacing w:line="24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rPr>
              <w:t xml:space="preserve">白色铝合金监控配套支架</w:t>
            </w:r>
            <w:r/>
          </w:p>
        </w:tc>
      </w:tr>
      <w:tr>
        <w:trPr>
          <w:gridBefore w:val="1"/>
          <w:trHeight w:val="1142"/>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红外夜视半球摄像机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1/3"CMOS传感器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≥2.8mm定焦镜头，F1.6定光圈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支持2颗红外灯，2颗白光灯，红外补光30米，白光补光距离≥20米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支持主副码流、主码流默认分辨率≥25fps@2560x1440，默认码率≥4Mbps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支持遮挡报警、电压报警、IP冲突、网线断（日志）异常报警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支持抓拍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1个内置mic、1个RJ45,10M/100M自适应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防护等级：</w:t>
            </w:r>
            <w:r>
              <w:rPr>
                <w:rFonts w:hint="eastAsia" w:ascii="宋体" w:hAnsi="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IP66</w:t>
            </w:r>
            <w:r/>
          </w:p>
        </w:tc>
      </w:tr>
      <w:tr>
        <w:trPr>
          <w:gridBefore w:val="1"/>
          <w:trHeight w:val="637"/>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电梯半球摄像机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1/2.7"CMOS传感器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mm定焦镜头，F2.0定光圈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支持2颗红外灯，2颗白光灯，红外补光30米，白光补光距离≥10米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最低照度Color:≥0.02Lux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支持主副三码流、主码流默认分辨率≥25fps@2880x1620，默认码率≥4Mbps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支持电动车检测、烟火检测、楼层感知数据、电梯开门检测、困人报警检测、温度异常检测、电梯运行检测、异常晃动检测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支持遮挡报警、电压报警、磁盘满、磁盘读写错误、IP冲突、MAC冲突、FTP服务器异常、端口输入报警、网线断（日志）异常报警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支持白光警戒，声音警戒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支持声音警示、白光警示、录像、抓拍、上传中心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1个内置mic、1个内置扬声器、1路音频输入、1路音频输出、2路报警输入（电平量）、1路报警输出（开关量）、1个RJ45,10M/100M自适应、1个TF卡接口，最大512GB、1路485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防护等级：</w:t>
            </w:r>
            <w:r>
              <w:rPr>
                <w:rFonts w:hint="eastAsia" w:ascii="宋体" w:hAnsi="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IP66、</w:t>
            </w:r>
            <w:r/>
          </w:p>
        </w:tc>
      </w:tr>
      <w:tr>
        <w:trPr>
          <w:gridBefore w:val="1"/>
          <w:trHeight w:val="1275"/>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电梯半球无线网桥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电梯专用摄像机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100m 2.4G电梯网桥，包含发射端和接收端两个设备，出厂默认配对，无需配置即可使用；最大桥接速率300Mbps，内置定向天线水平60度，垂直30度，推荐在100m内无遮挡环境使用，支持壁挂/抱杆等安装方式，工作温度：-10℃～+55℃（电源标配）</w:t>
            </w:r>
            <w:r/>
          </w:p>
        </w:tc>
      </w:tr>
      <w:tr>
        <w:trPr>
          <w:gridBefore w:val="1"/>
          <w:trHeight w:val="3022"/>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400W室外低照度摄像机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1/1.8"CMOS传感器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≥6mm定焦镜头，F1.0定光圈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支持2颗白光灯，白光补光距离≥10米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最低照度Color:≥0.0004Lux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支持主副码流、主码流默认分辨率≥25fps@2560x1440，默认码率≥4Mbps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支持电压报警、IP冲突、网线断（日志）异常报警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支持白光警示、抓拍</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1个内置mic、1个RJ45,10M/100M自适应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防护等级：</w:t>
            </w:r>
            <w:r>
              <w:rPr>
                <w:rFonts w:hint="eastAsia" w:ascii="宋体" w:hAnsi="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IP67</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工作温度-35℃-65℃(不开补光灯)，工作湿度0~90%(无凝结)</w:t>
            </w:r>
            <w:r/>
          </w:p>
        </w:tc>
      </w:tr>
      <w:tr>
        <w:trPr>
          <w:gridBefore w:val="1"/>
          <w:trHeight w:val="270"/>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白色铝合金监控配套支架，‌外形尺寸‌不小于：70×97.1×181.8毫米（长×宽×高）</w:t>
            </w:r>
            <w:r/>
          </w:p>
        </w:tc>
      </w:tr>
      <w:tr>
        <w:trPr>
          <w:gridBefore w:val="1"/>
          <w:trHeight w:val="1139"/>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报警柱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铝合金拉丝面板，</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嵌入式安装。含防火安装底盒、具有防水、防潮、防粉尘、防拆、防暴力破坏等功能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顶部可加装球型云台摄像机，</w:t>
            </w:r>
            <w:r>
              <w:rPr>
                <w:rFonts w:hint="eastAsia" w:ascii="宋体" w:hAnsi="宋体" w:cs="宋体"/>
                <w:i w:val="0"/>
                <w:iCs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防雨</w:t>
            </w:r>
            <w:r>
              <w:rPr>
                <w:rFonts w:hint="eastAsia" w:ascii="宋体" w:hAnsi="宋体" w:cs="宋体"/>
                <w:i w:val="0"/>
                <w:iCs w:val="0"/>
                <w:color w:val="auto"/>
                <w:sz w:val="21"/>
                <w:szCs w:val="21"/>
                <w:highlight w:val="none"/>
                <w:u w:val="none"/>
                <w:lang w:val="en-US" w:eastAsia="zh-CN" w:bidi="ar"/>
              </w:rPr>
              <w:t xml:space="preserve">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一键呼叫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内置扬声器，可免提通话和接收广播</w:t>
            </w:r>
            <w:r/>
          </w:p>
        </w:tc>
      </w:tr>
      <w:tr>
        <w:trPr>
          <w:gridBefore w:val="1"/>
          <w:trHeight w:val="1073"/>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摄像机电源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尺寸为74.5mm(L)*88mm(W)*37mm(H)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AC输入线350mm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DC输出线800mm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灰色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支持共模4KV,差模2KV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达到V5能效等级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支持AC180~260V电压供电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支持DC12V2A输出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适应温度-30~70℃； 湿度＜90%的环境应用</w:t>
            </w:r>
            <w:r/>
          </w:p>
        </w:tc>
      </w:tr>
      <w:tr>
        <w:trPr>
          <w:gridBefore w:val="1"/>
          <w:trHeight w:val="577"/>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NVR</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接入路数 32路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接入带宽 160Mbps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转发带宽 80Mbps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录像分辨率 16MP/8MP/6MP/5MP/4MP/3MP/1080P/UXGA/720P/VGA/4CIF/DCIF/2CIF/CIF/QCIF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视频参数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视频输出接口 1路HDMI，1路VGA；HDMI和VGA同源输出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HDMI输出 HDMI: 1024×768(60Hz), (720P)1280×720(50Hz/60Hz), 1280×800(60Hz), 1280×1024(60Hz), 1440×900(60Hz), (1080P)1920×1080(50Hz/60Hz), (2K)2560×1440(30Hz), (4K)3840×2160(30Hz)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VGA输出 VGA: 1024×768(60Hz), (720P)1280×720(50Hz/60Hz), 1280×800(60Hz), 1280×1024(60Hz), 1440×900(60Hz), (1080P)1920×1080(50Hz/60Hz)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画面分割 HDMI和VGA同源输出: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HDMI/VGA: 1/2A/2B/3/4/5/6/7/8/9/10/12/13/16/20A/20B/25/32/36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预览解码能力 16M(25fps)×1, 8MP(30fps)×2, 6MP(25fps)×3, 5MP(30fps)×4, 4MP(25fps)×5, 3MP(30fps)×6, 1080P(30fps)×10, 1080P(25fps)×12, 720P(30fps)×20, 4CIF(30fps)×32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回放解码能力 16M(25fps)×1, 8MP(30fps)×2, 6MP(25fps)×3, 5MP(30fps)×4, 4MP(25fps)×5, 3MP(30fps)×6, 1080P(30fps)×10, 1080P(25fps)×12, 720P(30fps)×16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最大回放数 16路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视频编码方式 S+265、H.265、S+264、H.264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音频参数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音频输入 1路3.5mm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音频输出 1路3.5mm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音频解码方式 G.711A、G.711U、AAC、ADPCM_D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硬盘管理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SATA 8个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硬盘容量 最高14TB硬盘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eSATA 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硬盘管理 盘组划分、配额、自定义录像天数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网络协议 802.1X、ARP、DDNS、DHCP、DNS、FTP、HTTP、HTTPS、ICMP、IGMP、IPv4、IPv6、Multicast、NFS、NTP、PPPoE、QoS、RTCP、RTP、RTSP、SMB/CIFS、SMTP、SNMP v1/v2/v3、SRTP、SSH、SSL、TLSv1.2、TCP、UDP、Unicast、UPnP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第三方摄像机接入 ONVIF(Profile S/T)、RTSP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对接平台 GB/T28181（2016和2022版本）、GA/T1400、ONVIF(Profile S/T/G)、RTSP、CGI、SDK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手机P2P 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前端智能分析绊线、双绊线、周界、物品遗留、物品丢失、徘徊、奔跑、停车、热度图、视频诊断、音频诊断、值岗检测、人群聚集、违章停车、车位看守、安全帽检测、电动车检测、客流量统计、联动跟踪、高空抛物、烟火检测、环境测温、人脸检测、人体测温、智能报警、智能场景、人脸识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人脸库 32个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人脸底图数 2万张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人脸特征检索 姓名、性别、年龄、眼镜、口罩、人体测温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人脸事件检索 人脸检测、比对报警、陌生人报警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其它功能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常规报警 移动报警、遮挡报警、报警输入(IPC)、视频丢失、报警输入(NVR)、手动报警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异常报警 IP冲突、MAC冲突、网络断开、无磁盘、非法访问、盘组空间预警、磁盘满、磁盘读写错误、录像异常、磁盘smart异常、磁盘温度异常、热备异常、IPC电压异常、RTC异常、无冗余盘、磁盘超负荷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支持电子放大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支持走廊模式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支持视频翻转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录像模式 手动录像、报警录像、常规录像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回放功能 支持回放时暂停、快放、慢放、倒放、步进、步退、前跳30S、后跳30S，支持鼠标拖动定位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回放检索方式常规回放，标签回放，外部文件回放，事件回放，智能回放，图片回放，分时段回放，即时回放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断网续传支持，能对前端摄像机断网这段时间内SD卡中的录像回传到NVR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N+M热备 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主动模式 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UI界面语言 中文、英文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WEB界面语言 中文、英文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外部接口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 2个USB2.0、1个USB3.0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网口 2个，100/1000 Mbps以太网口、支持多址模式、冗余模式、负载均衡模式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串行接口 1个RS-232、2个RS-485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报警输入 16路，开关量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报警输出 4路，开关量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常规参数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 AC100~240V，50/60HZ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功率 &lt;18W(不含硬盘，空载)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毛重 8.35Kg（不含硬盘）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净重 6.15Kg（不含硬盘）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尺寸 440(L)455(W)94(H)mm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机箱 2U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工作温度 -10℃~+55℃ (+14℉~+131℉)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工作湿度 10％～90％(无冷凝)</w:t>
            </w:r>
            <w:r/>
          </w:p>
          <w:p>
            <w:pPr>
              <w:ind w:left="0" w:firstLine="0"/>
              <w:jc w:val="left"/>
              <w:keepLines w:val="0"/>
              <w:keepNext w:val="0"/>
              <w:spacing w:line="240" w:lineRule="auto"/>
              <w:widowControl/>
              <w:rPr>
                <w:rFonts w:hint="default"/>
                <w:color w:val="auto"/>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含存储硬盘，存储时间不少于3个月8TB,7200RPM,不少于9块</w:t>
            </w:r>
            <w:r/>
          </w:p>
        </w:tc>
      </w:tr>
      <w:tr>
        <w:trPr>
          <w:gridBefore w:val="1"/>
          <w:trHeight w:val="90"/>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智慧校园综合管理平台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软硬一体，预装三级安防平台软件,标配1块4T企业级硬盘作为数据盘使用;</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2、自带数据、客流、考勤、访客功能模块</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3、软件符合三级安防要求</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4、硬件参数检查：具有</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rPr>
              <w:t xml:space="preserve">2个HDMI接口，</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rPr>
              <w:t xml:space="preserve">1个VGA接口，</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rPr>
              <w:t xml:space="preserve">1个232串口，</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rPr>
              <w:t xml:space="preserve">2个USB3.0接口，</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rPr>
              <w:t xml:space="preserve">2个USB2.0接口，</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rPr>
              <w:t xml:space="preserve">4个千兆以太网口，</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rPr>
              <w:t xml:space="preserve">1对音频输入/输出接口，</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rPr>
              <w:t xml:space="preserve">1个复位键，</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rPr>
              <w:t xml:space="preserve">8路报警输入，</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rPr>
              <w:t xml:space="preserve">4路报警输出接口</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5、操作系统检查：支持嵌入式linux操作系统。</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6、电源适应性试验：应能在 AC100V~AC240V的供电条件下正常工作。</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7、绝缘电阻试验：受潮预处理后，应&gt;2M。</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8、抗电强度试验：电源插头或电源引入端与外壳裸露金属部件之间，应能承受15kV交流电压，历时1min 的抗电强度试验,应无击穿和飞弧现象。</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9、泄露电流试验：应不大于 5mA(a.c.峰值)。</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10、高温试验：(55±2)℃、16h为一个循环15 次，试验后功能应正常，</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11、低温试验：(-10+3)℃、16h为一个循环15 次，试验后功能应正常,</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12、恒定湿热试验：(40±2)℃、RH(93+2-3)%、48h为一个循环15 次,试验后功能应正常。</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13、振动试验：(10~55)Hz，振幅 0.35mm,5min 为一个循环15 次，三个轴向,试验后功能应正常。</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14、冲击试验：150m/s²，11ms,·6个面各三次试验后功能应正常。</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◆（提供</w:t>
            </w:r>
            <w:r>
              <w:rPr>
                <w:rFonts w:hint="eastAsia" w:ascii="宋体" w:hAnsi="宋体" w:cs="宋体"/>
                <w:i w:val="0"/>
                <w:iCs w:val="0"/>
                <w:color w:val="auto"/>
                <w:sz w:val="21"/>
                <w:szCs w:val="21"/>
                <w:highlight w:val="none"/>
                <w:u w:val="none"/>
                <w:lang w:val="en-US" w:eastAsia="zh-CN"/>
              </w:rPr>
              <w:t xml:space="preserve">该产品</w:t>
            </w:r>
            <w:r>
              <w:rPr>
                <w:rFonts w:hint="eastAsia" w:ascii="宋体" w:hAnsi="宋体" w:eastAsia="宋体" w:cs="宋体"/>
                <w:i w:val="0"/>
                <w:iCs w:val="0"/>
                <w:color w:val="auto"/>
                <w:sz w:val="21"/>
                <w:szCs w:val="21"/>
                <w:highlight w:val="none"/>
                <w:u w:val="none"/>
              </w:rPr>
              <w:t xml:space="preserve">满足第1</w:t>
            </w:r>
            <w:r>
              <w:rPr>
                <w:rFonts w:hint="eastAsia" w:ascii="宋体" w:hAnsi="宋体" w:cs="宋体"/>
                <w:i w:val="0"/>
                <w:iCs w:val="0"/>
                <w:color w:val="auto"/>
                <w:sz w:val="21"/>
                <w:szCs w:val="21"/>
                <w:highlight w:val="none"/>
                <w:u w:val="none"/>
                <w:lang w:val="en-US" w:eastAsia="zh-CN"/>
              </w:rPr>
              <w:t xml:space="preserve">0</w:t>
            </w:r>
            <w:r>
              <w:rPr>
                <w:rFonts w:hint="eastAsia" w:ascii="宋体" w:hAnsi="宋体" w:eastAsia="宋体" w:cs="宋体"/>
                <w:i w:val="0"/>
                <w:iCs w:val="0"/>
                <w:color w:val="auto"/>
                <w:sz w:val="21"/>
                <w:szCs w:val="21"/>
                <w:highlight w:val="none"/>
                <w:u w:val="none"/>
              </w:rPr>
              <w:t xml:space="preserve">-14项技术性能指标要求的检测合格报告。检测依据为：GB/T15211-2013检测报告原件扫描件，检测报告需为具有CMA标志的第三方机构出具的检测报告</w:t>
            </w:r>
            <w:bookmarkStart w:id="195" w:name="_GoBack"/>
            <w:r/>
            <w:bookmarkEnd w:id="195"/>
            <w:r>
              <w:rPr>
                <w:rFonts w:hint="eastAsia" w:ascii="宋体" w:hAnsi="宋体" w:eastAsia="宋体" w:cs="宋体"/>
                <w:i w:val="0"/>
                <w:iCs w:val="0"/>
                <w:color w:val="auto"/>
                <w:sz w:val="21"/>
                <w:szCs w:val="21"/>
                <w:highlight w:val="none"/>
                <w:u w:val="none"/>
              </w:rPr>
              <w:t xml:space="preserve">；）</w:t>
            </w:r>
            <w:r/>
          </w:p>
        </w:tc>
      </w:tr>
      <w:tr>
        <w:trPr>
          <w:gridBefore w:val="1"/>
          <w:trHeight w:val="607"/>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全景摄像机</w:t>
            </w:r>
            <w:r/>
          </w:p>
        </w:tc>
        <w:tc>
          <w:tcPr>
            <w:shd w:val="clear" w:color="auto" w:fill="ffffff"/>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全景：1/1.8"CMOS传感器；细节：1/2.7"CMOS传感器</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全景：</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3.3mm定焦镜头；细节：5mm～125mm一体机镜头，</w:t>
            </w:r>
            <w:r>
              <w:rPr>
                <w:rFonts w:hint="eastAsia" w:ascii="宋体" w:hAnsi="宋体" w:cs="宋体"/>
                <w:i w:val="0"/>
                <w:iCs w:val="0"/>
                <w:color w:val="auto"/>
                <w:sz w:val="21"/>
                <w:szCs w:val="21"/>
                <w:highlight w:val="none"/>
                <w:u w:val="none"/>
                <w:lang w:val="en-US" w:eastAsia="zh-CN" w:bidi="ar-SA"/>
              </w:rPr>
              <w:t xml:space="preserve">支持</w:t>
            </w:r>
            <w:r>
              <w:rPr>
                <w:rFonts w:hint="eastAsia" w:ascii="宋体" w:hAnsi="宋体" w:eastAsia="宋体" w:cs="宋体"/>
                <w:i w:val="0"/>
                <w:iCs w:val="0"/>
                <w:color w:val="auto"/>
                <w:sz w:val="21"/>
                <w:szCs w:val="21"/>
                <w:highlight w:val="none"/>
                <w:u w:val="none"/>
                <w:lang w:val="en-US" w:eastAsia="zh-CN" w:bidi="ar-SA"/>
              </w:rPr>
              <w:t xml:space="preserve">25X（细节）光学变倍，</w:t>
            </w:r>
            <w:r>
              <w:rPr>
                <w:rFonts w:hint="eastAsia" w:ascii="宋体" w:hAnsi="宋体" w:cs="宋体"/>
                <w:i w:val="0"/>
                <w:iCs w:val="0"/>
                <w:color w:val="auto"/>
                <w:sz w:val="21"/>
                <w:szCs w:val="21"/>
                <w:highlight w:val="none"/>
                <w:u w:val="none"/>
                <w:lang w:val="en-US" w:eastAsia="zh-CN" w:bidi="ar-SA"/>
              </w:rPr>
              <w:t xml:space="preserve">支持</w:t>
            </w:r>
            <w:r>
              <w:rPr>
                <w:rFonts w:hint="eastAsia" w:ascii="宋体" w:hAnsi="宋体" w:eastAsia="宋体" w:cs="宋体"/>
                <w:i w:val="0"/>
                <w:iCs w:val="0"/>
                <w:color w:val="auto"/>
                <w:sz w:val="21"/>
                <w:szCs w:val="21"/>
                <w:highlight w:val="none"/>
                <w:u w:val="none"/>
                <w:lang w:val="en-US" w:eastAsia="zh-CN" w:bidi="ar-SA"/>
              </w:rPr>
              <w:t xml:space="preserve">16X（细节）数字变倍</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细节：10颗红外灯，全景：3颗细节：4颗白光灯，红外补光细节：</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150米，白光补光距离全景：</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30米</w:t>
            </w:r>
            <w:r>
              <w:rPr>
                <w:rFonts w:hint="eastAsia" w:ascii="宋体" w:hAnsi="宋体" w:cs="宋体"/>
                <w:i w:val="0"/>
                <w:iCs w:val="0"/>
                <w:color w:val="auto"/>
                <w:sz w:val="21"/>
                <w:szCs w:val="21"/>
                <w:highlight w:val="none"/>
                <w:u w:val="none"/>
                <w:lang w:val="en-US" w:eastAsia="zh-CN" w:bidi="ar-SA"/>
              </w:rPr>
              <w:t xml:space="preserve">；</w:t>
            </w:r>
            <w:r>
              <w:rPr>
                <w:rFonts w:hint="eastAsia" w:ascii="宋体" w:hAnsi="宋体" w:eastAsia="宋体" w:cs="宋体"/>
                <w:i w:val="0"/>
                <w:iCs w:val="0"/>
                <w:color w:val="auto"/>
                <w:sz w:val="21"/>
                <w:szCs w:val="21"/>
                <w:highlight w:val="none"/>
                <w:u w:val="none"/>
                <w:lang w:val="en-US" w:eastAsia="zh-CN" w:bidi="ar-SA"/>
              </w:rPr>
              <w:t xml:space="preserve">细节：</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30米</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最低照度全景：Color:</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0.0001lux；细节：Color:</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0.001lux</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支持主副三码流、主码流默认分辨率</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25fps@3840×1568，默认码率全景：</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4Mbps；细节：</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4Mbps</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支持水平预置位速度</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240°/s，垂直预置位速度</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180°/s</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支持智能监控、人脸抓拍</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支持移动报警、遮挡报警、磁盘满、磁盘读写错误、录像异常、IP冲突、MAC冲突、FTP服务器异常、端口输入报警、网线断（日志）异常报警</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支持白光警戒,声音警戒</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支持跟踪、声音警示、白光警示、录像、抓拍</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支持</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1个内置扬声器、</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1路音频输入、</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1路音频输出、</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2路报警输入（开关量）、</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1路报警输出（开关量）、</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1个RJ45,100M/1000M自适应、</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1个TF卡接口,最大512GB2个加热模块（全景）、</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SA"/>
              </w:rPr>
              <w:t xml:space="preserve">1个风扇（细节）</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防护等级：</w:t>
            </w:r>
            <w:r>
              <w:rPr>
                <w:rFonts w:hint="eastAsia" w:ascii="宋体" w:hAnsi="宋体" w:cs="宋体"/>
                <w:i w:val="0"/>
                <w:iCs w:val="0"/>
                <w:color w:val="auto"/>
                <w:sz w:val="21"/>
                <w:szCs w:val="21"/>
                <w:highlight w:val="none"/>
                <w:u w:val="none"/>
                <w:lang w:val="en-US" w:eastAsia="zh-CN" w:bidi="ar-SA"/>
              </w:rPr>
              <w:t xml:space="preserve">不低于</w:t>
            </w:r>
            <w:r>
              <w:rPr>
                <w:rFonts w:hint="eastAsia" w:ascii="宋体" w:hAnsi="宋体" w:eastAsia="宋体" w:cs="宋体"/>
                <w:i w:val="0"/>
                <w:iCs w:val="0"/>
                <w:color w:val="auto"/>
                <w:sz w:val="21"/>
                <w:szCs w:val="21"/>
                <w:highlight w:val="none"/>
                <w:u w:val="none"/>
                <w:lang w:val="en-US" w:eastAsia="zh-CN" w:bidi="ar-SA"/>
              </w:rPr>
              <w:t xml:space="preserve">IP66</w:t>
            </w:r>
            <w:r/>
          </w:p>
        </w:tc>
      </w:tr>
      <w:tr>
        <w:trPr>
          <w:gridBefore w:val="1"/>
          <w:trHeight w:val="270"/>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行为分析摄像机</w:t>
            </w:r>
            <w:r/>
          </w:p>
        </w:tc>
        <w:tc>
          <w:tcPr>
            <w:shd w:val="clear" w:color="auto" w:fill="ffffff"/>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1/2.7"CMOS传感器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2.8~12mm电动变焦镜头，F1.6定光圈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支持4颗红外灯，3颗白光灯，红外补光80米，白光补光距离≥20米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最低照度Color:≥0.02Lux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支持主副三码流、主码流默认分辨率25fps@2880x1620，默认码率4Mbps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支持手机app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支持智能监控、人脸抓拍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支持移动报警、遮挡报警、磁盘满、磁盘读写错误、录像异常、IP冲突、MAC冲突、FTP服务器异常、端口输入报警、网线断（日志）异常报警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支持白光警戒，声音警戒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支持声音警示、白光警示、录像、抓拍、上传中心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支持≥1个内置mic、≥1个内置扬声器、≥1路音频输入、≥1路音频输出、≥2路报警输入（电平量）、≥1路报警输出（开关量）、≥1个RJ45,10M/100M自适应、≥1个TF卡接口，最大≥512GB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电源供电：DC12V±25%,最大功率≥13W，支持防反接保护、PoE:最大功率≥14W、支持反向供电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防护等级：</w:t>
            </w:r>
            <w:r>
              <w:rPr>
                <w:rFonts w:hint="eastAsia" w:ascii="宋体" w:hAnsi="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IP67</w:t>
            </w:r>
            <w:r/>
          </w:p>
        </w:tc>
      </w:tr>
      <w:tr>
        <w:trPr>
          <w:gridBefore w:val="1"/>
          <w:trHeight w:val="510"/>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人脸摄像机</w:t>
            </w:r>
            <w:r/>
          </w:p>
        </w:tc>
        <w:tc>
          <w:tcPr>
            <w:shd w:val="clear" w:color="auto" w:fill="ffffff"/>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1/2.7"CMOS传感器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2.8~12mm电动变焦镜头，F1.6定光圈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支持4颗红外灯，3颗白光灯，红外补光80米，白光补光距离≥20米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最低照度Color:0.02Lux@(F1.6,AGC ON),B/W:0Lux with IR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支持主副三码流、主码流默认分辨率25fps@2880x1620，默认码率4Mbps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支持智能监控、人脸抓拍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支持声音警示、白光警示、录像、抓拍、上传中心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支持1个内置mic、1个内置扬声器、1路音频输入、1路报警输出（开关量）、1个RJ45,10M/100M自适应，最大512GB</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电源供电：DC12V±25%,最大功率13W，支持防反接保护、PoE:最大功率14W、支持反向供电,0.6W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防护等级：浪涌4000V、静电6000V、IP67</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工作温度-35℃-65℃(不开补光灯)，工作湿度0~90%(无凝结)</w:t>
            </w:r>
            <w:r/>
          </w:p>
        </w:tc>
      </w:tr>
      <w:tr>
        <w:trPr>
          <w:gridBefore w:val="1"/>
          <w:trHeight w:val="510"/>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车辆卡口摄像机</w:t>
            </w:r>
            <w:r/>
          </w:p>
        </w:tc>
        <w:tc>
          <w:tcPr>
            <w:shd w:val="clear" w:color="auto" w:fill="ffffff"/>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支持非机动车未带头盔、摩托车禁行、外地车限行、压导流带、定时抓拍等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支持军牌、使馆车牌、武警车牌识别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支持压线违法抓拍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支持1400协议</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【传感器】900万 1'' CMOS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【镜头】定焦25mm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【最低照度】≥0.01 Lux @ F1.2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【分辨率】最大9MP（4096*2160），主码流默认分辨率1080P，默认码率4Mbps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副码流默认分辨率720P，默认码率1Mbps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三码流默认分辨率4096*2160，默认码率1Mbps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【帧率】PAL：4096*2160@25fps、QXGA@25fps，1080p@25fps、960p@25fps、720p@25fps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【抓拍检测模式】视频触发、混合触发、外触发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【抓拍类型】 卡口、逆行、机占非、违反禁止标线指示行驶、违法停车、超速、驶入专用车道、倒车、违法变道、违反禁令标志指示、不系安全带、接打电话、不礼让行人、违法加塞、异常车牌、禁危险品车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【智能识别】 车牌识别、车身颜色识别、车牌种类识别、轨迹检测、远光灯检测、虚焦检测、无牌车检测、车型识别、车标识别、车辆子品牌识别、主副驾驶人脸检测、主副驾驶性别检测、主副驾驶遮阳板检测</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【内置偏振镜】支持，自动切换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【违法优先级设置】支持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【抓拍张数设置】支持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【设备在线状态检测】支持，故障可上报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【本地存储】支持TF卡，最大256G。支持断网续传、支持数据按时间和抓拍类型下载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【图片字符叠加】支持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【视频字符叠加】支持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【接口功能】双网口，2路RJ4510/100/1000M自适应以太网口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【音频】≥1入1出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【报警】≥2出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【触发】10个IO输入（接地感线圈等），10个开关量输出（用于外接补光灯）</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【防水等级】IP64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【工作温度】-40°C-70°C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【工作湿度】0～95%（无凝结）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【电源】100~240VAC±10%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【功率】15W</w:t>
            </w:r>
            <w:r/>
          </w:p>
        </w:tc>
      </w:tr>
      <w:tr>
        <w:trPr>
          <w:gridBefore w:val="1"/>
          <w:trHeight w:val="270"/>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车辆抓拍服务器器</w:t>
            </w:r>
            <w:r/>
          </w:p>
        </w:tc>
        <w:tc>
          <w:tcPr>
            <w:shd w:val="clear" w:color="auto" w:fill="ffffff"/>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支持接收、存储交通相机，违停球的抓拍图片功能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支持接收、存储相机（在线、温度、车检器、线圈）状态功能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支持交通相机、违停球的违法录像功能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支持违法录像上传中间件功能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支持抓拍记录和设备状态上传交通平台功能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路1080P接入与转发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支持车辆布控报警和黑车牌报警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最多支持回放路数</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支持无牌车过滤和违停重复抓拍过滤功能。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支持硬盘切换功能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支持U盘导出功能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支持图片和违法录像的磁盘策略功能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支持记录查询、编辑、删除和导出功能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支持录像查询、下载功能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支持日志查询、下载功能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支持路口车道配置功能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支持违法类型管理功能，支持违法数据字典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支持28181协议功能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双网段设计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最大功率20W</w:t>
            </w:r>
            <w:r/>
          </w:p>
        </w:tc>
      </w:tr>
      <w:tr>
        <w:trPr>
          <w:gridBefore w:val="1"/>
          <w:trHeight w:val="443"/>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Style w:val="794"/>
                <w:rFonts w:hint="eastAsia" w:ascii="宋体" w:hAnsi="宋体" w:eastAsia="宋体" w:cs="宋体"/>
                <w:b w:val="0"/>
                <w:color w:val="auto"/>
                <w:spacing w:val="7"/>
                <w:sz w:val="21"/>
                <w:szCs w:val="21"/>
                <w:highlight w:val="none"/>
                <w:lang w:val="en-US" w:eastAsia="zh-CN"/>
              </w:rPr>
              <w:t xml:space="preserve">访客机</w:t>
            </w:r>
            <w:r/>
          </w:p>
        </w:tc>
        <w:tc>
          <w:tcPr>
            <w:shd w:val="clear" w:color="auto" w:fill="ffffff"/>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CPU i5 </w:t>
            </w:r>
            <w:r>
              <w:rPr>
                <w:rFonts w:hint="eastAsia" w:ascii="宋体" w:hAnsi="宋体" w:cs="宋体"/>
                <w:i w:val="0"/>
                <w:iCs w:val="0"/>
                <w:strike w:val="0"/>
                <w:color w:val="auto"/>
                <w:sz w:val="21"/>
                <w:szCs w:val="21"/>
                <w:highlight w:val="none"/>
                <w:u w:val="none"/>
                <w:lang w:val="en-US" w:eastAsia="zh-CN" w:bidi="ar"/>
              </w:rPr>
              <w:t xml:space="preserve">不小于</w:t>
            </w:r>
            <w:r>
              <w:rPr>
                <w:rFonts w:hint="eastAsia" w:ascii="宋体" w:hAnsi="宋体" w:eastAsia="宋体" w:cs="宋体"/>
                <w:i w:val="0"/>
                <w:iCs w:val="0"/>
                <w:color w:val="auto"/>
                <w:sz w:val="21"/>
                <w:szCs w:val="21"/>
                <w:highlight w:val="none"/>
                <w:u w:val="none"/>
                <w:lang w:val="en-US" w:eastAsia="zh-CN" w:bidi="ar"/>
              </w:rPr>
              <w:t xml:space="preserve"> 2.0GHz；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内存 4GB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硬盘 120G固态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主显示屏 屏尺寸：15.6英寸；触摸显示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最佳分辨率：默认1366*768；可选1920*1080@60HZ；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屏幕高宽比：16：9；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反应时间（毫秒）：5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可视角度：全视角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客显示屏 屏尺寸：15.6英寸；可选11.6寸屏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最佳分辨率：默认1366*768，可选1920*1080@60HZ；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屏幕高宽比：16：9；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反应时间（毫秒）：5；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可视角度：全视角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摄像头 标配单目200W万像素宽动态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二代证模块 </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有效采集窗口：15.24*20.32mm(fap20)</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图像大小：&lt;=300*400pixel(fap20)</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图像分辨率：500dpi</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电源：DC5V250mA</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支持算法：ZKFingerV10.0</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通信方式：USB1.1/2.0</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温度数据传输精度：正负0.3 度</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测温范围：23-46 摄氏度，带人体体温补偿；</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测温精度：正负 0.3 摄氏度；</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人体额温或者腕温探测最佳距离：0~50cm ；</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通讯：USB接口</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电特性：电压范围 DC 5-7V，功耗&lt;=40mW；</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音效系统 内置3W扬声器</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通讯 4G：全网通（选配）</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以太网：TCP/IP  RJ45接口</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无线局域网：Wi-Fi 2.4G</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接口 网络端口</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1个</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USB2.0</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4个</w:t>
            </w:r>
            <w:r>
              <w:rPr>
                <w:rFonts w:hint="eastAsia" w:ascii="宋体" w:hAnsi="宋体" w:eastAsia="宋体" w:cs="宋体"/>
                <w:i w:val="0"/>
                <w:iCs w:val="0"/>
                <w:strike w:val="0"/>
                <w:color w:val="auto"/>
                <w:sz w:val="21"/>
                <w:szCs w:val="21"/>
                <w:highlight w:val="none"/>
                <w:u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电源端口</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1个</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 电源适配器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输入：220V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输出：DC12V，4A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385mm(长)*213mm(宽)*421mm(高) </w:t>
            </w:r>
            <w:r/>
          </w:p>
        </w:tc>
      </w:tr>
      <w:tr>
        <w:trPr>
          <w:gridBefore w:val="1"/>
          <w:trHeight w:val="548"/>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1025"/>
              <w:spacing w:line="240" w:lineRule="auto"/>
              <w:rPr>
                <w:rFonts w:hint="eastAsia" w:ascii="宋体" w:hAnsi="宋体" w:eastAsia="宋体" w:cs="宋体"/>
                <w:b w:val="0"/>
                <w:color w:val="auto"/>
                <w:spacing w:val="7"/>
                <w:sz w:val="21"/>
                <w:szCs w:val="21"/>
                <w:highlight w:val="none"/>
                <w:lang w:val="en-US" w:eastAsia="zh-CN"/>
              </w:rPr>
              <w:outlineLvl w:val="9"/>
            </w:pPr>
            <w:r>
              <w:rPr>
                <w:rFonts w:hint="eastAsia" w:ascii="宋体" w:hAnsi="宋体" w:eastAsia="宋体" w:cs="宋体"/>
                <w:b w:val="0"/>
                <w:color w:val="auto"/>
                <w:spacing w:val="7"/>
                <w:sz w:val="21"/>
                <w:szCs w:val="21"/>
                <w:highlight w:val="none"/>
                <w:lang w:val="en-US" w:eastAsia="zh-CN"/>
              </w:rPr>
              <w:t xml:space="preserve">智能服务器</w:t>
            </w:r>
            <w:r/>
          </w:p>
        </w:tc>
        <w:tc>
          <w:tcPr>
            <w:shd w:val="clear" w:color="auto" w:fill="ffffff"/>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支持人脸检测、人脸识别、机非人结构化、绊线、双绊线、周界、物品遗留、物品丢失、徘徊、奔跑、停车、热度图、值岗检测、睡岗检测、智能动检后端智能算法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人脸识别支持20路图片流，或8路1080P/5路3MP/4路4MP/3路5MP/2路6MP/2路8MP视频流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视频流结构化识别支持8路1080P/5路3MP/4路4MP/3路5MP/2路6MP/2路8MP视频流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智能动检算法支持20路视频流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周界绊线算法支持20路视频流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支持性别、年龄、眼镜、口罩人脸特征检测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支持创建最多20个人脸库，可编辑、删除、导入、导出人脸库，并同步到前端，最多10万张人脸底图，10万张路人库图片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支持姓名、性别、年龄、眼镜、口罩人脸特征检索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支持按事件检索人脸：人脸检测、比对报警、陌生人报警、滞留报警检索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支持20路网络摄像机接入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支持IPC分辨率16MP/12MP/8MP/6MP/5MP/4MP/3MP/1080P/UXGA/720P/VGA/4CIF/DCIF/2CIF/CIF/QCIF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接入带宽512Mbps，转发带宽512Mbps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支持1路HDMI，1路VGA；HDMI和VGA支持同源/异源可配输出；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支持HDMI输出4K画面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支持1/2A/2B/3/3A/3B/3C/4/4A/5/5A/6/7/7A/8/9/10/12/13/16/20画面分割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支持GB/T28181（2016和2022版本）、GA/T1400、ONVIF(Profile S/T/G)、RTSP、CGI、SDK协议对接平台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绊线、双绊线、周界、物品遗留、物品丢失、徘徊、奔跑、停车、热度图、视频诊断、音频诊断、车牌识别、值岗检测、人群聚集、违章停车、车位看守、安全帽检测、电动车检测、客流量统计、联动跟踪、高空抛物、烟火检测、环境测温、人脸检测、智能动检、智能场景、人脸识别的前端智能算法管理</w:t>
            </w:r>
            <w:r/>
          </w:p>
        </w:tc>
      </w:tr>
      <w:tr>
        <w:trPr>
          <w:gridBefore w:val="1"/>
          <w:trHeight w:val="330"/>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NTP时钟同步服务器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NTP网络时间服务器是一种基于 NTP（v2,v3,v4）/SNTP 协议的时间服务器，从 GNSS 卫星接收机获取标准的 UTC 时间信息，将这些信息在网络中传输，网络中需要时间信号的设备如计算机，控制器等设备就可以与标准时钟信号同步，实现网络授时功能。标准的时钟信息通过 TCP/IP 网络传输，支持点对点和广播传输模式接入GNSS卫星天线，整个网络即可进行时间同步。产品尺寸采用标准 1U 19 英寸机箱结构，安装方便，即插即用</w:t>
            </w:r>
            <w:r/>
          </w:p>
        </w:tc>
      </w:tr>
      <w:tr>
        <w:trPr>
          <w:gridBefore w:val="1"/>
          <w:trHeight w:val="1275"/>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监控辅助设备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CPU</w:t>
            </w:r>
            <w:r>
              <w:rPr>
                <w:rFonts w:hint="eastAsia" w:ascii="宋体" w:hAnsi="宋体" w:eastAsia="宋体" w:cs="宋体"/>
                <w:i w:val="0"/>
                <w:iCs w:val="0"/>
                <w:color w:val="auto"/>
                <w:sz w:val="21"/>
                <w:szCs w:val="21"/>
                <w:highlight w:val="none"/>
                <w:u w:val="none"/>
              </w:rPr>
              <w:t xml:space="preserve">2.8GHz及以上</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硬盘：不小于1TB SATA+256GB SSD</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内存：不小于16GB</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显卡：不小于2GB显存独立显卡</w:t>
            </w:r>
            <w:r/>
          </w:p>
        </w:tc>
      </w:tr>
      <w:tr>
        <w:trPr>
          <w:gridBefore w:val="1"/>
          <w:trHeight w:val="562"/>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双绞线缆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名称：六类非屏蔽双绞线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敷设方式：管内</w:t>
            </w:r>
            <w:r/>
          </w:p>
        </w:tc>
      </w:tr>
      <w:tr>
        <w:trPr>
          <w:gridBefore w:val="1"/>
          <w:trHeight w:val="660"/>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监控摄像设备1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名称：室外立杆3.5米不锈钢，壁厚1.6mm</w:t>
            </w:r>
            <w:r>
              <w:rPr>
                <w:rFonts w:hint="eastAsia" w:ascii="宋体" w:hAnsi="宋体" w:eastAsia="宋体" w:cs="宋体"/>
                <w:i w:val="0"/>
                <w:iCs w:val="0"/>
                <w:color w:val="auto"/>
                <w:sz w:val="21"/>
                <w:szCs w:val="21"/>
                <w:highlight w:val="none"/>
                <w:u w:val="none"/>
                <w:lang w:val="en-US" w:eastAsia="zh-CN" w:bidi="ar"/>
              </w:rPr>
              <w:br/>
            </w:r>
            <w:r/>
          </w:p>
        </w:tc>
      </w:tr>
      <w:tr>
        <w:trPr>
          <w:gridBefore w:val="1"/>
          <w:trHeight w:val="652"/>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监控摄像设备2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名称：立杆基础，包含混凝土基础、地笼、法兰、螺栓</w:t>
            </w:r>
            <w:r/>
          </w:p>
        </w:tc>
      </w:tr>
      <w:tr>
        <w:trPr>
          <w:gridBefore w:val="1"/>
          <w:trHeight w:val="1275"/>
        </w:trPr>
        <w:tc>
          <w:tcPr>
            <w:shd w:val="clear" w:color="auto" w:fill="ffffff" w:themeFill="background1"/>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名称：室外箱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规格：800*600*300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材质 ：不锈钢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安装方式：落地安装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砼基础及镀锌型钢基础</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四、周界报警系统</w:t>
            </w:r>
            <w:r/>
          </w:p>
        </w:tc>
      </w:tr>
      <w:tr>
        <w:trPr>
          <w:gridBefore w:val="1"/>
          <w:trHeight w:val="104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6线张力式双防区控制器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显示：3.5英寸显示屏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防区类型：单、双防区自适应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线制类别：4~6线自适应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外形尺寸：239 mm×160 mm×58.3mm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主供电电源：DC24V或AC24V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备用电源：DC12V蓄电池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使用环境：温度：－40℃～+80℃   相对湿度≤95%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报警延时：≤2s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功率：最大功率15W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通讯接口：485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报警输出接口：每防区1路，常开、常闭、公共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电源输出接口：1路DC12V 800mA输出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防拆输入：1路                                                                                                                 </w:t>
            </w:r>
            <w:r>
              <w:rPr>
                <w:rFonts w:ascii="Cambria Math" w:hAnsi="Cambria Math" w:eastAsia="宋体" w:cs="Cambria Math"/>
                <w:color w:val="auto"/>
                <w:highlight w:val="none"/>
              </w:rPr>
              <w:t xml:space="preserve">◆</w:t>
            </w:r>
            <w:r>
              <w:rPr>
                <w:rStyle w:val="1073"/>
                <w:rFonts w:hint="eastAsia" w:ascii="宋体" w:hAnsi="宋体" w:eastAsia="宋体" w:cs="宋体"/>
                <w:color w:val="auto"/>
                <w:sz w:val="21"/>
                <w:szCs w:val="21"/>
                <w:highlight w:val="none"/>
                <w:lang w:val="en-US" w:eastAsia="zh-CN" w:bidi="ar"/>
              </w:rPr>
              <w:t xml:space="preserve">具有3.5英寸显示屏，支持显示围栏的线制、静态拉力值、报警阈值、报警状态信息</w:t>
            </w:r>
            <w:r>
              <w:rPr>
                <w:rStyle w:val="1073"/>
                <w:rFonts w:hint="eastAsia" w:ascii="宋体" w:hAnsi="宋体" w:cs="宋体"/>
                <w:color w:val="auto"/>
                <w:sz w:val="21"/>
                <w:szCs w:val="21"/>
                <w:highlight w:val="none"/>
                <w:lang w:val="en-US" w:eastAsia="zh-CN" w:bidi="ar"/>
              </w:rPr>
              <w:t xml:space="preserve">。</w:t>
            </w:r>
            <w:r>
              <w:rPr>
                <w:rStyle w:val="1073"/>
                <w:rFonts w:hint="eastAsia" w:ascii="宋体" w:hAnsi="宋体" w:eastAsia="宋体" w:cs="宋体"/>
                <w:color w:val="auto"/>
                <w:sz w:val="21"/>
                <w:szCs w:val="21"/>
                <w:highlight w:val="none"/>
                <w:lang w:val="en-US" w:eastAsia="zh-CN" w:bidi="ar"/>
              </w:rPr>
              <w:t xml:space="preserve">支持4组定时控制功能，可以实现对单个防区或全部防区定时控制</w:t>
            </w:r>
            <w:r>
              <w:rPr>
                <w:rStyle w:val="1073"/>
                <w:rFonts w:hint="eastAsia" w:ascii="宋体" w:hAnsi="宋体" w:cs="宋体"/>
                <w:color w:val="auto"/>
                <w:sz w:val="21"/>
                <w:szCs w:val="21"/>
                <w:highlight w:val="none"/>
                <w:lang w:val="en-US" w:eastAsia="zh-CN" w:bidi="ar"/>
              </w:rPr>
              <w:t xml:space="preserve">；</w:t>
            </w:r>
            <w:r>
              <w:rPr>
                <w:rStyle w:val="1073"/>
                <w:rFonts w:hint="eastAsia" w:ascii="宋体" w:hAnsi="宋体" w:eastAsia="宋体" w:cs="宋体"/>
                <w:color w:val="auto"/>
                <w:sz w:val="21"/>
                <w:szCs w:val="21"/>
                <w:highlight w:val="none"/>
                <w:lang w:val="en-US" w:eastAsia="zh-CN" w:bidi="ar"/>
              </w:rPr>
              <w:t xml:space="preserve">支持批量设置全部防区为24h防区</w:t>
            </w:r>
            <w:r>
              <w:rPr>
                <w:rStyle w:val="1073"/>
                <w:rFonts w:hint="eastAsia" w:ascii="宋体" w:hAnsi="宋体" w:cs="宋体"/>
                <w:color w:val="auto"/>
                <w:sz w:val="21"/>
                <w:szCs w:val="21"/>
                <w:highlight w:val="none"/>
                <w:lang w:val="en-US" w:eastAsia="zh-CN" w:bidi="ar"/>
              </w:rPr>
              <w:t xml:space="preserve">，</w:t>
            </w:r>
            <w:r>
              <w:rPr>
                <w:rStyle w:val="1073"/>
                <w:rFonts w:hint="eastAsia" w:ascii="宋体" w:hAnsi="宋体" w:eastAsia="宋体" w:cs="宋体"/>
                <w:color w:val="auto"/>
                <w:sz w:val="21"/>
                <w:szCs w:val="21"/>
                <w:highlight w:val="none"/>
                <w:lang w:val="en-US" w:eastAsia="zh-CN" w:bidi="ar"/>
              </w:rPr>
              <w:t xml:space="preserve">警戒张力值支持自动调整，20s内自动收紧张力索至正常警戒张立值范围内</w:t>
            </w:r>
            <w:r>
              <w:rPr>
                <w:rStyle w:val="1073"/>
                <w:rFonts w:hint="eastAsia" w:ascii="宋体" w:hAnsi="宋体" w:cs="宋体"/>
                <w:color w:val="auto"/>
                <w:sz w:val="21"/>
                <w:szCs w:val="21"/>
                <w:highlight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提供检验报告原件扫描件，检测报告需为具有CMA标志的第三方机构出具的检测报告；）</w:t>
            </w:r>
            <w:r/>
          </w:p>
        </w:tc>
      </w:tr>
      <w:tr>
        <w:trPr>
          <w:gridBefore w:val="1"/>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6线张力式单防区控制器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显示：3.5英寸显示屏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防区类型：单、双防区自适应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线制类别：4~6线自适应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外形尺寸：239 mm×160 mm×58.3mm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主供电电源：DC24V或AC24V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备用电源：DC12V蓄电池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使用环境：温度：－40℃～+80℃   相对湿度≤95%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报警延时：≤2s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功率：最大功率15W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通讯接口：485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报警输出接口：每防区1路，常开、常闭、公共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电源输出接口：1路DC12V 800mA输出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防拆输入：1路                                                                                                                 </w:t>
            </w:r>
            <w:r/>
          </w:p>
        </w:tc>
      </w:tr>
      <w:tr>
        <w:trPr>
          <w:gridBefore w:val="1"/>
          <w:trHeight w:val="24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张力终端受力杆（6线含全套配件）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铝合金材质，40mm*40mm*1200mm。</w:t>
            </w:r>
            <w:r/>
          </w:p>
        </w:tc>
      </w:tr>
      <w:tr>
        <w:trPr>
          <w:gridBefore w:val="1"/>
          <w:trHeight w:val="2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张力式过线杆(6线含全套配件）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铝合金材质，工字型12*20*1200mm</w:t>
            </w:r>
            <w:r/>
          </w:p>
        </w:tc>
      </w:tr>
      <w:tr>
        <w:trPr>
          <w:gridBefore w:val="1"/>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转角用滑轮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铝合金材质，可360°旋转，安装于终端受力杆上起到转向作用，滑轮由轴承和包塑尼龙组成，自润滑性和转动阻力较好。</w:t>
            </w:r>
            <w:r/>
          </w:p>
        </w:tc>
      </w:tr>
      <w:tr>
        <w:trPr>
          <w:gridBefore w:val="1"/>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不锈钢合金线（500米/卷或1000米/卷）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直径1.2mm,材质304不锈钢丝，抗氧化，耐腐蚀</w:t>
            </w:r>
            <w:r>
              <w:rPr>
                <w:rFonts w:hint="eastAsia" w:ascii="宋体" w:hAnsi="宋体" w:cs="宋体"/>
                <w:i w:val="0"/>
                <w:iCs w:val="0"/>
                <w:color w:val="auto"/>
                <w:sz w:val="21"/>
                <w:szCs w:val="21"/>
                <w:highlight w:val="none"/>
                <w:u w:val="none"/>
                <w:lang w:val="en-US" w:eastAsia="zh-CN" w:bidi="ar"/>
              </w:rPr>
              <w:t xml:space="preserve">。</w:t>
            </w:r>
            <w:r/>
          </w:p>
          <w:p>
            <w:pPr>
              <w:ind w:left="0" w:firstLine="0"/>
              <w:jc w:val="left"/>
              <w:keepLines w:val="0"/>
              <w:keepNext w:val="0"/>
              <w:spacing w:line="240" w:lineRule="auto"/>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ascii="Cambria Math" w:hAnsi="Cambria Math" w:eastAsia="宋体" w:cs="Cambria Math"/>
                <w:i w:val="0"/>
                <w:iCs w:val="0"/>
                <w:color w:val="auto"/>
                <w:highlight w:val="none"/>
                <w:u w:val="none"/>
              </w:rPr>
              <w:t xml:space="preserve">◆</w:t>
            </w:r>
            <w:r>
              <w:rPr>
                <w:rFonts w:hint="eastAsia" w:ascii="宋体" w:hAnsi="宋体" w:eastAsia="宋体" w:cs="宋体"/>
                <w:b/>
                <w:bCs/>
                <w:i w:val="0"/>
                <w:iCs w:val="0"/>
                <w:color w:val="auto"/>
                <w:sz w:val="21"/>
                <w:szCs w:val="21"/>
                <w:highlight w:val="none"/>
                <w:u w:val="none"/>
                <w:lang w:val="en-US" w:eastAsia="zh-CN" w:bidi="ar"/>
              </w:rPr>
              <w:t xml:space="preserve">（1）不锈钢合金线拉力≥7.0KN，受冲击后能迅速恢复不易变形；低温老化，-30℃，360h弯曲180°无裂痕；</w:t>
            </w:r>
            <w:r>
              <w:rPr>
                <w:rFonts w:hint="eastAsia" w:ascii="宋体" w:hAnsi="宋体" w:eastAsia="宋体" w:cs="宋体"/>
                <w:i w:val="0"/>
                <w:iCs w:val="0"/>
                <w:strike w:val="0"/>
                <w:color w:val="auto"/>
                <w:sz w:val="21"/>
                <w:szCs w:val="21"/>
                <w:highlight w:val="none"/>
                <w:u w:val="none"/>
                <w:lang w:val="en-US" w:eastAsia="zh-CN" w:bidi="ar"/>
              </w:rPr>
              <w:t xml:space="preserve">提供检验报告原件扫描件，检测报告需为具有CMA标志的第三方机构出具的检测报告；）</w:t>
            </w:r>
            <w:r/>
          </w:p>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ascii="Cambria Math" w:hAnsi="Cambria Math" w:eastAsia="宋体" w:cs="Cambria Math"/>
                <w:i w:val="0"/>
                <w:iCs w:val="0"/>
                <w:color w:val="auto"/>
                <w:highlight w:val="none"/>
                <w:u w:val="none"/>
              </w:rPr>
              <w:t xml:space="preserve">◆</w:t>
            </w:r>
            <w:r>
              <w:rPr>
                <w:rFonts w:hint="eastAsia" w:ascii="宋体" w:hAnsi="宋体" w:eastAsia="宋体" w:cs="宋体"/>
                <w:b/>
                <w:bCs/>
                <w:i w:val="0"/>
                <w:iCs w:val="0"/>
                <w:color w:val="auto"/>
                <w:sz w:val="21"/>
                <w:szCs w:val="21"/>
                <w:highlight w:val="none"/>
                <w:u w:val="none"/>
                <w:lang w:val="en-US" w:eastAsia="zh-CN" w:bidi="ar"/>
              </w:rPr>
              <w:t xml:space="preserve">（2）不锈钢合金线检测报告：报告中符合不锈钢合金线抗拉强度≥1450MPa；符合GB/T36812011标准的自然气候暴露试验灰卡等级不低于5级的检测报告</w:t>
            </w:r>
            <w:r>
              <w:rPr>
                <w:rFonts w:hint="eastAsia" w:ascii="宋体" w:hAnsi="宋体" w:eastAsia="宋体" w:cs="宋体"/>
                <w:i w:val="0"/>
                <w:iCs w:val="0"/>
                <w:strike w:val="0"/>
                <w:color w:val="auto"/>
                <w:sz w:val="21"/>
                <w:szCs w:val="21"/>
                <w:highlight w:val="none"/>
                <w:u w:val="none"/>
                <w:lang w:val="en-US" w:eastAsia="zh-CN" w:bidi="ar"/>
              </w:rPr>
              <w:t xml:space="preserve">提供检验报告原件扫描件，检测报告需为具有CMA标志的第三方机构出具的检测报告；）</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不锈钢收紧器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铝合金材质，收紧张力线、带松线按钮</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警示牌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PVC材质，黄底黑字，双面为夜光显示，不小于尺寸为100*200mm。</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高压避雷器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10KV高压氧化锌避雷器硅胶避雷器，高度260MM；防静电；易于维护；保护无线通讯信号不受脉冲高压干扰。</w:t>
            </w:r>
            <w:r/>
          </w:p>
        </w:tc>
      </w:tr>
      <w:tr>
        <w:trPr>
          <w:gridBefore w:val="1"/>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长度1.5米、直径16mm、外镀锌</w:t>
            </w:r>
            <w:r/>
          </w:p>
        </w:tc>
      </w:tr>
      <w:tr>
        <w:trPr>
          <w:gridBefore w:val="1"/>
          <w:trHeight w:val="25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不锈钢弹簧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304不锈钢，抗氧化、耐腐蚀性，安装于防区的末端。</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束线器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铝合金材质，用于警固张力线</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室外防水警号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DC12V 1W，室外安装，报警时发出声光报警信号</w:t>
            </w:r>
            <w:r/>
          </w:p>
        </w:tc>
      </w:tr>
      <w:tr>
        <w:trPr>
          <w:gridBefore w:val="1"/>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红外对射(4光束50米)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光束数量‌：均为四光束设计，探测距离‌：50米， ‌感应速度‌：多在35-700毫秒可调 ‌工作电压‌：支持DC12-24V ‌</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温度范围‌：-25℃至+55℃或-10℃至+50℃ 湿度范围‌：≤95%RH或5%-95%RH    ‌防护等级‌：IP55或IP65（防尘防水等级） ‌</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功能特性调整角度‌：水平可达±180°，垂直±15° ‌报警输出‌：常闭/常开触点，容量AC/DC 30V 0.5Amax ‌抗干扰能力‌：支持防拆、抗雷击、智能加热等功能</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探测器支架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不锈钢304,50CM长度，40圆管，壁厚1.2MM。</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单防区地址模块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单防区地址码模块</w:t>
            </w:r>
            <w:r/>
          </w:p>
        </w:tc>
      </w:tr>
      <w:tr>
        <w:trPr>
          <w:gridBefore w:val="1"/>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电源防水箱（含电源）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SUS201不锈钢材质，500*400*200mm、壁厚0.6mm，三角锁、无安装孔、无导轨、无防拆开关</w:t>
            </w:r>
            <w:r/>
          </w:p>
        </w:tc>
      </w:tr>
      <w:tr>
        <w:trPr>
          <w:gridBefore w:val="1"/>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报警管理主机（含键盘）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主电源：AC220V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备用电源：DC12V5AH蓄电池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功耗：18W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警号输出：DC12V 600mA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辅助电源输出：DC12V 800mA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通讯接口：3路RS485接口、1路室内总线接口、1路100M网口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打印机接口：1路usb接口外接微型usb打印机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本地防区：8路分线制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子系统数量：8个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尺寸：长*宽*高：304*244*80mm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工作温度：-20℃~50℃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工作湿度：不大于90%，非凝露                                                                                                    </w:t>
            </w:r>
            <w:r>
              <w:rPr>
                <w:rFonts w:ascii="Cambria Math" w:hAnsi="Cambria Math" w:eastAsia="宋体" w:cs="Cambria Math"/>
                <w:i w:val="0"/>
                <w:iCs w:val="0"/>
                <w:color w:val="auto"/>
                <w:highlight w:val="none"/>
                <w:u w:val="none"/>
              </w:rPr>
              <w:t xml:space="preserve">◆</w:t>
            </w:r>
            <w:r>
              <w:rPr>
                <w:rStyle w:val="1073"/>
                <w:rFonts w:hint="eastAsia" w:ascii="宋体" w:hAnsi="宋体" w:eastAsia="宋体" w:cs="宋体"/>
                <w:color w:val="auto"/>
                <w:sz w:val="21"/>
                <w:szCs w:val="21"/>
                <w:highlight w:val="none"/>
                <w:lang w:val="en-US" w:eastAsia="zh-CN" w:bidi="ar"/>
              </w:rPr>
              <w:t xml:space="preserve">采用 B/S 架构，支持通过浏览器进行访问并具有修改参数、接收报警记录等功能。支持通过软件对键盘软件进行升级。控制键盘具有旁路快捷键。WEB平台支持存储各种工作数据及报警信息，可以根据时间、设备类型、防区信息等条件进行报警记录查询。支持本机保存5000条报警记录和5000条操作日志。                                                                                                              </w:t>
            </w:r>
            <w:r>
              <w:rPr>
                <w:rFonts w:hint="eastAsia" w:ascii="宋体" w:hAnsi="宋体" w:eastAsia="宋体" w:cs="宋体"/>
                <w:i w:val="0"/>
                <w:iCs w:val="0"/>
                <w:strike w:val="0"/>
                <w:color w:val="auto"/>
                <w:sz w:val="21"/>
                <w:szCs w:val="21"/>
                <w:highlight w:val="none"/>
                <w:u w:val="none"/>
                <w:lang w:val="en-US" w:eastAsia="zh-CN" w:bidi="ar"/>
              </w:rPr>
              <w:t xml:space="preserve">提供检验报告原件扫描件，检测报告需为具有CMA标志的第三方机构出具的检测报告；）</w:t>
            </w:r>
            <w:r/>
          </w:p>
        </w:tc>
      </w:tr>
      <w:tr>
        <w:trPr>
          <w:gridBefore w:val="1"/>
          <w:trHeight w:val="38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报警管理多功能软件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报警设备：支持报警主机、智能控制终端、振动光纤、电磁感知设备接入，支持防区名批量修改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电子地图：支持图片、矢量、GIS格式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支持报警记录、操作日志存储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支持在线升级、自动备份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提供modbus TCP、API接口</w:t>
            </w:r>
            <w:r/>
          </w:p>
        </w:tc>
      </w:tr>
      <w:tr>
        <w:trPr>
          <w:gridBefore w:val="1"/>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电子地图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灯带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内置电子地图联动模块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标准定制尺寸1㎡</w:t>
            </w:r>
            <w:r/>
          </w:p>
        </w:tc>
      </w:tr>
      <w:tr>
        <w:trPr>
          <w:gridBefore w:val="1"/>
          <w:trHeight w:val="3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视频联动模块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工作电压:DC12V ±20%，650mA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工作温度：-40℃～+70℃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工作湿度：≤95%，非凝露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led接口:32个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通信接口：RS485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尺寸：130*120*40mm</w:t>
            </w:r>
            <w:r/>
          </w:p>
        </w:tc>
      </w:tr>
      <w:tr>
        <w:trPr>
          <w:gridBefore w:val="1"/>
          <w:trHeight w:val="15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紧急按钮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颜色：本白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开关方式：按钮自锁，钥匙复位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负载电流：1.25A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开关耐压：250V DC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输出接口：常开、常闭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产品尺寸：86*86*32mm</w:t>
            </w:r>
            <w:r/>
          </w:p>
        </w:tc>
      </w:tr>
      <w:tr>
        <w:trPr>
          <w:gridBefore w:val="1"/>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入侵报警中心显示设备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DC12V 3W，室内安装，报警音量旋钮调节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尺寸：122*72*43mm</w:t>
            </w:r>
            <w:r/>
          </w:p>
        </w:tc>
      </w:tr>
      <w:tr>
        <w:trPr>
          <w:gridBefore w:val="1"/>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配线1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名称：RVV3*1.0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配线形式：管内穿线</w:t>
            </w:r>
            <w:r/>
          </w:p>
        </w:tc>
      </w:tr>
      <w:tr>
        <w:trPr>
          <w:gridBefore w:val="1"/>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配线2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名称：RVVP2*1.0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配线形式：管内穿线</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五、人行出入口</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（一）室外人行通道部分</w:t>
            </w:r>
            <w:r/>
          </w:p>
        </w:tc>
      </w:tr>
      <w:tr>
        <w:trPr>
          <w:gridBefore w:val="1"/>
          <w:trHeight w:val="61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84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人脸发卡器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核心功能：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（1）支持采集IC卡、ID卡、CPU物理卡号、身份证物理卡号的类型的卡号；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（2）支持采集人员指纹信息；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（3）人性化交互提示，登记操作简单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基本参数：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（1）Linux操作系统；512MB运存，8G存储；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（2）5英寸高清触摸屏，分辨率480*854；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（3）双目200万宽动态高清摄像头，镜头焦距4.5mm；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（4）人脸采集参数：识别距离为0.3-4m；识别时间≤0.2s；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（5）指纹采集参数：认假率（FAR）＜0.001%；拒真率（FRR）＜0.1%；搜索时间：＜1S；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（6）读卡参数：</w:t>
            </w:r>
            <w:r>
              <w:rPr>
                <w:rFonts w:hint="eastAsia" w:ascii="宋体" w:hAnsi="宋体" w:eastAsia="宋体" w:cs="宋体"/>
                <w:i w:val="0"/>
                <w:iCs w:val="0"/>
                <w:strike w:val="0"/>
                <w:color w:val="auto"/>
                <w:sz w:val="21"/>
                <w:szCs w:val="21"/>
                <w:highlight w:val="none"/>
                <w:u w:val="none"/>
                <w:lang w:val="en-US" w:eastAsia="zh-CN" w:bidi="ar"/>
              </w:rPr>
              <w:t xml:space="preserve">读卡协议满足国家通用标准</w:t>
            </w:r>
            <w:r>
              <w:rPr>
                <w:rFonts w:hint="eastAsia" w:ascii="宋体" w:hAnsi="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读卡类型包含以下：Mifare classic s50/s70、Mifare ultralight、Mifare desfire、Mifare puls S/X、FM1108/SH1108、FM1208/FM1216；读卡频率为125Khz/13.56Mhz；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（7）电源接口 ：DC12V；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（8）USB接口：USB2.0；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（9）RJ45网口：RJ45网口；</w:t>
            </w:r>
            <w:r/>
          </w:p>
        </w:tc>
      </w:tr>
      <w:tr>
        <w:trPr>
          <w:gridBefore w:val="1"/>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85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单机芯摆闸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1.尺寸L1200*W160*H980mm,通道净宽度550-1000mm;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2.304不锈钢材料,上盖国标1.2mm，机身1.0mm；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3.直流无刷电机；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4.遇阻反弹/停止，每通道4对红外检测传感器保护；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5.一控一控制器，方便接线施工和后期维护；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6.防撞夹头摆臂转筒，可装亚克力/不锈钢摆臂；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7.闸机标配超级电容，断电后门翼自动打开；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8.闸机自带漏电保护器，增强人身安全防护，方便现场人员施工接线；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9.上盖内翻结构，方便靠墙安装设备；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10.使用环境：室内外</w:t>
            </w:r>
            <w:r/>
          </w:p>
        </w:tc>
      </w:tr>
      <w:tr>
        <w:trPr>
          <w:gridBefore w:val="1"/>
          <w:trHeight w:val="76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86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双机芯摆闸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1.尺寸L1200*W160*H980mm,通道净宽度550-1000mm;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2.304不锈钢材料,上盖国标1.2mm，机身1.0mm；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3.直流无刷电机；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4.遇阻反弹/停止，每通道4对红外检测传感器保护；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5.一控一控制器，方便接线施工和后期维护；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6.防撞夹头摆臂转筒，可装亚克力/不锈钢摆臂；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7.闸机标配超级电容，断电后门翼自动打开；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8.闸机自带漏电保护器，增强人身安全防护，方便现场人员施工接线；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9.上盖内翻结构，方便靠墙安装设备；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10.使用环境：室内外</w:t>
            </w:r>
            <w:r/>
          </w:p>
        </w:tc>
      </w:tr>
      <w:tr>
        <w:trPr>
          <w:gridBefore w:val="1"/>
          <w:trHeight w:val="571"/>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人脸读卡器-闸机头组件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安装方式：支持壁挂、闸机安装，IP55室内外使用；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工作温度：-20℃至60℃,&lt;90℃RH；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系统：嵌入式LINUX；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存储：运行内存1GB,数据存储8GB：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显示屏：7寸非触摸屏，分辨率1024*600；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人脸容量：1：N,N≤5万；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摄像头：双目200万、宽动态摄像头；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机身尺寸：240*132*20mm（长*宽*厚)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不支持：WIFI\麦克风；</w:t>
            </w:r>
            <w:r/>
          </w:p>
        </w:tc>
      </w:tr>
      <w:tr>
        <w:trPr>
          <w:gridBefore w:val="1"/>
          <w:trHeight w:val="270"/>
        </w:trPr>
        <w:tc>
          <w:tcPr>
            <w:gridSpan w:val="3"/>
            <w:shd w:val="clear" w:color="auto" w:fill="ffffff" w:themeFill="background1"/>
            <w:tcBorders>
              <w:top w:val="none" w:color="000000" w:sz="4" w:space="0"/>
              <w:left w:val="none" w:color="000000" w:sz="4" w:space="0"/>
              <w:bottom w:val="none" w:color="000000" w:sz="4" w:space="0"/>
              <w:right w:val="non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六、安保系统</w:t>
            </w:r>
            <w:r/>
          </w:p>
        </w:tc>
      </w:tr>
      <w:tr>
        <w:trPr>
          <w:gridBefore w:val="1"/>
          <w:trHeight w:val="6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right"/>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产品性能：新超强铝合金材结构，硅胶内胆包裹，接缝处防水密封圈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存储容量：60000条数据存储，可定制扩容到120000条容量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通讯模式：采用USB通讯模式，无需安装USB驱动，即插即用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读卡距离：非接触感应，3-5厘米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电池容量：650毫安聚合物理电池， 续航时间：14天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读卡提示：读卡成功有灯光、声音/振动提示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电池功耗：待机电流为0.12以内毫安，功耗为0.45毫瓦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屏显功能：显示时间，存储记录数等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产品参数：长x宽x高：147x42x22mm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人性设计：良好的握持手感，无需按键，无需操作，自动感应读卡，指示灯多种提示方式，一秒判断巡更情况和故障情况。</w:t>
            </w:r>
            <w:r/>
          </w:p>
        </w:tc>
      </w:tr>
      <w:tr>
        <w:trPr>
          <w:gridBefore w:val="1"/>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right"/>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2"/>
                <w:szCs w:val="22"/>
                <w:highlight w:val="none"/>
                <w:u w:val="none"/>
                <w:lang w:val="en-US" w:eastAsia="zh-CN" w:bidi="ar"/>
              </w:rPr>
              <w:t xml:space="preserve">89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数据变送器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19"/>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 10×10×3.5 cm </w:t>
            </w:r>
            <w:r/>
          </w:p>
          <w:p>
            <w:pPr>
              <w:numPr>
                <w:ilvl w:val="0"/>
                <w:numId w:val="19"/>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材料:合金</w:t>
            </w:r>
            <w:r/>
          </w:p>
          <w:p>
            <w:pPr>
              <w:numPr>
                <w:ilvl w:val="0"/>
                <w:numId w:val="19"/>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电源: 电压为6v ，50hz    </w:t>
            </w:r>
            <w:r/>
          </w:p>
          <w:p>
            <w:pPr>
              <w:numPr>
                <w:ilvl w:val="0"/>
                <w:numId w:val="19"/>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操作温度:-40至+95℃的环境下使用</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功能:与计算机通过USB通讯，起稳定快速传输和转换数据的功能.</w:t>
            </w:r>
            <w:r/>
          </w:p>
        </w:tc>
      </w:tr>
      <w:tr>
        <w:trPr>
          <w:gridBefore w:val="1"/>
          <w:trHeight w:val="9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righ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巡更点信息纽扣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工作频率125K，具有防水、防震、防撬，安装简便、耐用、提示标签贴等功能。内置不可修改的ID码，序列号具有全球唯一性，巡更、标识二合一功能，用来识别巡逻地点。</w:t>
            </w:r>
            <w:r/>
          </w:p>
        </w:tc>
      </w:tr>
      <w:tr>
        <w:trPr>
          <w:gridBefore w:val="1"/>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200"/>
              <w:jc w:val="right"/>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标示牌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20"/>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材质：亚克力带背胶  </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尺寸：10mm*6mm </w:t>
            </w:r>
            <w:r/>
          </w:p>
        </w:tc>
      </w:tr>
      <w:tr>
        <w:trPr>
          <w:gridBefore w:val="1"/>
          <w:trHeight w:val="803"/>
        </w:trPr>
        <w:tc>
          <w:tcPr>
            <w:shd w:val="clear" w:color="auto" w:fill="ffffff" w:themeFill="background1"/>
            <w:tcBorders>
              <w:top w:val="single" w:color="000000" w:sz="4" w:space="0"/>
              <w:left w:val="single" w:color="000000" w:sz="4" w:space="0"/>
              <w:bottom w:val="single" w:color="auto" w:sz="4" w:space="0"/>
              <w:right w:val="single" w:color="000000" w:sz="4" w:space="0"/>
            </w:tcBorders>
            <w:tcW w:w="704" w:type="dxa"/>
            <w:vAlign w:val="center"/>
            <w:textDirection w:val="lrTb"/>
            <w:noWrap w:val="false"/>
          </w:tcPr>
          <w:p>
            <w:pPr>
              <w:ind w:firstLine="200"/>
              <w:jc w:val="righ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中文软件</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单机软件：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巡査路线、巡査时间应能根据安全管理需要进行设定和修改，支持设置巡更线路、班次等要求。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满足采集装置或识读装置内的巡査信息应能直接输出打印或通过信息转换装置下载到管理终端输出打印，同时支持生成相应原始数据报表、正常巡查报表、漏检报表，并可以导出，报表中包含日期及时间。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中文界面，一键备份和还原系统数据。</w:t>
            </w:r>
            <w:r/>
          </w:p>
        </w:tc>
      </w:tr>
      <w:tr>
        <w:trPr>
          <w:gridBefore w:val="1"/>
          <w:trHeight w:val="270"/>
        </w:trPr>
        <w:tc>
          <w:tcPr>
            <w:gridSpan w:val="3"/>
            <w:shd w:val="clear" w:color="auto" w:fill="ffffff" w:themeFill="background1"/>
            <w:tcBorders>
              <w:top w:val="single" w:color="auto" w:sz="4" w:space="0"/>
              <w:left w:val="single" w:color="auto" w:sz="4" w:space="0"/>
              <w:bottom w:val="single" w:color="auto" w:sz="4" w:space="0"/>
              <w:right w:val="single" w:color="auto"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七、出入口管理系统</w:t>
            </w:r>
            <w:r/>
          </w:p>
        </w:tc>
      </w:tr>
      <w:tr>
        <w:trPr>
          <w:gridBefore w:val="1"/>
          <w:trHeight w:val="632"/>
        </w:trPr>
        <w:tc>
          <w:tcPr>
            <w:shd w:val="clear" w:color="auto" w:fill="ffffff" w:themeFill="background1"/>
            <w:tcBorders>
              <w:top w:val="single" w:color="auto" w:sz="4" w:space="0"/>
              <w:left w:val="single" w:color="000000" w:sz="4" w:space="0"/>
              <w:bottom w:val="single" w:color="000000" w:sz="4" w:space="0"/>
              <w:right w:val="single" w:color="000000" w:sz="4" w:space="0"/>
            </w:tcBorders>
            <w:tcW w:w="704" w:type="dxa"/>
            <w:vAlign w:val="center"/>
            <w:textDirection w:val="lrTb"/>
            <w:noWrap/>
          </w:tcPr>
          <w:p>
            <w:pPr>
              <w:ind w:firstLine="200"/>
              <w:jc w:val="righ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液压一体升降柱</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设备参数：（下置驱动上承重结构）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1.预埋筒：（A3钢烤漆）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预埋桶高度：1105mm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预埋桶直径：273mm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预埋桶厚度：2.5±0.3mm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2.防撞柱：（304不锈钢）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防撞柱总高度：700mm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拦截高度：600mm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预埋桶直径：273mm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防撞柱体直径：219mm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防撞柱体厚度：6±0.5mm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3.结构件（防腐工艺）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法兰盘：366*366厚度8±0.3mm（国标304不锈钢）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防撞柱顶盖：直径219*厚度8±0.3mm（国标304不锈钢）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防撞尼龙套：塑胶磨具定制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行程导轨：16*745mm（45号钢镀铬）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下顶柱：16*80mm（45号钢镀铬）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调节脚杯：磨具定制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结构件底板：直径 270*8±0.3mm（A3钢防锈处理）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内筒动圆环：直径 270*8±0.3mm（A3钢防锈处理）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机芯底板：直径 180*8±0.3mm（A3钢防锈处理）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4.警示标识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灯盘：塑胶磨具定制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LED警示灯：高亮、白光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反光贴：3M DG第三代 钻石级 全棱镜技术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5.动力单元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输入电压：220V±10%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上升速度： 3.7s：200mm/s；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下降速度： 1.9s：300mm/s；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电机：300W AC220V 2800RPM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齿轮泵：1.75ST 4.9L/MIN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液压缸外壳：铝合金氧化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电磁阀电压：DC12V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油缸行程：610mm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防护等级：IP68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工作温度：-25℃~70℃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电液一体执行器举升力：150kg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噪声：低于50分贝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测试寿命：＞10万次（1次/分钟）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机芯过热保护：100°C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加热装置：选配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油箱容积：1.5L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防腐等级：9级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6参考执行标准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GA/T 1343-2016（防暴升降式阻车路障）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标准 绝缘电阻：GA/T 1343-2016标准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泄露电流：GA/T 1343-2016标准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静电放电抗扰度：GA/T 1343-2016标准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升降性能：GA/T 1343-2016标准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警示标识：GA/T 1343-2016标准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电快速瞬变脉冲群抗扰度：GA/T 1343-2016标准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浪涌冲击抗扰度：GA/T 1343-2016标准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可靠性：GA/T 1343-2016标准</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◆液压一体升降柱电动液压系统符合GB/T25849-2024检测标准（</w:t>
            </w:r>
            <w:r>
              <w:rPr>
                <w:rFonts w:hint="eastAsia" w:ascii="宋体" w:hAnsi="宋体" w:eastAsia="宋体" w:cs="宋体"/>
                <w:i w:val="0"/>
                <w:iCs w:val="0"/>
                <w:strike w:val="0"/>
                <w:color w:val="auto"/>
                <w:sz w:val="21"/>
                <w:szCs w:val="21"/>
                <w:highlight w:val="none"/>
                <w:u w:val="none"/>
                <w:lang w:val="en-US" w:eastAsia="zh-CN" w:bidi="ar"/>
              </w:rPr>
              <w:t xml:space="preserve">提供检验报告原件扫描件，检测报告需为具有CMA标志的第三方机构出具的检测报告；）</w:t>
            </w:r>
            <w:r/>
          </w:p>
          <w:p>
            <w:pPr>
              <w:ind w:firstLine="200"/>
              <w:jc w:val="left"/>
              <w:keepLines w:val="0"/>
              <w:keepNext w:val="0"/>
              <w:spacing w:line="240" w:lineRule="auto"/>
              <w:widowControl/>
              <w:rPr>
                <w:rFonts w:hint="default" w:ascii="宋体" w:hAnsi="宋体" w:eastAsia="宋体" w:cs="Times New Roman"/>
                <w:i/>
                <w:iCs/>
                <w:color w:val="auto"/>
                <w:sz w:val="18"/>
                <w:szCs w:val="18"/>
                <w:highlight w:val="none"/>
                <w:u w:val="singl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◆液压一体升降柱外壳</w:t>
            </w:r>
            <w:r>
              <w:rPr>
                <w:rFonts w:hint="default" w:ascii="宋体" w:hAnsi="宋体" w:eastAsia="宋体" w:cs="宋体"/>
                <w:i w:val="0"/>
                <w:iCs w:val="0"/>
                <w:color w:val="auto"/>
                <w:sz w:val="21"/>
                <w:szCs w:val="21"/>
                <w:highlight w:val="none"/>
                <w:u w:val="none"/>
                <w:lang w:val="en-US" w:eastAsia="zh-CN" w:bidi="ar"/>
              </w:rPr>
              <w:t xml:space="preserve">按照GB/T 4208-2017 中13.4,实验时间:</w:t>
            </w:r>
            <w:r>
              <w:rPr>
                <w:rFonts w:hint="eastAsia" w:ascii="宋体" w:hAnsi="宋体" w:eastAsia="宋体" w:cs="宋体"/>
                <w:i w:val="0"/>
                <w:iCs w:val="0"/>
                <w:color w:val="auto"/>
                <w:sz w:val="21"/>
                <w:szCs w:val="21"/>
                <w:highlight w:val="none"/>
                <w:u w:val="none"/>
                <w:lang w:val="en-US" w:eastAsia="zh-CN" w:bidi="ar"/>
              </w:rPr>
              <w:t xml:space="preserve">360</w:t>
            </w:r>
            <w:r>
              <w:rPr>
                <w:rFonts w:hint="default" w:ascii="宋体" w:hAnsi="宋体" w:eastAsia="宋体" w:cs="宋体"/>
                <w:i w:val="0"/>
                <w:iCs w:val="0"/>
                <w:color w:val="auto"/>
                <w:sz w:val="21"/>
                <w:szCs w:val="21"/>
                <w:highlight w:val="none"/>
                <w:u w:val="none"/>
                <w:lang w:val="en-US" w:eastAsia="zh-CN" w:bidi="ar"/>
              </w:rPr>
              <w:t xml:space="preserve">h。试验后，外壳内应无明显的粉尘沉积</w:t>
            </w:r>
            <w:r>
              <w:rPr>
                <w:rFonts w:hint="eastAsia" w:ascii="宋体" w:hAnsi="宋体" w:eastAsia="宋体" w:cs="宋体"/>
                <w:i w:val="0"/>
                <w:iCs w:val="0"/>
                <w:color w:val="auto"/>
                <w:sz w:val="21"/>
                <w:szCs w:val="21"/>
                <w:highlight w:val="none"/>
                <w:u w:val="none"/>
                <w:lang w:val="en-US" w:eastAsia="zh-CN" w:bidi="ar"/>
              </w:rPr>
              <w:t xml:space="preserve">；</w:t>
            </w:r>
            <w:r>
              <w:rPr>
                <w:rFonts w:hint="default" w:ascii="宋体" w:hAnsi="宋体" w:eastAsia="宋体" w:cs="宋体"/>
                <w:i w:val="0"/>
                <w:iCs w:val="0"/>
                <w:color w:val="auto"/>
                <w:sz w:val="21"/>
                <w:szCs w:val="21"/>
                <w:highlight w:val="none"/>
                <w:u w:val="none"/>
                <w:lang w:val="en-US" w:eastAsia="zh-CN" w:bidi="ar"/>
              </w:rPr>
              <w:t xml:space="preserve">水流量(100士5)L/min;喷嘴直径:12.6mm;l3.0m;试验时间:3min</w:t>
            </w:r>
            <w:r>
              <w:rPr>
                <w:rFonts w:hint="eastAsia" w:ascii="宋体" w:hAnsi="宋体" w:eastAsia="宋体" w:cs="宋体"/>
                <w:i w:val="0"/>
                <w:iCs w:val="0"/>
                <w:color w:val="auto"/>
                <w:sz w:val="21"/>
                <w:szCs w:val="21"/>
                <w:highlight w:val="none"/>
                <w:u w:val="none"/>
                <w:lang w:val="en-US" w:eastAsia="zh-CN" w:bidi="ar"/>
              </w:rPr>
              <w:t xml:space="preserve">循环30次。</w:t>
            </w:r>
            <w:r>
              <w:rPr>
                <w:rFonts w:hint="eastAsia" w:ascii="宋体" w:hAnsi="宋体" w:eastAsia="宋体" w:cs="宋体"/>
                <w:i w:val="0"/>
                <w:iCs w:val="0"/>
                <w:strike w:val="0"/>
                <w:color w:val="auto"/>
                <w:sz w:val="21"/>
                <w:szCs w:val="21"/>
                <w:highlight w:val="none"/>
                <w:u w:val="none"/>
                <w:lang w:val="en-US" w:eastAsia="zh-CN" w:bidi="ar"/>
              </w:rPr>
              <w:t xml:space="preserve">提供检验报告原件扫描件，检测报告需为具有CMA标志的第三方机构出具的检测报告；）</w:t>
            </w:r>
            <w:r/>
          </w:p>
        </w:tc>
      </w:tr>
      <w:tr>
        <w:trPr>
          <w:gridBefore w:val="1"/>
          <w:trHeight w:val="191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right"/>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控制系统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室内控制箱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500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*600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*200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材质：冷轧钢板+喷塑处理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主控板：PLC</w:t>
            </w:r>
            <w:r>
              <w:rPr>
                <w:rFonts w:hint="eastAsia" w:ascii="宋体" w:hAnsi="宋体" w:cs="宋体"/>
                <w:i w:val="0"/>
                <w:iCs w:val="0"/>
                <w:color w:val="auto"/>
                <w:sz w:val="21"/>
                <w:szCs w:val="21"/>
                <w:highlight w:val="none"/>
                <w:u w:val="none"/>
                <w:lang w:val="en-US" w:eastAsia="zh-CN" w:bidi="ar"/>
              </w:rPr>
              <w:t xml:space="preserve">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控制方式：无线遥控、有线控制器、内网WEB访问、远程APP控制或远程web访问（远程控制需配合远程传输单元）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支持多种通讯协议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数字量输入端口采用双向光藕，支持NPN或PNP输入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强弱电分离</w:t>
            </w:r>
            <w:r/>
          </w:p>
          <w:p>
            <w:pPr>
              <w:ind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断路保护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开关电源：DC24/12V双路输出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遥控接收器：</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滚动加密，遥控距离＞50米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配有</w:t>
            </w:r>
            <w:r>
              <w:rPr>
                <w:rFonts w:hint="eastAsia" w:ascii="宋体" w:hAnsi="宋体" w:eastAsia="宋体" w:cs="宋体"/>
                <w:i w:val="0"/>
                <w:iCs w:val="0"/>
                <w:color w:val="auto"/>
                <w:sz w:val="21"/>
                <w:szCs w:val="21"/>
                <w:highlight w:val="none"/>
                <w:u w:val="none"/>
                <w:lang w:val="en-US" w:eastAsia="zh-CN" w:bidi="ar"/>
              </w:rPr>
              <w:t xml:space="preserve">蓄电池：12V2.6AH（实标，免维护，标配自动充电器）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应急下降功能：可通过蓄电池实现在特殊场景下（比如停电）解决柱子无法下降通行的问题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红绿灯功能：可外接红绿灯，根据升降柱状态即时反馈至红绿灯输出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具备</w:t>
            </w:r>
            <w:r>
              <w:rPr>
                <w:rFonts w:hint="eastAsia" w:ascii="宋体" w:hAnsi="宋体" w:eastAsia="宋体" w:cs="宋体"/>
                <w:i w:val="0"/>
                <w:iCs w:val="0"/>
                <w:color w:val="auto"/>
                <w:sz w:val="21"/>
                <w:szCs w:val="21"/>
                <w:highlight w:val="none"/>
                <w:u w:val="none"/>
                <w:lang w:val="en-US" w:eastAsia="zh-CN" w:bidi="ar"/>
              </w:rPr>
              <w:t xml:space="preserve">地感联动接口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红外联动接口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消防联动接口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应急防恐接口</w:t>
            </w:r>
            <w:r/>
          </w:p>
          <w:p>
            <w:pPr>
              <w:pStyle w:val="796"/>
              <w:ind w:left="0" w:firstLine="0"/>
              <w:rPr>
                <w:rFonts w:hint="eastAsia"/>
                <w:color w:val="auto"/>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可拓展手机及指挥中心电脑远程控制</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（二）车辆管理部分</w:t>
            </w:r>
            <w:r/>
          </w:p>
        </w:tc>
      </w:tr>
      <w:tr>
        <w:trPr>
          <w:gridBefore w:val="1"/>
          <w:trHeight w:val="96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自动道闸-直杆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支持直杆杆长3米，起杆速度1.5秒。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支持直杆杆长3.5/4米，起杆速度3秒。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支持直杆杆长4.5米，起杆速度4秒。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支持直杆杆长5米，起杆速度5秒。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支持直杆杆长5/6米，起杆速度6秒。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工作温度：-35℃～80℃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开关电源输入电压：AC200～240V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控制器输入电压：DC24V ±10% 7.5A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电机功率：最大180W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相对湿度：30%～80%（无凝露）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遥控距离：≥30米</w:t>
            </w:r>
            <w:r/>
          </w:p>
        </w:tc>
      </w:tr>
      <w:tr>
        <w:trPr>
          <w:gridBefore w:val="1"/>
          <w:trHeight w:val="261"/>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道闸杆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杆长=6米 限速6秒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杆长=5米 限速5秒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杆长≤4.5米 限速4秒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杆长≤4米 限速3秒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杆长≤3米 可设置1.5秒</w:t>
            </w:r>
            <w:r/>
          </w:p>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Cambria Math" w:hAnsi="Cambria Math" w:eastAsia="宋体" w:cs="Cambria Math"/>
                <w:color w:val="auto"/>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1）道闸杆垫检测报告：符合道闸杆垫依据GB/T3681-2011标准的自然气候暴露试验，灰卡等级不低于5级；</w:t>
            </w:r>
            <w:r>
              <w:rPr>
                <w:rFonts w:hint="eastAsia" w:ascii="宋体" w:hAnsi="宋体" w:eastAsia="宋体" w:cs="宋体"/>
                <w:i w:val="0"/>
                <w:iCs w:val="0"/>
                <w:strike w:val="0"/>
                <w:color w:val="auto"/>
                <w:sz w:val="21"/>
                <w:szCs w:val="21"/>
                <w:highlight w:val="none"/>
                <w:u w:val="none"/>
                <w:lang w:val="en-US" w:eastAsia="zh-CN" w:bidi="ar"/>
              </w:rPr>
              <w:t xml:space="preserve">提供检验报告原件扫描件，检测报告需为具有CMA标志的第三方机构出具的检测报告；）</w:t>
            </w:r>
            <w:r/>
          </w:p>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◆2）道闸杆垫测报告：道闸杆垫及管材依据 GB/T20853-2007试验，外观无明显变化、无腐蚀、无气泡评级不低于9级。</w:t>
            </w:r>
            <w:r>
              <w:rPr>
                <w:rFonts w:hint="eastAsia" w:ascii="宋体" w:hAnsi="宋体" w:eastAsia="宋体" w:cs="宋体"/>
                <w:i w:val="0"/>
                <w:iCs w:val="0"/>
                <w:strike w:val="0"/>
                <w:color w:val="auto"/>
                <w:sz w:val="21"/>
                <w:szCs w:val="21"/>
                <w:highlight w:val="none"/>
                <w:u w:val="none"/>
                <w:lang w:val="en-US" w:eastAsia="zh-CN" w:bidi="ar"/>
              </w:rPr>
              <w:t xml:space="preserve">提供检验报告原件扫描件，检测报告需为具有CMA标志的第三方机构出具的检测报告；）</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车牌识别仪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vMerge w:val="restart"/>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前端智能决策，构建折返/跟车等异常事件防线；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车道设备全域物联，可一键远程运维；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车牌识别率≥99%（全天候典型车牌）；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自适应光线变化，图像分析算法；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白名单容量可达20000条；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灵活设定出入口、时间、广告及余位等显示模式；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TTS和真人语音组合播报，可分时段设定音量等级；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相机类型：内置6mm-500万相机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显示屏： P4.75红绿红绿LED模组，显示区域 304mm*152mm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扬声器：4Ω 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补光灯：6灯珠，光控控制亮度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工作电压 ： AC220V±10%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 ： ≤60W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通讯方式 ：TCP/RS485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工作温度 ：-20℃至+60℃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外壳防护等级： IP54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机箱材质： SPCC碳钢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尺寸规格：259.6*140*1430mm（长*宽*高）</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firstLine="20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小型提示终端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补光灯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立柱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gridBefore w:val="1"/>
          <w:trHeight w:val="319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遥控器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gridBefore w:val="1"/>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车辆防砸雷达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输入电压：12VDC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额定电流：250mA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工作频率范围：24-24.25GHz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调制模式：FMCW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X 轴天线发射功率：10-15dBm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X 轴水平波束：35±5°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X 轴垂直波束：15±3°8、Y 轴天线发射功率：10-15dBm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Y 轴水平波束：15±3°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Y 轴垂直波束：35±5°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检测距离：0.5-6 米，±0.1 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工作温度：-40℃~+85℃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防护等级：IP67。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外壳尺寸：127*97*26mm</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八、智慧广播系统</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（一）室外</w:t>
            </w:r>
            <w:r/>
          </w:p>
        </w:tc>
      </w:tr>
      <w:tr>
        <w:trPr>
          <w:gridBefore w:val="1"/>
          <w:trHeight w:val="96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2"/>
                <w:szCs w:val="22"/>
                <w:highlight w:val="none"/>
                <w:u w:val="none"/>
                <w:lang w:val="en-US" w:eastAsia="zh-CN" w:bidi="ar"/>
              </w:rPr>
              <w:t xml:space="preserve">103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vMerge w:val="restart"/>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IP功放终端</w:t>
            </w:r>
            <w:r/>
          </w:p>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vMerge w:val="restart"/>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1.带有TFT显示屏，支持同步服务器时间显示。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2.支持红外遥控功能，实现本机信息查看、播放状态查看、AUX和网络音量的调节、点播服务器媒体库或USB外接设备音频资源等功能。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3.支持点播功能，可实现网络媒体库音频实时点播功能，支持操作上一曲/下一曲、循环播放等功能。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4.具有标准RJ45网络接口，≥100Mbps传输速率，内置网络IP解码模块可实时播放网络音乐及单向呼叫功能；系统中采集播放和单向呼叫功能的网络延时时间≤100ms。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5.内置≥2×30W（MAX）定阻功率放大器，外接到音箱，具有网络音量设置功能。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6.支持对终端显示屏进行锁屏设置，锁屏时间可自定义。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7.设备自带≥2条导光灯条（或者指示灯），可设置定时点亮红色或蓝色指示灯（可设定闪烁，闪烁间隔可自定义），用于打铃时辅助提示。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8.具备有≥1路线路输入接口和≥1路线路输出接口，适用现场本地扩音广播功能；具备有≥1路USB输入接口，适用本地点播功能，支持断网情况下，进行本地点播USB外接设备播放功能。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9.具备有≥1路音量控制盒对接接口，支持扩展接音量控制盒设备实现AUX的音量和网络的音量控制。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10.具有红外播报本地IP地址功能。</w:t>
            </w:r>
            <w:r/>
          </w:p>
        </w:tc>
      </w:tr>
      <w:tr>
        <w:trPr>
          <w:gridBefore w:val="1"/>
          <w:trHeight w:val="34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1.软件内嵌于数字化IP网络终端设备，支撑设备各项基本功能的运行。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3.支持新配置注册智能语音提示功能。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4.支持播放背景音乐功能，支持单独调节音量。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5.支持播放本地服务器的MP3文件；支持单独播放或分区/全区播放。</w:t>
            </w:r>
            <w:r/>
          </w:p>
        </w:tc>
      </w:tr>
      <w:tr>
        <w:trPr>
          <w:gridBefore w:val="1"/>
          <w:trHeight w:val="127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数字合并式功放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1.具备节能开关电源与D类数字功率放大器相结合。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2.各路输入具有独立音量调节，且总音量具有高音、低音调节及音量大小控制。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3.具备≥1路EMC输入，≥2路AUX输入，≥4路MIC输入。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4.通道优先功能EMC&gt;MIC1&gt;MIC2, MIC3, AUX1, AUX2。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5.支持2种输出方式：定压输出100V、4-16</w:t>
            </w:r>
            <w:r>
              <w:rPr>
                <w:rStyle w:val="1074"/>
                <w:rFonts w:hint="eastAsia" w:ascii="宋体" w:hAnsi="宋体" w:eastAsia="宋体" w:cs="宋体"/>
                <w:color w:val="auto"/>
                <w:sz w:val="21"/>
                <w:szCs w:val="21"/>
                <w:highlight w:val="none"/>
                <w:lang w:val="en-US" w:eastAsia="zh-CN" w:bidi="ar"/>
              </w:rPr>
              <w:t xml:space="preserve">Ω</w:t>
            </w:r>
            <w:r>
              <w:rPr>
                <w:rStyle w:val="1075"/>
                <w:rFonts w:hint="eastAsia" w:ascii="宋体" w:hAnsi="宋体" w:eastAsia="宋体" w:cs="宋体"/>
                <w:color w:val="auto"/>
                <w:sz w:val="21"/>
                <w:szCs w:val="21"/>
                <w:highlight w:val="none"/>
                <w:lang w:val="en-US" w:eastAsia="zh-CN" w:bidi="ar"/>
              </w:rPr>
              <w:t xml:space="preserve">；输出功率≥500W。</w:t>
            </w:r>
            <w:r/>
          </w:p>
        </w:tc>
      </w:tr>
      <w:tr>
        <w:trPr>
          <w:gridBefore w:val="1"/>
          <w:trHeight w:val="44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default"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草坪音箱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1.额定功率(100V)：≥15W,≥30W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2.额定功率(70V)：≥7.5W,≥15W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3.频率响应：等同或优于120Hz-16kHz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4.灵敏度：≥96dB±3dB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5.喇叭单元：≥5.5″全频×1</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（二）食堂</w:t>
            </w:r>
            <w:r/>
          </w:p>
        </w:tc>
      </w:tr>
      <w:tr>
        <w:trPr>
          <w:gridBefore w:val="1"/>
          <w:trHeight w:val="132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专业功放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21"/>
              </w:numPr>
              <w:ind w:left="0" w:firstLine="0"/>
              <w:jc w:val="left"/>
              <w:keepLines w:val="0"/>
              <w:keepNext w:val="0"/>
              <w:spacing w:line="24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标准≤1U机柜式设计机柜式设计，采用PFC+开关电源+D类数字功放设计方案。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iCs/>
                <w:color w:val="auto"/>
                <w:sz w:val="21"/>
                <w:szCs w:val="21"/>
                <w:highlight w:val="none"/>
                <w:u w:val="single"/>
                <w:lang w:val="en-US" w:eastAsia="zh-CN" w:bidi="ar"/>
              </w:rPr>
              <w:t xml:space="preserve">开机软启动功能，软启动过程中电源需求缓慢上升，减少对电网和其他电子设备的电流冲击。</w:t>
            </w:r>
            <w:r>
              <w:rPr>
                <w:rFonts w:hint="eastAsia" w:ascii="宋体" w:hAnsi="宋体" w:eastAsia="宋体" w:cs="宋体"/>
                <w:i/>
                <w:iCs/>
                <w:color w:val="auto"/>
                <w:sz w:val="21"/>
                <w:szCs w:val="21"/>
                <w:highlight w:val="none"/>
                <w:u w:val="single"/>
                <w:lang w:val="en-US" w:eastAsia="zh-CN" w:bidi="ar"/>
              </w:rPr>
              <w:br/>
            </w:r>
            <w:r>
              <w:rPr>
                <w:rFonts w:hint="eastAsia" w:ascii="宋体" w:hAnsi="宋体" w:eastAsia="宋体" w:cs="宋体"/>
                <w:i/>
                <w:iCs/>
                <w:color w:val="auto"/>
                <w:sz w:val="21"/>
                <w:szCs w:val="21"/>
                <w:highlight w:val="none"/>
                <w:u w:val="single"/>
                <w:lang w:val="en-US" w:eastAsia="zh-CN" w:bidi="ar"/>
              </w:rPr>
              <w:t xml:space="preserve">3.采用数字功放双环路压限保护电路，避免开机瞬间的大电流冲击扬声器，减少对扬声器的损害风险，为功放全方位系统保护。</w:t>
            </w:r>
            <w:r>
              <w:rPr>
                <w:rFonts w:hint="eastAsia" w:ascii="宋体" w:hAnsi="宋体" w:eastAsia="宋体" w:cs="宋体"/>
                <w:i/>
                <w:iCs/>
                <w:color w:val="auto"/>
                <w:sz w:val="21"/>
                <w:szCs w:val="21"/>
                <w:highlight w:val="none"/>
                <w:u w:val="single"/>
                <w:lang w:val="en-US" w:eastAsia="zh-CN" w:bidi="ar"/>
              </w:rPr>
              <w:br/>
            </w:r>
            <w:r>
              <w:rPr>
                <w:rFonts w:hint="eastAsia" w:ascii="宋体" w:hAnsi="宋体" w:eastAsia="宋体" w:cs="宋体"/>
                <w:i/>
                <w:iCs/>
                <w:color w:val="auto"/>
                <w:sz w:val="21"/>
                <w:szCs w:val="21"/>
                <w:highlight w:val="none"/>
                <w:u w:val="single"/>
                <w:lang w:val="en-US" w:eastAsia="zh-CN" w:bidi="ar"/>
              </w:rPr>
              <w:t xml:space="preserve">4.采用开关电源输出电压自启停动态节能的功能，自适应动态功率高效转换功能。</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iCs/>
                <w:color w:val="auto"/>
                <w:sz w:val="21"/>
                <w:szCs w:val="21"/>
                <w:highlight w:val="none"/>
                <w:u w:val="single"/>
                <w:lang w:val="en-US" w:eastAsia="zh-CN" w:bidi="ar"/>
              </w:rPr>
              <w:t xml:space="preserve">5.支持过压保护、欠压保护、过流保护、输出短路保护、温度压限、信号压限、温度自动控风扇等功能，很大程度提高功放稳定性和可靠性。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6.XLR平衡式输入/XLR 平衡式LINK输出；SPEAKON音响插座输出。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7.MONO /STEREO/BRIDGE三种模式可选择切换。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8.灵敏度1V/2V可选择切换。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9.带温控风机，开机即转，随着温度长高风扇加速。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10.面板有信号（绿）、削顶（橙）、保护指示灯（红）、电源指示灯（蓝）。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11.输出功率（1KHz/THD≤1％）：连续功率：立体声8</w:t>
            </w:r>
            <w:r>
              <w:rPr>
                <w:rStyle w:val="1074"/>
                <w:rFonts w:hint="eastAsia" w:ascii="宋体" w:hAnsi="宋体" w:eastAsia="宋体" w:cs="宋体"/>
                <w:color w:val="auto"/>
                <w:sz w:val="21"/>
                <w:szCs w:val="21"/>
                <w:highlight w:val="none"/>
                <w:lang w:val="en-US" w:eastAsia="zh-CN" w:bidi="ar"/>
              </w:rPr>
              <w:t xml:space="preserve">Ω</w:t>
            </w:r>
            <w:r>
              <w:rPr>
                <w:rStyle w:val="1075"/>
                <w:rFonts w:hint="eastAsia" w:ascii="宋体" w:hAnsi="宋体" w:eastAsia="宋体" w:cs="宋体"/>
                <w:color w:val="auto"/>
                <w:sz w:val="21"/>
                <w:szCs w:val="21"/>
                <w:highlight w:val="none"/>
                <w:lang w:val="en-US" w:eastAsia="zh-CN" w:bidi="ar"/>
              </w:rPr>
              <w:t xml:space="preserve">×2：≥2*1000W；立体声4</w:t>
            </w:r>
            <w:r>
              <w:rPr>
                <w:rStyle w:val="1074"/>
                <w:rFonts w:hint="eastAsia" w:ascii="宋体" w:hAnsi="宋体" w:eastAsia="宋体" w:cs="宋体"/>
                <w:color w:val="auto"/>
                <w:sz w:val="21"/>
                <w:szCs w:val="21"/>
                <w:highlight w:val="none"/>
                <w:lang w:val="en-US" w:eastAsia="zh-CN" w:bidi="ar"/>
              </w:rPr>
              <w:t xml:space="preserve">Ω</w:t>
            </w:r>
            <w:r>
              <w:rPr>
                <w:rStyle w:val="1075"/>
                <w:rFonts w:hint="eastAsia" w:ascii="宋体" w:hAnsi="宋体" w:eastAsia="宋体" w:cs="宋体"/>
                <w:color w:val="auto"/>
                <w:sz w:val="21"/>
                <w:szCs w:val="21"/>
                <w:highlight w:val="none"/>
                <w:lang w:val="en-US" w:eastAsia="zh-CN" w:bidi="ar"/>
              </w:rPr>
              <w:t xml:space="preserve">×2：≥2*1700W；立体声2</w:t>
            </w:r>
            <w:r>
              <w:rPr>
                <w:rStyle w:val="1074"/>
                <w:rFonts w:hint="eastAsia" w:ascii="宋体" w:hAnsi="宋体" w:eastAsia="宋体" w:cs="宋体"/>
                <w:color w:val="auto"/>
                <w:sz w:val="21"/>
                <w:szCs w:val="21"/>
                <w:highlight w:val="none"/>
                <w:lang w:val="en-US" w:eastAsia="zh-CN" w:bidi="ar"/>
              </w:rPr>
              <w:t xml:space="preserve">Ω</w:t>
            </w:r>
            <w:r>
              <w:rPr>
                <w:rStyle w:val="1075"/>
                <w:rFonts w:hint="eastAsia" w:ascii="宋体" w:hAnsi="宋体" w:eastAsia="宋体" w:cs="宋体"/>
                <w:color w:val="auto"/>
                <w:sz w:val="21"/>
                <w:szCs w:val="21"/>
                <w:highlight w:val="none"/>
                <w:lang w:val="en-US" w:eastAsia="zh-CN" w:bidi="ar"/>
              </w:rPr>
              <w:t xml:space="preserve">×2：≥2*2900W；桥接16</w:t>
            </w:r>
            <w:r>
              <w:rPr>
                <w:rStyle w:val="1074"/>
                <w:rFonts w:hint="eastAsia" w:ascii="宋体" w:hAnsi="宋体" w:eastAsia="宋体" w:cs="宋体"/>
                <w:color w:val="auto"/>
                <w:sz w:val="21"/>
                <w:szCs w:val="21"/>
                <w:highlight w:val="none"/>
                <w:lang w:val="en-US" w:eastAsia="zh-CN" w:bidi="ar"/>
              </w:rPr>
              <w:t xml:space="preserve">Ω</w:t>
            </w:r>
            <w:r>
              <w:rPr>
                <w:rStyle w:val="1075"/>
                <w:rFonts w:hint="eastAsia" w:ascii="宋体" w:hAnsi="宋体" w:eastAsia="宋体" w:cs="宋体"/>
                <w:color w:val="auto"/>
                <w:sz w:val="21"/>
                <w:szCs w:val="21"/>
                <w:highlight w:val="none"/>
                <w:lang w:val="en-US" w:eastAsia="zh-CN" w:bidi="ar"/>
              </w:rPr>
              <w:t xml:space="preserve">：≥2000W；桥接8</w:t>
            </w:r>
            <w:r>
              <w:rPr>
                <w:rStyle w:val="1074"/>
                <w:rFonts w:hint="eastAsia" w:ascii="宋体" w:hAnsi="宋体" w:eastAsia="宋体" w:cs="宋体"/>
                <w:color w:val="auto"/>
                <w:sz w:val="21"/>
                <w:szCs w:val="21"/>
                <w:highlight w:val="none"/>
                <w:lang w:val="en-US" w:eastAsia="zh-CN" w:bidi="ar"/>
              </w:rPr>
              <w:t xml:space="preserve">Ω</w:t>
            </w:r>
            <w:r>
              <w:rPr>
                <w:rStyle w:val="1075"/>
                <w:rFonts w:hint="eastAsia" w:ascii="宋体" w:hAnsi="宋体" w:eastAsia="宋体" w:cs="宋体"/>
                <w:color w:val="auto"/>
                <w:sz w:val="21"/>
                <w:szCs w:val="21"/>
                <w:highlight w:val="none"/>
                <w:lang w:val="en-US" w:eastAsia="zh-CN" w:bidi="ar"/>
              </w:rPr>
              <w:t xml:space="preserve">：≥3400W；桥接4</w:t>
            </w:r>
            <w:r>
              <w:rPr>
                <w:rStyle w:val="1074"/>
                <w:rFonts w:hint="eastAsia" w:ascii="宋体" w:hAnsi="宋体" w:eastAsia="宋体" w:cs="宋体"/>
                <w:color w:val="auto"/>
                <w:sz w:val="21"/>
                <w:szCs w:val="21"/>
                <w:highlight w:val="none"/>
                <w:lang w:val="en-US" w:eastAsia="zh-CN" w:bidi="ar"/>
              </w:rPr>
              <w:t xml:space="preserve">Ω</w:t>
            </w:r>
            <w:r>
              <w:rPr>
                <w:rStyle w:val="1075"/>
                <w:rFonts w:hint="eastAsia" w:ascii="宋体" w:hAnsi="宋体" w:eastAsia="宋体" w:cs="宋体"/>
                <w:color w:val="auto"/>
                <w:sz w:val="21"/>
                <w:szCs w:val="21"/>
                <w:highlight w:val="none"/>
                <w:lang w:val="en-US" w:eastAsia="zh-CN" w:bidi="ar"/>
              </w:rPr>
              <w:t xml:space="preserve">：≥5800W。</w:t>
            </w:r>
            <w:r/>
          </w:p>
        </w:tc>
      </w:tr>
      <w:tr>
        <w:trPr>
          <w:gridBefore w:val="1"/>
          <w:trHeight w:val="31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音频处理器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iCs/>
                <w:color w:val="auto"/>
                <w:sz w:val="21"/>
                <w:szCs w:val="21"/>
                <w:highlight w:val="none"/>
                <w:u w:val="single"/>
                <w:lang w:val="en-US" w:eastAsia="zh-CN" w:bidi="ar"/>
              </w:rPr>
              <w:t xml:space="preserve">输入通道支持前级放大、信号发生</w:t>
            </w:r>
            <w:r>
              <w:rPr>
                <w:rFonts w:hint="eastAsia" w:ascii="宋体" w:hAnsi="宋体" w:eastAsia="宋体" w:cs="宋体"/>
                <w:i/>
                <w:iCs/>
                <w:color w:val="auto"/>
                <w:sz w:val="21"/>
                <w:szCs w:val="21"/>
                <w:highlight w:val="none"/>
                <w:u w:val="single"/>
                <w:lang w:val="en-US" w:eastAsia="zh-CN"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3.具有矩阵增益调节功能，每个输入通道参与混音的增益可调，增益调节范围等同或优于-72db到12db。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iCs/>
                <w:strike w:val="0"/>
                <w:color w:val="auto"/>
                <w:sz w:val="21"/>
                <w:szCs w:val="21"/>
                <w:highlight w:val="none"/>
                <w:u w:val="single"/>
                <w:lang w:val="en-US" w:eastAsia="zh-CN" w:bidi="ar"/>
              </w:rPr>
              <w:t xml:space="preserve">4.音频处理器具有跨平台软件，可运行的操作系统版本≥8种，包括Windows7/10/11、银河麒麟桌面操作系统（兆芯版）、银河麒麟桌面操作系统（飞腾版）、macOS系统、统信UOS、Ubuntu桌面版操作系统。</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5.产品具有PC客户端、手机移动端、安卓平板端不同控制方式，可以通同时登入APP软件、PC客户端同时连接设备，并实现多端数据的同步。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6.设备具有编码旋钮和IPS屏幕，可用于控制和配置设备静音，增益，场景；IPS屏幕能够显示IP地址，输入和输出通道的实时电平。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7.具有设备定位功能，客户端一键定位局域网内同类设备，被定位的设备会显示定位信息。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8.设备具有统一集中控制功能，支持≥65535台设备通过软件集中控制。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eastAsia="宋体" w:cs="宋体"/>
                <w:i/>
                <w:iCs/>
                <w:color w:val="auto"/>
                <w:sz w:val="21"/>
                <w:szCs w:val="21"/>
                <w:highlight w:val="none"/>
                <w:u w:val="single"/>
                <w:lang w:val="en-US" w:eastAsia="zh-CN" w:bidi="ar"/>
              </w:rPr>
              <w:t xml:space="preserve">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r>
      <w:tr>
        <w:trPr>
          <w:gridBefore w:val="1"/>
          <w:trHeight w:val="178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09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CD播放器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1.吸入式机芯；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2.自动播放控制；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3.可播放：CD/VCD/MP3/DVD碟片；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4.内置宽频监听扬声器；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5.内置MP3播放器，可读USB和SD卡；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6.可通过面板按键或红外遥控器控制操作。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7.支持上电自动播放功能。</w:t>
            </w:r>
            <w:r/>
          </w:p>
        </w:tc>
      </w:tr>
      <w:tr>
        <w:trPr>
          <w:gridBefore w:val="1"/>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多功能音源控制嵌入软件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1.软件内嵌于终端设备，支撑设备各项基本功能的运行。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2.支持系统+ESS解码方案，超强纠错功能。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3.支持播放CD等碟片。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4.支持读取U盘或SD卡，并且播放媒体文件。</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（三）室外操场定向广播</w:t>
            </w:r>
            <w:r/>
          </w:p>
        </w:tc>
      </w:tr>
      <w:tr>
        <w:trPr>
          <w:gridBefore w:val="1"/>
          <w:trHeight w:val="62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vMerge w:val="restart"/>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IP功放终端</w:t>
            </w:r>
            <w:r/>
          </w:p>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vMerge w:val="restart"/>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1.带有TFT显示屏，支持同步服务器时间显示。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2.支持红外遥控功能，实现本机信息查看、播放状态查看、AUX和网络音量的调节、点播服务器媒体库或USB外接设备音频资源等功能。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3.支持点播功能，可实现网络媒体库音频实时点播功能，支持操作上一曲/下一曲、循环播放等功能。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4.具有标准RJ45网络接口，≥100Mbps传输速率，内置网络IP解码模块可实时播放网络音乐及单向呼叫功能；系统中采集播放和单向呼叫功能的网络延时时间≤100ms。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5.内置≥2×30W（MAX）定阻功率放大器，外接到音箱，具有网络音量设置功能。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6.支持对终端显示屏进行锁屏设置，锁屏时间可自定义。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7.设备自带≥2条导光灯条（或者指示灯），可设置定时点亮红色或蓝色指示灯（可设定闪烁，闪烁间隔可自定义），用于打铃时辅助提示。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8.具备有≥1路线路输入接口和≥1路线路输出接口，适用现场本地扩音广播功能；具备有≥1路USB输入接口，适用本地点播功能，支持断网情况下，进行本地点播USB外接设备播放功能。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9.具备有≥1路音量控制盒对接接口，支持扩展接音量控制盒设备实现AUX的音量和网络的音量控制。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10.具有红外播报本地IP地址功能。</w:t>
            </w:r>
            <w:r/>
          </w:p>
        </w:tc>
      </w:tr>
      <w:tr>
        <w:trPr>
          <w:gridBefore w:val="1"/>
          <w:trHeight w:val="4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1.软件内嵌于数字化IP网络终端设备，支撑设备各项基本功能的运行。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3.支持新配置注册智能语音提示功能。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4.支持播放背景音乐功能，支持单独调节音量。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5.支持播放本地服务器的MP3文件；支持单独播放或分区/全区播放。</w:t>
            </w:r>
            <w:r/>
          </w:p>
        </w:tc>
      </w:tr>
      <w:tr>
        <w:trPr>
          <w:gridBefore w:val="1"/>
          <w:trHeight w:val="65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定向音箱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1.采用波束成形定向传声技术，将音频分别从多组扬声器发出，对多组扬声器进行波束及相位控制。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2.额定功率≥300W。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3.音箱前方一米处声压值≥115dB。定向音箱一体机前后中低音频差异≥20dB，前后高频差异≥30dB。发声角度30°（-10dB），可实现一体机后方1米~30米降至≤55dB。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4.定向效果正前方与正后方相差≥30dB（1m@1000Hz），声压级≥115dB@1m1000Hz。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5.设备通过数字光纤传输音频，具有≥1路防水型SC光纤输入接口、≥1路防水型SC光纤输出接口，可以通过光纤跳线手拉手级联。具有≥1路防水型220V防水航空插头。具有≥1路防水型XLR卡农输入接口。</w:t>
            </w:r>
            <w:r/>
          </w:p>
        </w:tc>
      </w:tr>
      <w:tr>
        <w:trPr>
          <w:gridBefore w:val="1"/>
          <w:trHeight w:val="34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隔音罩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1.户外喷塑工艺。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2.隔声效果等同或优于6dB~10dB。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3.支持抱箍与杆体固定。</w:t>
            </w:r>
            <w:r/>
          </w:p>
        </w:tc>
      </w:tr>
      <w:tr>
        <w:trPr>
          <w:gridBefore w:val="1"/>
          <w:trHeight w:val="15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发射机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1.具有≥2路莲花（RCA）输入接口，≥1路SC光纤输出接口，≥1路直流电源输入接口。（提供设备接口图佐证）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2.采用光纤WDM/CWDM/DWDM技术，传输距离0-100km。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3.带有电源指示灯，通电正常亮灯。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4.带有音频接通指示灯，当有音频信号输入时，LED指示灯随音频高低电平变化闪亮。</w:t>
            </w:r>
            <w:r/>
          </w:p>
        </w:tc>
      </w:tr>
      <w:tr>
        <w:trPr>
          <w:gridBefore w:val="1"/>
          <w:trHeight w:val="54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调音台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1.支持≥4路Mic输入兼容≥4路线路输入接口，话筒接口幻象电源：≥+48V，≥4组立体线性输入。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2.具有≥1组立体声主输出、≥1组辅助输出、≥1路耳机监听输出、≥1组CD/Tape输出。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3.每路单声道输入通道设有≥3段EQ，设有峰值LED指示灯。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4.内置≥24位DSP效果器，提供≥100种预设效果。</w:t>
            </w:r>
            <w:r/>
          </w:p>
        </w:tc>
      </w:tr>
      <w:tr>
        <w:trPr>
          <w:gridBefore w:val="1"/>
          <w:trHeight w:val="371"/>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U段无线话筒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2.具有≥1台接收主机、≥2只手持发射机；频率范围等同或优于470MHz-510MHz、540MHz-590MHz、640MHz-690MHz、807MHz-830MHz四个频段使用。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4.具有自动静音功能，麦克风跌落、抛掷时，毫秒级自动静音，避免冲击声；实时监测设备姿态，静置≥5秒静音，≥8分钟关机，无需手动干预。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5.具有多档位混响调节功能，混响效果≥15625个，效果占比、回响延时、混响幅度调节，三种音效各具有≥25档调节方式。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6.具有多频段均衡调节功能，均衡调节≥2197种，麦克风均衡器调节功能，具有高、中、低音三种调节档位，每种效果支持≥13档调节。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7.具有长时间续航，发射机使用时长≥10小时。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9.接收机具有≥2个2.2英寸的TFT-LCD显示屏；发射机具有≥0.96英寸OLED显示屏，能够显示频率信息、音频加密状态、功率挡位、静音状态、电量格数信息。</w:t>
            </w:r>
            <w:r/>
          </w:p>
        </w:tc>
      </w:tr>
      <w:tr>
        <w:trPr>
          <w:gridBefore w:val="1"/>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天线放大器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1.频率范围≥470-950MHZ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2.端子：BNC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3.噪声：≤3dB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4.增益：≥20dB</w:t>
            </w:r>
            <w:r/>
          </w:p>
        </w:tc>
      </w:tr>
      <w:tr>
        <w:trPr>
          <w:gridBefore w:val="1"/>
          <w:trHeight w:val="127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2"/>
                <w:szCs w:val="22"/>
                <w:highlight w:val="none"/>
                <w:u w:val="none"/>
                <w:lang w:val="en-US" w:eastAsia="zh-CN" w:bidi="ar"/>
              </w:rPr>
              <w:t xml:space="preserve">119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话筒天线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1.天线接收频段广，可接收等同或优于470-950MHZ的频率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2.天线极化方式：线极化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3.天线驻波比：≤2.0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4.放大器增益：四档可调（-6dB/0dB/6dB/12dB)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5.指向性：≥90度指向</w:t>
            </w:r>
            <w:r/>
          </w:p>
        </w:tc>
      </w:tr>
      <w:tr>
        <w:trPr>
          <w:gridBefore w:val="1"/>
          <w:trHeight w:val="15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IP音频采集器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1.采集设备支持将模拟音频采集编码成数字音频，具有≥1路RJ45网络接口，支持定时采播任务、临时采播任务功能。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2.具有≥2组RCA音频输入接口，支持音量调节功能。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3.采播任务支持≥3种采集音质可选，支持普通、中级、高级音质选择模式。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4.支持声压触发采集外部音源，智能识别音频,自动建立采集任务,可自定义执行区域,可自定义延时关闭时间。</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（四）庭院广播</w:t>
            </w:r>
            <w:r/>
          </w:p>
        </w:tc>
      </w:tr>
      <w:tr>
        <w:trPr>
          <w:gridBefore w:val="1"/>
          <w:trHeight w:val="15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音柱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1．额定功率(100V)：90W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2．额定功率(70V)：45W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3．灵敏度≥93dB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4．频率响应：110Hz-15KHz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5．防护等级：IP66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6．喇叭单元：6.5"×3+3"×1</w:t>
            </w:r>
            <w:r/>
          </w:p>
        </w:tc>
      </w:tr>
      <w:tr>
        <w:trPr>
          <w:gridBefore w:val="1"/>
          <w:trHeight w:val="44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数字合并式功放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1.具备节能开关电源与D类数字功率放大器相结合。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2.各路输入具有独立音量调节，且总音量具有高音、低音调节及音量大小控制。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3.具备≥1路EMC输入，≥2路AUX输入，≥4路MIC输入。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4.通道优先功能EMC&gt;MIC1&gt;MIC2, MIC3, AUX1, AUX2。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5.支持2种输出方式：定压输出100V、4-16Ω；输出功率≥350W。</w:t>
            </w:r>
            <w:r/>
          </w:p>
        </w:tc>
      </w:tr>
      <w:tr>
        <w:trPr>
          <w:gridBefore w:val="1"/>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音频处理器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22"/>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iCs/>
                <w:color w:val="auto"/>
                <w:sz w:val="21"/>
                <w:szCs w:val="21"/>
                <w:highlight w:val="none"/>
                <w:u w:val="single"/>
                <w:lang w:val="en-US" w:eastAsia="zh-CN" w:bidi="ar"/>
              </w:rPr>
              <w:t xml:space="preserve">输入通道支持前级放大、信号发生</w:t>
            </w:r>
            <w:r>
              <w:rPr>
                <w:rFonts w:hint="eastAsia" w:ascii="宋体" w:hAnsi="宋体" w:eastAsia="宋体" w:cs="宋体"/>
                <w:i/>
                <w:iCs/>
                <w:color w:val="auto"/>
                <w:sz w:val="21"/>
                <w:szCs w:val="21"/>
                <w:highlight w:val="none"/>
                <w:u w:val="single"/>
                <w:lang w:val="en-US" w:eastAsia="zh-CN"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3.具有矩阵增益调节功能，每个输入通道参与混音的增益可调，增益调节范围等同或优于-72db到12db。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i/>
                <w:iCs/>
                <w:color w:val="auto"/>
                <w:sz w:val="21"/>
                <w:szCs w:val="21"/>
                <w:highlight w:val="none"/>
                <w:u w:val="single"/>
                <w:lang w:val="en-US" w:eastAsia="zh-CN" w:bidi="ar"/>
              </w:rPr>
              <w:t xml:space="preserve">音频处理器具有跨平台软件，可运行的操作系统版本≥8种，包括Windows7/10/11、银河麒麟桌面操作系统（兆芯版）、银河麒麟桌面操作系统（飞腾版）、macOS系统、统信UOS、Ubuntu桌面版操作系统。</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5.产品具有PC客户端、手机移动端、安卓平板端不同控制方式，可以通同时登入APP软件、PC客户端同时连接设备，并实现多端数据的同步。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6.设备具有编码旋钮和IPS屏幕，可用于控制和配置设备静音，增益，场景；IPS屏幕能够显示IP地址，输入和输出通道的实时电平。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7.具有设备定位功能，客户端一键定位局域网内同类设备，被定位的设备会显示定位信息。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8.设备具有统一集中控制功能，支持≥65535台设备通过软件集中控制。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eastAsia="宋体" w:cs="宋体"/>
                <w:i/>
                <w:iCs/>
                <w:color w:val="auto"/>
                <w:sz w:val="21"/>
                <w:szCs w:val="21"/>
                <w:highlight w:val="none"/>
                <w:u w:val="single"/>
                <w:lang w:val="en-US" w:eastAsia="zh-CN" w:bidi="ar"/>
              </w:rPr>
              <w:t xml:space="preserve">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r>
      <w:tr>
        <w:trPr>
          <w:gridBefore w:val="1"/>
          <w:trHeight w:val="43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抑制器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1.基于啸叫检测门限更新法，具有移频+陷波反馈抑制功能，可以使用≥48个可编程陷波点。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iCs/>
                <w:color w:val="auto"/>
                <w:sz w:val="21"/>
                <w:szCs w:val="21"/>
                <w:highlight w:val="none"/>
                <w:u w:val="single"/>
                <w:lang w:val="en-US" w:eastAsia="zh-CN" w:bidi="ar"/>
              </w:rPr>
              <w:t xml:space="preserve">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3.设备具有编码旋钮和≥2.0英寸IPS屏幕，可用于控制和配置设备直通、场景。IPS屏幕能够显示IP地址，输入和输出通道的实时电平。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4.具有设备定位，PC客户端具有一键定位局域网内同类设备功能，被定位到的设备会在显示屏上显示定位信息。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5.设备具有统一集中控制功能，支持≥65535台设备通过软件集中控制。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6.支持多客户端数据同步，≥2个客户端以上连接混音器设备时，可实现多端数据同步。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i/>
                <w:iCs/>
                <w:color w:val="auto"/>
                <w:sz w:val="21"/>
                <w:szCs w:val="21"/>
                <w:highlight w:val="none"/>
                <w:u w:val="single"/>
                <w:lang w:val="en-US" w:eastAsia="zh-CN" w:bidi="ar"/>
              </w:rPr>
              <w:t xml:space="preserve">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r>
      <w:tr>
        <w:trPr>
          <w:gridBefore w:val="1"/>
          <w:trHeight w:val="63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调音台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1.支持≥8路麦克风输入兼容6路线路输入接口，支持≥2路立体声输入接口，≥4路RCA输入，话筒接口幻象电源：+48V。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3.内置≥24位DSP效果器，提供≥100种预设效果。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4.具备≥13个60mm行程的高精密碳膜推子。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5.内置USB声卡模块，支持连接电脑进行音乐播放和声音录音；内置MP3播放器，支持≥1个USB接口接U盘播放音乐。</w:t>
            </w:r>
            <w:r/>
          </w:p>
        </w:tc>
      </w:tr>
      <w:tr>
        <w:trPr>
          <w:gridBefore w:val="1"/>
          <w:trHeight w:val="127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话筒天线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1.天线接收频段广，可接收等同或优于470-950MHZ的频率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2.天线极化方式：线极化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3.天线驻波比：≤2.0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4.放大器增益：四档可调（-6dB/0dB/6dB/12dB)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5.指向性：≥90度指向</w:t>
            </w:r>
            <w:r/>
          </w:p>
        </w:tc>
      </w:tr>
      <w:tr>
        <w:trPr>
          <w:gridBefore w:val="1"/>
          <w:trHeight w:val="127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天线分配器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1.具备≥2个天线输入接口，支持接收天线信号，实现分配多路射频信号的效果。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2.具备放大射频信号，补偿因信号功率被分配至多个输出而造成的插入损耗。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3.具备≥2个天线级联接口，支持无限制级联分配器，可实现扩展无线话筒的目的。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4.具备≥4个直流电源输出接口，支持给≥4台接收机供电，减少适配器数量和免去繁琐布线。</w:t>
            </w:r>
            <w:r/>
          </w:p>
        </w:tc>
      </w:tr>
      <w:tr>
        <w:trPr>
          <w:gridBefore w:val="1"/>
          <w:trHeight w:val="48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无线话筒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1.基于数字U段的传输技术，pi/4-DQPSK调制方式，采用国产主控芯片，传输距离≥80米，接收机具有≥4路平衡输出、≥1路非平衡混音输出；具有混响、均衡、智能静音、音频加密、功率调节功能。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2.具有≥1台接收主机、≥4只手持发射机；频率范围等同或优于470MHz-510MHz、540MHz-590MHz、640MHz-690MHz、807MHz-830MHz四个频段使用。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接收机前面板具有≥4个TFT-LCD显示屏、≥4个编码旋钮、≥4个频率扫描实体按键、≥4个红外对频实体按键、≥1个电源开关按键、≥1个二合一指示灯（红外发射管+对频指示灯）；后面板具有≥1个LINE-OUT接口、≥4个XLR-OUT接口、≥4个BNC接口、≥1个DC接口。发射机具有≥1个OLED 显示屏、≥1个开关机/静音按键、≥2个工作状态指示灯。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4.具有自动静音功能，麦克风跌落、抛掷时，毫秒级自动静音，避免冲击声；实时监测设备姿态，静置≥5秒静音，≥8分钟关机，无需手动干预。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5.具有多档位混响调节功能，混响效果≥15625个，效果占比、回响延时、混响幅度调节，三种音效各具有≥25档调节方式。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6.具有多频段均衡调节功能，均衡调节≥2197种，麦克风均衡器调节功能，具有高、中、低音三种调节档位，每种效果支持≥13档调节。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7.具有长时间续航，发射机连续使用时长≥10小时。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9.接收机具有≥4个2.2英寸的TFT-LCD显示屏；发射机具有≥0.96英寸OLED显示屏，能够显示频率信息、音频加密状态、功率挡位、静音状态、电量格数信息。</w:t>
            </w:r>
            <w:r/>
          </w:p>
        </w:tc>
      </w:tr>
      <w:tr>
        <w:trPr>
          <w:gridBefore w:val="1"/>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话筒呼叫控制嵌入软件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1.软件内嵌于无线话筒系统设备，话筒呼叫控制功能。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2.采用UHF超高频段双真分集接收，并采用PLL锁相环多信道频率合成技术。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3.支持自动选讯接收方式。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4.支持信道选择、频率可调、可设置主机与话筒配对。</w:t>
            </w:r>
            <w:r/>
          </w:p>
        </w:tc>
      </w:tr>
      <w:tr>
        <w:trPr>
          <w:gridBefore w:val="1"/>
          <w:trHeight w:val="18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IP功放终端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1.带有TFT显示屏，支持同步服务器时间显示。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2.支持红外遥控功能，实现本机信息查看、播放状态查看、AUX和网络音量的调节、点播服务器媒体库或USB外接设备音频资源等功能。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3.支持点播功能，可实现网络媒体库音频实时点播功能，支持操作上一曲/下一曲、循环播放等功能。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4.具有标准RJ45网络接口，≥100Mbps传输速率，内置网络IP解码模块可实时播放网络音乐及单向呼叫功能；系统中采集播放和单向呼叫功能的网络延时时间≤100ms。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5.内置≥2×30W（MAX）定阻功率放大器，外接到音箱，具有网络音量设置功能。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6.支持对终端显示屏进行锁屏设置，锁屏时间可自定义。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7.设备自带≥2条导光灯条（或者指示灯），可设置定时点亮红色或蓝色指示灯（可设定闪烁，闪烁间隔可自定义），用于打铃时辅助提示。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8.具备有≥1路线路输入接口和≥1路线路输出接口，适用现场本地扩音广播功能；具备有≥1路USB输入接口，适用本地点播功能，支持断网情况下，进行本地点播USB外接设备播放功能。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9.具备有≥1路音量控制盒对接接口，支持扩展接音量控制盒设备实现AUX的音量和网络的音量控制。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10.具有红外播报本地IP地址功能。</w:t>
            </w:r>
            <w:r/>
          </w:p>
        </w:tc>
      </w:tr>
      <w:tr>
        <w:trPr>
          <w:gridBefore w:val="1"/>
          <w:trHeight w:val="15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数字化IP网络终端嵌入软件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1.软件内嵌于数字化IP网络终端设备，支撑设备各项基本功能的运行。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3.支持新配置注册智能语音提示功能。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4.支持播放背景音乐功能，支持单独调节音量。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5.支持播放本地服务器的MP3文件；支持单独播放或分区/全区播放。</w:t>
            </w:r>
            <w:r/>
          </w:p>
        </w:tc>
      </w:tr>
      <w:tr>
        <w:trPr>
          <w:gridBefore w:val="1"/>
          <w:trHeight w:val="20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电源管理器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4.具有一路及以上USB输出接口。</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（五）</w:t>
            </w:r>
            <w:r>
              <w:rPr>
                <w:rFonts w:hint="eastAsia" w:ascii="宋体" w:hAnsi="宋体" w:eastAsia="宋体" w:cs="宋体"/>
                <w:b/>
                <w:bCs/>
                <w:i w:val="0"/>
                <w:iCs w:val="0"/>
                <w:color w:val="auto"/>
                <w:sz w:val="21"/>
                <w:szCs w:val="21"/>
                <w:highlight w:val="none"/>
                <w:u w:val="none"/>
                <w:lang w:val="en-US" w:eastAsia="zh-CN" w:bidi="ar"/>
              </w:rPr>
              <w:t xml:space="preserve">主机房设备</w:t>
            </w:r>
            <w:r/>
          </w:p>
        </w:tc>
      </w:tr>
      <w:tr>
        <w:trPr>
          <w:gridBefore w:val="1"/>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IP广播安卓APP软件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218" w:hanging="8"/>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.软件支持在Android 12.0及以上版本的安卓手机运行。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支持文本广播任务的发起及文本识别功能的使用。</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（六）</w:t>
            </w:r>
            <w:r>
              <w:rPr>
                <w:rFonts w:hint="eastAsia" w:ascii="宋体" w:hAnsi="宋体" w:eastAsia="宋体" w:cs="宋体"/>
                <w:b/>
                <w:bCs/>
                <w:i w:val="0"/>
                <w:iCs w:val="0"/>
                <w:color w:val="auto"/>
                <w:sz w:val="21"/>
                <w:szCs w:val="21"/>
                <w:highlight w:val="none"/>
                <w:u w:val="none"/>
                <w:lang w:val="en-US" w:eastAsia="zh-CN" w:bidi="ar"/>
              </w:rPr>
              <w:t xml:space="preserve">周边设备及音箱（与原有设备兼容）</w:t>
            </w:r>
            <w:r/>
          </w:p>
        </w:tc>
      </w:tr>
      <w:tr>
        <w:trPr>
          <w:gridBefore w:val="1"/>
          <w:trHeight w:val="8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vMerge w:val="restart"/>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IP功放终端</w:t>
            </w:r>
            <w:r/>
          </w:p>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vMerge w:val="restart"/>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1.带有TFT显示屏，支持同步服务器时间显示。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2.支持红外遥控功能，实现本机信息查看、播放状态查看、AUX和网络音量的调节、点播服务器媒体库或USB外接设备音频资源等功能。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3.支持点播功能，可实现网络媒体库音频实时点播功能，支持操作上一曲/下一曲、循环播放等功能。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4.具有标准RJ45网络接口，≥100Mbps传输速率，内置网络IP解码模块可实时播放网络音乐及单向呼叫功能；系统中采集播放和单向呼叫功能的网络延时时间≤100ms。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5.内置≥2×30W（MAX）定阻功率放大器，外接到音箱，具有网络音量设置功能。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6.支持对终端显示屏进行锁屏设置，锁屏时间可自定义。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7.设备自带≥2条导光灯条（或者指示灯），可设置定时点亮红色或蓝色指示灯（可设定闪烁，闪烁间隔可自定义），用于打铃时辅助提示。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8.具备有≥1路线路输入接口和≥1路线路输出接口，适用现场本地扩音广播功能；具备有≥1路USB输入接口，适用本地点播功能，支持断网情况下，进行本地点播USB外接设备播放功能。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9.具备有≥1路音量控制盒对接接口，支持扩展接音量控制盒设备实现AUX的音量和网络的音量控制。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10.具有红外播报本地IP地址功能。</w:t>
            </w:r>
            <w:r/>
          </w:p>
        </w:tc>
      </w:tr>
      <w:tr>
        <w:trPr>
          <w:gridBefore w:val="1"/>
          <w:trHeight w:val="15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1.软件内嵌于数字化IP网络终端设备，支撑设备各项基本功能的运行。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3.支持新配置注册智能语音提示功能。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4.支持播放背景音乐功能，支持单独调节音量。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5.支持播放本地服务器的MP3文件；支持单独播放或分区/全区播放。</w:t>
            </w:r>
            <w:r/>
          </w:p>
        </w:tc>
      </w:tr>
      <w:tr>
        <w:trPr>
          <w:gridBefore w:val="1"/>
          <w:trHeight w:val="33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数字合并式功放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1.具备节能开关电源与D类数字功率放大器相结合。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2.各路输入具有独立音量调节，且总音量具有高音、低音调节及音量大小控制。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3.具备≥1路EMC输入，≥2路AUX输入，≥4路MIC输入。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4.通道优先功能EMC&gt;MIC1&gt;MIC2, MIC3, AUX1, AUX2。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5.支持2种输出方式：定压输出100V、4-16</w:t>
            </w:r>
            <w:r>
              <w:rPr>
                <w:rStyle w:val="1074"/>
                <w:rFonts w:hint="eastAsia" w:ascii="宋体" w:hAnsi="宋体" w:eastAsia="宋体" w:cs="宋体"/>
                <w:color w:val="auto"/>
                <w:sz w:val="21"/>
                <w:szCs w:val="21"/>
                <w:highlight w:val="none"/>
                <w:lang w:val="en-US" w:eastAsia="zh-CN" w:bidi="ar"/>
              </w:rPr>
              <w:t xml:space="preserve">Ω</w:t>
            </w:r>
            <w:r>
              <w:rPr>
                <w:rStyle w:val="1075"/>
                <w:rFonts w:hint="eastAsia" w:ascii="宋体" w:hAnsi="宋体" w:eastAsia="宋体" w:cs="宋体"/>
                <w:color w:val="auto"/>
                <w:sz w:val="21"/>
                <w:szCs w:val="21"/>
                <w:highlight w:val="none"/>
                <w:lang w:val="en-US" w:eastAsia="zh-CN" w:bidi="ar"/>
              </w:rPr>
              <w:t xml:space="preserve">；输出功率≥500W。</w:t>
            </w:r>
            <w:r/>
          </w:p>
        </w:tc>
      </w:tr>
      <w:tr>
        <w:trPr>
          <w:gridBefore w:val="1"/>
          <w:trHeight w:val="15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壁挂音箱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1．额定功率（100V）：3W,6W,10W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2．额定功率（70V）：1.5W,3W,5W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3．灵敏度：91dB±3dB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4．频率响应：130Hz-18KHz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5．喇叭单元：6.5"×1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6．防护等级：IP5X</w:t>
            </w:r>
            <w:r/>
          </w:p>
        </w:tc>
      </w:tr>
      <w:tr>
        <w:trPr>
          <w:gridBefore w:val="1"/>
          <w:trHeight w:val="61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vMerge w:val="restart"/>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IP网络音箱</w:t>
            </w:r>
            <w:r/>
          </w:p>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vMerge w:val="restart"/>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1.内置≥1路网络硬件音频解码模块,具有≥1路RJ45网络接口，≥100Mbps传输速率。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2.支持≥1路音频线路输入接口，具有独立的音量调节功能。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3.设备集成有数字功放，功率≥2×20W（MAX），≥1路接主音箱，≥1路外接到副音箱。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4.设备内置有主备切换检测模块，在断网或断电的故障情况下，实现自动切换到≥100V定压备份通道，主备切换过程无卡顿、不掉字；在通网或通电情况下，恢复主通道。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5.具有≥1路485接口，支持通过控制面板控制音量和优先级关系，查看终端当前执行的网络任务状态。</w:t>
            </w:r>
            <w:r/>
          </w:p>
        </w:tc>
      </w:tr>
      <w:tr>
        <w:trPr>
          <w:gridBefore w:val="1"/>
          <w:trHeight w:val="15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1.软件内嵌于数字化IP网络终端设备，支撑设备各项基本功能的运行。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3.支持新配置注册智能语音提示功能。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4.支持播放背景音乐功能，支持单独调节音量。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5.支持播放本地服务器的MP3文件；支持单独播放或分区/全区播放。</w:t>
            </w:r>
            <w:r/>
          </w:p>
        </w:tc>
      </w:tr>
      <w:tr>
        <w:trPr>
          <w:gridBefore w:val="1"/>
          <w:trHeight w:val="178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面板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1.86盒设计，内置分辨率等同或优于480*480的屏。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2.内置等同或优于32位双核处理器。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3.终端实时任务终端：查看终端当前执行的网络任务状态。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4.内置接线端子与IP网络终端实时通讯接口。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5.支持控制壁挂式IP网络终端音量控制功能。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6.支持点播服务器或本地USB中的MP3音频文件。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7.密码设置：锁屏后需要登录密码才能进行相应的操作设置。</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（七）</w:t>
            </w:r>
            <w:r>
              <w:rPr>
                <w:rFonts w:hint="eastAsia" w:ascii="宋体" w:hAnsi="宋体" w:eastAsia="宋体" w:cs="宋体"/>
                <w:b/>
                <w:bCs/>
                <w:i w:val="0"/>
                <w:iCs w:val="0"/>
                <w:color w:val="auto"/>
                <w:sz w:val="21"/>
                <w:szCs w:val="21"/>
                <w:highlight w:val="none"/>
                <w:u w:val="none"/>
                <w:lang w:val="en-US" w:eastAsia="zh-CN" w:bidi="ar"/>
              </w:rPr>
              <w:t xml:space="preserve">辅助材料</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音频连接线</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1.8米音频连接线：莲花（RCA）-莲花（RCA）</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音频连接线</w:t>
            </w:r>
            <w:r>
              <w:rPr>
                <w:rFonts w:hint="eastAsia" w:ascii="宋体" w:hAnsi="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1.8米音频连接线：莲花（RCA）-6.35话筒插头</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音频连接线</w:t>
            </w:r>
            <w:r>
              <w:rPr>
                <w:rFonts w:hint="eastAsia" w:ascii="宋体" w:hAnsi="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1.8米音频连接线：3.5（耳机插头）-双莲花（RCA）</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音频连接线</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1.8米音频连接线：6.35话筒插头-6.35话筒插头</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网线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外护套低烟无卤线径 0.57MM；</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电气性能</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直流电阻（20℃） 93.8Ω/km</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100MHz特性阻抗 100Ω±15Ω</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延迟偏差 25ns/100m</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NVP 69%</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最小弯曲半径 动态：24mm，静态：48mm</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最大安装拉力 100N</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抗挤压能力 1000N/10cm</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抗冲击能力 ≥10次</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使用温度 安装：-0℃~+40℃；工作：-20℃~+75℃</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喇叭线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RVS2*1.5</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RVS2*2.5</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non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九、电子班牌</w:t>
            </w:r>
            <w:r/>
          </w:p>
        </w:tc>
      </w:tr>
      <w:tr>
        <w:trPr>
          <w:gridBefore w:val="1"/>
          <w:trHeight w:val="2005"/>
        </w:trPr>
        <w:tc>
          <w:tcPr>
            <w:shd w:val="clear" w:color="auto" w:fill="ffffff" w:themeFill="background1"/>
            <w:tcBorders>
              <w:top w:val="single" w:color="000000" w:sz="4" w:space="0"/>
              <w:left w:val="single" w:color="000000" w:sz="4" w:space="0"/>
              <w:bottom w:val="single" w:color="000000" w:sz="4" w:space="0"/>
              <w:right w:val="non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rPr>
                <w:rFonts w:hint="eastAsia" w:ascii="宋体" w:hAnsi="宋体" w:cs="宋体"/>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管理主机</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 总账户（内部管理人员操作）设定，可全局数据信息查看，以及全局功能授权和指定数据授权，有最高的审批权限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学校信发信息管理功能版块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校园基本信息：设备密码设置、迎宾模式标语设置、课程考勤规则设置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教职工管理：上传教职工基本信息（姓名、性别、手机号、状态以及职务）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学校场地区域管理：可添加修改对应场地区域信息。特殊场地信息绑定后显示对应场地的页面，如：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实训室、实验室、音乐教室等等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学校院系管理：可添加编辑院系信息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学校年级管理：可添加学校年级信息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 学校班级管理：可添加学校班级信息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 学生管理：上传学生基本信息（姓名、性别、学籍号、状态），可添加捆绑对应家长，可捆绑多个家长，可录入家长基本信息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 职务管理：进行编辑、添加职务以及职务职能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 一卡通管理：上传教职工以及学生的一卡通信息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 人员人脸库管理：上传教职工以及学生的人脸数据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信息发布管理版块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校园风采：发布图片及视频，可编辑文字内容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班级风采：发布图片及视频，可编辑文字内容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公告通知：发布公告，编辑录入，只有文本信息，可设定发布计划，开始时间及结束时间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最新活动：发布校园活动资讯，可发布图片及文字内容，可设定发布计划，开始时间及结束时间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考勤管理功能版块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事件考勤规则设定：增删查改，可设定多个规则，适用于多个事件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事件考勤记录，筛选获取对应班级考勤统计，可获取对应班级考勤详细记录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课程考勤记录，筛选获取对应班级考勤统计，可获取对应班级考勤详细记录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4）学生考勤记录：筛选获取对应学生考勤统计，可获取对应学生考勤详细记录，并按照学校要求提供数据统计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课程管理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课程库：添加课程名称及对应属性（行政/走班），编辑对应的任教老师姓名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课程模板：设置每周上课时间，每天的课程作息时间，每节课时的时间安排，并可针对不同教室不同班级生成对应不同的课程作息模板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课程表：可查看各个场地、班级的课程表，可整体全校进行批量导入，也可与其他平台系统进行对接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 考试计划（考场模式）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设定考试计划，设定考试时间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设定对应考试计划的多个考试班级以及多个对应考场的场地，设定多个监考老师；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场地可自行编辑座位方案，按照行数及列数规划；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考生信息根据考试班级自动录入，并可根据实际情况进行微调；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5）对接考试系统考试安排，显示学生、教师考勤数据。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 大赛计划（国考模式）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设定大赛计划，设定大赛规划时间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设定对应大赛计划的多个对应的场地，设定多个监考老师；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场地可自行编辑座位方案，按照行数及列数规划；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考生信息根据姓名、身份证号及相关信息录入，可录入校外人员数据，设备端根据身份证号进行人证合一进行对比验证，并可根据实际情况进行微调；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 霸屏计划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设定霸屏计划，设定霸屏规划时间，包括展示开始时间及结束时间，可以上传多个图片或视频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设定对应霸屏计划的多个对应的场地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 场地预约功能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可查看及删除场地预约（借用）信息，信息内容包括预约（借用）人信息、预约（借用）时间、预约（借用）主题、预约（借用）内容描述以及当前审批状态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后台及手机端均可发起场地预约申请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有权限的管理员在后台进行预约审批，审批通过后，预约才能生效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4）对接教务系统借用结果，并显示教室安排数据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 电子班牌管理功能版块（联动设备端）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设备管理功能：查看设备状态情况（在线/离线）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设备对应班级绑定，对应班级数据下发到绑定班牌端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设备当前版本显示，远程更新软件版本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设备可自定义主页面布局，设定布局计划，按照自主需求挑选系统内已有的标准模块，拉动到主页内，进行自定义布局设计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远程设置定时开关机，针对性制定开关机计划，灵活应对各个年级设备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 可实时对设备进行远程重启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7）必须和校园文化电子屏为同一管理后台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（四）系统对接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1.需和教务系统、智慧教学平台、中控系统、考务系统、宣传部门系统对接，做到互联互通、数据共享</w:t>
            </w:r>
            <w:r/>
          </w:p>
        </w:tc>
      </w:tr>
      <w:tr>
        <w:trPr>
          <w:gridBefore w:val="1"/>
          <w:trHeight w:val="322"/>
        </w:trPr>
        <w:tc>
          <w:tcPr>
            <w:shd w:val="clear" w:color="auto" w:fill="ffffff" w:themeFill="background1"/>
            <w:tcBorders>
              <w:top w:val="single" w:color="000000" w:sz="4" w:space="0"/>
              <w:left w:val="single" w:color="000000" w:sz="4" w:space="0"/>
              <w:bottom w:val="single" w:color="000000" w:sz="4" w:space="0"/>
              <w:right w:val="none" w:color="000000" w:sz="4" w:space="0"/>
            </w:tcBorders>
            <w:tcW w:w="704" w:type="dxa"/>
            <w:vAlign w:val="center"/>
            <w:textDirection w:val="lrTb"/>
            <w:noWrap/>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电子班牌终端</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537" w:type="dxa"/>
            <w:vAlign w:val="center"/>
            <w:textDirection w:val="lrTb"/>
            <w:noWrap w:val="false"/>
          </w:tcPr>
          <w:p>
            <w:pPr>
              <w:ind w:left="0" w:firstLine="42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硬件参数：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屏幕正面采用整幅钢化玻璃，可在阳光、白炽灯、日光灯等强光照射下正常使用。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采用≤竖屏21.5英寸电容式触摸屏，支持10点触控，分辨率≥1920*1080，显示比例16:9。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屏幕亮度≥350cd/㎡。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为保证设备户外使用的安全性，班牌面板防水防尘防护级别≥IP65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采用高清摄像头≥200w 像素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 刷卡器：具有内置 IC卡刷卡器，学生可佩带相应的终端设备刷卡签到、登录个人界面等。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 为保证设备稳定性，降低整机热量温度，采用外置电源适配器方案，主体外框为铝合金加防撞玻璃方案。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 CPU:采用高速处理器，核心数量≥4；GPU:采用高性能流处理器，核心数量≥4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 系统运行内存≥2GB DDR3，存储容量≥16GB。定制 Android 11（参考或相当于）。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 兼容多种多媒体格式，至少支持 MPEG1、MPEG2、MPEG4、 H.263、H.264 等视频格式；至少支持 MP3 等音频格式；至少支持 JPG、JPEG、BMP、PNG、GIF 等图片格式。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11.支持继电器和电磁锁，实现门禁功能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12.支持网络通话一体模块。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13.支持麦克风、二维码模块及身份证模块。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14.支持自动感光模块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15.机身结构需自带隐藏一键式防拆防盗装置。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16.含软件，一站式集控平台，教务系统、中控平台、校宣平台等软件接口对接，软件功能定制开发。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17.辅材(含交换机，网线，电源线，线卡槽、辅材等）、安装（含布线、安装、机器调试等）及税费运费（含保险、到校运费，增值税发票等）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（一）核心功能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班牌系统支持多种模式，适应不同校园场景，支持自定义界面，实现一班一界面功能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多风格 UI 设计，可根据学校需求进行定制等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班牌除展示功能外，还有多种人机互动功能，可实现远程操作管理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学校统一管理平台，根据学校需要可设置不同账号架构及功能模块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采购人可根据自身需要自定义各模块管理规则。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 班牌根据后台设定时间，自动切换页面全屏轮播，如学校动态、班级动态、通知公告等，后台时间设定规则可自定义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 做到真正意义上的远程更新，无需人员到设备现场操作，只在后台上传最新版本系统并操作即可，设备会自动检测最新版本并下载安装，方便升级维护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 实现走班考勤，对接教务课表展示在班牌端，学生进行课堂考勤即可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 对接教务系统，实现数据互通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（二）设备端系统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页面显示：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1) 可显示当前教室任课教师信息，包括头像、姓名、性别、授课课程等信息；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2) 可显示学校及对应班级信息，左上角可显示校徽；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3) 可显示天气信息，时间信息；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4) 可显示当前场地绑定的班级信息，包括年级班级号，学生人数，班级标语，流动红旗；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5）绑定特殊场地，如：实训室、实验室、音乐教室，会显示对应的场地页面，场地名称、当前课程、场地设备清单等信息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6) 可显示当日课程表，可点击查看本周课程；可加亮显示当前课节信息；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7) 可显示当前班级当日（当节课堂）考勤统计（正常、迟到、请假、未到），点击“考勤总览”可进入查看完整的其他课节考勤记录；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8) 可显示校园及班级风采展示，显示对应展示的图片及视频，并可滚动播放图片，可点击进入风采展示页面，点击视频可进行播放及停止等操作，点击图片可左右滑动查看其他图片；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9) 可显示当前班级当日值日生，以及教室卫生检查情况；可点击查看详情；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10) 可显示校园活动咨询与公告，其中活动咨询可以图片+文字展示，校园通知公告可显示文字通知信息，公告则是纯文字；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11) 可显示对应场地的当前预约信息，以及对应场地的预约时间安排信息；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12)从主页点击进入其他页面后，超时无人再次操作，将会自动跳回主页面。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考勤签到模式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1) 根据不同时间段的考勤签到计划，显示当前课堂或者事件的考勤签到内容信息，考勤时间段可进行考勤，页面保持显示人脸识别框，同时显示对应需要考勤人员头像排列，以及实时显示人员考勤签到状态信息；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2) 考勤签到时，无须点击即可同时进行刷脸及刷卡认证识别操作，认证识别后会显示人员姓名及状态提示；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3) 当进行课程考勤签到时，教师考勤签到信息与学生考勤签到信息在不同区域进行显示；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4）走班课表显示当前教室当前课程上课人员所属的班级名称；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5）断电或其他异常情况下，支持教师手机端一键签到；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6）支持多人同时人脸签到。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迎宾模式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1) 领导视察场景：显示豪华端庄页面，欢迎领导参观视察，打出醒目标语，动态播放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2) 目前以横幅形式进行，预留图片形式等功能。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置顶模式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1) 显示校园动态、班级动态、通知公告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2) 显示校园、班级宣传图片、视频，全屏轮播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3) 通知公告文字内容，可全屏轮播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考场模式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1) 后台录入考试计划，根据内容显示相关考试内容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2) 显示考场课室信息，考试科目，考试内容，考试时间以及考试计划安排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3) 显示考场座位信息，显示人员信息，显示监考老师信息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4) 考试期间可进行考试人员签到，包括考生签到以及监考老师签到，签到可通过人脸识别及 ic 卡方式进行签到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 大赛模式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1) 后台录入大赛计划，根据内容显示相关大赛内容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2) 显示大赛课室信息及内容，包括大赛时间以及大赛计划安排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3) 显示大赛座位信息，显示人员信息，显示监考老师信息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4) 大赛期间可进行考试人员签到，包括考生签到以及监考老师签到，签到通过身份证人证合一进行签到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 霸屏计划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1) 后台录入霸屏计划，根据设定内容可以播放视频或图片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2) 霸屏结束方式：等待设定时间结束，后台设定停用该计划，退出班牌应用联动门禁控制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 门禁功能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1) 可在设备首页进行门禁的控制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2) 可同时通过人脸识别或者刷卡进行门禁控制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 应用中心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常规：校园风采、班级风采、考勤总览、区域课表、最新通知、班级学生、最新活动；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其他功能：皮肤切换、模式切换、系统设置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 校园风采：点击查看学校发布的图片、视频，点击视频可全屏播放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 班级风采：点击查看班级发布的图片、视频，点击视频可全屏播放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 考勤总览：点击查看该班级当天所有课程的签到统计情况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 区域课表：点击查看该班级一周的课表信息，当天课程加亮显示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⑤ 最新通知：点击查看学校发布的所有通知内容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⑥ 班级学生：点击查看该班级所有的学生，显示学生头像及学生姓名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⑦ 最新活动：点击查看学校发布的活动信息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2）其他功能：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 皮肤切换：可根据需要进行切换主题颜色，主题也会逐渐增加，或可进行定制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 模式切换：可根据校园现况，自行进行更改展示模式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 系统模式：可查看设备编号、软件版本、调节设备音量及亮度；输入密码可进入系统设置进行其他操作或清空缓存</w:t>
            </w:r>
            <w:r/>
          </w:p>
        </w:tc>
      </w:tr>
      <w:tr>
        <w:trPr>
          <w:gridBefore w:val="1"/>
          <w:trHeight w:val="270"/>
        </w:trPr>
        <w:tc>
          <w:tcPr>
            <w:gridSpan w:val="3"/>
            <w:shd w:val="clear" w:color="auto" w:fill="ffffff" w:themeFill="background1"/>
            <w:tcBorders>
              <w:top w:val="none" w:color="000000" w:sz="4" w:space="0"/>
              <w:left w:val="none" w:color="000000" w:sz="4" w:space="0"/>
              <w:bottom w:val="single" w:color="000000" w:sz="4" w:space="0"/>
              <w:right w:val="none" w:color="000000" w:sz="4" w:space="0"/>
            </w:tcBorders>
            <w:tcW w:w="9733" w:type="dxa"/>
            <w:vAlign w:val="bottom"/>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十、标准化考点</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none" w:color="000000" w:sz="4" w:space="0"/>
            </w:tcBorders>
            <w:tcW w:w="9733"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（一）高清网上巡查系统</w:t>
            </w:r>
            <w:r/>
          </w:p>
        </w:tc>
      </w:tr>
      <w:tr>
        <w:trPr>
          <w:gridBefore w:val="1"/>
          <w:trHeight w:val="27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红外网络半球摄像机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0"/>
              </w:numPr>
              <w:ind w:left="0" w:firstLine="0"/>
              <w:spacing w:line="280" w:lineRule="exact"/>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olor w:val="auto"/>
                <w:sz w:val="21"/>
                <w:szCs w:val="21"/>
                <w:highlight w:val="none"/>
              </w:rPr>
              <w:t xml:space="preserve">应符合《国家教育考试网上巡查系统视频标准技术规范（2017版）》； </w:t>
            </w:r>
            <w:r>
              <w:rPr>
                <w:rFonts w:hint="eastAsia" w:ascii="宋体" w:hAnsi="宋体"/>
                <w:color w:val="auto"/>
                <w:sz w:val="21"/>
                <w:szCs w:val="21"/>
                <w:highlight w:val="none"/>
              </w:rPr>
              <w:br/>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帧率：50Hz：25fps (</w:t>
            </w:r>
            <w:r>
              <w:rPr>
                <w:rFonts w:ascii="宋体" w:hAnsi="宋体"/>
                <w:color w:val="auto"/>
                <w:sz w:val="21"/>
                <w:szCs w:val="21"/>
                <w:highlight w:val="none"/>
              </w:rPr>
              <w:t xml:space="preserve">2560×1440</w:t>
            </w:r>
            <w:r>
              <w:rPr>
                <w:rFonts w:hint="eastAsia" w:ascii="宋体" w:hAnsi="宋体"/>
                <w:color w:val="auto"/>
                <w:sz w:val="21"/>
                <w:szCs w:val="21"/>
                <w:highlight w:val="none"/>
              </w:rPr>
              <w:t xml:space="preserve">，1920 × 1080,1280 × 960,1280 × 720)；60Hz：30fps；</w:t>
            </w:r>
            <w:r/>
          </w:p>
          <w:p>
            <w:pPr>
              <w:numPr>
                <w:ilvl w:val="0"/>
                <w:numId w:val="0"/>
              </w:numPr>
              <w:ind w:left="0" w:firstLine="0"/>
              <w:spacing w:line="28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传感器：1/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Progressive Scan CMOS，镜头：2.8mm；</w:t>
            </w:r>
            <w:r/>
          </w:p>
          <w:p>
            <w:pPr>
              <w:numPr>
                <w:ilvl w:val="0"/>
                <w:numId w:val="0"/>
              </w:numPr>
              <w:ind w:left="0" w:firstLine="0"/>
              <w:spacing w:line="28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水平视场角:≥9</w:t>
            </w:r>
            <w:r>
              <w:rPr>
                <w:rFonts w:ascii="宋体" w:hAnsi="宋体"/>
                <w:color w:val="auto"/>
                <w:sz w:val="21"/>
                <w:szCs w:val="21"/>
                <w:highlight w:val="none"/>
              </w:rPr>
              <w:t xml:space="preserve">6</w:t>
            </w:r>
            <w:r>
              <w:rPr>
                <w:rFonts w:hint="eastAsia" w:ascii="宋体" w:hAnsi="宋体"/>
                <w:color w:val="auto"/>
                <w:sz w:val="21"/>
                <w:szCs w:val="21"/>
                <w:highlight w:val="none"/>
              </w:rPr>
              <w:t xml:space="preserve">°；</w:t>
            </w:r>
            <w:r/>
          </w:p>
          <w:p>
            <w:pPr>
              <w:numPr>
                <w:ilvl w:val="0"/>
                <w:numId w:val="0"/>
              </w:numPr>
              <w:ind w:left="0" w:firstLine="0"/>
              <w:spacing w:line="2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信噪比：≥55</w:t>
            </w:r>
            <w:r>
              <w:rPr>
                <w:rFonts w:ascii="宋体" w:hAnsi="宋体"/>
                <w:color w:val="auto"/>
                <w:sz w:val="21"/>
                <w:szCs w:val="21"/>
                <w:highlight w:val="none"/>
              </w:rPr>
              <w:t xml:space="preserve">.5</w:t>
            </w:r>
            <w:r>
              <w:rPr>
                <w:rFonts w:hint="eastAsia" w:ascii="宋体" w:hAnsi="宋体"/>
                <w:color w:val="auto"/>
                <w:sz w:val="21"/>
                <w:szCs w:val="21"/>
                <w:highlight w:val="none"/>
              </w:rPr>
              <w:t xml:space="preserve">dB；</w:t>
            </w:r>
            <w:r/>
          </w:p>
          <w:p>
            <w:pPr>
              <w:ind w:left="0" w:firstLine="0"/>
              <w:spacing w:line="28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最低照度：补光灯关闭时，彩色：≤0.00021x（AGC ON,RJ45输出，应能分辨反射式视频矩阵测试卡中彩色色块）；黑白：≤0.00011x（AGC ON,RJ45输出，能分辨反射式视频分辨率测试卡中圆形轮廓）；</w:t>
            </w:r>
            <w:r/>
          </w:p>
          <w:p>
            <w:pPr>
              <w:ind w:left="0" w:firstLine="0"/>
              <w:spacing w:line="2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支</w:t>
            </w:r>
            <w:r>
              <w:rPr>
                <w:rFonts w:hint="eastAsia" w:ascii="宋体" w:hAnsi="宋体"/>
                <w:color w:val="auto"/>
                <w:sz w:val="21"/>
                <w:szCs w:val="21"/>
                <w:highlight w:val="none"/>
              </w:rPr>
              <w:t xml:space="preserve">持H.264、H.265、MJPEG</w:t>
            </w:r>
            <w:r>
              <w:rPr>
                <w:rFonts w:ascii="宋体" w:hAnsi="宋体"/>
                <w:color w:val="auto"/>
                <w:sz w:val="21"/>
                <w:szCs w:val="21"/>
                <w:highlight w:val="none"/>
              </w:rPr>
              <w:t xml:space="preserve">视频压缩</w:t>
            </w:r>
            <w:r>
              <w:rPr>
                <w:rFonts w:hint="eastAsia" w:ascii="宋体" w:hAnsi="宋体"/>
                <w:color w:val="auto"/>
                <w:sz w:val="21"/>
                <w:szCs w:val="21"/>
                <w:highlight w:val="none"/>
              </w:rPr>
              <w:t xml:space="preserve">标准</w:t>
            </w:r>
            <w:r>
              <w:rPr>
                <w:rFonts w:ascii="宋体" w:hAnsi="宋体"/>
                <w:color w:val="auto"/>
                <w:sz w:val="21"/>
                <w:szCs w:val="21"/>
                <w:highlight w:val="none"/>
              </w:rPr>
              <w:t xml:space="preserve">，支持G.711</w:t>
            </w:r>
            <w:r>
              <w:rPr>
                <w:rFonts w:hint="eastAsia" w:ascii="宋体" w:hAnsi="宋体"/>
                <w:color w:val="auto"/>
                <w:sz w:val="21"/>
                <w:szCs w:val="21"/>
                <w:highlight w:val="none"/>
              </w:rPr>
              <w:t xml:space="preserve">、</w:t>
            </w:r>
            <w:r>
              <w:rPr>
                <w:rFonts w:ascii="宋体" w:hAnsi="宋体"/>
                <w:color w:val="auto"/>
                <w:sz w:val="21"/>
                <w:szCs w:val="21"/>
                <w:highlight w:val="none"/>
              </w:rPr>
              <w:t xml:space="preserve">MP2L2</w:t>
            </w:r>
            <w:r>
              <w:rPr>
                <w:rFonts w:hint="eastAsia" w:ascii="宋体" w:hAnsi="宋体"/>
                <w:color w:val="auto"/>
                <w:sz w:val="21"/>
                <w:szCs w:val="21"/>
                <w:highlight w:val="none"/>
              </w:rPr>
              <w:t xml:space="preserve">、</w:t>
            </w:r>
            <w:r>
              <w:rPr>
                <w:rFonts w:ascii="宋体" w:hAnsi="宋体"/>
                <w:color w:val="auto"/>
                <w:sz w:val="21"/>
                <w:szCs w:val="21"/>
                <w:highlight w:val="none"/>
              </w:rPr>
              <w:t xml:space="preserve">AAC音频压缩标准；</w:t>
            </w:r>
            <w:r/>
          </w:p>
          <w:p>
            <w:pPr>
              <w:ind w:left="0" w:firstLine="0"/>
              <w:spacing w:line="28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应支持支持标准SIP2.0，支持SIP地址解析，信令转发，支持SIP URI统一命名规则、分级命名；</w:t>
            </w:r>
            <w:r/>
          </w:p>
          <w:p>
            <w:pPr>
              <w:ind w:left="0" w:firstLine="0"/>
              <w:spacing w:line="2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红外夜视距离：在夜间照度较低的环境下，通过红外光照射，可探测到距离样机100米处的目标；</w:t>
            </w:r>
            <w:r/>
          </w:p>
          <w:p>
            <w:pPr>
              <w:ind w:left="0" w:firstLine="0"/>
              <w:spacing w:line="280"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宽动态范围：≥120dB；</w:t>
            </w:r>
            <w:r/>
          </w:p>
          <w:p>
            <w:pPr>
              <w:ind w:left="0" w:firstLine="0"/>
              <w:spacing w:line="2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网络适应能力：在丢包率为15%的网络环境下，画面无明显卡顿和画质下降；</w:t>
            </w:r>
            <w:r/>
          </w:p>
          <w:p>
            <w:pPr>
              <w:ind w:left="0" w:firstLine="0"/>
              <w:spacing w:line="280" w:lineRule="exact"/>
              <w:rPr>
                <w:rFonts w:hint="eastAsia" w:ascii="宋体" w:hAnsi="宋体"/>
                <w:i/>
                <w:iCs/>
                <w:color w:val="auto"/>
                <w:sz w:val="21"/>
                <w:szCs w:val="21"/>
                <w:highlight w:val="none"/>
                <w:u w:val="singl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支持时钟同步功能，可自动或手动同步系统时间，支持NTP授时。</w:t>
            </w:r>
            <w:r>
              <w:rPr>
                <w:rFonts w:hint="eastAsia" w:ascii="宋体" w:hAnsi="宋体"/>
                <w:color w:val="auto"/>
                <w:sz w:val="21"/>
                <w:szCs w:val="21"/>
                <w:highlight w:val="none"/>
              </w:rPr>
              <w:br/>
            </w:r>
            <w:r>
              <w:rPr>
                <w:rFonts w:ascii="宋体" w:hAnsi="宋体"/>
                <w:i w:val="0"/>
                <w:iCs w:val="0"/>
                <w:color w:val="auto"/>
                <w:sz w:val="21"/>
                <w:szCs w:val="21"/>
                <w:highlight w:val="none"/>
                <w:u w:val="none"/>
              </w:rPr>
              <w:t xml:space="preserve">1</w:t>
            </w:r>
            <w:r>
              <w:rPr>
                <w:rFonts w:hint="eastAsia" w:ascii="宋体" w:hAnsi="宋体"/>
                <w:i w:val="0"/>
                <w:iCs w:val="0"/>
                <w:color w:val="auto"/>
                <w:sz w:val="21"/>
                <w:szCs w:val="21"/>
                <w:highlight w:val="none"/>
                <w:u w:val="none"/>
                <w:lang w:val="en-US" w:eastAsia="zh-CN"/>
              </w:rPr>
              <w:t xml:space="preserve">3.</w:t>
            </w:r>
            <w:r>
              <w:rPr>
                <w:rFonts w:hint="eastAsia" w:ascii="宋体" w:hAnsi="宋体"/>
                <w:i w:val="0"/>
                <w:iCs w:val="0"/>
                <w:color w:val="auto"/>
                <w:sz w:val="21"/>
                <w:szCs w:val="21"/>
                <w:highlight w:val="none"/>
                <w:u w:val="none"/>
              </w:rPr>
              <w:t xml:space="preserve">多路访问功能检查</w:t>
            </w:r>
            <w:r>
              <w:rPr>
                <w:rFonts w:hint="eastAsia" w:ascii="宋体" w:hAnsi="宋体"/>
                <w:i w:val="0"/>
                <w:iCs w:val="0"/>
                <w:color w:val="auto"/>
                <w:sz w:val="21"/>
                <w:szCs w:val="21"/>
                <w:highlight w:val="none"/>
                <w:u w:val="none"/>
                <w:lang w:eastAsia="zh-CN"/>
              </w:rPr>
              <w:t xml:space="preserve">：支持同时输出30路1920×1080、4Mbps、25fps的视频图像</w:t>
            </w:r>
            <w:r>
              <w:rPr>
                <w:rFonts w:hint="eastAsia" w:ascii="宋体" w:hAnsi="宋体"/>
                <w:i w:val="0"/>
                <w:iCs w:val="0"/>
                <w:color w:val="auto"/>
                <w:sz w:val="21"/>
                <w:szCs w:val="21"/>
                <w:highlight w:val="none"/>
                <w:u w:val="none"/>
              </w:rPr>
              <w:t xml:space="preserve">；</w:t>
            </w:r>
            <w:r/>
          </w:p>
          <w:p>
            <w:pPr>
              <w:ind w:left="0" w:firstLine="0"/>
              <w:spacing w:line="2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支持POE供电功能；</w:t>
            </w:r>
            <w:r/>
          </w:p>
          <w:p>
            <w:pPr>
              <w:ind w:left="0" w:firstLine="0"/>
              <w:spacing w:line="280" w:lineRule="exact"/>
              <w:rPr>
                <w:rFonts w:hint="eastAsia" w:ascii="宋体" w:hAnsi="宋体"/>
                <w:i w:val="0"/>
                <w:iCs w:val="0"/>
                <w:color w:val="auto"/>
                <w:sz w:val="21"/>
                <w:szCs w:val="21"/>
                <w:highlight w:val="none"/>
                <w:u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5</w:t>
            </w:r>
            <w:r>
              <w:rPr>
                <w:rFonts w:hint="eastAsia" w:ascii="宋体" w:hAnsi="宋体"/>
                <w:i w:val="0"/>
                <w:iCs w:val="0"/>
                <w:color w:val="auto"/>
                <w:sz w:val="21"/>
                <w:szCs w:val="21"/>
                <w:highlight w:val="none"/>
                <w:u w:val="none"/>
                <w:lang w:val="en-US" w:eastAsia="zh-CN"/>
              </w:rPr>
              <w:t xml:space="preserve">.</w:t>
            </w:r>
            <w:r>
              <w:rPr>
                <w:rFonts w:hint="eastAsia" w:ascii="宋体" w:hAnsi="宋体"/>
                <w:i w:val="0"/>
                <w:iCs w:val="0"/>
                <w:color w:val="auto"/>
                <w:sz w:val="21"/>
                <w:szCs w:val="21"/>
                <w:highlight w:val="none"/>
                <w:u w:val="none"/>
              </w:rPr>
              <w:t xml:space="preserve">支持512GB存储卡；</w:t>
            </w:r>
            <w:r/>
          </w:p>
          <w:p>
            <w:pPr>
              <w:ind w:left="0" w:firstLine="0"/>
              <w:spacing w:line="280"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6.</w:t>
            </w:r>
            <w:r>
              <w:rPr>
                <w:rFonts w:hint="eastAsia" w:ascii="宋体" w:hAnsi="宋体"/>
                <w:i w:val="0"/>
                <w:iCs w:val="0"/>
                <w:strike w:val="0"/>
                <w:color w:val="auto"/>
                <w:sz w:val="21"/>
                <w:szCs w:val="21"/>
                <w:highlight w:val="none"/>
                <w:u w:val="none"/>
              </w:rPr>
              <w:t xml:space="preserve">应支持1路10/100M以太网输出接口，采用RJ45连接，可选用射频无线接口或光纤接口</w:t>
            </w:r>
            <w:r>
              <w:rPr>
                <w:rFonts w:ascii="宋体" w:hAnsi="宋体"/>
                <w:i w:val="0"/>
                <w:iCs w:val="0"/>
                <w:strike w:val="0"/>
                <w:color w:val="auto"/>
                <w:sz w:val="21"/>
                <w:szCs w:val="21"/>
                <w:highlight w:val="none"/>
                <w:u w:val="none"/>
              </w:rPr>
              <w:t xml:space="preserve">；</w:t>
            </w:r>
            <w:r>
              <w:rPr>
                <w:rFonts w:hint="eastAsia" w:ascii="宋体" w:hAnsi="宋体"/>
                <w:i w:val="0"/>
                <w:iCs w:val="0"/>
                <w:strike w:val="0"/>
                <w:color w:val="auto"/>
                <w:sz w:val="21"/>
                <w:szCs w:val="21"/>
                <w:highlight w:val="none"/>
                <w:u w:val="none"/>
              </w:rPr>
              <w:t xml:space="preserve"> （检测报告需为具有CMA标志的第三方机构出具的检测报告；） </w:t>
            </w:r>
            <w:r/>
          </w:p>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可靠性高，外壳防护等级不低于</w:t>
            </w:r>
            <w:r>
              <w:rPr>
                <w:rFonts w:ascii="宋体" w:hAnsi="宋体"/>
                <w:color w:val="auto"/>
                <w:sz w:val="21"/>
                <w:szCs w:val="21"/>
                <w:highlight w:val="none"/>
              </w:rPr>
              <w:t xml:space="preserve">IP67</w:t>
            </w:r>
            <w:r>
              <w:rPr>
                <w:rFonts w:hint="eastAsia" w:ascii="宋体" w:hAnsi="宋体"/>
                <w:color w:val="auto"/>
                <w:sz w:val="21"/>
                <w:szCs w:val="21"/>
                <w:highlight w:val="none"/>
              </w:rPr>
              <w:t xml:space="preserve">，机械碰撞防护等级不低于IK10；</w:t>
            </w:r>
            <w:r/>
          </w:p>
        </w:tc>
      </w:tr>
      <w:tr>
        <w:trPr>
          <w:gridBefore w:val="1"/>
          <w:trHeight w:val="41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巡查分发存储单元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23"/>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应符合《国家教育考试网上巡查系统视频标准技术规范（2017版）》；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应采用Linux实时操作系统，具有抗病毒和抗攻击能力；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应支持不低于64路高清视频接入，最大接入带宽不低于320Mbps；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最大应支持接入8块SATA硬盘；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设备接口应满足：≥2个RJ45 10M/100M/1000Mbps自适应以太网接口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应支持1/4/9/16画面预览分割；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应支持支持视频质量诊断，当检测到视频质量异常（条纹干扰、视频偏色、视频噪声、视频虚焦、视频过曝）时，进行告警上报，支持联动处理；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应支持支持标准SIP2.0，支持SIP地址解析，信令转发，支持SIP URI统一命名规则、分级命名；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9.支持TS流封装和PS流封装；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10.应支持一键创建RAID5阵列；</w:t>
            </w:r>
            <w:r/>
          </w:p>
          <w:p>
            <w:pPr>
              <w:numPr>
                <w:ilvl w:val="0"/>
                <w:numId w:val="0"/>
              </w:numPr>
              <w:jc w:val="left"/>
              <w:keepLines w:val="0"/>
              <w:keepNext w:val="0"/>
              <w:spacing w:line="240" w:lineRule="auto"/>
              <w:widowControl/>
              <w:rPr>
                <w:rFonts w:hint="default"/>
                <w:color w:val="auto"/>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11.含2块</w:t>
            </w:r>
            <w:r>
              <w:rPr>
                <w:rFonts w:hint="default"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4TB硬盘。</w:t>
            </w:r>
            <w:r/>
          </w:p>
        </w:tc>
      </w:tr>
      <w:tr>
        <w:trPr>
          <w:gridBefore w:val="1"/>
          <w:trHeight w:val="123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视频拼接解码器</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应符合《国家教育考试网上巡查系统视频标准技术规范（2017版）》技术要求；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应为嵌入式Linux实时操作系统；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视频编解码应支持H.264、H.265，MPEG4、MJPEG等；音频编解码应支持G.722、G.711A、G.726、G.711U、MPEG2-L2、AAC等；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应支持音视频同步，流封装应支持TS（Transition Stream）和PS（Program Stream）；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设备应支持≥4路HDMI输出接口，分辨率为1080P；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输入接口数≥1路HDMI接口；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整机解码能力：至少36路1080P分辨率画面；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网络接口数≥1个 RJ45  10M/100M/1000Mbps 自适应以太网接口；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应支持多路视频拼接输出，支持1/4/6/8/9/12/16/25/36画面分割；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应具有画面分割显示功能。图像切换应能通过手动或编程实现，能够完成独立轮巡和组合轮巡、定点轮巡和定长轮巡。输出支持4画面、9画面等画面分割模式，网上巡查图像可任意组合显示。</w:t>
            </w:r>
            <w:r/>
          </w:p>
        </w:tc>
      </w:tr>
      <w:tr>
        <w:trPr>
          <w:gridBefore w:val="1"/>
          <w:trHeight w:val="229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高清网上巡查客户端软件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24"/>
              </w:numPr>
              <w:ind w:left="0" w:firstLine="0"/>
              <w:jc w:val="left"/>
              <w:keepLines w:val="0"/>
              <w:keepNext w:val="0"/>
              <w:spacing w:line="240" w:lineRule="auto"/>
              <w:widowControl/>
              <w:rPr>
                <w:rFonts w:hint="default"/>
                <w:color w:val="auto"/>
                <w:highlight w:val="none"/>
                <w:lang w:val="en-US" w:eastAsia="zh-CN"/>
              </w:rPr>
              <w:suppressLineNumbers w:val="0"/>
            </w:pPr>
            <w:r>
              <w:rPr>
                <w:rFonts w:hint="eastAsia"/>
                <w:color w:val="auto"/>
                <w:highlight w:val="none"/>
                <w:lang w:val="en-US" w:eastAsia="zh-CN"/>
              </w:rPr>
              <w:t xml:space="preserve">应支持视频监控管理：提供视频源列表、视频预览、预案播放、轮巡播放等多种方式选择视频源，播放视频；</w:t>
            </w:r>
            <w:r>
              <w:rPr>
                <w:rFonts w:hint="eastAsia"/>
                <w:color w:val="auto"/>
                <w:highlight w:val="none"/>
                <w:lang w:val="en-US" w:eastAsia="zh-CN"/>
              </w:rPr>
              <w:br/>
            </w:r>
            <w:r>
              <w:rPr>
                <w:rFonts w:hint="eastAsia"/>
                <w:color w:val="auto"/>
                <w:highlight w:val="none"/>
                <w:lang w:val="en-US" w:eastAsia="zh-CN"/>
              </w:rPr>
              <w:t xml:space="preserve">2.应支持资源管理，统一配置系统资源，如设备、通道、区域等；</w:t>
            </w:r>
            <w:r>
              <w:rPr>
                <w:rFonts w:hint="eastAsia"/>
                <w:color w:val="auto"/>
                <w:highlight w:val="none"/>
                <w:lang w:val="en-US" w:eastAsia="zh-CN"/>
              </w:rPr>
              <w:br/>
            </w:r>
            <w:r>
              <w:rPr>
                <w:rFonts w:hint="eastAsia"/>
                <w:color w:val="auto"/>
                <w:highlight w:val="none"/>
                <w:lang w:val="en-US" w:eastAsia="zh-CN"/>
              </w:rPr>
              <w:t xml:space="preserve">3.应支持录像的查询、回放、下载功能；</w:t>
            </w:r>
            <w:r>
              <w:rPr>
                <w:rFonts w:hint="eastAsia"/>
                <w:color w:val="auto"/>
                <w:highlight w:val="none"/>
                <w:lang w:val="en-US" w:eastAsia="zh-CN"/>
              </w:rPr>
              <w:br/>
            </w:r>
            <w:r>
              <w:rPr>
                <w:rFonts w:hint="eastAsia"/>
                <w:color w:val="auto"/>
                <w:highlight w:val="none"/>
                <w:lang w:val="en-US" w:eastAsia="zh-CN"/>
              </w:rPr>
              <w:t xml:space="preserve">4.应支持多路视频源拼接、1/4/9/16多画面输出显示；</w:t>
            </w:r>
            <w:r>
              <w:rPr>
                <w:rFonts w:hint="eastAsia"/>
                <w:color w:val="auto"/>
                <w:highlight w:val="none"/>
                <w:lang w:val="en-US" w:eastAsia="zh-CN"/>
              </w:rPr>
              <w:br/>
            </w:r>
            <w:r>
              <w:rPr>
                <w:rFonts w:hint="eastAsia"/>
                <w:color w:val="auto"/>
                <w:highlight w:val="none"/>
                <w:lang w:val="en-US" w:eastAsia="zh-CN"/>
              </w:rPr>
              <w:t xml:space="preserve">5.应支持H.264、MPEG4视频编码格式，支持G.711、ACC音频编码格式，支持PS、TS视频格式的封装；</w:t>
            </w:r>
            <w:r>
              <w:rPr>
                <w:rFonts w:hint="eastAsia"/>
                <w:color w:val="auto"/>
                <w:highlight w:val="none"/>
                <w:lang w:val="en-US" w:eastAsia="zh-CN"/>
              </w:rPr>
              <w:br/>
            </w:r>
            <w:r>
              <w:rPr>
                <w:rFonts w:hint="eastAsia"/>
                <w:color w:val="auto"/>
                <w:highlight w:val="none"/>
                <w:lang w:val="en-US" w:eastAsia="zh-CN"/>
              </w:rPr>
              <w:t xml:space="preserve">6.支持视频预览，指定的节目源可实现音视频预览，支持分屏模式切换，支持轮巡预览，支持全屏预览；</w:t>
            </w:r>
            <w:r/>
          </w:p>
        </w:tc>
      </w:tr>
      <w:tr>
        <w:trPr>
          <w:gridBefore w:val="1"/>
          <w:trHeight w:val="91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SIP转发管理服务器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0"/>
              </w:numPr>
              <w:jc w:val="left"/>
              <w:keepLines w:val="0"/>
              <w:keepNext w:val="0"/>
              <w:spacing w:line="240" w:lineRule="auto"/>
              <w:widowControl/>
              <w:rPr>
                <w:rFonts w:hint="eastAsia"/>
                <w:color w:val="auto"/>
                <w:highlight w:val="none"/>
                <w:lang w:val="en-US" w:eastAsia="zh-CN"/>
              </w:rPr>
              <w:suppressLineNumbers w:val="0"/>
            </w:pPr>
            <w:r>
              <w:rPr>
                <w:rFonts w:hint="eastAsia"/>
                <w:color w:val="auto"/>
                <w:highlight w:val="none"/>
                <w:lang w:val="en-US" w:eastAsia="zh-CN"/>
              </w:rPr>
              <w:t xml:space="preserve">1.应符合《国家教育考试网上巡查系统视频标准技术规范（2017版）》； </w:t>
            </w:r>
            <w:r>
              <w:rPr>
                <w:rFonts w:hint="eastAsia"/>
                <w:color w:val="auto"/>
                <w:highlight w:val="none"/>
                <w:lang w:val="en-US" w:eastAsia="zh-CN"/>
              </w:rPr>
              <w:br/>
            </w:r>
            <w:r>
              <w:rPr>
                <w:rFonts w:hint="eastAsia"/>
                <w:color w:val="auto"/>
                <w:highlight w:val="none"/>
                <w:lang w:val="en-US" w:eastAsia="zh-CN"/>
              </w:rPr>
              <w:t xml:space="preserve">2.服务器应包含信令转发服务和媒体流转发服务；</w:t>
            </w:r>
            <w:r>
              <w:rPr>
                <w:rFonts w:hint="eastAsia"/>
                <w:color w:val="auto"/>
                <w:highlight w:val="none"/>
                <w:lang w:val="en-US" w:eastAsia="zh-CN"/>
              </w:rPr>
              <w:br/>
            </w:r>
            <w:r>
              <w:rPr>
                <w:rFonts w:hint="eastAsia"/>
                <w:color w:val="auto"/>
                <w:highlight w:val="none"/>
                <w:lang w:val="en-US" w:eastAsia="zh-CN"/>
              </w:rPr>
              <w:t xml:space="preserve">3.采用嵌入式设备，Linux实时操作系统；</w:t>
            </w:r>
            <w:r>
              <w:rPr>
                <w:rFonts w:hint="eastAsia"/>
                <w:color w:val="auto"/>
                <w:highlight w:val="none"/>
                <w:lang w:val="en-US" w:eastAsia="zh-CN"/>
              </w:rPr>
              <w:br/>
            </w:r>
            <w:r>
              <w:rPr>
                <w:rFonts w:hint="eastAsia"/>
                <w:color w:val="auto"/>
                <w:highlight w:val="none"/>
                <w:lang w:val="en-US" w:eastAsia="zh-CN"/>
              </w:rPr>
              <w:t xml:space="preserve">4.支持标准SIP2.0，支持SIP地址解析、信令转发、路由、NAT穿透功能；</w:t>
            </w:r>
            <w:r>
              <w:rPr>
                <w:rFonts w:hint="eastAsia"/>
                <w:color w:val="auto"/>
                <w:highlight w:val="none"/>
                <w:lang w:val="en-US" w:eastAsia="zh-CN"/>
              </w:rPr>
              <w:br/>
            </w:r>
            <w:r>
              <w:rPr>
                <w:rFonts w:hint="eastAsia"/>
                <w:color w:val="auto"/>
                <w:highlight w:val="none"/>
                <w:lang w:val="en-US" w:eastAsia="zh-CN"/>
              </w:rPr>
              <w:t xml:space="preserve">5.应支持多级注册，支持媒体流的汇聚；</w:t>
            </w:r>
            <w:r>
              <w:rPr>
                <w:rFonts w:hint="eastAsia"/>
                <w:color w:val="auto"/>
                <w:highlight w:val="none"/>
                <w:lang w:val="en-US" w:eastAsia="zh-CN"/>
              </w:rPr>
              <w:br/>
            </w:r>
            <w:r>
              <w:rPr>
                <w:rFonts w:hint="eastAsia"/>
                <w:color w:val="auto"/>
                <w:highlight w:val="none"/>
                <w:lang w:val="en-US" w:eastAsia="zh-CN"/>
              </w:rPr>
              <w:t xml:space="preserve">6.应支持摄像机、存储设备、解码设备的添加、注册及管理。</w:t>
            </w:r>
            <w:r>
              <w:rPr>
                <w:rFonts w:hint="eastAsia"/>
                <w:color w:val="auto"/>
                <w:highlight w:val="none"/>
                <w:lang w:val="en-US" w:eastAsia="zh-CN"/>
              </w:rPr>
              <w:br/>
            </w:r>
            <w:r>
              <w:rPr>
                <w:rFonts w:hint="eastAsia"/>
                <w:color w:val="auto"/>
                <w:highlight w:val="none"/>
                <w:lang w:val="en-US" w:eastAsia="zh-CN"/>
              </w:rPr>
              <w:t xml:space="preserve">7.应OSD手动及自动批量配置，支持OSD考前下发、考后还原；</w:t>
            </w:r>
            <w:r/>
          </w:p>
          <w:p>
            <w:pPr>
              <w:numPr>
                <w:ilvl w:val="0"/>
                <w:numId w:val="0"/>
              </w:numPr>
              <w:jc w:val="left"/>
              <w:keepLines w:val="0"/>
              <w:keepNext w:val="0"/>
              <w:spacing w:line="240" w:lineRule="auto"/>
              <w:widowControl/>
              <w:rPr>
                <w:rFonts w:hint="eastAsia"/>
                <w:color w:val="auto"/>
                <w:highlight w:val="none"/>
                <w:lang w:val="en-US" w:eastAsia="zh-CN"/>
              </w:rPr>
              <w:suppressLineNumbers w:val="0"/>
            </w:pPr>
            <w:r>
              <w:rPr>
                <w:rFonts w:hint="eastAsia"/>
                <w:color w:val="auto"/>
                <w:highlight w:val="none"/>
                <w:lang w:val="en-US" w:eastAsia="zh-CN"/>
              </w:rPr>
              <w:t xml:space="preserve">支持流媒体多级转发，单台服务器在每路2Mbps的108OP视频流条件下，转发350路应正常工作，单台服务器在每路4Mbps的108OP视频流条件下，转发150路应正常工作。</w:t>
            </w:r>
            <w:r>
              <w:rPr>
                <w:rFonts w:hint="eastAsia"/>
                <w:color w:val="auto"/>
                <w:highlight w:val="none"/>
                <w:lang w:val="en-US" w:eastAsia="zh-CN"/>
              </w:rPr>
              <w:br/>
            </w:r>
            <w:r>
              <w:rPr>
                <w:rFonts w:hint="eastAsia"/>
                <w:color w:val="auto"/>
                <w:highlight w:val="none"/>
                <w:lang w:val="en-US" w:eastAsia="zh-CN"/>
              </w:rPr>
              <w:t xml:space="preserve">8.应支持H.264、MPEG4视频编码格式，支持G.711、ACC音频编码格式，支持PS、TS视频格式的封装；</w:t>
            </w:r>
            <w:r>
              <w:rPr>
                <w:rFonts w:hint="eastAsia"/>
                <w:color w:val="auto"/>
                <w:highlight w:val="none"/>
                <w:lang w:val="en-US" w:eastAsia="zh-CN"/>
              </w:rPr>
              <w:br/>
            </w:r>
            <w:r>
              <w:rPr>
                <w:rFonts w:hint="eastAsia"/>
                <w:color w:val="auto"/>
                <w:highlight w:val="none"/>
                <w:lang w:val="en-US" w:eastAsia="zh-CN"/>
              </w:rPr>
              <w:t xml:space="preserve">9.支持音视频实时点播，可对监控设备远程控制（录像、回放、检索等）；</w:t>
            </w:r>
            <w:r>
              <w:rPr>
                <w:rFonts w:hint="eastAsia"/>
                <w:color w:val="auto"/>
                <w:highlight w:val="none"/>
                <w:lang w:val="en-US" w:eastAsia="zh-CN"/>
              </w:rPr>
              <w:br/>
            </w:r>
            <w:r>
              <w:rPr>
                <w:rFonts w:hint="eastAsia"/>
                <w:color w:val="auto"/>
                <w:highlight w:val="none"/>
                <w:lang w:val="en-US" w:eastAsia="zh-CN"/>
              </w:rPr>
              <w:t xml:space="preserve">10.支持国家、省、市、区县、考点等多级转发，分布式部署模式，应能满足上级平台对下级平台进行音视频图像调取；</w:t>
            </w:r>
            <w:r/>
          </w:p>
          <w:p>
            <w:pPr>
              <w:numPr>
                <w:ilvl w:val="0"/>
                <w:numId w:val="25"/>
              </w:numPr>
              <w:ind w:left="0" w:firstLine="0"/>
              <w:jc w:val="left"/>
              <w:keepLines w:val="0"/>
              <w:keepNext w:val="0"/>
              <w:spacing w:line="240" w:lineRule="auto"/>
              <w:widowControl/>
              <w:rPr>
                <w:rFonts w:hint="default"/>
                <w:color w:val="auto"/>
                <w:highlight w:val="none"/>
                <w:lang w:val="en-US" w:eastAsia="zh-CN"/>
              </w:rPr>
              <w:suppressLineNumbers w:val="0"/>
            </w:pPr>
            <w:r>
              <w:rPr>
                <w:rFonts w:hint="eastAsia"/>
                <w:color w:val="auto"/>
                <w:highlight w:val="none"/>
                <w:lang w:val="en-US" w:eastAsia="zh-CN"/>
              </w:rPr>
              <w:t xml:space="preserve">硬件配置应满足：CPU≥3.0GHz，内存≥8GB，硬盘≥1TB；</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摄像机存储卡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≥64G，class10高速80M/S</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rPr>
                <w:rFonts w:hint="eastAsia" w:ascii="宋体" w:hAnsi="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拾音器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拾音面积‌：指拾音器有效采集声音的范围，不小于70平方米</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‌音频传输距离‌：多数专业拾音器支持100米远距离传输</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‌频率响应‌：范围为20Hz-20kHz</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‌灵敏度‌：-22dB，</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‌动态范围与信噪比‌：动态范围为70-105dB</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‌指向特性‌：全向型</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none" w:color="000000" w:sz="4" w:space="0"/>
            </w:tcBorders>
            <w:tcW w:w="9733" w:type="dxa"/>
            <w:vAlign w:val="center"/>
            <w:textDirection w:val="lrTb"/>
            <w:noWrap w:val="false"/>
          </w:tcPr>
          <w:p>
            <w:pPr>
              <w:ind w:firstLine="200"/>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（二）网络时钟系统</w:t>
            </w:r>
            <w:r/>
          </w:p>
        </w:tc>
      </w:tr>
      <w:tr>
        <w:trPr>
          <w:gridBefore w:val="1"/>
          <w:trHeight w:val="116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rPr>
                <w:rFonts w:hint="eastAsia" w:ascii="宋体" w:hAnsi="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网络时钟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采用全面屏设计，可显示时分秒；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网络接口：RJ45，传输协议：标准NTP协议；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具有主动同步功能；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应支持网管功能，故障主动上报，并将运行情况通过TCP/IP协议传输到网络集中监控平台实时监控，以确保稳定可靠运行，与服务器时间同步；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断电记忆功能，支持断电后时钟内部继续计时至少24小时，恢复供电时，钟面继续显示内部计时的时间；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支持对网络时钟屏幕远程开启和关闭；</w:t>
            </w:r>
            <w:r/>
          </w:p>
          <w:p>
            <w:pPr>
              <w:numPr>
                <w:ilvl w:val="0"/>
                <w:numId w:val="0"/>
              </w:numPr>
              <w:jc w:val="left"/>
              <w:keepLines w:val="0"/>
              <w:keepNext w:val="0"/>
              <w:spacing w:line="24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cs="宋体"/>
                <w:i/>
                <w:iCs/>
                <w:color w:val="auto"/>
                <w:sz w:val="21"/>
                <w:szCs w:val="21"/>
                <w:highlight w:val="none"/>
                <w:u w:val="single"/>
                <w:lang w:val="en-US" w:eastAsia="zh-CN" w:bidi="ar"/>
              </w:rPr>
              <w:t xml:space="preserve">7.</w:t>
            </w:r>
            <w:r>
              <w:rPr>
                <w:rFonts w:hint="eastAsia" w:ascii="宋体" w:hAnsi="宋体" w:eastAsia="宋体" w:cs="宋体"/>
                <w:i/>
                <w:iCs/>
                <w:color w:val="auto"/>
                <w:sz w:val="21"/>
                <w:szCs w:val="21"/>
                <w:highlight w:val="none"/>
                <w:u w:val="single"/>
                <w:lang w:val="en-US" w:eastAsia="zh-CN" w:bidi="ar"/>
              </w:rPr>
              <w:t xml:space="preserve">应支持对网络时钟秒位远程开启和关闭；</w:t>
            </w:r>
            <w:r/>
          </w:p>
          <w:p>
            <w:pPr>
              <w:numPr>
                <w:ilvl w:val="0"/>
                <w:numId w:val="0"/>
              </w:numPr>
              <w:jc w:val="left"/>
              <w:keepLines w:val="0"/>
              <w:keepNext w:val="0"/>
              <w:spacing w:line="24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为防止电磁干扰影响设备正常运行，网络时钟外壳主体应采用金属材质；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设备应支持开机自动进行全部数码管检测；</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网络时钟可靠性指标：平均无故障间隔时间(MTBF))≥30000h。</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电源适配器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12V/20A</w:t>
            </w:r>
            <w:r/>
          </w:p>
        </w:tc>
      </w:tr>
      <w:tr>
        <w:trPr>
          <w:gridBefore w:val="1"/>
          <w:trHeight w:val="51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考场时钟监管系统服务器软件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平台应可以监测到多个GPS和北斗卫星的卫星信号，并可以观察到卫星信号的卫星编号、信噪比；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为保证对网络时钟的精细化管理，平台应可以统一显示时钟的实际时间；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考场应可以和时钟IP绑定，并可以显示逻辑考场编号、物理考场编号和已绑定时钟的显示时间和工作状态；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平台应支持对所有时钟数码管进行检测，以便实现数码管故障报警，达到精确定位故障数码管的目的；（检测报告需为具有CMA标志的第三方机构出具的检测报告）；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平台应支持多机构管理及考点级时钟场所定位管理；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应支持对所辖系统内时钟设备软件进行集中升级；</w:t>
            </w:r>
            <w:r/>
          </w:p>
        </w:tc>
      </w:tr>
      <w:tr>
        <w:trPr>
          <w:gridBefore w:val="1"/>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管理服务器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支持GPS和北斗双模。</w:t>
            </w:r>
            <w:r>
              <w:rPr>
                <w:rFonts w:hint="eastAsia" w:ascii="宋体" w:hAnsi="宋体" w:eastAsia="宋体" w:cs="宋体"/>
                <w:i/>
                <w:iCs/>
                <w:color w:val="auto"/>
                <w:sz w:val="21"/>
                <w:szCs w:val="21"/>
                <w:highlight w:val="none"/>
                <w:u w:val="single"/>
                <w:lang w:val="en-US" w:eastAsia="zh-CN" w:bidi="ar"/>
              </w:rPr>
              <w:br/>
            </w:r>
            <w:r>
              <w:rPr>
                <w:rFonts w:hint="eastAsia" w:ascii="宋体" w:hAnsi="宋体" w:cs="宋体"/>
                <w:i w:val="0"/>
                <w:iCs w:val="0"/>
                <w:color w:val="auto"/>
                <w:sz w:val="21"/>
                <w:szCs w:val="21"/>
                <w:highlight w:val="none"/>
                <w:u w:val="single"/>
                <w:lang w:val="en-US" w:eastAsia="zh-CN" w:bidi="ar"/>
              </w:rPr>
              <w:t xml:space="preserve">2</w:t>
            </w:r>
            <w:r>
              <w:rPr>
                <w:rFonts w:hint="eastAsia" w:ascii="宋体" w:hAnsi="宋体" w:cs="宋体"/>
                <w:i/>
                <w:iCs/>
                <w:color w:val="auto"/>
                <w:sz w:val="21"/>
                <w:szCs w:val="21"/>
                <w:highlight w:val="none"/>
                <w:u w:val="singl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CPU≥2.8GHz，内存≥8GB，硬盘≥1TB</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提供支持应用软件运行的配套操作系统、数据库和中间件等运行环境。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支持作弊防控系统软件部署在同一个操作系统中。</w:t>
            </w:r>
            <w:r/>
          </w:p>
        </w:tc>
      </w:tr>
      <w:tr>
        <w:trPr>
          <w:gridBefore w:val="1"/>
          <w:trHeight w:val="300"/>
        </w:trPr>
        <w:tc>
          <w:tcPr>
            <w:gridSpan w:val="3"/>
            <w:shd w:val="clear" w:color="auto" w:fill="ffffff" w:themeFill="background1"/>
            <w:tcBorders>
              <w:top w:val="single" w:color="000000" w:sz="4" w:space="0"/>
              <w:left w:val="single" w:color="000000" w:sz="4" w:space="0"/>
              <w:bottom w:val="single" w:color="000000" w:sz="4" w:space="0"/>
              <w:right w:val="none" w:color="000000" w:sz="4" w:space="0"/>
            </w:tcBorders>
            <w:tcW w:w="9733" w:type="dxa"/>
            <w:vAlign w:val="center"/>
            <w:textDirection w:val="lrTb"/>
            <w:noWrap w:val="false"/>
          </w:tcPr>
          <w:p>
            <w:pPr>
              <w:ind w:firstLine="200"/>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（三）全频段阻断作弊防控系统</w:t>
            </w:r>
            <w:r/>
          </w:p>
        </w:tc>
      </w:tr>
      <w:tr>
        <w:trPr>
          <w:gridBefore w:val="1"/>
          <w:trHeight w:val="86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屏蔽终端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屏蔽移动、联通、电信和广电手机信号：2G信号频段（870-885MHz、925-960MHz、1805-1850MHz）、3G信号频段（2010-2025MHz和2100-2170MHZ）、4G信号频段（1850-1920MHz、2300-2390MHz）、5G信号频段（750-790MHz、2615-2675MHz、3400-3600MHz、4800-5000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屏蔽wifi信号段：2400-2483.5MHz、5144-5350MHz、5725-5850MHz；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屏蔽低频信号段：136-175MHz 、400-475MHz；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一体化设计：采用一体化天线内置设计，天线内置，无散热金属外漏；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设备应有液晶屏，可显示设备当前的电压、电流、温度、信号；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具有RJ45接口；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符合GB8702-2014《电磁环境控制限值》；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符合GB 3096-2008 《声环境质量标准》；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符合GB/T 36449-2018《电子考场系统通用要求》</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220V电源供电。</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十一、</w:t>
            </w:r>
            <w:r>
              <w:rPr>
                <w:rFonts w:hint="eastAsia" w:ascii="宋体" w:hAnsi="宋体" w:cs="宋体"/>
                <w:b/>
                <w:bCs/>
                <w:i w:val="0"/>
                <w:iCs w:val="0"/>
                <w:color w:val="auto"/>
                <w:sz w:val="21"/>
                <w:szCs w:val="21"/>
                <w:highlight w:val="none"/>
                <w:u w:val="none"/>
                <w:lang w:val="en-US" w:eastAsia="zh-CN" w:bidi="ar"/>
              </w:rPr>
              <w:t xml:space="preserve">显示墙</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（一）室外大屏</w:t>
            </w:r>
            <w:r/>
          </w:p>
        </w:tc>
      </w:tr>
      <w:tr>
        <w:trPr>
          <w:gridBefore w:val="1"/>
          <w:trHeight w:val="134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1.点间距：≤4mm；像素密度≤62500点/平米；</w:t>
            </w:r>
            <w:r/>
          </w:p>
          <w:p>
            <w:pPr>
              <w:jc w:val="left"/>
              <w:keepLines w:val="0"/>
              <w:keepNext w:val="0"/>
              <w:spacing w:line="240" w:lineRule="auto"/>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ascii="Cambria Math" w:hAnsi="Cambria Math" w:eastAsia="宋体" w:cs="Cambria Math"/>
                <w:i w:val="0"/>
                <w:iCs w:val="0"/>
                <w:color w:val="auto"/>
                <w:highlight w:val="none"/>
                <w:u w:val="none"/>
              </w:rPr>
              <w:t xml:space="preserve">◆</w:t>
            </w:r>
            <w:r>
              <w:rPr>
                <w:rFonts w:hint="eastAsia" w:ascii="宋体" w:hAnsi="宋体" w:eastAsia="宋体" w:cs="宋体"/>
                <w:i w:val="0"/>
                <w:iCs w:val="0"/>
                <w:color w:val="auto"/>
                <w:sz w:val="21"/>
                <w:szCs w:val="21"/>
                <w:highlight w:val="none"/>
                <w:u w:val="none"/>
                <w:lang w:val="en-US" w:eastAsia="zh-CN" w:bidi="ar"/>
              </w:rPr>
              <w:t xml:space="preserve">2.刷新率≥3840HZ，对比度≥9000:1;模组拼接相对偏差符合SJ/T11141-2017标准C级，模组间相对错位均值≤0.1mm，平整度等级P≤0.05，水平/垂直相对错位等级CS≤1.1%;</w:t>
            </w:r>
            <w:r>
              <w:rPr>
                <w:rFonts w:hint="eastAsia" w:ascii="宋体" w:hAnsi="宋体" w:eastAsia="宋体" w:cs="宋体"/>
                <w:i w:val="0"/>
                <w:iCs w:val="0"/>
                <w:strike w:val="0"/>
                <w:color w:val="auto"/>
                <w:sz w:val="21"/>
                <w:szCs w:val="21"/>
                <w:highlight w:val="none"/>
                <w:u w:val="none"/>
                <w:lang w:val="en-US" w:eastAsia="zh-CN" w:bidi="ar"/>
              </w:rPr>
              <w:t xml:space="preserve">提供检验报告原件扫描件，检测报告需为具有CMA标志的第三方机构出具的检测报告；）</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3.水平/垂直视角≥170°，发光中心距偏差≤1%；</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.换帧频率≥50Hz，符合SJ/T 11141-2017标准；</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.亮度≥6000cd/㎡，亮度均匀性≥99%，亮度鉴别等级Bj≥24，符合SJ/T 11141-2017标准；</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.按GB/T2423.2-2008标准试验，产品在-40℃-80℃存储72h后工作无异常，在-20℃-50℃环境下通电72h后可正常工作；</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.防护等级：IP65，达到盐雾10级要求；</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.寿命≥120000h，平均失效间隔工作时间（MTBF）≥100000h，平均故障恢复时间（MTTR）≤2分钟；</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.内部线材使用低烟无卤素环保线材，套件材料采用聚碳酸酯和玻璃纤维材质；</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PCB采用FR-4材质，灯驱合一，电路及表面处理采用双层板OSP工艺</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.电流增益调节级别≥8位，电流增益调节范围1%-199%;</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.LED显示屏通过过流、断路、短路、过压、欠压、超温、超负荷、断电等测试；</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.支持单点亮度色度校正功能，校正后亮度损失&lt;7%，屏体正面为亚黑处理，反光率≤2%；</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灯珠推力测试：在灯珠四侧以水平夹角45°的方向施加推力12N,灯珠未破碎或脱落；</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.支持自动检测长时间没有使用屏体，将启动除湿模式30min,使屏体从10%-100%逐步显示，提升产品稳定性；</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.具备划痕性能技术，表面硬度≥5H；</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.LED显示屏画面延迟≤500ns；</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.具有隐亮消除、毛毛虫现象消除、具有H2S宽动态处理技术，正常工作显示画面无重影和拖尾现象，无几何失真和非线性失真；</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19</w:t>
            </w:r>
            <w:r>
              <w:rPr>
                <w:rFonts w:hint="eastAsia" w:ascii="宋体" w:hAnsi="宋体" w:eastAsia="宋体" w:cs="宋体"/>
                <w:i w:val="0"/>
                <w:iCs w:val="0"/>
                <w:color w:val="auto"/>
                <w:sz w:val="21"/>
                <w:szCs w:val="21"/>
                <w:highlight w:val="none"/>
                <w:u w:val="none"/>
                <w:lang w:val="en-US" w:eastAsia="zh-CN" w:bidi="ar"/>
              </w:rPr>
              <w:t xml:space="preserve">.能源效率≥3.2cd/w，符合GB21520-2015，能效一级；</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.支持模组级LED灯防撞灯保护装置，具备防碰撞焊盘技术；</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.噪声：专业环境测试距离1m时，声压级≤5db;</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.具有信号加密传输功能，支持控制器与屏体之间信号加密传输功能，防止网络恶意入侵；</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.峰值功耗≤880W/㎡，平均功耗295w/㎡;</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.显示屏通过冷热冲击、跌落测试、湿热测试、绝缘电阻试验、抗扰度试验；</w:t>
            </w:r>
            <w:r/>
          </w:p>
        </w:tc>
      </w:tr>
      <w:tr>
        <w:trPr>
          <w:gridBefore w:val="1"/>
          <w:trHeight w:val="125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同步接收卡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0"/>
              </w:numPr>
              <w:jc w:val="left"/>
              <w:keepLines w:val="0"/>
              <w:keepNext w:val="0"/>
              <w:spacing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单卡最大带载分辨率512x512@60Hz，最多支持24组并行数据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无需转接板，单卡自带HUB75接口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支持亮度校正，对每个灯点的亮度进行校正，有效消除亮度差异，使整屏的亮度达到高度一致。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快速亮暗线调节在调试软件上进行快速亮暗线调节，快速解决因箱体及模组拼接造成的显示屏亮暗线，调节过程中即时生效</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spacing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配合支持3D功能的独立主控，在软件或独立主控的操作面板上开启3D功能，并设置3D参数，使画面显示3D效果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Mapping功能开启，每个箱体上会显示数字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直观的看到显示屏连接状况。快速定位问题箱体</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可以监测自身的温度和电压，无需其他外设，在软件上可以查看接收卡的温度和电压。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检测发送设备与接收卡间或接收卡与接收卡间的网络通讯质量，记录错误包数，协助排除网络通讯隐患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支持5pin液晶模块，用于显示接收卡的温度、电压、单次运行时间和总运行时间。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支持回读接收卡的固件程序并保存到本地。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支持画面90度倍数旋转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RGB独立Gamma调节技术增加调节维度，通过对“红Gamma”、“绿Gamma”、“蓝Gamma”分别进行调节，有效控制显示屏低灰不均匀、白平衡漂移等问题</w:t>
            </w:r>
            <w:r>
              <w:rPr>
                <w:rFonts w:hint="eastAsia" w:ascii="宋体" w:hAnsi="宋体" w:cs="宋体"/>
                <w:i w:val="0"/>
                <w:iCs w:val="0"/>
                <w:color w:val="auto"/>
                <w:sz w:val="21"/>
                <w:szCs w:val="21"/>
                <w:highlight w:val="none"/>
                <w:u w:val="none"/>
                <w:lang w:val="en-US" w:eastAsia="zh-CN" w:bidi="ar"/>
              </w:rPr>
              <w:t xml:space="preserve">。</w:t>
            </w:r>
            <w:r/>
          </w:p>
        </w:tc>
      </w:tr>
      <w:tr>
        <w:trPr>
          <w:gridBefore w:val="1"/>
          <w:trHeight w:val="71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视频处理器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iCs/>
                <w:color w:val="auto"/>
                <w:sz w:val="21"/>
                <w:szCs w:val="21"/>
                <w:highlight w:val="none"/>
                <w:u w:val="single"/>
                <w:lang w:val="en-US" w:eastAsia="zh-CN" w:bidi="ar"/>
              </w:rPr>
              <w:t xml:space="preserve">1.</w:t>
            </w:r>
            <w:r>
              <w:rPr>
                <w:rFonts w:hint="eastAsia" w:ascii="宋体" w:hAnsi="宋体" w:eastAsia="宋体" w:cs="宋体"/>
                <w:i/>
                <w:iCs/>
                <w:color w:val="auto"/>
                <w:sz w:val="21"/>
                <w:szCs w:val="21"/>
                <w:highlight w:val="none"/>
                <w:u w:val="single"/>
                <w:lang w:val="en-US" w:eastAsia="zh-CN" w:bidi="ar"/>
              </w:rPr>
              <w:t xml:space="preserve">支持至少 5 路输入接口，包括 1 路 DVI，1 路 HDMI1.3，1 路 VGA，1 路 USB 播放，1 路 CVBS，以适用各种前端输入信号；</w:t>
            </w:r>
            <w:r/>
          </w:p>
          <w:p>
            <w:pPr>
              <w:numPr>
                <w:ilvl w:val="0"/>
                <w:numId w:val="0"/>
              </w:num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集成发送卡和视频处理器的功能，简化系统链路，提高系统的稳定性及兼容性。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支持插入U盘播放1080P分辨率以内的视频及图片</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设备前面板配备直观的 LCD 显示界面，可直接观察网口的通讯状态，设备型号，屏幕大小及信号源状态等信息，简化系统的控制操作。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支持配合多功能卡，实现对屏体电源的手动控制，自动控制，以及软件控制，灵活简单。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 DVI、HDMI 的输入分辨率自定义调节;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支持逐点亮度校正，可以对所有灯点的亮度和色度进行采集校正，有效消除LED模组的色差，使整屏的亮度和色度达到高度均匀一致，提高显示屏的画质。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支持快捷点屏，通过旋钮简单操作即可完成屏体配置。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支持 2个千兆网口输出，最大带载 可达130万像素。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支持创建 不少于6个用户场景作为模板保存，可直接调用，方便使用。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支持通过 RS232 协议连接中控设备。</w:t>
            </w:r>
            <w:r/>
          </w:p>
        </w:tc>
      </w:tr>
      <w:tr>
        <w:trPr>
          <w:gridBefore w:val="1"/>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具有手动和自动切换、分时上电、延时启动、延时关闭、短路保护、过流过压过载保护、防雷等功能</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rPr>
                <w:rFonts w:hint="eastAsia" w:ascii="宋体" w:hAnsi="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制冷器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外机尺寸不小于：807毫米×555毫米×328毫米；制冷时功率稳定在1.4-1.8kW，制冷量‌不小于：4800W。</w:t>
            </w:r>
            <w:r/>
          </w:p>
        </w:tc>
      </w:tr>
      <w:tr>
        <w:trPr>
          <w:gridBefore w:val="1"/>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rPr>
                <w:rFonts w:hint="eastAsia" w:ascii="宋体" w:hAnsi="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铝塑板包边及框架结构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铝塑板包边及框架结构，包边每边15公分，</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电源线、接插件等</w:t>
            </w:r>
            <w:r/>
          </w:p>
        </w:tc>
      </w:tr>
      <w:tr>
        <w:trPr>
          <w:gridBefore w:val="1"/>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iCs/>
                <w:color w:val="auto"/>
                <w:sz w:val="21"/>
                <w:szCs w:val="21"/>
                <w:highlight w:val="none"/>
                <w:u w:val="single"/>
                <w:lang w:val="en-US" w:eastAsia="zh-CN" w:bidi="ar"/>
              </w:rPr>
              <w:t xml:space="preserve">、CPU≥I5</w:t>
            </w:r>
            <w:r>
              <w:rPr>
                <w:rFonts w:hint="eastAsia" w:ascii="宋体" w:hAnsi="宋体" w:eastAsia="宋体" w:cs="宋体"/>
                <w:i/>
                <w:iCs/>
                <w:color w:val="auto"/>
                <w:sz w:val="21"/>
                <w:szCs w:val="21"/>
                <w:highlight w:val="none"/>
                <w:u w:val="single"/>
                <w:lang w:val="en-US" w:eastAsia="zh-CN" w:bidi="ar"/>
              </w:rPr>
              <w:br/>
            </w:r>
            <w:r>
              <w:rPr>
                <w:rFonts w:hint="eastAsia" w:ascii="宋体" w:hAnsi="宋体" w:eastAsia="宋体" w:cs="宋体"/>
                <w:i w:val="0"/>
                <w:iCs w:val="0"/>
                <w:color w:val="auto"/>
                <w:sz w:val="21"/>
                <w:szCs w:val="21"/>
                <w:highlight w:val="none"/>
                <w:u w:val="single"/>
                <w:lang w:val="en-US" w:eastAsia="zh-CN" w:bidi="ar"/>
              </w:rPr>
              <w:t xml:space="preserve">2、</w:t>
            </w:r>
            <w:r>
              <w:rPr>
                <w:rFonts w:hint="eastAsia" w:ascii="宋体" w:hAnsi="宋体" w:eastAsia="宋体" w:cs="宋体"/>
                <w:i/>
                <w:iCs/>
                <w:color w:val="auto"/>
                <w:sz w:val="21"/>
                <w:szCs w:val="21"/>
                <w:highlight w:val="none"/>
                <w:u w:val="single"/>
                <w:lang w:val="en-US" w:eastAsia="zh-CN" w:bidi="ar"/>
              </w:rPr>
              <w:t xml:space="preserve">内存≥8G</w:t>
            </w:r>
            <w:r>
              <w:rPr>
                <w:rFonts w:hint="eastAsia" w:ascii="宋体" w:hAnsi="宋体" w:eastAsia="宋体" w:cs="宋体"/>
                <w:i/>
                <w:iCs/>
                <w:color w:val="auto"/>
                <w:sz w:val="21"/>
                <w:szCs w:val="21"/>
                <w:highlight w:val="none"/>
                <w:u w:val="single"/>
                <w:lang w:val="en-US" w:eastAsia="zh-CN" w:bidi="ar"/>
              </w:rPr>
              <w:br/>
            </w:r>
            <w:r>
              <w:rPr>
                <w:rFonts w:hint="eastAsia" w:ascii="宋体" w:hAnsi="宋体" w:eastAsia="宋体" w:cs="宋体"/>
                <w:i w:val="0"/>
                <w:iCs w:val="0"/>
                <w:color w:val="auto"/>
                <w:sz w:val="21"/>
                <w:szCs w:val="21"/>
                <w:highlight w:val="none"/>
                <w:u w:val="single"/>
                <w:lang w:val="en-US" w:eastAsia="zh-CN" w:bidi="ar"/>
              </w:rPr>
              <w:t xml:space="preserve">3、</w:t>
            </w:r>
            <w:r>
              <w:rPr>
                <w:rFonts w:hint="eastAsia" w:ascii="宋体" w:hAnsi="宋体" w:eastAsia="宋体" w:cs="宋体"/>
                <w:i/>
                <w:iCs/>
                <w:color w:val="auto"/>
                <w:sz w:val="21"/>
                <w:szCs w:val="21"/>
                <w:highlight w:val="none"/>
                <w:u w:val="single"/>
                <w:lang w:val="en-US" w:eastAsia="zh-CN" w:bidi="ar"/>
              </w:rPr>
              <w:t xml:space="preserve">硬盘≥SSD 512GB</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室外全彩屏</w:t>
            </w:r>
            <w:r>
              <w:rPr>
                <w:rFonts w:hint="eastAsia" w:ascii="宋体" w:hAnsi="宋体" w:cs="宋体"/>
                <w:i w:val="0"/>
                <w:iCs w:val="0"/>
                <w:color w:val="auto"/>
                <w:sz w:val="21"/>
                <w:szCs w:val="21"/>
                <w:highlight w:val="none"/>
                <w:u w:val="none"/>
                <w:lang w:val="en-US" w:eastAsia="zh-CN" w:bidi="ar"/>
              </w:rPr>
              <w:t xml:space="preserve">框架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4m*5m，1.0mm不锈钢包边双柱式；立柱200*200mm方管</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十二、机房工程</w:t>
            </w:r>
            <w:r/>
          </w:p>
        </w:tc>
      </w:tr>
      <w:tr>
        <w:trPr>
          <w:gridBefore w:val="1"/>
          <w:trHeight w:val="35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拼接屏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工业级面板，适合7*24小时连续工作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约55寸、</w:t>
            </w:r>
            <w:r>
              <w:rPr>
                <w:rFonts w:hint="eastAsia" w:ascii="宋体" w:hAnsi="宋体" w:eastAsia="宋体" w:cs="宋体"/>
                <w:i w:val="0"/>
                <w:iCs w:val="0"/>
                <w:color w:val="auto"/>
                <w:sz w:val="21"/>
                <w:szCs w:val="21"/>
                <w:highlight w:val="none"/>
                <w:u w:val="none"/>
                <w:lang w:val="en-US" w:eastAsia="zh-CN" w:bidi="ar"/>
              </w:rPr>
              <w:t xml:space="preserve">3.5mm双边拼缝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支持选配同轴高清HDCVI信号接入，轻松实现模拟高清显示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支持选配高清网络解码模块，支持IPC、NVR等视频流接入并解码显示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直下式LED背光源，显示单元亮度更加均匀，无边界暗影现象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物理分辨率高达1920*1080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画面细腻，色彩丰富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高清晰度、高亮度、高色域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挂架、支架、机柜等多种方式供用户选择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金属外壳，防辐射、防磁场、防强电场干扰</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拼接屏支架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定制支架</w:t>
            </w:r>
            <w:r/>
          </w:p>
        </w:tc>
      </w:tr>
      <w:tr>
        <w:trPr>
          <w:gridBefore w:val="1"/>
          <w:trHeight w:val="2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HDMI高清线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10米</w:t>
            </w:r>
            <w:r/>
          </w:p>
        </w:tc>
      </w:tr>
      <w:tr>
        <w:trPr>
          <w:gridBefore w:val="1"/>
          <w:trHeight w:val="228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解码器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支持4路HDMI信号输出接口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支持9路HDMI音频输出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支持MPEG2/MPEG4/H.264/H.265/SVAC/MJPEG标准网络视频流解码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支持QCIF/CIF/2CIF/HD1/D1/720P/1080P/300W/500W/600W/800W/1200W/3200W视频解码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支持通过串口控制屏幕开关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每3个输出口一组，每组共享如下解码能力：最大支持64个通道同时解码，最大支持1路3200W@25fps / 3路1200W@15fps / 4路800W@30fps / 6路600W@25fps / 8路500W @25fps / 9路400W@25fps / 10路300W @30fps / 16路1080P @30fps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支持单屏1/4/6/8/9/16/25/36分割，支持MxN自由分割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HDMI输出接口支持3840x2160,1920x1080,1280x1024，1280x720，1024x768五种显示分辨率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支持Onvif、RTSP协议接入，支持国标GB28181接入 ，支持海康私有协议/大华私有协议接入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支持预案轮巡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支持底色选择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支持自定义分辨率输出，支持小间距LED对接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支持多屏融合拼接，跨屏画面毫秒级完美同步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支持2个10M/100M/1000M自适应以太网接口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加强用户保密等级：HTTP的MD5加密，HTTPS和SSL证书认证，TELNET的密码修改同步应用的用户账号管理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采用标准网络协议和标准压缩算法，在各种平台上轻松实现互联互通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可通过HDMI接口同时将6路分辨率为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3840×2160的视频图像和3路分辨率为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2560×1600的视频图像显示输出至9台分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辨率为3840×2160的显示终端上。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支持跨屏同步显示功能，所有跨屏信号源可同时发送至各个屏幕显示，时差小于1MS。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通过网络抓屏软件，可将远程电脑桌面实时解码上墙显示;可对桌面整屏、单窗口、自定义区域抓屏上墙;可同时支持多个抓屏任务。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操作系统: 嵌入式 LINUX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接入标准: GB28181;ONVIF;general;视频压缩标准: MPEG2;SVAC;MPEG4;MJPEG;H.264;H.265</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机房辅助设备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CPU2.8GHz及以上 </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硬盘：不小于1TB SATA+256GB SSD</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内存：不小于16GB</w:t>
            </w:r>
            <w:r/>
          </w:p>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显卡：不小于2GB显存独立显卡</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rPr>
                <w:rFonts w:hint="eastAsia" w:ascii="宋体" w:hAnsi="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配电箱输出柜，1、输入端：输入（1*250A/3P）；2、输出端：20*32A/2P；3、配C级防雷器；4、柜体尺寸（宽*深*高）：600*200*800mm；5、进出线方式：上下进出线；</w:t>
            </w:r>
            <w:r/>
          </w:p>
        </w:tc>
      </w:tr>
      <w:tr>
        <w:trPr>
          <w:gridBefore w:val="1"/>
          <w:trHeight w:val="252"/>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十三、智慧体育</w:t>
            </w:r>
            <w:r/>
          </w:p>
        </w:tc>
      </w:tr>
      <w:tr>
        <w:trPr>
          <w:gridBefore w:val="1"/>
          <w:trHeight w:val="96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77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室外AI体育锻炼屏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金属外壳，整机屏前保护采用防爆玻璃，支持室外工作，符合IP55要求，固定化部署。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.图像显示</w:t>
            </w:r>
            <w:r>
              <w:rPr>
                <w:rFonts w:hint="eastAsia" w:ascii="宋体" w:hAnsi="宋体" w:eastAsia="宋体" w:cs="宋体"/>
                <w:i w:val="0"/>
                <w:iCs w:val="0"/>
                <w:color w:val="auto"/>
                <w:sz w:val="21"/>
                <w:szCs w:val="21"/>
                <w:highlight w:val="none"/>
                <w:u w:val="none"/>
                <w:lang w:val="en-US" w:eastAsia="zh-CN" w:bidi="ar"/>
              </w:rPr>
              <w:t xml:space="preserve">，屏幕43寸，支持触控，1920×1080分辨率。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八核CPU，≥4G内存，≥64G存储，内置摄像头。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具备RJ45接口，支持有线以太网连接。</w:t>
            </w:r>
            <w:r>
              <w:rPr>
                <w:rFonts w:hint="eastAsia" w:ascii="宋体" w:hAnsi="宋体" w:eastAsia="宋体" w:cs="宋体"/>
                <w:i w:val="0"/>
                <w:iCs w:val="0"/>
                <w:color w:val="auto"/>
                <w:sz w:val="21"/>
                <w:szCs w:val="21"/>
                <w:highlight w:val="none"/>
                <w:u w:val="none"/>
                <w:lang w:val="en-US" w:eastAsia="zh-CN" w:bidi="ar"/>
              </w:rPr>
              <w:br/>
            </w:r>
            <w:r>
              <w:rPr>
                <w:rFonts w:ascii="Cambria Math" w:hAnsi="Cambria Math" w:eastAsia="宋体" w:cs="Cambria Math"/>
                <w:i w:val="0"/>
                <w:iCs w:val="0"/>
                <w:color w:val="auto"/>
                <w:highlight w:val="none"/>
                <w:u w:val="none"/>
              </w:rPr>
              <w:t xml:space="preserve">◆</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体能锻炼项目支持AI视觉识别与计数，项目包含深蹲、前后跳、蹲跳、换脚跳绳、双脚跳绳、高抬腿、开合跳、合掌跳、跪姿俯卧撑、仰卧起坐、蹲马步、原地跑、深蹲提膝、弓步跳、纵跳、简易波比、左右横跳、侧向蹲起、燕式平衡。</w:t>
            </w:r>
            <w:r>
              <w:rPr>
                <w:rFonts w:hint="eastAsia" w:ascii="宋体" w:hAnsi="宋体" w:eastAsia="宋体" w:cs="宋体"/>
                <w:i w:val="0"/>
                <w:iCs w:val="0"/>
                <w:strike w:val="0"/>
                <w:color w:val="auto"/>
                <w:sz w:val="21"/>
                <w:szCs w:val="21"/>
                <w:highlight w:val="none"/>
                <w:u w:val="none"/>
                <w:lang w:val="en-US" w:eastAsia="zh-CN" w:bidi="ar"/>
              </w:rPr>
              <w:t xml:space="preserve">提供检验报告原件扫描件，检测报告需为具有CMA标志的第三方机构出具的检测报告；）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体能锻炼项目支持3人同时运动，具备动作示范视频，支持选择运动时长、多人接龙、校内PK挑战，运动结束后显示运动曲线。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专项训练项目支持AI视觉识别与计数，项目包括跳绳、立定跳远、仰卧起坐、引体向上。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球类训练项目支持AI视觉识别与计数，项目包括足球盘球、足球颠球、篮球高位运球、篮球中位运球、篮球低位运球、篮球交叉运球、篮球V字运球、排球垫球。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运动项目基于AI技术进行趣味性设计，趣味性项目包括俄罗斯方块、飞毛腿作战、节奏跳跃、国旗收藏家、123木头人、石头剪刀布、顺序摸球。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拥有跨学科特点的趣味性锻炼项目，即语文、英语和数学同运动锻炼相结合。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多个锻炼项目组成课堂接力，具备动作示范视频，支持查看规则示意图。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拥有掷实心球、排球垫球、跳绳、立定跳远、中长跑、篮球运球、引体向上、游泳、短跑、足球运球绕杆等体育教学微课视频。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支持体育赛事、体育理论知识答题。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实时统计月、周各个运动项目不同年级、不同性别学生的运动排名。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运动项目全部采用基于视觉的AI算法模型实现身份认证、运动过程分析和实时计时计数，无其他辅助设备或人工参与。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设备支持算法和模型完全独立运行，无需依赖额外的GPU服务器。</w:t>
            </w:r>
            <w:r/>
          </w:p>
        </w:tc>
      </w:tr>
      <w:tr>
        <w:trPr>
          <w:gridBefore w:val="1"/>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78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室外AI体育教学屏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iCs/>
                <w:color w:val="auto"/>
                <w:sz w:val="21"/>
                <w:szCs w:val="21"/>
                <w:highlight w:val="none"/>
                <w:u w:val="singl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金属外壳，整机屏前保护采用防爆玻璃，支持室外工作，符合IP55要求，固定化部署。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.图像显示</w:t>
            </w:r>
            <w:r>
              <w:rPr>
                <w:rFonts w:hint="eastAsia" w:ascii="宋体" w:hAnsi="宋体" w:eastAsia="宋体" w:cs="宋体"/>
                <w:i w:val="0"/>
                <w:iCs w:val="0"/>
                <w:color w:val="auto"/>
                <w:sz w:val="21"/>
                <w:szCs w:val="21"/>
                <w:highlight w:val="none"/>
                <w:u w:val="none"/>
                <w:lang w:val="en-US" w:eastAsia="zh-CN" w:bidi="ar"/>
              </w:rPr>
              <w:t xml:space="preserve">，屏幕65寸，支持触控，1920×1080分辨率。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八核CPU，≥4G内存，≥64G储存，内置摄像头，支持有线以太网连接。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配置AI摄像机，AI摄像机内置算力芯片，内存≥2GB，存储≥16GB。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课堂教学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（1）支持肌肉耐力、肌肉力量、平衡柔韧、速度、灵敏协调、爆发力等类别的课堂练习课程。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（2）每一课堂课程，由多个课程分解动作组成，设置有课程目标、时长、学段、水平等级。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iCs/>
                <w:color w:val="auto"/>
                <w:sz w:val="21"/>
                <w:szCs w:val="21"/>
                <w:highlight w:val="none"/>
                <w:u w:val="single"/>
                <w:lang w:val="en-US" w:eastAsia="zh-CN" w:bidi="ar"/>
              </w:rPr>
              <w:t xml:space="preserve">课程支持AI跟练模式，教师可选择单人模式或多人模式，学生跟随动作教学视频进行运动，系统通过摄像头实时分析和识别多名学生的身份和运动数据。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（4）课程支持视频播放模式，播放动作教学视频，学生跟随练习。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（5）每一热身活动由多个课程分解动作组成，可选择AI跟练或视频播放两种模式。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i/>
                <w:iCs/>
                <w:color w:val="auto"/>
                <w:sz w:val="21"/>
                <w:szCs w:val="21"/>
                <w:highlight w:val="none"/>
                <w:u w:val="single"/>
                <w:lang w:val="en-US" w:eastAsia="zh-CN" w:bidi="ar"/>
              </w:rPr>
              <w:t xml:space="preserve">课程动作支持5人同时运动，动作项目库包括收腹跳、简易波比、开合深蹲跳、提膝跳、前后跳、并步跳、半蹲轻跳、吸腿跳、直腿轻跳。</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（7）拥有素养、技能等类别的教学视频，涵盖足球绕杆、篮球绕杆、排球颠球、实心球等项目。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体育测训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（1）体育测试项目包括立定跳远（1人）、仰卧起坐（3人）、跳绳（7人）。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（2）立定跳远支持踩线、单脚起跳的违规提示。仰卧起坐支持双手未抱头、双腿未屈膝的违规提示。跳绳支持未持绳提示。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（3）支持高抬腿、深蹲、开合跳、蹲跳、左右跳等项目7人同时运动。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（4）支持纵跳、半蹲、弓步跳、提膝击掌、侧向蹲起、足球踩球、篮球运球等项目5人同时运动。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（5）训练模式支持随来随练，举手识别成功后即开始运动，无需等待其他点位学生识别。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（6）体测项目支持测试模式，所有学生识别成功后同时开始，同时结束，中途离开不会自动结束。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（7）通过设备屏幕的触控操作，查看运动记录、排行榜，测试模式下的体测项目运动记录支持查看测试报告、视频回放。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数据功能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（1）提供学校体育数据概览，体育数据可视化呈现，体育测试数据、体能锻炼数据的多维统计与综合分析。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（2）整体呈现使用人次、学生参与度（测试人数占比、锻炼人数占比），可查询各学年数据。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（3）呈现体测项目或体能项目的校园排行榜与运动记录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（4）按班级汇总体育课堂数据，自动生成校级AI体育课表。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iCs/>
                <w:color w:val="auto"/>
                <w:sz w:val="21"/>
                <w:szCs w:val="21"/>
                <w:highlight w:val="none"/>
                <w:u w:val="single"/>
                <w:lang w:val="en-US" w:eastAsia="zh-CN" w:bidi="ar"/>
              </w:rPr>
              <w:t xml:space="preserve">支持查看每节体育课上学生各项目的运动记录，自动分析生成AI体育课堂报告。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运动项目全部采用基于视觉的AI算法模型实现身份认证、运动过程分析和实时计时计数，无其他辅助设备或人工参与。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设备支持算法和模型完全独立运行，无需依赖额外的GPU服务器。</w:t>
            </w:r>
            <w:r/>
          </w:p>
        </w:tc>
      </w:tr>
      <w:tr>
        <w:trPr>
          <w:gridBefore w:val="1"/>
          <w:trHeight w:val="4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79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校级智慧体育数据平台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一、基础管理功能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平台整合智慧体育锻炼数据、智慧体育测试数据，总体呈现学生人数、运动时长和测试次数。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平台支持班级管理、学生管理、账号管理、屏保管理，用户可创建班级、批量导入基础信息、设置账号角色和权限。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二、体育锻炼管理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平台支持校内体育锻炼管理、校外体育锻炼管理和赛事管理。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校内体育锻炼管理支持学校数据、年级数据、班级数据的概览，提供运动记录、运动排行的查询。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校内体锻的学校数据、年级数据和班级数据支持按学年或日期查询，可视化呈现运动人数、男女运动比例、运动总时长等信息。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校内体锻支持按学年、年级、项目查询学生运动记录，运动记录可导出、可删除。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校内体锻支持按学年、日期、年级查询运动排行，可查询的项目40个。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校外体锻的学校数据支持按学年查询，可视化呈现运动人数、男女运动比例、运动总时长等信息。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校外体锻支持按学年、年级、班级查询运动记录，记录呈现每一位运动者得运动总时长、日均运动时长，记录可导出。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校外体锻支持查询运动排行，具备作业管理功能。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赛事管理可增加赛事，对已有赛事进行编辑，查询赛事记录。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三、体育测试管理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平台支持年级、班级、学生的体测数据管理，体测记录、成绩、排行的查询，以及测试计划管理。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体测的学校数据支持按学年、日期、模式查询，可视化呈现测试人数、成绩合格率、成绩平均分、各年级测试人数、各年级成绩合格率、各年级平均分、各年级男女平均分，以及分年级查看男生或女生的各项目平均分与等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体测的年级、班级、学生数据支持按学年、日期、模式、年级、性别等条件查询成绩，成绩可导出。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平台能够可视化呈现班级概览数据，数据包括测试人数、成绩合格率、成绩平均分、各项目平均分与等级。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平台能够可视化呈现学生概览数据，数据包括成绩合格率、成绩平均分、班级排名、年级排名、各项目平均分、各项目成绩详情。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平台能够查看10个测试项目成绩报告，AI智能分析运动过程，报告包含测试成绩、成绩等级分布、成绩记录、肌群状态、点评与建议。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体测记录管理支持查询记录、删除记录、记录导出、批量导入记录、成绩设置为有效或无效。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体测成绩管理可按不同评分标准查询成绩，以及查看测试报告和视频。成绩可按学生或项目导出。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体测排行管理支持10个测试项目的排行查询。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测试计划创建能够选择国家体质健康标准，设置测试名称、日期、年级、班级等信息，已创建的计划可编辑或删除。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测试计划可查看总测试人数、各班级完成测试人数、各项目测试进度及平均分，支持免考设置和成绩导出。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四、体育教学管理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平台支持课堂教学管理、课程设置管理与教学视频管理。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课堂教学管理支持用户按学年、日期、项目、年级、班级、性别查看学生在各项目的成绩情况。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iCs/>
                <w:color w:val="auto"/>
                <w:sz w:val="21"/>
                <w:szCs w:val="21"/>
                <w:highlight w:val="none"/>
                <w:u w:val="single"/>
                <w:lang w:val="en-US" w:eastAsia="zh-CN" w:bidi="ar"/>
              </w:rPr>
              <w:t xml:space="preserve">课程设置管理支持用户创建AI运动课程，系统提供40个动作供用户选择，用户可设置课程适合学段、每组训练动作、每个动作时间、组循环次数、组间休息时间、拉伸动作及时间、封面。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教学视频管理支持用户上传自有视频，并对视频进行标签。</w:t>
            </w:r>
            <w:r/>
          </w:p>
        </w:tc>
      </w:tr>
      <w:tr>
        <w:trPr>
          <w:gridBefore w:val="1"/>
          <w:trHeight w:val="27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十四、综合管线</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PVC20，‌外径‌：20mm，壁厚‌：1.4mm，内径‌：17.2mm</w:t>
            </w:r>
            <w:r/>
          </w:p>
        </w:tc>
      </w:tr>
      <w:tr>
        <w:trPr>
          <w:gridBefore w:val="1"/>
          <w:trHeight w:val="22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81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小电器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接线盒、‌尺寸‌：约86×86毫米（标准86型底盒尺寸） ‌</w:t>
            </w:r>
            <w:r/>
          </w:p>
          <w:p>
            <w:pPr>
              <w:ind w:firstLine="200"/>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材质‌：采用阻燃PVC全新料，重量约50-52克/个 ‌</w:t>
            </w:r>
            <w:r/>
          </w:p>
          <w:p>
            <w:pPr>
              <w:ind w:firstLine="200"/>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‌阻燃性‌：符合阻燃标准</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rPr>
                <w:rFonts w:hint="eastAsia" w:ascii="宋体" w:hAnsi="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HDPE32，1.2</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壁厚</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rPr>
                <w:rFonts w:hint="eastAsia" w:ascii="宋体" w:hAnsi="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HDPE50，2.0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壁厚</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84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HDPE100，2.</w:t>
            </w:r>
            <w:r>
              <w:rPr>
                <w:rFonts w:hint="eastAsia" w:ascii="宋体" w:hAnsi="宋体" w:cs="宋体"/>
                <w:i w:val="0"/>
                <w:iCs w:val="0"/>
                <w:color w:val="auto"/>
                <w:sz w:val="21"/>
                <w:szCs w:val="21"/>
                <w:highlight w:val="none"/>
                <w:u w:val="none"/>
                <w:lang w:val="en-US" w:eastAsia="zh-CN" w:bidi="ar"/>
              </w:rPr>
              <w:t xml:space="preserve">0mm</w:t>
            </w:r>
            <w:r>
              <w:rPr>
                <w:rFonts w:hint="eastAsia" w:ascii="宋体" w:hAnsi="宋体" w:eastAsia="宋体" w:cs="宋体"/>
                <w:i w:val="0"/>
                <w:iCs w:val="0"/>
                <w:color w:val="auto"/>
                <w:sz w:val="21"/>
                <w:szCs w:val="21"/>
                <w:highlight w:val="none"/>
                <w:u w:val="none"/>
                <w:lang w:val="en-US" w:eastAsia="zh-CN" w:bidi="ar"/>
              </w:rPr>
              <w:t xml:space="preserve">壁厚</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85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SC100，2.5</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壁厚</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rPr>
                <w:rFonts w:hint="eastAsia" w:ascii="宋体" w:hAnsi="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200"/>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桥架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firstLine="200"/>
              <w:jc w:val="center"/>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*100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mm</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default" w:ascii="宋体" w:hAnsi="宋体" w:eastAsia="宋体" w:cs="宋体"/>
                <w:i w:val="0"/>
                <w:iCs w:val="0"/>
                <w:strike w:val="0"/>
                <w:color w:val="auto"/>
                <w:sz w:val="21"/>
                <w:szCs w:val="21"/>
                <w:highlight w:val="none"/>
                <w:u w:val="none"/>
                <w:lang w:val="en-US"/>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18</w:t>
            </w:r>
            <w:r>
              <w:rPr>
                <w:rFonts w:hint="eastAsia" w:ascii="宋体" w:hAnsi="宋体" w:cs="宋体"/>
                <w:i w:val="0"/>
                <w:iCs w:val="0"/>
                <w:strike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挖一般土方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jc w:val="center"/>
              <w:keepLines w:val="0"/>
              <w:keepNext w:val="0"/>
              <w:spacing w:line="240" w:lineRule="auto"/>
              <w:widowControl/>
              <w:rPr>
                <w:rFonts w:hint="default" w:ascii="宋体" w:hAnsi="宋体" w:eastAsia="宋体" w:cs="宋体"/>
                <w:i w:val="0"/>
                <w:iCs w:val="0"/>
                <w:strike w:val="0"/>
                <w:color w:val="auto"/>
                <w:sz w:val="21"/>
                <w:szCs w:val="21"/>
                <w:highlight w:val="none"/>
                <w:u w:val="none"/>
                <w:lang w:val="en-US"/>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土方开挖</w:t>
            </w:r>
            <w:r>
              <w:rPr>
                <w:rFonts w:hint="eastAsia" w:ascii="宋体" w:hAnsi="宋体" w:cs="宋体"/>
                <w:i w:val="0"/>
                <w:iCs w:val="0"/>
                <w:strike w:val="0"/>
                <w:color w:val="auto"/>
                <w:sz w:val="21"/>
                <w:szCs w:val="21"/>
                <w:highlight w:val="none"/>
                <w:u w:val="none"/>
                <w:lang w:val="en-US" w:eastAsia="zh-CN" w:bidi="ar"/>
              </w:rPr>
              <w:t xml:space="preserve">约240</w:t>
            </w:r>
            <w:r>
              <w:rPr>
                <w:rFonts w:hint="eastAsia" w:ascii="宋体" w:hAnsi="宋体" w:eastAsia="宋体" w:cs="宋体"/>
                <w:i w:val="0"/>
                <w:iCs w:val="0"/>
                <w:color w:val="auto"/>
                <w:sz w:val="21"/>
                <w:szCs w:val="21"/>
                <w:highlight w:val="none"/>
                <w:u w:val="none"/>
                <w:lang w:val="en-US" w:eastAsia="zh-CN" w:bidi="ar"/>
              </w:rPr>
              <w:t xml:space="preserve">m³</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default" w:ascii="宋体" w:hAnsi="宋体" w:eastAsia="宋体" w:cs="宋体"/>
                <w:i w:val="0"/>
                <w:iCs w:val="0"/>
                <w:strike w:val="0"/>
                <w:color w:val="auto"/>
                <w:sz w:val="21"/>
                <w:szCs w:val="21"/>
                <w:highlight w:val="none"/>
                <w:u w:val="none"/>
                <w:lang w:val="en-US"/>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w:t>
            </w:r>
            <w:r>
              <w:rPr>
                <w:rFonts w:hint="eastAsia" w:ascii="宋体" w:hAnsi="宋体" w:cs="宋体"/>
                <w:i w:val="0"/>
                <w:iCs w:val="0"/>
                <w:strike w:val="0"/>
                <w:color w:val="auto"/>
                <w:sz w:val="21"/>
                <w:szCs w:val="21"/>
                <w:highlight w:val="none"/>
                <w:u w:val="none"/>
                <w:lang w:val="en-US" w:eastAsia="zh-CN" w:bidi="ar"/>
              </w:rPr>
              <w:t xml:space="preserve">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回填土</w:t>
            </w:r>
            <w:r>
              <w:rPr>
                <w:rFonts w:hint="eastAsia" w:ascii="宋体" w:hAnsi="宋体" w:cs="宋体"/>
                <w:i w:val="0"/>
                <w:iCs w:val="0"/>
                <w:strike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240m³</w:t>
            </w:r>
            <w:r/>
          </w:p>
        </w:tc>
      </w:tr>
      <w:tr>
        <w:trPr>
          <w:gridBefore w:val="1"/>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firstLine="0"/>
              <w:jc w:val="left"/>
              <w:keepLines w:val="0"/>
              <w:keepNext w:val="0"/>
              <w:spacing w:line="240" w:lineRule="auto"/>
              <w:widowControl/>
              <w:rPr>
                <w:rFonts w:hint="default" w:ascii="宋体" w:hAnsi="宋体" w:eastAsia="宋体" w:cs="宋体"/>
                <w:i w:val="0"/>
                <w:iCs w:val="0"/>
                <w:strike w:val="0"/>
                <w:color w:val="auto"/>
                <w:sz w:val="21"/>
                <w:szCs w:val="21"/>
                <w:highlight w:val="none"/>
                <w:u w:val="none"/>
                <w:lang w:val="en-US"/>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w:t>
            </w:r>
            <w:r>
              <w:rPr>
                <w:rFonts w:hint="eastAsia" w:ascii="宋体" w:hAnsi="宋体" w:cs="宋体"/>
                <w:i w:val="0"/>
                <w:iCs w:val="0"/>
                <w:strike w:val="0"/>
                <w:color w:val="auto"/>
                <w:sz w:val="21"/>
                <w:szCs w:val="21"/>
                <w:highlight w:val="none"/>
                <w:u w:val="none"/>
                <w:lang w:val="en-US" w:eastAsia="zh-CN" w:bidi="ar"/>
              </w:rPr>
              <w:t xml:space="preserve">89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keepLines w:val="0"/>
              <w:keepNext w:val="0"/>
              <w:spacing w:line="240" w:lineRule="auto"/>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砖检查井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jc w:val="center"/>
              <w:keepLines w:val="0"/>
              <w:keepNext w:val="0"/>
              <w:spacing w:line="240" w:lineRule="auto"/>
              <w:widowControl/>
              <w:rPr>
                <w:rFonts w:hint="default" w:ascii="宋体" w:hAnsi="宋体" w:eastAsia="宋体" w:cs="宋体"/>
                <w:i w:val="0"/>
                <w:iCs w:val="0"/>
                <w:strike w:val="0"/>
                <w:color w:val="auto"/>
                <w:sz w:val="21"/>
                <w:szCs w:val="21"/>
                <w:highlight w:val="none"/>
                <w:u w:val="none"/>
                <w:lang w:val="en-US"/>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窨井600</w:t>
            </w:r>
            <w:r>
              <w:rPr>
                <w:rFonts w:hint="eastAsia" w:ascii="宋体" w:hAnsi="宋体" w:cs="宋体"/>
                <w:i w:val="0"/>
                <w:iCs w:val="0"/>
                <w:strike w:val="0"/>
                <w:color w:val="auto"/>
                <w:sz w:val="21"/>
                <w:szCs w:val="21"/>
                <w:highlight w:val="none"/>
                <w:u w:val="none"/>
                <w:lang w:val="en-US" w:eastAsia="zh-CN" w:bidi="ar"/>
              </w:rPr>
              <w:t xml:space="preserve">mm</w:t>
            </w:r>
            <w:r>
              <w:rPr>
                <w:rFonts w:hint="eastAsia" w:ascii="宋体" w:hAnsi="宋体" w:eastAsia="宋体" w:cs="宋体"/>
                <w:i w:val="0"/>
                <w:iCs w:val="0"/>
                <w:strike w:val="0"/>
                <w:color w:val="auto"/>
                <w:sz w:val="21"/>
                <w:szCs w:val="21"/>
                <w:highlight w:val="none"/>
                <w:u w:val="none"/>
                <w:lang w:val="en-US" w:eastAsia="zh-CN" w:bidi="ar"/>
              </w:rPr>
              <w:t xml:space="preserve">*600</w:t>
            </w:r>
            <w:r>
              <w:rPr>
                <w:rFonts w:hint="eastAsia" w:ascii="宋体" w:hAnsi="宋体" w:cs="宋体"/>
                <w:i w:val="0"/>
                <w:iCs w:val="0"/>
                <w:strike w:val="0"/>
                <w:color w:val="auto"/>
                <w:sz w:val="21"/>
                <w:szCs w:val="21"/>
                <w:highlight w:val="none"/>
                <w:u w:val="none"/>
                <w:lang w:val="en-US" w:eastAsia="zh-CN" w:bidi="ar"/>
              </w:rPr>
              <w:t xml:space="preserve">mm</w:t>
            </w:r>
            <w:r>
              <w:rPr>
                <w:rFonts w:hint="eastAsia" w:ascii="宋体" w:hAnsi="宋体" w:eastAsia="宋体" w:cs="宋体"/>
                <w:i w:val="0"/>
                <w:iCs w:val="0"/>
                <w:strike w:val="0"/>
                <w:color w:val="auto"/>
                <w:sz w:val="21"/>
                <w:szCs w:val="21"/>
                <w:highlight w:val="none"/>
                <w:u w:val="none"/>
                <w:lang w:val="en-US" w:eastAsia="zh-CN" w:bidi="ar"/>
              </w:rPr>
              <w:t xml:space="preserve">，砖混，混凝土井框井盖</w:t>
            </w:r>
            <w:r>
              <w:rPr>
                <w:rFonts w:hint="eastAsia" w:ascii="宋体" w:hAnsi="宋体" w:cs="宋体"/>
                <w:i w:val="0"/>
                <w:iCs w:val="0"/>
                <w:strike w:val="0"/>
                <w:color w:val="auto"/>
                <w:sz w:val="21"/>
                <w:szCs w:val="21"/>
                <w:highlight w:val="none"/>
                <w:u w:val="none"/>
                <w:lang w:val="en-US" w:eastAsia="zh-CN" w:bidi="ar"/>
              </w:rPr>
              <w:t xml:space="preserve">，46座</w:t>
            </w:r>
            <w:r/>
          </w:p>
        </w:tc>
      </w:tr>
    </w:tbl>
    <w:p>
      <w:pPr>
        <w:ind w:left="0" w:right="0" w:firstLine="480"/>
        <w:jc w:val="both"/>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keepLines w:val="0"/>
        <w:keepNext w:val="0"/>
        <w:pageBreakBefore w:val="0"/>
        <w:spacing w:before="0" w:after="0" w:line="440" w:lineRule="exact"/>
        <w:rPr>
          <w:rFonts w:ascii="Times New Roman" w:hAnsi="Times New Roman"/>
          <w:b/>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rPr>
          <w:rFonts w:ascii="宋体" w:hAnsi="宋体" w:eastAsia="宋体" w:cs="宋体"/>
          <w:color w:val="auto"/>
          <w:spacing w:val="7"/>
          <w:sz w:val="24"/>
          <w:highlight w:val="none"/>
        </w:rPr>
        <w:t xml:space="preserve">项目需求中打“</w:t>
      </w:r>
      <w:r>
        <w:rPr>
          <w:rFonts w:ascii="Cambria Math" w:hAnsi="Cambria Math" w:eastAsia="宋体" w:cs="Cambria Math"/>
          <w:color w:val="auto"/>
          <w:highlight w:val="none"/>
        </w:rPr>
        <w:t xml:space="preserve">◆</w:t>
      </w:r>
      <w:r>
        <w:rPr>
          <w:rFonts w:ascii="宋体" w:hAnsi="宋体" w:eastAsia="宋体" w:cs="宋体"/>
          <w:color w:val="auto"/>
          <w:spacing w:val="7"/>
          <w:sz w:val="24"/>
          <w:highlight w:val="none"/>
        </w:rPr>
        <w:t xml:space="preserve">”的参数为重要指标项。</w:t>
      </w:r>
      <w:r/>
    </w:p>
    <w:p>
      <w:pPr>
        <w:keepLines w:val="0"/>
        <w:keepNext w:val="0"/>
        <w:pageBreakBefore w:val="0"/>
        <w:spacing w:before="120" w:after="120" w:line="440" w:lineRule="exact"/>
        <w:rPr>
          <w:rFonts w:ascii="Times New Roman" w:hAnsi="Times New Roman"/>
          <w:b/>
          <w:color w:val="auto"/>
          <w:sz w:val="28"/>
          <w:szCs w:val="28"/>
          <w:highlight w:val="none"/>
        </w:rPr>
      </w:pPr>
      <w:r>
        <w:rPr>
          <w:rFonts w:ascii="Times New Roman" w:hAnsi="Times New Roman"/>
          <w:b/>
          <w:color w:val="auto"/>
          <w:sz w:val="28"/>
          <w:szCs w:val="28"/>
          <w:highlight w:val="none"/>
        </w:rPr>
        <w:t xml:space="preserve">三、商务条款</w:t>
      </w:r>
      <w:r/>
    </w:p>
    <w:p>
      <w:pPr>
        <w:ind w:firstLine="506"/>
        <w:jc w:val="left"/>
        <w:keepLines w:val="0"/>
        <w:keepNext w:val="0"/>
        <w:pageBreakBefore w:val="0"/>
        <w:spacing w:line="440" w:lineRule="exact"/>
        <w:widowControl/>
        <w:rPr>
          <w:rFonts w:hint="eastAsia" w:ascii="宋体" w:hAnsi="宋体" w:cs="宋体"/>
          <w:b/>
          <w:i/>
          <w:iCs/>
          <w:color w:val="auto"/>
          <w:sz w:val="24"/>
          <w:szCs w:val="24"/>
          <w:highlight w:val="none"/>
          <w:u w:val="single"/>
        </w:rPr>
      </w:pPr>
      <w:r>
        <w:rPr>
          <w:rFonts w:hint="eastAsia" w:ascii="宋体" w:hAnsi="宋体" w:cs="宋体"/>
          <w:b/>
          <w:i/>
          <w:iCs/>
          <w:color w:val="auto"/>
          <w:spacing w:val="6"/>
          <w:sz w:val="24"/>
          <w:szCs w:val="24"/>
          <w:highlight w:val="none"/>
          <w:u w:val="single"/>
        </w:rPr>
        <w:t xml:space="preserve">1</w:t>
      </w:r>
      <w:r>
        <w:rPr>
          <w:rFonts w:hint="eastAsia" w:ascii="宋体" w:hAnsi="宋体" w:cs="宋体"/>
          <w:b/>
          <w:i/>
          <w:iCs/>
          <w:color w:val="auto"/>
          <w:spacing w:val="18"/>
          <w:sz w:val="24"/>
          <w:szCs w:val="24"/>
          <w:highlight w:val="none"/>
          <w:u w:val="single"/>
        </w:rPr>
        <w:t xml:space="preserve"> </w:t>
      </w:r>
      <w:r>
        <w:rPr>
          <w:rFonts w:hint="eastAsia" w:ascii="宋体" w:hAnsi="宋体" w:cs="宋体"/>
          <w:b/>
          <w:i/>
          <w:iCs/>
          <w:color w:val="auto"/>
          <w:spacing w:val="14"/>
          <w:sz w:val="24"/>
          <w:szCs w:val="24"/>
          <w:highlight w:val="none"/>
          <w:u w:val="single"/>
        </w:rPr>
        <w:t xml:space="preserve">质保期</w:t>
      </w:r>
      <w:r/>
    </w:p>
    <w:p>
      <w:pPr>
        <w:pStyle w:val="1027"/>
        <w:ind w:firstLine="500"/>
        <w:keepLines w:val="0"/>
        <w:keepNext w:val="0"/>
        <w:pageBreakBefore w:val="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质保期投标商至少提供</w:t>
      </w:r>
      <w:r>
        <w:rPr>
          <w:rFonts w:hint="eastAsia" w:ascii="宋体" w:hAnsi="宋体" w:eastAsia="宋体" w:cs="宋体"/>
          <w:i/>
          <w:color w:val="auto"/>
          <w:spacing w:val="7"/>
          <w:highlight w:val="none"/>
          <w:u w:val="single"/>
          <w:lang w:val="en-US" w:eastAsia="zh-CN"/>
        </w:rPr>
        <w:t xml:space="preserve">5</w:t>
      </w:r>
      <w:r>
        <w:rPr>
          <w:rFonts w:ascii="宋体" w:hAnsi="宋体" w:eastAsia="宋体" w:cs="宋体"/>
          <w:i/>
          <w:color w:val="auto"/>
          <w:spacing w:val="7"/>
          <w:highlight w:val="none"/>
          <w:u w:val="single"/>
        </w:rPr>
        <w:t xml:space="preserve">年全免费上门质保服务。（供货时须提供原厂出具的质量保证证明原件及随机附带满足质保年限的质保卡），因人为因素出现的故障不在免费质保范围内。（以双方在验收报告签订日期为准）。</w:t>
      </w:r>
      <w:r/>
    </w:p>
    <w:p>
      <w:pPr>
        <w:ind w:firstLine="500"/>
        <w:keepLines w:val="0"/>
        <w:keepNext w:val="0"/>
        <w:pageBreakBefore w:val="0"/>
        <w:spacing w:line="440" w:lineRule="exact"/>
        <w:rPr>
          <w:rFonts w:hint="eastAsia" w:ascii="宋体" w:hAnsi="宋体" w:cs="宋体"/>
          <w:b/>
          <w:i/>
          <w:iCs/>
          <w:color w:val="auto"/>
          <w:spacing w:val="7"/>
          <w:sz w:val="24"/>
          <w:szCs w:val="24"/>
          <w:highlight w:val="none"/>
          <w:u w:val="single"/>
        </w:rPr>
      </w:pPr>
      <w:r>
        <w:rPr>
          <w:rFonts w:hint="eastAsia" w:ascii="宋体" w:hAnsi="宋体" w:cs="宋体"/>
          <w:b/>
          <w:i/>
          <w:iCs/>
          <w:color w:val="auto"/>
          <w:spacing w:val="7"/>
          <w:sz w:val="24"/>
          <w:szCs w:val="24"/>
          <w:highlight w:val="none"/>
          <w:u w:val="single"/>
        </w:rPr>
        <w:t xml:space="preserve">2、售后技术服务要求</w:t>
      </w:r>
      <w:r/>
    </w:p>
    <w:p>
      <w:pPr>
        <w:pStyle w:val="1058"/>
        <w:ind w:firstLine="500"/>
        <w:keepLines w:val="0"/>
        <w:keepNext w:val="0"/>
        <w:pageBreakBefore w:val="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（1）供应商应按招标文件规定的货物性能、技术要求、质量标准提供未经使用的全新产品。</w:t>
      </w:r>
      <w:r/>
    </w:p>
    <w:p>
      <w:pPr>
        <w:pStyle w:val="1058"/>
        <w:ind w:firstLine="500"/>
        <w:keepLines w:val="0"/>
        <w:keepNext w:val="0"/>
        <w:pageBreakBefore w:val="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w:t>
      </w:r>
      <w:r>
        <w:rPr>
          <w:rFonts w:hint="eastAsia" w:ascii="宋体" w:hAnsi="宋体" w:eastAsia="宋体" w:cs="宋体"/>
          <w:i/>
          <w:color w:val="auto"/>
          <w:spacing w:val="7"/>
          <w:highlight w:val="none"/>
          <w:u w:val="single"/>
        </w:rPr>
        <w:t xml:space="preserve">2</w:t>
      </w:r>
      <w:r>
        <w:rPr>
          <w:rFonts w:ascii="宋体" w:hAnsi="宋体" w:eastAsia="宋体" w:cs="宋体"/>
          <w:i/>
          <w:color w:val="auto"/>
          <w:spacing w:val="7"/>
          <w:highlight w:val="none"/>
          <w:u w:val="single"/>
        </w:rPr>
        <w:t xml:space="preserve">）如在使用过程中发生问题，供应商在接到通知后，半小时内响应、2小时内到达现场、24小时内修复问题。如果不能解决问题，请提供解决方案或提供备用机。</w:t>
      </w:r>
      <w:r/>
    </w:p>
    <w:p>
      <w:pPr>
        <w:pStyle w:val="1058"/>
        <w:ind w:firstLine="500"/>
        <w:keepLines w:val="0"/>
        <w:keepNext w:val="0"/>
        <w:pageBreakBefore w:val="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w:t>
      </w:r>
      <w:r>
        <w:rPr>
          <w:rFonts w:hint="eastAsia" w:ascii="宋体" w:hAnsi="宋体" w:eastAsia="宋体" w:cs="宋体"/>
          <w:i/>
          <w:color w:val="auto"/>
          <w:spacing w:val="7"/>
          <w:highlight w:val="none"/>
          <w:u w:val="single"/>
        </w:rPr>
        <w:t xml:space="preserve">3</w:t>
      </w:r>
      <w:r>
        <w:rPr>
          <w:rFonts w:ascii="宋体" w:hAnsi="宋体" w:eastAsia="宋体" w:cs="宋体"/>
          <w:i/>
          <w:color w:val="auto"/>
          <w:spacing w:val="7"/>
          <w:highlight w:val="none"/>
          <w:u w:val="single"/>
        </w:rPr>
        <w:t xml:space="preserve">）在免费质保期内，供应商应对货物出现的质量及安全问题负责处理解决并承担一切费用。</w:t>
      </w:r>
      <w:r/>
    </w:p>
    <w:p>
      <w:pPr>
        <w:ind w:firstLine="500"/>
        <w:keepLines w:val="0"/>
        <w:keepNext w:val="0"/>
        <w:pageBreakBefore w:val="0"/>
        <w:spacing w:line="440" w:lineRule="exact"/>
        <w:rPr>
          <w:rFonts w:ascii="Times New Roman" w:hAnsi="Times New Roman"/>
          <w:b/>
          <w:color w:val="auto"/>
          <w:spacing w:val="7"/>
          <w:sz w:val="24"/>
          <w:szCs w:val="24"/>
          <w:highlight w:val="none"/>
        </w:rPr>
      </w:pPr>
      <w:r>
        <w:rPr>
          <w:rFonts w:ascii="Times New Roman" w:hAnsi="Times New Roman"/>
          <w:b/>
          <w:color w:val="auto"/>
          <w:spacing w:val="7"/>
          <w:sz w:val="24"/>
          <w:szCs w:val="24"/>
          <w:highlight w:val="none"/>
        </w:rPr>
        <w:t xml:space="preserve">3 交货期、交货方式及交货地点</w:t>
      </w:r>
      <w:r/>
    </w:p>
    <w:p>
      <w:pPr>
        <w:ind w:firstLine="500"/>
        <w:keepLines w:val="0"/>
        <w:keepNext w:val="0"/>
        <w:pageBreakBefore w:val="0"/>
        <w:spacing w:line="440" w:lineRule="exact"/>
        <w:rPr>
          <w:rFonts w:hint="default" w:ascii="Times New Roman" w:hAnsi="Times New Roman" w:eastAsia="宋体"/>
          <w:i/>
          <w:color w:val="auto"/>
          <w:spacing w:val="7"/>
          <w:sz w:val="24"/>
          <w:szCs w:val="24"/>
          <w:highlight w:val="none"/>
          <w:u w:val="single"/>
          <w:lang w:val="en-US" w:eastAsia="zh-CN"/>
        </w:rPr>
      </w:pPr>
      <w:r>
        <w:rPr>
          <w:rFonts w:ascii="Times New Roman" w:hAnsi="Times New Roman"/>
          <w:i/>
          <w:color w:val="auto"/>
          <w:spacing w:val="7"/>
          <w:sz w:val="24"/>
          <w:szCs w:val="24"/>
          <w:highlight w:val="none"/>
          <w:u w:val="single"/>
        </w:rPr>
        <w:t xml:space="preserve">3.1、交货期</w:t>
      </w:r>
      <w:r/>
    </w:p>
    <w:p>
      <w:pPr>
        <w:pStyle w:val="819"/>
        <w:ind w:firstLine="480"/>
        <w:keepLines w:val="0"/>
        <w:keepNext w:val="0"/>
        <w:pageBreakBefore w:val="0"/>
        <w:spacing w:beforeAutospacing="0" w:afterAutospacing="0" w:line="440" w:lineRule="exact"/>
        <w:rPr>
          <w:rFonts w:hint="eastAsia" w:cs="宋体"/>
          <w:i/>
          <w:iCs/>
          <w:color w:val="auto"/>
          <w:spacing w:val="7"/>
          <w:szCs w:val="24"/>
          <w:highlight w:val="none"/>
          <w:u w:val="single"/>
        </w:rPr>
      </w:pPr>
      <w:r>
        <w:rPr>
          <w:rFonts w:hint="eastAsia"/>
          <w:i/>
          <w:iCs/>
          <w:color w:val="auto"/>
          <w:highlight w:val="none"/>
          <w:u w:val="single"/>
        </w:rPr>
        <w:t xml:space="preserve">合同签订生效后</w:t>
      </w:r>
      <w:r>
        <w:rPr>
          <w:rFonts w:hint="eastAsia"/>
          <w:i/>
          <w:iCs/>
          <w:color w:val="auto"/>
          <w:highlight w:val="none"/>
          <w:u w:val="single"/>
          <w:lang w:val="en-US" w:eastAsia="zh-CN"/>
        </w:rPr>
        <w:t xml:space="preserve">6个月内</w:t>
      </w:r>
      <w:r>
        <w:rPr>
          <w:rFonts w:hint="eastAsia"/>
          <w:i/>
          <w:iCs/>
          <w:color w:val="auto"/>
          <w:highlight w:val="none"/>
          <w:u w:val="single"/>
        </w:rPr>
        <w:t xml:space="preserve">完成供货并根据用户方要求的时间内完成安装调试工作</w:t>
      </w:r>
      <w:r>
        <w:rPr>
          <w:rFonts w:cs="宋体"/>
          <w:i/>
          <w:iCs/>
          <w:color w:val="auto"/>
          <w:spacing w:val="7"/>
          <w:szCs w:val="24"/>
          <w:highlight w:val="none"/>
          <w:u w:val="single"/>
        </w:rPr>
        <w:t xml:space="preserve">。遇不可抗力原因需迟延交货的，经采购方同意后可适当延期。</w:t>
      </w:r>
      <w:r/>
    </w:p>
    <w:p>
      <w:pPr>
        <w:ind w:firstLine="500"/>
        <w:keepLines w:val="0"/>
        <w:keepNext w:val="0"/>
        <w:pageBreakBefore w:val="0"/>
        <w:spacing w:line="440" w:lineRule="exact"/>
        <w:rPr>
          <w:rFonts w:ascii="Times New Roman" w:hAnsi="Times New Roman"/>
          <w:i/>
          <w:color w:val="auto"/>
          <w:spacing w:val="7"/>
          <w:sz w:val="24"/>
          <w:szCs w:val="24"/>
          <w:highlight w:val="none"/>
          <w:u w:val="single"/>
        </w:rPr>
      </w:pPr>
      <w:r>
        <w:rPr>
          <w:rFonts w:ascii="Times New Roman" w:hAnsi="Times New Roman"/>
          <w:i/>
          <w:color w:val="auto"/>
          <w:spacing w:val="7"/>
          <w:sz w:val="24"/>
          <w:szCs w:val="24"/>
          <w:highlight w:val="none"/>
          <w:u w:val="single"/>
        </w:rPr>
        <w:t xml:space="preserve">3.2、交货方式</w:t>
      </w:r>
      <w:r/>
    </w:p>
    <w:p>
      <w:pPr>
        <w:ind w:firstLine="500"/>
        <w:keepLines w:val="0"/>
        <w:keepNext w:val="0"/>
        <w:pageBreakBefore w:val="0"/>
        <w:spacing w:line="440" w:lineRule="exact"/>
        <w:rPr>
          <w:rFonts w:ascii="Times New Roman" w:hAnsi="Times New Roman"/>
          <w:i/>
          <w:color w:val="auto"/>
          <w:spacing w:val="7"/>
          <w:sz w:val="24"/>
          <w:szCs w:val="24"/>
          <w:highlight w:val="none"/>
          <w:u w:val="single"/>
        </w:rPr>
      </w:pPr>
      <w:r>
        <w:rPr>
          <w:rFonts w:ascii="Times New Roman" w:hAnsi="Times New Roman"/>
          <w:i/>
          <w:color w:val="auto"/>
          <w:spacing w:val="7"/>
          <w:sz w:val="24"/>
          <w:szCs w:val="24"/>
          <w:highlight w:val="none"/>
          <w:u w:val="single"/>
        </w:rPr>
        <w:t xml:space="preserve">原厂包装免费送至采购方指定地点。</w:t>
      </w:r>
      <w:r/>
    </w:p>
    <w:p>
      <w:pPr>
        <w:ind w:firstLine="500"/>
        <w:keepLines w:val="0"/>
        <w:keepNext w:val="0"/>
        <w:pageBreakBefore w:val="0"/>
        <w:spacing w:line="440" w:lineRule="exact"/>
        <w:rPr>
          <w:rFonts w:ascii="Times New Roman" w:hAnsi="Times New Roman"/>
          <w:i/>
          <w:color w:val="auto"/>
          <w:spacing w:val="7"/>
          <w:sz w:val="24"/>
          <w:szCs w:val="24"/>
          <w:highlight w:val="none"/>
          <w:u w:val="single"/>
        </w:rPr>
      </w:pPr>
      <w:r>
        <w:rPr>
          <w:rFonts w:ascii="Times New Roman" w:hAnsi="Times New Roman"/>
          <w:i/>
          <w:color w:val="auto"/>
          <w:spacing w:val="7"/>
          <w:sz w:val="24"/>
          <w:szCs w:val="24"/>
          <w:highlight w:val="none"/>
          <w:u w:val="single"/>
        </w:rPr>
        <w:t xml:space="preserve">3.3、交货地点</w:t>
      </w:r>
      <w:r/>
    </w:p>
    <w:p>
      <w:pPr>
        <w:pStyle w:val="1058"/>
        <w:ind w:firstLine="500"/>
        <w:keepLines w:val="0"/>
        <w:keepNext w:val="0"/>
        <w:pageBreakBefore w:val="0"/>
        <w:spacing w:line="440" w:lineRule="exact"/>
        <w:rPr>
          <w:color w:val="auto"/>
          <w:highlight w:val="none"/>
        </w:rPr>
      </w:pPr>
      <w:r>
        <w:rPr>
          <w:rFonts w:ascii="宋体" w:hAnsi="宋体" w:eastAsia="宋体" w:cs="宋体"/>
          <w:i/>
          <w:color w:val="auto"/>
          <w:spacing w:val="7"/>
          <w:highlight w:val="none"/>
          <w:u w:val="single"/>
        </w:rPr>
        <w:t xml:space="preserve">送至采购方指定地点。</w:t>
      </w:r>
      <w:r/>
    </w:p>
    <w:p>
      <w:pPr>
        <w:ind w:firstLine="500"/>
        <w:keepLines w:val="0"/>
        <w:keepNext w:val="0"/>
        <w:pageBreakBefore w:val="0"/>
        <w:spacing w:line="440" w:lineRule="exact"/>
        <w:rPr>
          <w:rFonts w:ascii="Times New Roman" w:hAnsi="Times New Roman"/>
          <w:b/>
          <w:color w:val="auto"/>
          <w:spacing w:val="7"/>
          <w:sz w:val="24"/>
          <w:szCs w:val="24"/>
          <w:highlight w:val="none"/>
        </w:rPr>
      </w:pPr>
      <w:r>
        <w:rPr>
          <w:rFonts w:ascii="Times New Roman" w:hAnsi="Times New Roman"/>
          <w:b/>
          <w:color w:val="auto"/>
          <w:spacing w:val="7"/>
          <w:sz w:val="24"/>
          <w:szCs w:val="24"/>
          <w:highlight w:val="none"/>
        </w:rPr>
        <w:t xml:space="preserve">4 货款支付</w:t>
      </w:r>
      <w:r/>
    </w:p>
    <w:p>
      <w:pPr>
        <w:ind w:firstLine="500"/>
        <w:keepLines w:val="0"/>
        <w:keepNext w:val="0"/>
        <w:pageBreakBefore w:val="0"/>
        <w:spacing w:line="440" w:lineRule="exact"/>
        <w:rPr>
          <w:rFonts w:ascii="Times New Roman" w:hAnsi="Times New Roman"/>
          <w:i/>
          <w:color w:val="auto"/>
          <w:spacing w:val="7"/>
          <w:sz w:val="24"/>
          <w:szCs w:val="24"/>
          <w:highlight w:val="none"/>
          <w:u w:val="single"/>
        </w:rPr>
      </w:pPr>
      <w:r>
        <w:rPr>
          <w:rFonts w:ascii="Times New Roman" w:hAnsi="Times New Roman"/>
          <w:i/>
          <w:color w:val="auto"/>
          <w:spacing w:val="7"/>
          <w:sz w:val="24"/>
          <w:szCs w:val="24"/>
          <w:highlight w:val="none"/>
          <w:u w:val="single"/>
        </w:rPr>
        <w:t xml:space="preserve">4.1、结付程序</w:t>
      </w:r>
      <w:r/>
    </w:p>
    <w:p>
      <w:pPr>
        <w:pStyle w:val="1058"/>
        <w:ind w:firstLine="500"/>
        <w:keepLines w:val="0"/>
        <w:keepNext w:val="0"/>
        <w:pageBreakBefore w:val="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4.1、结付程序</w:t>
      </w:r>
      <w:r/>
    </w:p>
    <w:p>
      <w:pPr>
        <w:pStyle w:val="1058"/>
        <w:ind w:firstLine="500"/>
        <w:keepLines w:val="0"/>
        <w:keepNext w:val="0"/>
        <w:pageBreakBefore w:val="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供方按本合同内容合格地履行供货义务后，凭验收报告、销售发票到采购单位办理货款结算手续。</w:t>
      </w:r>
      <w:r/>
    </w:p>
    <w:p>
      <w:pPr>
        <w:pStyle w:val="1058"/>
        <w:ind w:firstLine="500"/>
        <w:keepLines w:val="0"/>
        <w:keepNext w:val="0"/>
        <w:pageBreakBefore w:val="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4.2、结付期限</w:t>
      </w:r>
      <w:r/>
    </w:p>
    <w:p>
      <w:pPr>
        <w:pStyle w:val="1058"/>
        <w:ind w:firstLine="500"/>
        <w:keepLines w:val="0"/>
        <w:keepNext w:val="0"/>
        <w:pageBreakBefore w:val="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4.2、结付期限</w:t>
      </w:r>
      <w:r/>
    </w:p>
    <w:p>
      <w:pPr>
        <w:pStyle w:val="1058"/>
        <w:ind w:firstLine="500"/>
        <w:keepLines w:val="0"/>
        <w:keepNext w:val="0"/>
        <w:pageBreakBefore w:val="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①合同签订生效后15个</w:t>
      </w:r>
      <w:r>
        <w:rPr>
          <w:rFonts w:hint="eastAsia" w:ascii="宋体" w:hAnsi="宋体" w:eastAsia="宋体" w:cs="宋体"/>
          <w:i/>
          <w:color w:val="auto"/>
          <w:spacing w:val="7"/>
          <w:highlight w:val="none"/>
          <w:u w:val="single"/>
        </w:rPr>
        <w:t xml:space="preserve">工作</w:t>
      </w:r>
      <w:r>
        <w:rPr>
          <w:rFonts w:ascii="宋体" w:hAnsi="宋体" w:eastAsia="宋体" w:cs="宋体"/>
          <w:i/>
          <w:color w:val="auto"/>
          <w:spacing w:val="7"/>
          <w:highlight w:val="none"/>
          <w:u w:val="single"/>
        </w:rPr>
        <w:t xml:space="preserve">日内，甲方支付合同金额的30%作为预付款；②供方所有货物交货安装调试完毕，经验收合格，甲方收到发票后</w:t>
      </w:r>
      <w:r>
        <w:rPr>
          <w:rFonts w:hint="eastAsia" w:ascii="宋体" w:hAnsi="宋体" w:eastAsia="宋体" w:cs="宋体"/>
          <w:i/>
          <w:color w:val="auto"/>
          <w:spacing w:val="7"/>
          <w:highlight w:val="none"/>
          <w:u w:val="single"/>
          <w:lang w:val="en-US" w:eastAsia="zh-CN"/>
        </w:rPr>
        <w:t xml:space="preserve">30</w:t>
      </w:r>
      <w:r>
        <w:rPr>
          <w:rFonts w:hint="eastAsia" w:ascii="宋体" w:hAnsi="宋体" w:eastAsia="宋体" w:cs="宋体"/>
          <w:i/>
          <w:color w:val="auto"/>
          <w:spacing w:val="7"/>
          <w:highlight w:val="none"/>
          <w:u w:val="single"/>
        </w:rPr>
        <w:t xml:space="preserve">个工作日</w:t>
      </w:r>
      <w:r>
        <w:rPr>
          <w:rFonts w:ascii="宋体" w:hAnsi="宋体" w:eastAsia="宋体" w:cs="宋体"/>
          <w:i/>
          <w:color w:val="auto"/>
          <w:spacing w:val="7"/>
          <w:highlight w:val="none"/>
          <w:u w:val="single"/>
        </w:rPr>
        <w:t xml:space="preserve">内，支付剩余合同金额，并一次性退还履约保证金。</w:t>
      </w:r>
      <w:r/>
    </w:p>
    <w:p>
      <w:pPr>
        <w:pStyle w:val="1058"/>
        <w:ind w:firstLine="500"/>
        <w:keepLines w:val="0"/>
        <w:keepNext w:val="0"/>
        <w:pageBreakBefore w:val="0"/>
        <w:spacing w:line="440" w:lineRule="exact"/>
        <w:rPr>
          <w:rFonts w:hint="eastAsia" w:ascii="宋体" w:hAnsi="宋体" w:eastAsia="宋体" w:cs="宋体"/>
          <w:b/>
          <w:color w:val="auto"/>
          <w:spacing w:val="7"/>
          <w:highlight w:val="none"/>
        </w:rPr>
      </w:pPr>
      <w:r>
        <w:rPr>
          <w:rFonts w:ascii="宋体" w:hAnsi="宋体" w:eastAsia="宋体" w:cs="宋体"/>
          <w:b/>
          <w:color w:val="auto"/>
          <w:spacing w:val="7"/>
          <w:highlight w:val="none"/>
        </w:rPr>
        <w:t xml:space="preserve">5投标货币</w:t>
      </w:r>
      <w:r/>
    </w:p>
    <w:p>
      <w:pPr>
        <w:pStyle w:val="1058"/>
        <w:ind w:firstLine="500"/>
        <w:keepLines w:val="0"/>
        <w:keepNext w:val="0"/>
        <w:pageBreakBefore w:val="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人民币</w:t>
      </w:r>
      <w:r>
        <w:rPr>
          <w:rFonts w:hint="eastAsia" w:ascii="宋体" w:hAnsi="宋体" w:eastAsia="宋体" w:cs="宋体"/>
          <w:i/>
          <w:color w:val="auto"/>
          <w:spacing w:val="7"/>
          <w:highlight w:val="none"/>
          <w:u w:val="single"/>
        </w:rPr>
        <w:t xml:space="preserve">。</w:t>
      </w:r>
      <w:r/>
    </w:p>
    <w:p>
      <w:pPr>
        <w:keepLines w:val="0"/>
        <w:keepNext w:val="0"/>
        <w:pageBreakBefore w:val="0"/>
        <w:spacing w:before="120" w:after="120" w:line="440" w:lineRule="exact"/>
        <w:rPr>
          <w:rFonts w:ascii="Times New Roman" w:hAnsi="Times New Roman"/>
          <w:b/>
          <w:color w:val="auto"/>
          <w:sz w:val="28"/>
          <w:szCs w:val="28"/>
          <w:highlight w:val="none"/>
        </w:rPr>
      </w:pPr>
      <w:r>
        <w:rPr>
          <w:rFonts w:ascii="Times New Roman" w:hAnsi="Times New Roman"/>
          <w:b/>
          <w:color w:val="auto"/>
          <w:sz w:val="28"/>
          <w:szCs w:val="28"/>
          <w:highlight w:val="none"/>
        </w:rPr>
        <w:t xml:space="preserve">四、其他要求</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1 到货验收要求</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（1）相关材料设备按照国家强制标执行到货验收；</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（2）设备检验、检测通过，由采购单位开具设备到货验收合格单。</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（3）设备到货验收包括：</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开箱验收：设备外包装检查、按照设备清单清点、设备型号及序列号核对及统计，形成《开箱验收报告》。</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加电验收：设备组装、加电测试，形成《加电验收报告》。</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设备到货后5个工作日内必须完成到货验收工作。</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lang w:eastAsia="zh-CN"/>
        </w:rPr>
        <w:t xml:space="preserve">（</w:t>
      </w:r>
      <w:r>
        <w:rPr>
          <w:rFonts w:hint="eastAsia" w:ascii="Times New Roman" w:hAnsi="Times New Roman" w:eastAsia="宋体"/>
          <w:b w:val="0"/>
          <w:bCs/>
          <w:color w:val="auto"/>
          <w:sz w:val="24"/>
          <w:szCs w:val="24"/>
          <w:highlight w:val="none"/>
          <w:lang w:val="en-US" w:eastAsia="zh-CN"/>
        </w:rPr>
        <w:t xml:space="preserve">4）</w:t>
      </w:r>
      <w:r>
        <w:rPr>
          <w:rFonts w:hint="eastAsia" w:ascii="Times New Roman" w:hAnsi="Times New Roman" w:eastAsia="宋体"/>
          <w:b w:val="0"/>
          <w:bCs/>
          <w:color w:val="auto"/>
          <w:sz w:val="24"/>
          <w:szCs w:val="24"/>
          <w:highlight w:val="none"/>
        </w:rPr>
        <w:t xml:space="preserve">安防系统需通过属地主管部门验收，符合《苏州市智慧安防校园建设标准》三级要求。如出现验收不通过，产生的所有费用由中标人承担。</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2 实施要求</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2.1 总体要求</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1.技术方案应至少包含：建设目标、实施依据、总体规划、各子系统规划（包括：详细技术方案等）。</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2.实施方案应至少包含：设备供货计划、施工进度计划、管理人员投入计划、施工机具配备情况、质量保证措施、施工安全措施。 </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3.培训方案应至少包含：培训计划、培训方式、培训目标、培训课程、培训时长等方案。提供不少于2人的技术培训，时间不少于2天，培训内容包括无线网络、交换机、摄像机等主要设备和系统的操作培训、日常维护培训、常见故障处理方法及步骤、应急方案、应急演练方案及演练操作等。</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4.售后服务方案应至少包含：服务计划、人员安排、服务承诺及服务方式（包含保修期内、保修期外的服务）、维保应急方案。</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合同签订后中标单位根据采购单位的具体需求于五个工作日内（自合同签订之日起）完成项目实施部署方案编写。</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中标单位与原厂商共同负责采购产品的安装、调试与验收。</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安装、调试的主要目标是使本项目所采购的设备按照采购单位需求完成部署，并满足使用的需求。</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中标单位不能在现场安装未经采购单位批准的任何设备或软件。</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中标单位必须响应下列安装、调试要求：</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1）按标书要求对其产品进行安装、配置、调试检测，并做出安装、调试报告。所供软件应在招标文件中所规定的地点和环境下，实现正常运行。</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2）当所供产品在安装、调试中出现性能指标或功能上不满足合同时，由中标单位负责解决。</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3）如安装、调试中出现不满足合同要求的严重质量问题时，采购单位保留索赔的权利。</w:t>
      </w:r>
      <w:r/>
    </w:p>
    <w:p>
      <w:pPr>
        <w:keepLines w:val="0"/>
        <w:keepNext w:val="0"/>
        <w:pageBreakBefore w:val="0"/>
        <w:spacing w:before="120" w:after="120" w:line="440" w:lineRule="exact"/>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中标人在进行项目实施时必须在采购人掌握项目建设进度条件下进行，并严格执行相关保密规定。</w:t>
      </w:r>
      <w:r/>
    </w:p>
    <w:p>
      <w:pPr>
        <w:pStyle w:val="820"/>
        <w:jc w:val="center"/>
        <w:pageBreakBefore/>
        <w:spacing w:line="440" w:lineRule="exact"/>
        <w:rPr>
          <w:rFonts w:ascii="Times New Roman" w:hAnsi="Times New Roman" w:eastAsia="宋体"/>
          <w:b w:val="0"/>
          <w:color w:val="auto"/>
          <w:sz w:val="24"/>
          <w:highlight w:val="none"/>
        </w:rPr>
      </w:pPr>
      <w:r/>
      <w:bookmarkStart w:id="183" w:name="_Toc175752384"/>
      <w:r>
        <w:rPr>
          <w:rFonts w:ascii="Times New Roman" w:hAnsi="Times New Roman" w:eastAsia="宋体"/>
          <w:color w:val="auto"/>
          <w:highlight w:val="none"/>
        </w:rPr>
        <w:t xml:space="preserve">第五章评标方法与评标标准</w:t>
      </w:r>
      <w:bookmarkEnd w:id="183"/>
      <w:r/>
      <w:r/>
    </w:p>
    <w:p>
      <w:pPr>
        <w:pStyle w:val="786"/>
        <w:jc w:val="left"/>
        <w:spacing w:before="0" w:after="0" w:line="440" w:lineRule="atLeast"/>
        <w:rPr>
          <w:rStyle w:val="1008"/>
          <w:rFonts w:ascii="Times New Roman" w:hAnsi="Times New Roman"/>
          <w:b/>
          <w:bCs/>
          <w:color w:val="auto"/>
          <w:highlight w:val="none"/>
        </w:rPr>
      </w:pPr>
      <w:r/>
      <w:bookmarkStart w:id="184" w:name="_Toc175752385"/>
      <w:r>
        <w:rPr>
          <w:rStyle w:val="1008"/>
          <w:rFonts w:ascii="Times New Roman" w:hAnsi="Times New Roman"/>
          <w:b/>
          <w:bCs/>
          <w:color w:val="auto"/>
          <w:highlight w:val="none"/>
        </w:rPr>
        <w:t xml:space="preserve">一、评标方法与定标原则</w:t>
      </w:r>
      <w:bookmarkEnd w:id="184"/>
      <w:r/>
      <w:r/>
    </w:p>
    <w:p>
      <w:pPr>
        <w:pStyle w:val="1013"/>
        <w:ind w:firstLine="500"/>
        <w:spacing w:line="440" w:lineRule="exact"/>
        <w:rPr>
          <w:rFonts w:eastAsia="宋体"/>
          <w:color w:val="auto"/>
          <w:spacing w:val="7"/>
          <w:highlight w:val="none"/>
        </w:rPr>
      </w:pPr>
      <w:r>
        <w:rPr>
          <w:rFonts w:eastAsia="宋体"/>
          <w:color w:val="auto"/>
          <w:spacing w:val="7"/>
          <w:highlight w:val="none"/>
        </w:rPr>
        <w:t xml:space="preserve">1.1 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786"/>
        <w:jc w:val="left"/>
        <w:spacing w:before="0" w:after="0" w:line="440" w:lineRule="exact"/>
        <w:rPr>
          <w:rStyle w:val="1008"/>
          <w:rFonts w:ascii="Times New Roman" w:hAnsi="Times New Roman"/>
          <w:b/>
          <w:bCs/>
          <w:color w:val="auto"/>
          <w:highlight w:val="none"/>
        </w:rPr>
      </w:pPr>
      <w:r/>
      <w:bookmarkStart w:id="185" w:name="EBd9567453f96a4fca96262d13cc886515"/>
      <w:r/>
      <w:bookmarkEnd w:id="185"/>
      <w:r/>
      <w:bookmarkStart w:id="186" w:name="_Toc175752386"/>
      <w:r>
        <w:rPr>
          <w:rStyle w:val="1008"/>
          <w:rFonts w:ascii="Times New Roman" w:hAnsi="Times New Roman"/>
          <w:b/>
          <w:bCs/>
          <w:color w:val="auto"/>
          <w:highlight w:val="none"/>
        </w:rPr>
        <w:t xml:space="preserve">二、评标标准</w:t>
      </w:r>
      <w:bookmarkEnd w:id="186"/>
      <w:r/>
      <w:r/>
    </w:p>
    <w:p>
      <w:pPr>
        <w:pStyle w:val="1057"/>
        <w:ind w:firstLine="500"/>
        <w:spacing w:line="440" w:lineRule="exact"/>
        <w:rPr>
          <w:rFonts w:eastAsia="宋体"/>
          <w:b/>
          <w:color w:val="auto"/>
          <w:spacing w:val="7"/>
          <w:highlight w:val="none"/>
        </w:rPr>
      </w:pPr>
      <w:r>
        <w:rPr>
          <w:rFonts w:eastAsia="宋体"/>
          <w:b/>
          <w:color w:val="auto"/>
          <w:spacing w:val="7"/>
          <w:highlight w:val="none"/>
        </w:rPr>
        <w:t xml:space="preserve">1 价格分35.0 分</w:t>
      </w:r>
      <w:r/>
    </w:p>
    <w:p>
      <w:pPr>
        <w:pStyle w:val="1057"/>
        <w:ind w:firstLine="500"/>
        <w:spacing w:line="440" w:lineRule="exact"/>
        <w:rPr>
          <w:rFonts w:eastAsia="宋体"/>
          <w:color w:val="auto"/>
          <w:spacing w:val="7"/>
          <w:highlight w:val="none"/>
        </w:rPr>
      </w:pPr>
      <w:r>
        <w:rPr>
          <w:rFonts w:eastAsia="宋体"/>
          <w:color w:val="auto"/>
          <w:spacing w:val="7"/>
          <w:highlight w:val="none"/>
        </w:rPr>
        <w:t xml:space="preserve">采用低价优先法计算，即满足招标文件要求且投标价格最低的投标价为评标基准价，其价格分为满分35.0分。其他投标人的价格分统一按照下列公式计算：</w:t>
      </w:r>
      <w:r/>
    </w:p>
    <w:p>
      <w:pPr>
        <w:pStyle w:val="1057"/>
        <w:ind w:firstLine="500"/>
        <w:spacing w:line="440" w:lineRule="exact"/>
        <w:rPr>
          <w:rFonts w:eastAsia="宋体"/>
          <w:color w:val="auto"/>
          <w:spacing w:val="7"/>
          <w:highlight w:val="none"/>
        </w:rPr>
      </w:pPr>
      <w:r>
        <w:rPr>
          <w:rFonts w:eastAsia="宋体"/>
          <w:color w:val="auto"/>
          <w:spacing w:val="7"/>
          <w:highlight w:val="none"/>
        </w:rPr>
        <w:t xml:space="preserve">投标报价得分=（评标基准价/投标报价）* 35.0% * 100（保留二位小数）。</w:t>
      </w:r>
      <w:r/>
    </w:p>
    <w:p>
      <w:pPr>
        <w:pStyle w:val="1060"/>
        <w:ind w:firstLine="500"/>
        <w:spacing w:line="440" w:lineRule="exact"/>
        <w:rPr>
          <w:rFonts w:eastAsia="宋体"/>
          <w:b/>
          <w:color w:val="auto"/>
          <w:spacing w:val="7"/>
          <w:highlight w:val="none"/>
        </w:rPr>
      </w:pPr>
      <w:r>
        <w:rPr>
          <w:rFonts w:eastAsia="宋体"/>
          <w:b/>
          <w:color w:val="auto"/>
          <w:spacing w:val="7"/>
          <w:highlight w:val="none"/>
        </w:rPr>
        <w:t xml:space="preserve">2 性能质量和技术指标</w:t>
      </w:r>
      <w:r>
        <w:rPr>
          <w:rFonts w:hint="eastAsia" w:eastAsia="宋体"/>
          <w:b/>
          <w:color w:val="auto"/>
          <w:spacing w:val="7"/>
          <w:highlight w:val="none"/>
          <w:lang w:val="en-US" w:eastAsia="zh-CN"/>
        </w:rPr>
        <w:t xml:space="preserve">39.0</w:t>
      </w:r>
      <w:r>
        <w:rPr>
          <w:rFonts w:eastAsia="宋体"/>
          <w:b/>
          <w:color w:val="auto"/>
          <w:spacing w:val="7"/>
          <w:highlight w:val="none"/>
        </w:rPr>
        <w:t xml:space="preserve"> 分</w:t>
      </w:r>
      <w:r/>
    </w:p>
    <w:p>
      <w:pPr>
        <w:pStyle w:val="1057"/>
        <w:ind w:firstLine="500"/>
        <w:spacing w:line="440" w:lineRule="exact"/>
        <w:rPr>
          <w:rFonts w:eastAsia="宋体"/>
          <w:color w:val="auto"/>
          <w:spacing w:val="7"/>
          <w:highlight w:val="none"/>
        </w:rPr>
      </w:pPr>
      <w:r/>
      <w:bookmarkStart w:id="187" w:name="_Hlk196555824"/>
      <w:r/>
      <w:bookmarkStart w:id="188" w:name="_Hlk166419597"/>
      <w:r>
        <w:rPr>
          <w:rFonts w:eastAsia="宋体"/>
          <w:color w:val="auto"/>
          <w:spacing w:val="7"/>
          <w:highlight w:val="none"/>
        </w:rPr>
        <w:t xml:space="preserve">2.1 性能质量和技术指标</w:t>
      </w:r>
      <w:r/>
    </w:p>
    <w:p>
      <w:pPr>
        <w:pStyle w:val="1061"/>
        <w:ind w:firstLine="500"/>
        <w:spacing w:line="440" w:lineRule="exact"/>
        <w:rPr>
          <w:rFonts w:eastAsia="宋体"/>
          <w:color w:val="auto"/>
          <w:spacing w:val="7"/>
          <w:highlight w:val="none"/>
        </w:rPr>
      </w:pPr>
      <w:r>
        <w:rPr>
          <w:rFonts w:eastAsia="宋体"/>
          <w:color w:val="auto"/>
          <w:spacing w:val="7"/>
          <w:highlight w:val="none"/>
        </w:rPr>
        <w:t xml:space="preserve">根据投标人提供的产品（见招标文件第四章项目需求/二、技术要求）性能质量、技术指标和系统功能要求进行评定，完全响应招标文件中要求(即完全响应“</w:t>
      </w:r>
      <w:r>
        <w:rPr>
          <w:rFonts w:ascii="Cambria Math" w:hAnsi="Cambria Math" w:eastAsia="宋体" w:cs="Cambria Math"/>
          <w:color w:val="auto"/>
          <w:highlight w:val="none"/>
        </w:rPr>
        <w:t xml:space="preserve">◆</w:t>
      </w:r>
      <w:r>
        <w:rPr>
          <w:rFonts w:eastAsia="宋体"/>
          <w:color w:val="auto"/>
          <w:spacing w:val="7"/>
          <w:highlight w:val="none"/>
        </w:rPr>
        <w:t xml:space="preserve">”参数项的，得</w:t>
      </w:r>
      <w:r>
        <w:rPr>
          <w:rFonts w:hint="eastAsia" w:eastAsia="宋体"/>
          <w:color w:val="auto"/>
          <w:spacing w:val="7"/>
          <w:highlight w:val="none"/>
          <w:lang w:val="en-US" w:eastAsia="zh-CN"/>
        </w:rPr>
        <w:t xml:space="preserve">39</w:t>
      </w:r>
      <w:r>
        <w:rPr>
          <w:rFonts w:eastAsia="宋体"/>
          <w:color w:val="auto"/>
          <w:spacing w:val="7"/>
          <w:highlight w:val="none"/>
        </w:rPr>
        <w:t xml:space="preserve">分；其中“</w:t>
      </w:r>
      <w:r>
        <w:rPr>
          <w:rFonts w:ascii="Cambria Math" w:hAnsi="Cambria Math" w:eastAsia="宋体" w:cs="Cambria Math"/>
          <w:color w:val="auto"/>
          <w:highlight w:val="none"/>
        </w:rPr>
        <w:t xml:space="preserve">◆</w:t>
      </w:r>
      <w:r>
        <w:rPr>
          <w:rFonts w:eastAsia="宋体"/>
          <w:color w:val="auto"/>
          <w:spacing w:val="7"/>
          <w:highlight w:val="none"/>
        </w:rPr>
        <w:t xml:space="preserve">”参数项有负偏离的，有一项扣</w:t>
      </w:r>
      <w:r>
        <w:rPr>
          <w:rFonts w:hint="eastAsia" w:eastAsia="宋体"/>
          <w:color w:val="auto"/>
          <w:spacing w:val="7"/>
          <w:highlight w:val="none"/>
          <w:lang w:val="en-US" w:eastAsia="zh-CN"/>
        </w:rPr>
        <w:t xml:space="preserve">3</w:t>
      </w:r>
      <w:r>
        <w:rPr>
          <w:rFonts w:eastAsia="宋体"/>
          <w:color w:val="auto"/>
          <w:spacing w:val="7"/>
          <w:highlight w:val="none"/>
        </w:rPr>
        <w:t xml:space="preserve">分，扣完为止。</w:t>
      </w:r>
      <w:r>
        <w:rPr>
          <w:rFonts w:eastAsia="宋体"/>
          <w:b/>
          <w:bCs/>
          <w:color w:val="auto"/>
          <w:spacing w:val="7"/>
          <w:highlight w:val="none"/>
        </w:rPr>
        <w:t xml:space="preserve">（要求提供检测报告未提供或提供检测报告内容不符合要求的，视为负偏离）</w:t>
      </w:r>
      <w:r>
        <w:rPr>
          <w:rFonts w:hint="eastAsia" w:eastAsia="宋体"/>
          <w:b/>
          <w:bCs/>
          <w:color w:val="auto"/>
          <w:spacing w:val="7"/>
          <w:highlight w:val="none"/>
        </w:rPr>
        <w:t xml:space="preserve">检测报告需为具有CMA标志的第三方机构出具的检测报告</w:t>
      </w:r>
      <w:r>
        <w:rPr>
          <w:rFonts w:eastAsia="宋体"/>
          <w:color w:val="auto"/>
          <w:spacing w:val="7"/>
          <w:highlight w:val="none"/>
        </w:rPr>
        <w:t xml:space="preserve">【0-</w:t>
      </w:r>
      <w:r>
        <w:rPr>
          <w:rFonts w:hint="eastAsia" w:eastAsia="宋体"/>
          <w:color w:val="auto"/>
          <w:spacing w:val="7"/>
          <w:highlight w:val="none"/>
          <w:lang w:val="en-US" w:eastAsia="zh-CN"/>
        </w:rPr>
        <w:t xml:space="preserve">39</w:t>
      </w:r>
      <w:r>
        <w:rPr>
          <w:rFonts w:eastAsia="宋体"/>
          <w:color w:val="auto"/>
          <w:spacing w:val="7"/>
          <w:highlight w:val="none"/>
        </w:rPr>
        <w:t xml:space="preserve">】</w:t>
      </w:r>
      <w:bookmarkEnd w:id="187"/>
      <w:r/>
      <w:r/>
    </w:p>
    <w:p>
      <w:pPr>
        <w:pStyle w:val="1057"/>
        <w:ind w:firstLine="500"/>
        <w:spacing w:line="440" w:lineRule="exact"/>
        <w:rPr>
          <w:rFonts w:eastAsia="宋体"/>
          <w:b/>
          <w:color w:val="auto"/>
          <w:spacing w:val="7"/>
          <w:highlight w:val="none"/>
        </w:rPr>
      </w:pPr>
      <w:r>
        <w:rPr>
          <w:rFonts w:eastAsia="宋体"/>
          <w:b/>
          <w:color w:val="auto"/>
          <w:spacing w:val="7"/>
          <w:highlight w:val="none"/>
        </w:rPr>
        <w:t xml:space="preserve">3 服务方案</w:t>
      </w:r>
      <w:r>
        <w:rPr>
          <w:rFonts w:hint="eastAsia" w:eastAsia="宋体"/>
          <w:b/>
          <w:color w:val="auto"/>
          <w:spacing w:val="7"/>
          <w:highlight w:val="none"/>
          <w:lang w:val="en-US" w:eastAsia="zh-CN"/>
        </w:rPr>
        <w:t xml:space="preserve">19</w:t>
      </w:r>
      <w:r>
        <w:rPr>
          <w:rFonts w:eastAsia="宋体"/>
          <w:b/>
          <w:color w:val="auto"/>
          <w:spacing w:val="7"/>
          <w:highlight w:val="none"/>
        </w:rPr>
        <w:t xml:space="preserve">分</w:t>
      </w:r>
      <w:bookmarkEnd w:id="188"/>
      <w:r/>
      <w:r/>
    </w:p>
    <w:p>
      <w:pPr>
        <w:pStyle w:val="1079"/>
        <w:ind w:firstLine="500"/>
        <w:spacing w:line="440" w:lineRule="exact"/>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3.1.技术方案</w:t>
      </w:r>
      <w:r/>
    </w:p>
    <w:p>
      <w:pPr>
        <w:pStyle w:val="1079"/>
        <w:ind w:firstLine="500"/>
        <w:jc w:val="both"/>
        <w:spacing w:line="440" w:lineRule="exact"/>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技术方案应至少包含：建设目标、实施依据、总体规划。技术方案完全包含上述内容且内容有实质性意义满足项目需求的得</w:t>
      </w:r>
      <w:r>
        <w:rPr>
          <w:rFonts w:hint="eastAsia" w:ascii="宋体" w:hAnsi="宋体" w:eastAsia="宋体" w:cs="宋体"/>
          <w:color w:val="auto"/>
          <w:spacing w:val="7"/>
          <w:highlight w:val="none"/>
          <w:lang w:val="en-US" w:eastAsia="zh-CN"/>
        </w:rPr>
        <w:t xml:space="preserve">7</w:t>
      </w:r>
      <w:r>
        <w:rPr>
          <w:rFonts w:hint="eastAsia" w:ascii="宋体" w:hAnsi="宋体" w:eastAsia="宋体" w:cs="宋体"/>
          <w:color w:val="auto"/>
          <w:spacing w:val="7"/>
          <w:highlight w:val="none"/>
        </w:rPr>
        <w:t xml:space="preserve">分</w:t>
      </w:r>
      <w:r>
        <w:rPr>
          <w:rFonts w:ascii="宋体" w:hAnsi="宋体" w:eastAsia="宋体" w:cs="宋体"/>
          <w:color w:val="auto"/>
          <w:spacing w:val="7"/>
          <w:highlight w:val="none"/>
        </w:rPr>
        <w:t xml:space="preserve">，方案内容可操作性尚可，内容描述较简单的得</w:t>
      </w:r>
      <w:r>
        <w:rPr>
          <w:rFonts w:hint="eastAsia" w:ascii="宋体" w:hAnsi="宋体" w:eastAsia="宋体" w:cs="宋体"/>
          <w:color w:val="auto"/>
          <w:spacing w:val="7"/>
          <w:highlight w:val="none"/>
        </w:rPr>
        <w:t xml:space="preserve">4分</w:t>
      </w:r>
      <w:r>
        <w:rPr>
          <w:rFonts w:ascii="宋体" w:hAnsi="宋体" w:eastAsia="宋体" w:cs="宋体"/>
          <w:color w:val="auto"/>
          <w:spacing w:val="7"/>
          <w:highlight w:val="none"/>
        </w:rPr>
        <w:t xml:space="preserve">；方案内容可操作性差，内容描述特少的得</w:t>
      </w:r>
      <w:r>
        <w:rPr>
          <w:rFonts w:hint="eastAsia" w:ascii="宋体" w:hAnsi="宋体" w:eastAsia="宋体" w:cs="宋体"/>
          <w:color w:val="auto"/>
          <w:spacing w:val="7"/>
          <w:highlight w:val="none"/>
        </w:rPr>
        <w:t xml:space="preserve">2</w:t>
      </w:r>
      <w:r>
        <w:rPr>
          <w:rFonts w:ascii="宋体" w:hAnsi="宋体" w:eastAsia="宋体" w:cs="宋体"/>
          <w:color w:val="auto"/>
          <w:spacing w:val="7"/>
          <w:highlight w:val="none"/>
        </w:rPr>
        <w:t xml:space="preserve">,未提供方案说明的不得分。</w:t>
      </w:r>
      <w:r/>
    </w:p>
    <w:p>
      <w:pPr>
        <w:pStyle w:val="1079"/>
        <w:ind w:firstLine="500"/>
        <w:spacing w:line="440" w:lineRule="exact"/>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3.2.实施方案</w:t>
      </w:r>
      <w:r/>
    </w:p>
    <w:p>
      <w:pPr>
        <w:pStyle w:val="1079"/>
        <w:ind w:firstLine="500"/>
        <w:spacing w:line="440" w:lineRule="exact"/>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实施方案应至少包含：设备供货计划、施工进度计划、管理人员投入计划、施工机具配备情况、质量保证措施、施工安全措施。方案完全包含上述内容且内容有实质性意义满足项目需求的得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rPr>
          <w:rFonts w:hint="eastAsia" w:ascii="宋体" w:hAnsi="宋体" w:eastAsia="宋体" w:cs="宋体"/>
          <w:color w:val="auto"/>
          <w:spacing w:val="7"/>
          <w:highlight w:val="none"/>
          <w:lang w:eastAsia="zh-CN"/>
        </w:rPr>
        <w:t xml:space="preserve">，</w:t>
      </w:r>
      <w:r>
        <w:rPr>
          <w:rFonts w:ascii="宋体" w:hAnsi="宋体" w:eastAsia="宋体" w:cs="宋体"/>
          <w:color w:val="auto"/>
          <w:spacing w:val="7"/>
          <w:highlight w:val="none"/>
        </w:rPr>
        <w:t xml:space="preserve">方案内容可操作性尚可，内容描述较简单的得</w:t>
      </w:r>
      <w:r>
        <w:rPr>
          <w:rFonts w:hint="eastAsia" w:ascii="宋体" w:hAnsi="宋体" w:eastAsia="宋体" w:cs="宋体"/>
          <w:color w:val="auto"/>
          <w:spacing w:val="7"/>
          <w:highlight w:val="none"/>
        </w:rPr>
        <w:t xml:space="preserve">4分</w:t>
      </w:r>
      <w:r>
        <w:rPr>
          <w:rFonts w:ascii="宋体" w:hAnsi="宋体" w:eastAsia="宋体" w:cs="宋体"/>
          <w:color w:val="auto"/>
          <w:spacing w:val="7"/>
          <w:highlight w:val="none"/>
        </w:rPr>
        <w:t xml:space="preserve">；方案内容可操作性差，内容描述特少的得</w:t>
      </w:r>
      <w:r>
        <w:rPr>
          <w:rFonts w:hint="eastAsia" w:ascii="宋体" w:hAnsi="宋体" w:eastAsia="宋体" w:cs="宋体"/>
          <w:color w:val="auto"/>
          <w:spacing w:val="7"/>
          <w:highlight w:val="none"/>
        </w:rPr>
        <w:t xml:space="preserve">2</w:t>
      </w:r>
      <w:r>
        <w:rPr>
          <w:rFonts w:hint="eastAsia" w:ascii="宋体" w:hAnsi="宋体" w:eastAsia="宋体" w:cs="宋体"/>
          <w:color w:val="auto"/>
          <w:spacing w:val="7"/>
          <w:highlight w:val="none"/>
          <w:lang w:val="en-US" w:eastAsia="zh-CN"/>
        </w:rPr>
        <w:t xml:space="preserve">分</w:t>
      </w:r>
      <w:r>
        <w:rPr>
          <w:rFonts w:ascii="宋体" w:hAnsi="宋体" w:eastAsia="宋体" w:cs="宋体"/>
          <w:color w:val="auto"/>
          <w:spacing w:val="7"/>
          <w:highlight w:val="none"/>
        </w:rPr>
        <w:t xml:space="preserve">,未提供方案说明的不得分。</w:t>
      </w:r>
      <w:r/>
    </w:p>
    <w:p>
      <w:pPr>
        <w:pStyle w:val="1079"/>
        <w:ind w:firstLine="500"/>
        <w:spacing w:line="440" w:lineRule="exact"/>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3.</w:t>
      </w:r>
      <w:r>
        <w:rPr>
          <w:rFonts w:hint="eastAsia" w:ascii="宋体" w:hAnsi="宋体" w:eastAsia="宋体" w:cs="宋体"/>
          <w:color w:val="auto"/>
          <w:spacing w:val="7"/>
          <w:highlight w:val="none"/>
        </w:rPr>
        <w:t xml:space="preserve">3</w:t>
      </w:r>
      <w:r>
        <w:rPr>
          <w:rFonts w:ascii="宋体" w:hAnsi="宋体" w:eastAsia="宋体" w:cs="宋体"/>
          <w:color w:val="auto"/>
          <w:spacing w:val="7"/>
          <w:highlight w:val="none"/>
        </w:rPr>
        <w:t xml:space="preserve">.培训方案</w:t>
      </w:r>
      <w:r/>
    </w:p>
    <w:p>
      <w:pPr>
        <w:pStyle w:val="1079"/>
        <w:ind w:firstLine="500"/>
        <w:spacing w:line="440" w:lineRule="exact"/>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培训方案应至少包含：培训计划、培训方式、培训目标、培训课程、培训时长等方案。方案完全包含上述内容且内容有实质性意义满足项目需求的得</w:t>
      </w:r>
      <w:r>
        <w:rPr>
          <w:rFonts w:hint="eastAsia" w:ascii="宋体" w:hAnsi="宋体" w:eastAsia="宋体" w:cs="宋体"/>
          <w:color w:val="auto"/>
          <w:spacing w:val="7"/>
          <w:highlight w:val="none"/>
          <w:lang w:val="en-US" w:eastAsia="zh-CN"/>
        </w:rPr>
        <w:t xml:space="preserve">6</w:t>
      </w:r>
      <w:r>
        <w:rPr>
          <w:rFonts w:ascii="宋体" w:hAnsi="宋体" w:eastAsia="宋体" w:cs="宋体"/>
          <w:color w:val="auto"/>
          <w:spacing w:val="7"/>
          <w:highlight w:val="none"/>
        </w:rPr>
        <w:t xml:space="preserve">分，方案内容可操作性尚可，内容描述较简单的得</w:t>
      </w:r>
      <w:r>
        <w:rPr>
          <w:rFonts w:hint="eastAsia" w:ascii="宋体" w:hAnsi="宋体" w:eastAsia="宋体" w:cs="宋体"/>
          <w:color w:val="auto"/>
          <w:spacing w:val="7"/>
          <w:highlight w:val="none"/>
        </w:rPr>
        <w:t xml:space="preserve">4分</w:t>
      </w:r>
      <w:r>
        <w:rPr>
          <w:rFonts w:ascii="宋体" w:hAnsi="宋体" w:eastAsia="宋体" w:cs="宋体"/>
          <w:color w:val="auto"/>
          <w:spacing w:val="7"/>
          <w:highlight w:val="none"/>
        </w:rPr>
        <w:t xml:space="preserve">；方案内容可操作性差，内容描述特少的得</w:t>
      </w:r>
      <w:r>
        <w:rPr>
          <w:rFonts w:hint="eastAsia" w:ascii="宋体" w:hAnsi="宋体" w:eastAsia="宋体" w:cs="宋体"/>
          <w:color w:val="auto"/>
          <w:spacing w:val="7"/>
          <w:highlight w:val="none"/>
        </w:rPr>
        <w:t xml:space="preserve">2</w:t>
      </w:r>
      <w:r>
        <w:rPr>
          <w:rFonts w:ascii="宋体" w:hAnsi="宋体" w:eastAsia="宋体" w:cs="宋体"/>
          <w:color w:val="auto"/>
          <w:spacing w:val="7"/>
          <w:highlight w:val="none"/>
        </w:rPr>
        <w:t xml:space="preserve">分,未提供方案说明的不得分。</w:t>
      </w:r>
      <w:r/>
    </w:p>
    <w:p>
      <w:pPr>
        <w:pStyle w:val="1079"/>
        <w:ind w:firstLine="500"/>
        <w:spacing w:line="440" w:lineRule="exact"/>
        <w:rPr>
          <w:rFonts w:hint="eastAsia" w:ascii="宋体" w:hAnsi="宋体" w:eastAsia="宋体" w:cs="宋体"/>
          <w:b/>
          <w:color w:val="auto"/>
          <w:spacing w:val="7"/>
          <w:highlight w:val="none"/>
        </w:rPr>
      </w:pPr>
      <w:r>
        <w:rPr>
          <w:rFonts w:ascii="宋体" w:hAnsi="宋体" w:eastAsia="宋体" w:cs="宋体"/>
          <w:b/>
          <w:color w:val="auto"/>
          <w:spacing w:val="7"/>
          <w:highlight w:val="none"/>
        </w:rPr>
        <w:t xml:space="preserve">4 售后服务分 </w:t>
      </w:r>
      <w:r>
        <w:rPr>
          <w:rFonts w:hint="eastAsia" w:ascii="宋体" w:hAnsi="宋体" w:eastAsia="宋体" w:cs="宋体"/>
          <w:b/>
          <w:color w:val="auto"/>
          <w:spacing w:val="7"/>
          <w:highlight w:val="none"/>
          <w:lang w:val="en-US" w:eastAsia="zh-CN"/>
        </w:rPr>
        <w:t xml:space="preserve">5</w:t>
      </w:r>
      <w:r>
        <w:rPr>
          <w:rFonts w:ascii="宋体" w:hAnsi="宋体" w:eastAsia="宋体" w:cs="宋体"/>
          <w:b/>
          <w:color w:val="auto"/>
          <w:spacing w:val="7"/>
          <w:highlight w:val="none"/>
        </w:rPr>
        <w:t xml:space="preserve"> 分</w:t>
      </w:r>
      <w:r/>
    </w:p>
    <w:p>
      <w:pPr>
        <w:pStyle w:val="1079"/>
        <w:ind w:firstLine="500"/>
        <w:spacing w:line="440" w:lineRule="exact"/>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4.1.</w:t>
      </w:r>
      <w:r>
        <w:rPr>
          <w:rFonts w:hint="eastAsia" w:ascii="宋体" w:hAnsi="宋体" w:eastAsia="宋体" w:cs="宋体"/>
          <w:color w:val="auto"/>
          <w:spacing w:val="7"/>
          <w:highlight w:val="none"/>
        </w:rPr>
        <w:t xml:space="preserve">售后服务方案</w:t>
      </w:r>
      <w:r/>
    </w:p>
    <w:p>
      <w:pPr>
        <w:pStyle w:val="1057"/>
        <w:ind w:firstLine="500"/>
        <w:spacing w:line="440" w:lineRule="exact"/>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售后服务方案应至少包含：服务计划、人员安排、服务承诺及服务方式（包含保修期内、保修期外的服务）、维保应急方案。方案完全包含上述内容且内容有实质性意义满足项目需求的得</w:t>
      </w:r>
      <w:r>
        <w:rPr>
          <w:rFonts w:hint="eastAsia" w:ascii="宋体" w:hAnsi="宋体" w:eastAsia="宋体" w:cs="宋体"/>
          <w:color w:val="auto"/>
          <w:spacing w:val="7"/>
          <w:highlight w:val="none"/>
          <w:lang w:val="en-US" w:eastAsia="zh-CN"/>
        </w:rPr>
        <w:t xml:space="preserve">5分</w:t>
      </w:r>
      <w:r>
        <w:rPr>
          <w:rFonts w:ascii="宋体" w:hAnsi="宋体" w:eastAsia="宋体" w:cs="宋体"/>
          <w:color w:val="auto"/>
          <w:spacing w:val="7"/>
          <w:highlight w:val="none"/>
        </w:rPr>
        <w:t xml:space="preserve">，方案内容可操作性尚可，内容描述较简单的得</w:t>
      </w: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分</w:t>
      </w:r>
      <w:r>
        <w:rPr>
          <w:rFonts w:ascii="宋体" w:hAnsi="宋体" w:eastAsia="宋体" w:cs="宋体"/>
          <w:color w:val="auto"/>
          <w:spacing w:val="7"/>
          <w:highlight w:val="none"/>
        </w:rPr>
        <w:t xml:space="preserve">；方案内容可操作性差，内容描述特少的得</w:t>
      </w:r>
      <w:r>
        <w:rPr>
          <w:rFonts w:hint="eastAsia" w:ascii="宋体" w:hAnsi="宋体" w:eastAsia="宋体" w:cs="宋体"/>
          <w:color w:val="auto"/>
          <w:spacing w:val="7"/>
          <w:highlight w:val="none"/>
          <w:lang w:val="en-US" w:eastAsia="zh-CN"/>
        </w:rPr>
        <w:t xml:space="preserve">1</w:t>
      </w:r>
      <w:r>
        <w:rPr>
          <w:rFonts w:ascii="宋体" w:hAnsi="宋体" w:eastAsia="宋体" w:cs="宋体"/>
          <w:color w:val="auto"/>
          <w:spacing w:val="7"/>
          <w:highlight w:val="none"/>
        </w:rPr>
        <w:t xml:space="preserve">分,未提供方案说明的不得分。</w:t>
      </w:r>
      <w:r/>
    </w:p>
    <w:p>
      <w:pPr>
        <w:pStyle w:val="1061"/>
        <w:ind w:firstLine="500"/>
        <w:spacing w:line="440" w:lineRule="exact"/>
        <w:rPr>
          <w:rFonts w:eastAsia="宋体"/>
          <w:b/>
          <w:color w:val="auto"/>
          <w:spacing w:val="7"/>
          <w:highlight w:val="none"/>
        </w:rPr>
      </w:pPr>
      <w:r>
        <w:rPr>
          <w:rFonts w:eastAsia="宋体"/>
          <w:b/>
          <w:color w:val="auto"/>
          <w:spacing w:val="7"/>
          <w:highlight w:val="none"/>
        </w:rPr>
        <w:t xml:space="preserve">4 履约能力 </w:t>
      </w:r>
      <w:r>
        <w:rPr>
          <w:rFonts w:hint="eastAsia" w:eastAsia="宋体"/>
          <w:b/>
          <w:color w:val="auto"/>
          <w:spacing w:val="7"/>
          <w:highlight w:val="none"/>
          <w:lang w:val="en-US" w:eastAsia="zh-CN"/>
        </w:rPr>
        <w:t xml:space="preserve">2</w:t>
      </w:r>
      <w:r>
        <w:rPr>
          <w:rFonts w:eastAsia="宋体"/>
          <w:b/>
          <w:color w:val="auto"/>
          <w:spacing w:val="7"/>
          <w:highlight w:val="none"/>
        </w:rPr>
        <w:t xml:space="preserve">分</w:t>
      </w:r>
      <w:r/>
    </w:p>
    <w:p>
      <w:pPr>
        <w:pStyle w:val="1061"/>
        <w:ind w:firstLine="500"/>
        <w:spacing w:line="440" w:lineRule="exact"/>
        <w:rPr>
          <w:rFonts w:eastAsia="宋体"/>
          <w:color w:val="auto"/>
          <w:spacing w:val="7"/>
          <w:highlight w:val="none"/>
        </w:rPr>
      </w:pPr>
      <w:r>
        <w:rPr>
          <w:rFonts w:eastAsia="宋体"/>
          <w:color w:val="auto"/>
          <w:spacing w:val="7"/>
          <w:highlight w:val="none"/>
        </w:rPr>
        <w:t xml:space="preserve">4.1</w:t>
      </w:r>
      <w:r>
        <w:rPr>
          <w:rFonts w:hint="eastAsia" w:eastAsia="宋体"/>
          <w:color w:val="auto"/>
          <w:spacing w:val="7"/>
          <w:highlight w:val="none"/>
        </w:rPr>
        <w:t xml:space="preserve"> </w:t>
      </w:r>
      <w:r>
        <w:rPr>
          <w:rFonts w:eastAsia="宋体"/>
          <w:color w:val="auto"/>
          <w:spacing w:val="7"/>
          <w:highlight w:val="none"/>
        </w:rPr>
        <w:t xml:space="preserve">业绩</w:t>
      </w:r>
      <w:r/>
    </w:p>
    <w:p>
      <w:pPr>
        <w:pStyle w:val="1061"/>
        <w:ind w:firstLine="500"/>
        <w:spacing w:line="440" w:lineRule="exact"/>
        <w:rPr>
          <w:rFonts w:eastAsia="宋体"/>
          <w:color w:val="auto"/>
          <w:spacing w:val="7"/>
          <w:highlight w:val="none"/>
        </w:rPr>
      </w:pPr>
      <w:r>
        <w:rPr>
          <w:rFonts w:eastAsia="宋体"/>
          <w:color w:val="auto"/>
          <w:spacing w:val="7"/>
          <w:highlight w:val="none"/>
        </w:rPr>
        <w:t xml:space="preserve">投标人承接过自202</w:t>
      </w:r>
      <w:r>
        <w:rPr>
          <w:rFonts w:hint="eastAsia" w:eastAsia="宋体"/>
          <w:color w:val="auto"/>
          <w:spacing w:val="7"/>
          <w:highlight w:val="none"/>
          <w:lang w:val="en-US" w:eastAsia="zh-CN"/>
        </w:rPr>
        <w:t xml:space="preserve">2</w:t>
      </w:r>
      <w:r>
        <w:rPr>
          <w:rFonts w:eastAsia="宋体"/>
          <w:color w:val="auto"/>
          <w:spacing w:val="7"/>
          <w:highlight w:val="none"/>
        </w:rPr>
        <w:t xml:space="preserve">年以来（以合同签订时间为准）与本项目类似业绩，有一份得</w:t>
      </w:r>
      <w:r>
        <w:rPr>
          <w:rFonts w:hint="eastAsia" w:eastAsia="宋体"/>
          <w:color w:val="auto"/>
          <w:spacing w:val="7"/>
          <w:highlight w:val="none"/>
          <w:lang w:val="en-US" w:eastAsia="zh-CN"/>
        </w:rPr>
        <w:t xml:space="preserve">1</w:t>
      </w:r>
      <w:r>
        <w:rPr>
          <w:rFonts w:hint="eastAsia" w:eastAsia="宋体"/>
          <w:color w:val="auto"/>
          <w:spacing w:val="7"/>
          <w:highlight w:val="none"/>
        </w:rPr>
        <w:t xml:space="preserve">分</w:t>
      </w:r>
      <w:r>
        <w:rPr>
          <w:rFonts w:eastAsia="宋体"/>
          <w:color w:val="auto"/>
          <w:spacing w:val="7"/>
          <w:highlight w:val="none"/>
        </w:rPr>
        <w:t xml:space="preserve">，最高得</w:t>
      </w:r>
      <w:r>
        <w:rPr>
          <w:rFonts w:hint="eastAsia" w:eastAsia="宋体"/>
          <w:color w:val="auto"/>
          <w:spacing w:val="7"/>
          <w:highlight w:val="none"/>
          <w:lang w:val="en-US" w:eastAsia="zh-CN"/>
        </w:rPr>
        <w:t xml:space="preserve">2</w:t>
      </w:r>
      <w:r>
        <w:rPr>
          <w:rFonts w:hint="eastAsia" w:eastAsia="宋体"/>
          <w:color w:val="auto"/>
          <w:spacing w:val="7"/>
          <w:highlight w:val="none"/>
        </w:rPr>
        <w:t xml:space="preserve">分</w:t>
      </w:r>
      <w:r>
        <w:rPr>
          <w:rFonts w:eastAsia="宋体"/>
          <w:color w:val="auto"/>
          <w:spacing w:val="7"/>
          <w:highlight w:val="none"/>
        </w:rPr>
        <w:t xml:space="preserve">。</w:t>
      </w:r>
      <w:r>
        <w:rPr>
          <w:rFonts w:eastAsia="宋体"/>
          <w:b/>
          <w:bCs/>
          <w:color w:val="auto"/>
          <w:spacing w:val="7"/>
          <w:highlight w:val="none"/>
        </w:rPr>
        <w:t xml:space="preserve">（请在投标文件中提供合同，合同中须反映出相关内容，如合同中不能反映，须提供其他材料予以佐证，不提供的不得分）</w:t>
      </w:r>
      <w:r/>
    </w:p>
    <w:p>
      <w:pPr>
        <w:ind w:firstLine="482"/>
        <w:spacing w:line="440" w:lineRule="atLeast"/>
        <w:rPr>
          <w:rFonts w:ascii="Times New Roman" w:hAnsi="Times New Roman"/>
          <w:b/>
          <w:bCs/>
          <w:color w:val="auto"/>
          <w:sz w:val="24"/>
          <w:highlight w:val="none"/>
        </w:rPr>
      </w:pPr>
      <w:r>
        <w:rPr>
          <w:rFonts w:ascii="Times New Roman" w:hAnsi="Times New Roman"/>
          <w:b/>
          <w:bCs/>
          <w:color w:val="auto"/>
          <w:sz w:val="24"/>
          <w:highlight w:val="none"/>
        </w:rPr>
      </w:r>
      <w:r/>
    </w:p>
    <w:p>
      <w:pPr>
        <w:ind w:firstLine="482"/>
        <w:spacing w:line="440" w:lineRule="atLeast"/>
        <w:rPr>
          <w:rFonts w:ascii="Times New Roman" w:hAnsi="Times New Roman"/>
          <w:b/>
          <w:bCs/>
          <w:color w:val="auto"/>
          <w:sz w:val="24"/>
          <w:highlight w:val="none"/>
        </w:rPr>
      </w:pPr>
      <w:r>
        <w:rPr>
          <w:rFonts w:ascii="Times New Roman" w:hAnsi="Times New Roman"/>
          <w:b/>
          <w:bCs/>
          <w:color w:val="auto"/>
          <w:sz w:val="24"/>
          <w:highlight w:val="none"/>
        </w:rPr>
        <w:t xml:space="preserve">注:</w:t>
      </w:r>
      <w:r/>
    </w:p>
    <w:p>
      <w:pPr>
        <w:ind w:firstLine="482"/>
        <w:spacing w:line="440" w:lineRule="atLeast"/>
        <w:rPr>
          <w:rFonts w:ascii="Times New Roman" w:hAnsi="Times New Roman"/>
          <w:color w:val="auto"/>
          <w:sz w:val="24"/>
          <w:highlight w:val="none"/>
        </w:rPr>
      </w:pPr>
      <w:r>
        <w:rPr>
          <w:rFonts w:ascii="Times New Roman" w:hAnsi="Times New Roman"/>
          <w:b/>
          <w:bCs/>
          <w:color w:val="auto"/>
          <w:sz w:val="24"/>
          <w:highlight w:val="none"/>
        </w:rPr>
        <w:t xml:space="preserve">以上证明材料，不提供不得分。</w:t>
      </w:r>
      <w:r/>
    </w:p>
    <w:p>
      <w:pPr>
        <w:numPr>
          <w:ilvl w:val="0"/>
          <w:numId w:val="0"/>
        </w:numPr>
        <w:spacing w:before="120" w:after="120"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left="24" w:right="22" w:firstLine="499"/>
        <w:spacing w:before="154" w:line="326" w:lineRule="auto"/>
        <w:rPr>
          <w:rFonts w:ascii="宋体" w:hAnsi="宋体" w:eastAsia="宋体" w:cs="宋体"/>
          <w:color w:val="auto"/>
          <w:sz w:val="24"/>
          <w:szCs w:val="24"/>
          <w:highlight w:val="none"/>
        </w:rPr>
      </w:pPr>
      <w:r/>
      <w:bookmarkStart w:id="189" w:name="EBb0ab975038a04efd86af0f0eaa5a524b"/>
      <w:r/>
      <w:bookmarkEnd w:id="189"/>
      <w:r/>
      <w:bookmarkStart w:id="190" w:name="EBeb5e011c94484d45bc78085f792444b0"/>
      <w:r/>
      <w:bookmarkStart w:id="191" w:name="_Toc256000013"/>
      <w:r/>
      <w:r/>
    </w:p>
    <w:p>
      <w:pPr>
        <w:ind w:right="-124" w:firstLine="400"/>
        <w:spacing w:line="360" w:lineRule="auto"/>
        <w:rPr>
          <w:rFonts w:ascii="宋体" w:hAnsi="宋体"/>
          <w:color w:val="auto"/>
          <w:sz w:val="20"/>
          <w:highlight w:val="none"/>
        </w:rPr>
      </w:pPr>
      <w:r>
        <w:rPr>
          <w:rFonts w:ascii="宋体" w:hAnsi="宋体"/>
          <w:color w:val="auto"/>
          <w:sz w:val="20"/>
          <w:highlight w:val="none"/>
        </w:rPr>
        <w:t xml:space="preserve"> </w:t>
      </w:r>
      <w:bookmarkEnd w:id="190"/>
      <w:r/>
      <w:r/>
    </w:p>
    <w:p>
      <w:pPr>
        <w:ind w:right="-124" w:firstLine="400"/>
        <w:spacing w:line="360" w:lineRule="auto"/>
        <w:rPr>
          <w:rFonts w:ascii="宋体" w:hAnsi="宋体"/>
          <w:color w:val="auto"/>
          <w:sz w:val="20"/>
          <w:highlight w:val="none"/>
        </w:rPr>
      </w:pPr>
      <w:r>
        <w:rPr>
          <w:rFonts w:ascii="宋体" w:hAnsi="宋体"/>
          <w:color w:val="auto"/>
          <w:sz w:val="20"/>
          <w:highlight w:val="none"/>
        </w:rPr>
      </w:r>
      <w:r/>
    </w:p>
    <w:p>
      <w:pPr>
        <w:ind w:right="-124" w:firstLine="400"/>
        <w:spacing w:line="360" w:lineRule="auto"/>
        <w:rPr>
          <w:rFonts w:ascii="宋体" w:hAnsi="宋体"/>
          <w:color w:val="auto"/>
          <w:sz w:val="20"/>
          <w:highlight w:val="none"/>
        </w:rPr>
      </w:pPr>
      <w:r>
        <w:rPr>
          <w:rFonts w:ascii="宋体" w:hAnsi="宋体"/>
          <w:color w:val="auto"/>
          <w:sz w:val="20"/>
          <w:highlight w:val="none"/>
        </w:rPr>
      </w:r>
      <w:r/>
    </w:p>
    <w:p>
      <w:pPr>
        <w:ind w:right="-124" w:firstLine="400"/>
        <w:spacing w:line="360" w:lineRule="auto"/>
        <w:rPr>
          <w:rFonts w:ascii="宋体" w:hAnsi="宋体"/>
          <w:color w:val="auto"/>
          <w:sz w:val="20"/>
          <w:highlight w:val="none"/>
        </w:rPr>
      </w:pPr>
      <w:r>
        <w:rPr>
          <w:rFonts w:ascii="宋体" w:hAnsi="宋体"/>
          <w:color w:val="auto"/>
          <w:sz w:val="20"/>
          <w:highlight w:val="none"/>
        </w:rPr>
      </w:r>
      <w:r/>
    </w:p>
    <w:p>
      <w:pPr>
        <w:ind w:right="-124" w:firstLine="400"/>
        <w:spacing w:line="360" w:lineRule="auto"/>
        <w:rPr>
          <w:rFonts w:hint="eastAsia" w:ascii="宋体" w:hAnsi="宋体"/>
          <w:color w:val="auto"/>
          <w:sz w:val="20"/>
          <w:highlight w:val="none"/>
        </w:rPr>
      </w:pPr>
      <w:r>
        <w:rPr>
          <w:rFonts w:hint="eastAsia" w:ascii="宋体" w:hAnsi="宋体"/>
          <w:color w:val="auto"/>
          <w:sz w:val="20"/>
          <w:highlight w:val="none"/>
        </w:rPr>
      </w:r>
      <w:r/>
    </w:p>
    <w:p>
      <w:pPr>
        <w:pStyle w:val="1057"/>
        <w:ind w:firstLine="508"/>
        <w:keepLines w:val="0"/>
        <w:keepNext w:val="0"/>
        <w:pageBreakBefore w:val="0"/>
        <w:spacing w:line="48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r>
      <w:r/>
    </w:p>
    <w:p>
      <w:pPr>
        <w:pStyle w:val="1057"/>
        <w:ind w:firstLine="508"/>
        <w:keepLines w:val="0"/>
        <w:keepNext w:val="0"/>
        <w:pageBreakBefore w:val="0"/>
        <w:spacing w:line="48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r>
      <w:bookmarkEnd w:id="158"/>
      <w:bookmarkEnd w:id="159"/>
      <w:bookmarkEnd w:id="177"/>
      <w:bookmarkEnd w:id="178"/>
      <w:bookmarkEnd w:id="179"/>
      <w:bookmarkEnd w:id="191"/>
      <w:r/>
    </w:p>
    <w:p>
      <w:pPr>
        <w:pStyle w:val="1057"/>
        <w:ind w:firstLine="508"/>
        <w:keepLines w:val="0"/>
        <w:keepNext w:val="0"/>
        <w:pageBreakBefore w:val="0"/>
        <w:spacing w:line="48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r>
      <w:r/>
    </w:p>
    <w:p>
      <w:pPr>
        <w:pStyle w:val="1057"/>
        <w:ind w:firstLine="508"/>
        <w:keepLines w:val="0"/>
        <w:keepNext w:val="0"/>
        <w:pageBreakBefore w:val="0"/>
        <w:spacing w:line="48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r>
      <w:r/>
    </w:p>
    <w:p>
      <w:pPr>
        <w:ind w:left="0" w:right="0" w:firstLine="0"/>
        <w:jc w:val="center"/>
        <w:spacing w:before="240" w:after="60" w:line="439" w:lineRule="atLeast"/>
        <w:rPr>
          <w:rFonts w:ascii="黑体" w:hAnsi="黑体" w:eastAsia="黑体" w:cs="黑体"/>
          <w:b/>
          <w:bCs/>
          <w:color w:val="auto"/>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highlight w:val="none"/>
          <w:u w:val="none"/>
        </w:rPr>
      </w:r>
      <w:r>
        <w:rPr>
          <w:rFonts w:ascii="黑体" w:hAnsi="黑体" w:eastAsia="黑体" w:cs="黑体"/>
          <w:b/>
          <w:color w:val="auto"/>
          <w:sz w:val="44"/>
          <w:highlight w:val="none"/>
          <w:u w:val="none"/>
        </w:rPr>
      </w:r>
    </w:p>
    <w:p>
      <w:pPr>
        <w:ind w:left="0" w:right="0" w:firstLine="0"/>
        <w:jc w:val="center"/>
        <w:spacing w:before="240" w:after="60" w:line="439" w:lineRule="atLeast"/>
        <w:rPr>
          <w:rFonts w:ascii="黑体" w:hAnsi="黑体" w:eastAsia="黑体" w:cs="黑体"/>
          <w:b/>
          <w:bCs/>
          <w:color w:val="auto"/>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highlight w:val="none"/>
          <w:u w:val="none"/>
        </w:rPr>
      </w:r>
      <w:r/>
    </w:p>
    <w:p>
      <w:pPr>
        <w:ind w:left="0" w:right="0" w:firstLine="0"/>
        <w:jc w:val="center"/>
        <w:spacing w:before="240" w:after="60" w:line="43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highlight w:val="none"/>
          <w:u w:val="none"/>
        </w:rPr>
        <w:t xml:space="preserve">第六章投标</w:t>
      </w:r>
      <w:r>
        <w:rPr>
          <w:rFonts w:ascii="黑体" w:hAnsi="黑体" w:eastAsia="黑体" w:cs="黑体"/>
          <w:b/>
          <w:color w:val="auto"/>
          <w:sz w:val="44"/>
          <w:highlight w:val="none"/>
        </w:rPr>
        <w:t xml:space="preserve">文件格式</w:t>
      </w:r>
      <w:r/>
    </w:p>
    <w:p>
      <w:pPr>
        <w:ind w:left="0" w:right="0" w:firstLine="0"/>
        <w:jc w:val="center"/>
        <w:spacing w:before="240" w:after="4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0"/>
          <w:highlight w:val="none"/>
        </w:rPr>
        <w:t xml:space="preserve">投标主要文件目录</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一、封面</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二、投标函格式</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三、开标一览表</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四、资格证明文件</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法人或者其他组织的营业执照等证明文件，自然人的身份证明</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财务状况报告（成立不满一年不需要提供）</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依法缴纳税收和社会保障资金的相关材料</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具备履行合同所必需的设备和专业技术能力的书面声明</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参加政府采购活动前3年内在经营活动中没有重大违法记录的书面声明</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授权委托书</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关于资格证明文件的书面承诺</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五、中小企业声明函</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六、残疾人福利性单位声明函（专门面向中小企业）</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七、监狱企业的证明文件（专门面向中小企业）</w:t>
      </w:r>
      <w:r/>
    </w:p>
    <w:p>
      <w:pPr>
        <w:ind w:left="0" w:right="0" w:firstLine="0"/>
        <w:keepLines w:val="0"/>
        <w:keepNext w:val="0"/>
        <w:pageBreakBefore w:val="0"/>
        <w:spacing w:before="240" w:after="240" w:line="192"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八、投标配置及分项报价表</w:t>
      </w:r>
      <w:r/>
    </w:p>
    <w:p>
      <w:pPr>
        <w:pStyle w:val="796"/>
        <w:ind w:left="0" w:firstLine="0"/>
        <w:rPr>
          <w:rFonts w:hint="eastAsia" w:eastAsia="宋体"/>
          <w:color w:val="auto"/>
          <w:highlight w:val="none"/>
          <w:lang w:val="en-US" w:eastAsia="zh-CN"/>
        </w:rPr>
      </w:pP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szCs w:val="24"/>
          <w:highlight w:val="none"/>
        </w:rPr>
        <w:t xml:space="preserve">核心产品品牌表</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十</w:t>
      </w:r>
      <w:r>
        <w:rPr>
          <w:rFonts w:ascii="宋体" w:hAnsi="宋体" w:eastAsia="宋体" w:cs="宋体"/>
          <w:color w:val="auto"/>
          <w:sz w:val="24"/>
          <w:highlight w:val="none"/>
        </w:rPr>
        <w:t xml:space="preserve">、常用零件及耗材报价表</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一</w:t>
      </w:r>
      <w:r>
        <w:rPr>
          <w:rFonts w:ascii="宋体" w:hAnsi="宋体" w:eastAsia="宋体" w:cs="宋体"/>
          <w:color w:val="auto"/>
          <w:sz w:val="24"/>
          <w:highlight w:val="none"/>
        </w:rPr>
        <w:t xml:space="preserve">、技术参数响应及偏离表</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ascii="宋体" w:hAnsi="宋体" w:eastAsia="宋体" w:cs="宋体"/>
          <w:color w:val="auto"/>
          <w:sz w:val="24"/>
          <w:highlight w:val="none"/>
        </w:rPr>
        <w:t xml:space="preserve">、商务条款响应及偏离表</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ascii="宋体" w:hAnsi="宋体" w:eastAsia="宋体" w:cs="宋体"/>
          <w:color w:val="auto"/>
          <w:sz w:val="24"/>
          <w:highlight w:val="none"/>
        </w:rPr>
        <w:t xml:space="preserve">、第四章项目需求中实质性要求响应对照表</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ascii="宋体" w:hAnsi="宋体" w:eastAsia="宋体" w:cs="宋体"/>
          <w:color w:val="auto"/>
          <w:sz w:val="24"/>
          <w:highlight w:val="none"/>
        </w:rPr>
        <w:t xml:space="preserve">、技术方案、服务方案</w:t>
      </w:r>
      <w:r/>
    </w:p>
    <w:p>
      <w:pPr>
        <w:ind w:left="0" w:right="0" w:firstLine="0"/>
        <w:keepLines w:val="0"/>
        <w:keepNext w:val="0"/>
        <w:pageBreakBefore w:val="0"/>
        <w:spacing w:before="240" w:after="240" w:line="192"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ascii="宋体" w:hAnsi="宋体" w:eastAsia="宋体" w:cs="宋体"/>
          <w:color w:val="auto"/>
          <w:sz w:val="24"/>
          <w:highlight w:val="none"/>
        </w:rPr>
        <w:t xml:space="preserve">、投标人情况介绍</w:t>
      </w:r>
      <w:r/>
    </w:p>
    <w:p>
      <w:pPr>
        <w:ind w:left="0" w:right="0" w:firstLine="0"/>
        <w:keepLines w:val="0"/>
        <w:keepNext w:val="0"/>
        <w:pageBreakBefore w:val="0"/>
        <w:spacing w:before="240" w:after="240" w:line="192"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十六、其他材料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p>
    <w:p>
      <w:pPr>
        <w:ind w:left="0" w:right="0" w:firstLine="0"/>
        <w:keepLines w:val="0"/>
        <w:keepNext w:val="0"/>
        <w:pageBreakBefore w:val="0"/>
        <w:spacing w:before="240" w:after="240" w:line="192" w:lineRule="auto"/>
        <w:widowControl w:val="off"/>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highlight w:val="none"/>
          <w:lang w:val="en-US" w:eastAsia="zh-CN"/>
        </w:rPr>
      </w:r>
      <w:r>
        <w:rPr>
          <w:rFonts w:hint="default" w:eastAsia="宋体"/>
          <w:color w:val="auto"/>
          <w:highlight w:val="none"/>
          <w:lang w:val="en-US" w:eastAsia="zh-CN"/>
        </w:rPr>
      </w:r>
    </w:p>
    <w:p>
      <w:pPr>
        <w:ind w:left="0" w:right="0" w:firstLine="0"/>
        <w:keepLines w:val="0"/>
        <w:keepNext w:val="0"/>
        <w:pageBreakBefore w:val="0"/>
        <w:spacing w:before="240" w:after="240" w:line="192" w:lineRule="auto"/>
        <w:widowControl w:val="off"/>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highlight w:val="none"/>
          <w:lang w:val="en-US" w:eastAsia="zh-CN"/>
        </w:rPr>
      </w:r>
      <w:r>
        <w:rPr>
          <w:rFonts w:hint="default" w:eastAsia="宋体"/>
          <w:color w:val="auto"/>
          <w:highlight w:val="none"/>
          <w:lang w:val="en-US" w:eastAsia="zh-CN"/>
        </w:rPr>
      </w:r>
    </w:p>
    <w:p>
      <w:pPr>
        <w:ind w:firstLine="0"/>
        <w:jc w:val="center"/>
        <w:keepLines w:val="0"/>
        <w:keepNext w:val="0"/>
        <w:pageBreakBefore/>
        <w:spacing w:line="480" w:lineRule="exact"/>
        <w:widowControl w:val="off"/>
        <w:rPr>
          <w:rFonts w:hint="eastAsia" w:ascii="黑体" w:hAnsi="宋体" w:eastAsia="黑体" w:cs="宋体"/>
          <w:bCs/>
          <w:color w:val="auto"/>
          <w:sz w:val="44"/>
          <w:szCs w:val="44"/>
          <w:highlight w:val="none"/>
        </w:rPr>
        <w:outlineLvl w:val="9"/>
      </w:pPr>
      <w:r>
        <w:rPr>
          <w:rFonts w:hint="eastAsia" w:ascii="黑体" w:hAnsi="宋体" w:eastAsia="黑体" w:cs="宋体"/>
          <w:bCs/>
          <w:color w:val="auto"/>
          <w:sz w:val="44"/>
          <w:szCs w:val="44"/>
          <w:highlight w:val="none"/>
        </w:rPr>
        <w:t xml:space="preserve">投  标  文  件</w:t>
      </w:r>
      <w:r/>
    </w:p>
    <w:p>
      <w:pPr>
        <w:ind w:firstLine="0"/>
        <w:jc w:val="center"/>
        <w:keepLines w:val="0"/>
        <w:keepNext w:val="0"/>
        <w:pageBreakBefore w:val="0"/>
        <w:spacing w:line="480" w:lineRule="exact"/>
        <w:widowControl w:val="off"/>
        <w:rPr>
          <w:rFonts w:hint="eastAsia" w:ascii="黑体" w:hAnsi="宋体" w:eastAsia="黑体" w:cs="宋体"/>
          <w:bCs/>
          <w:color w:val="auto"/>
          <w:sz w:val="44"/>
          <w:szCs w:val="44"/>
          <w:highlight w:val="none"/>
        </w:rPr>
        <w:outlineLvl w:val="9"/>
      </w:pPr>
      <w:r>
        <w:rPr>
          <w:rFonts w:hint="eastAsia" w:ascii="黑体" w:hAnsi="宋体" w:eastAsia="黑体" w:cs="宋体"/>
          <w:bCs/>
          <w:color w:val="auto"/>
          <w:sz w:val="44"/>
          <w:szCs w:val="44"/>
          <w:highlight w:val="none"/>
        </w:rPr>
      </w:r>
      <w:r/>
    </w:p>
    <w:p>
      <w:pPr>
        <w:ind w:firstLine="0"/>
        <w:jc w:val="center"/>
        <w:keepLines w:val="0"/>
        <w:keepNext w:val="0"/>
        <w:pageBreakBefore w:val="0"/>
        <w:spacing w:line="480" w:lineRule="exact"/>
        <w:widowControl w:val="off"/>
        <w:rPr>
          <w:rFonts w:hint="eastAsia" w:ascii="宋体" w:hAnsi="宋体"/>
          <w:b/>
          <w:bCs/>
          <w:color w:val="auto"/>
          <w:sz w:val="72"/>
          <w:szCs w:val="72"/>
          <w:highlight w:val="none"/>
        </w:rPr>
        <w:outlineLvl w:val="9"/>
      </w:pPr>
      <w:r>
        <w:rPr>
          <w:rFonts w:hint="eastAsia" w:ascii="宋体" w:hAnsi="宋体"/>
          <w:b/>
          <w:bCs/>
          <w:color w:val="auto"/>
          <w:sz w:val="72"/>
          <w:szCs w:val="72"/>
          <w:highlight w:val="none"/>
        </w:rPr>
      </w:r>
      <w:r/>
    </w:p>
    <w:p>
      <w:pPr>
        <w:ind w:firstLine="0"/>
        <w:jc w:val="center"/>
        <w:keepLines w:val="0"/>
        <w:keepNext w:val="0"/>
        <w:pageBreakBefore w:val="0"/>
        <w:spacing w:line="480" w:lineRule="exact"/>
        <w:widowControl w:val="off"/>
        <w:rPr>
          <w:rFonts w:hint="eastAsia" w:ascii="宋体" w:hAnsi="宋体"/>
          <w:b/>
          <w:bCs/>
          <w:color w:val="auto"/>
          <w:sz w:val="72"/>
          <w:szCs w:val="72"/>
          <w:highlight w:val="none"/>
        </w:rPr>
        <w:outlineLvl w:val="9"/>
      </w:pPr>
      <w:r>
        <w:rPr>
          <w:rFonts w:hint="eastAsia" w:ascii="宋体" w:hAnsi="宋体"/>
          <w:b/>
          <w:bCs/>
          <w:color w:val="auto"/>
          <w:sz w:val="72"/>
          <w:szCs w:val="72"/>
          <w:highlight w:val="none"/>
        </w:rPr>
      </w:r>
      <w:r/>
    </w:p>
    <w:p>
      <w:pPr>
        <w:ind w:firstLine="0"/>
        <w:jc w:val="center"/>
        <w:keepLines w:val="0"/>
        <w:keepNext w:val="0"/>
        <w:pageBreakBefore w:val="0"/>
        <w:spacing w:line="480" w:lineRule="exact"/>
        <w:widowControl w:val="off"/>
        <w:rPr>
          <w:rFonts w:hint="eastAsia" w:ascii="宋体" w:hAnsi="宋体"/>
          <w:b/>
          <w:bCs/>
          <w:color w:val="auto"/>
          <w:sz w:val="36"/>
          <w:szCs w:val="36"/>
          <w:highlight w:val="none"/>
        </w:rPr>
        <w:outlineLvl w:val="9"/>
      </w:pPr>
      <w:r>
        <w:rPr>
          <w:rFonts w:hint="eastAsia" w:ascii="宋体" w:hAnsi="宋体"/>
          <w:b/>
          <w:bCs/>
          <w:color w:val="auto"/>
          <w:sz w:val="36"/>
          <w:szCs w:val="36"/>
          <w:highlight w:val="none"/>
        </w:rPr>
      </w:r>
      <w:r/>
    </w:p>
    <w:p>
      <w:pPr>
        <w:ind w:firstLine="0"/>
        <w:jc w:val="center"/>
        <w:keepLines w:val="0"/>
        <w:keepNext w:val="0"/>
        <w:pageBreakBefore w:val="0"/>
        <w:spacing w:line="480" w:lineRule="exact"/>
        <w:widowControl w:val="off"/>
        <w:rPr>
          <w:rFonts w:hint="eastAsia" w:ascii="宋体" w:hAnsi="宋体"/>
          <w:b/>
          <w:bCs/>
          <w:color w:val="auto"/>
          <w:sz w:val="36"/>
          <w:szCs w:val="36"/>
          <w:highlight w:val="none"/>
        </w:rPr>
        <w:outlineLvl w:val="9"/>
      </w:pPr>
      <w:r>
        <w:rPr>
          <w:rFonts w:hint="eastAsia" w:ascii="宋体" w:hAnsi="宋体"/>
          <w:b/>
          <w:bCs/>
          <w:color w:val="auto"/>
          <w:sz w:val="36"/>
          <w:szCs w:val="36"/>
          <w:highlight w:val="none"/>
        </w:rPr>
      </w:r>
      <w:r/>
    </w:p>
    <w:p>
      <w:pPr>
        <w:ind w:firstLine="0"/>
        <w:jc w:val="center"/>
        <w:keepLines w:val="0"/>
        <w:keepNext w:val="0"/>
        <w:pageBreakBefore w:val="0"/>
        <w:spacing w:line="480" w:lineRule="exact"/>
        <w:widowControl w:val="off"/>
        <w:rPr>
          <w:rFonts w:hint="eastAsia" w:ascii="宋体" w:hAnsi="宋体"/>
          <w:b/>
          <w:bCs/>
          <w:color w:val="auto"/>
          <w:sz w:val="36"/>
          <w:szCs w:val="36"/>
          <w:highlight w:val="none"/>
        </w:rPr>
        <w:outlineLvl w:val="9"/>
      </w:pPr>
      <w:r>
        <w:rPr>
          <w:rFonts w:hint="eastAsia" w:ascii="宋体" w:hAnsi="宋体"/>
          <w:b/>
          <w:bCs/>
          <w:color w:val="auto"/>
          <w:sz w:val="36"/>
          <w:szCs w:val="36"/>
          <w:highlight w:val="none"/>
        </w:rPr>
      </w:r>
      <w:r/>
    </w:p>
    <w:p>
      <w:pPr>
        <w:ind w:left="0" w:firstLine="0"/>
        <w:jc w:val="center"/>
        <w:keepLines w:val="0"/>
        <w:keepNext w:val="0"/>
        <w:pageBreakBefore w:val="0"/>
        <w:spacing w:line="480" w:lineRule="exact"/>
        <w:widowControl w:val="off"/>
        <w:rPr>
          <w:rFonts w:hint="eastAsia" w:ascii="宋体" w:hAnsi="宋体"/>
          <w:b/>
          <w:bCs/>
          <w:color w:val="auto"/>
          <w:sz w:val="36"/>
          <w:szCs w:val="36"/>
          <w:highlight w:val="none"/>
          <w:u w:val="single"/>
          <w:lang w:val="en-US" w:eastAsia="zh-CN"/>
        </w:rPr>
        <w:outlineLvl w:val="9"/>
      </w:pPr>
      <w:r>
        <w:rPr>
          <w:rFonts w:hint="eastAsia" w:ascii="宋体" w:hAnsi="宋体"/>
          <w:b/>
          <w:bCs/>
          <w:color w:val="auto"/>
          <w:sz w:val="36"/>
          <w:szCs w:val="36"/>
          <w:highlight w:val="none"/>
        </w:rPr>
        <w:t xml:space="preserve">项 目 名 称：</w:t>
      </w:r>
      <w:r/>
    </w:p>
    <w:p>
      <w:pPr>
        <w:ind w:left="0" w:firstLine="0"/>
        <w:jc w:val="center"/>
        <w:keepLines w:val="0"/>
        <w:keepNext w:val="0"/>
        <w:pageBreakBefore w:val="0"/>
        <w:spacing w:line="480" w:lineRule="exact"/>
        <w:widowControl w:val="off"/>
        <w:rPr>
          <w:rFonts w:ascii="宋体" w:hAnsi="宋体" w:eastAsia="宋体"/>
          <w:b/>
          <w:bCs/>
          <w:color w:val="auto"/>
          <w:sz w:val="36"/>
          <w:szCs w:val="36"/>
          <w:highlight w:val="none"/>
          <w:lang w:val="en-US" w:eastAsia="zh-CN"/>
        </w:rPr>
        <w:outlineLvl w:val="9"/>
      </w:pPr>
      <w:r>
        <w:rPr>
          <w:rFonts w:hint="eastAsia" w:ascii="宋体" w:hAnsi="宋体"/>
          <w:b/>
          <w:bCs/>
          <w:color w:val="auto"/>
          <w:sz w:val="36"/>
          <w:szCs w:val="36"/>
          <w:highlight w:val="none"/>
        </w:rPr>
        <w:t xml:space="preserve">招 标 编 号：</w:t>
      </w:r>
      <w:r/>
    </w:p>
    <w:p>
      <w:pPr>
        <w:ind w:firstLine="0"/>
        <w:jc w:val="center"/>
        <w:keepLines w:val="0"/>
        <w:keepNext w:val="0"/>
        <w:pageBreakBefore w:val="0"/>
        <w:spacing w:line="480" w:lineRule="exact"/>
        <w:widowControl w:val="off"/>
        <w:rPr>
          <w:rFonts w:hint="eastAsia" w:ascii="宋体" w:hAnsi="宋体"/>
          <w:b/>
          <w:bCs/>
          <w:color w:val="auto"/>
          <w:sz w:val="36"/>
          <w:szCs w:val="36"/>
          <w:highlight w:val="none"/>
        </w:rPr>
        <w:outlineLvl w:val="9"/>
      </w:pPr>
      <w:r>
        <w:rPr>
          <w:rFonts w:hint="eastAsia" w:ascii="宋体" w:hAnsi="宋体"/>
          <w:b/>
          <w:bCs/>
          <w:color w:val="auto"/>
          <w:sz w:val="36"/>
          <w:szCs w:val="36"/>
          <w:highlight w:val="none"/>
        </w:rPr>
      </w:r>
      <w:r/>
    </w:p>
    <w:p>
      <w:pPr>
        <w:ind w:firstLine="0"/>
        <w:jc w:val="center"/>
        <w:keepLines w:val="0"/>
        <w:keepNext w:val="0"/>
        <w:pageBreakBefore w:val="0"/>
        <w:spacing w:line="480" w:lineRule="exact"/>
        <w:widowControl w:val="off"/>
        <w:rPr>
          <w:rFonts w:hint="eastAsia" w:ascii="宋体" w:hAnsi="宋体"/>
          <w:b/>
          <w:bCs/>
          <w:color w:val="auto"/>
          <w:sz w:val="36"/>
          <w:szCs w:val="36"/>
          <w:highlight w:val="none"/>
        </w:rPr>
        <w:outlineLvl w:val="9"/>
      </w:pPr>
      <w:r>
        <w:rPr>
          <w:rFonts w:hint="eastAsia" w:ascii="宋体" w:hAnsi="宋体"/>
          <w:b/>
          <w:bCs/>
          <w:color w:val="auto"/>
          <w:sz w:val="36"/>
          <w:szCs w:val="36"/>
          <w:highlight w:val="none"/>
        </w:rPr>
      </w:r>
      <w:r/>
    </w:p>
    <w:p>
      <w:pPr>
        <w:ind w:firstLine="0"/>
        <w:jc w:val="center"/>
        <w:keepLines w:val="0"/>
        <w:keepNext w:val="0"/>
        <w:pageBreakBefore w:val="0"/>
        <w:spacing w:line="480" w:lineRule="exact"/>
        <w:widowControl w:val="off"/>
        <w:rPr>
          <w:rFonts w:hint="eastAsia" w:ascii="宋体" w:hAnsi="宋体"/>
          <w:b/>
          <w:bCs/>
          <w:color w:val="auto"/>
          <w:sz w:val="36"/>
          <w:szCs w:val="36"/>
          <w:highlight w:val="none"/>
        </w:rPr>
        <w:outlineLvl w:val="9"/>
      </w:pPr>
      <w:r>
        <w:rPr>
          <w:rFonts w:hint="eastAsia" w:ascii="宋体" w:hAnsi="宋体"/>
          <w:b/>
          <w:bCs/>
          <w:color w:val="auto"/>
          <w:sz w:val="36"/>
          <w:szCs w:val="36"/>
          <w:highlight w:val="none"/>
        </w:rPr>
      </w:r>
      <w:r/>
    </w:p>
    <w:p>
      <w:pPr>
        <w:ind w:firstLine="0"/>
        <w:jc w:val="center"/>
        <w:keepLines w:val="0"/>
        <w:keepNext w:val="0"/>
        <w:pageBreakBefore w:val="0"/>
        <w:spacing w:line="480" w:lineRule="exact"/>
        <w:widowControl w:val="off"/>
        <w:rPr>
          <w:rFonts w:hint="eastAsia" w:ascii="宋体" w:hAnsi="宋体"/>
          <w:b/>
          <w:bCs/>
          <w:color w:val="auto"/>
          <w:sz w:val="36"/>
          <w:szCs w:val="36"/>
          <w:highlight w:val="none"/>
        </w:rPr>
        <w:outlineLvl w:val="9"/>
      </w:pPr>
      <w:r>
        <w:rPr>
          <w:rFonts w:hint="eastAsia" w:ascii="宋体" w:hAnsi="宋体"/>
          <w:b/>
          <w:bCs/>
          <w:color w:val="auto"/>
          <w:sz w:val="36"/>
          <w:szCs w:val="36"/>
          <w:highlight w:val="none"/>
        </w:rPr>
      </w:r>
      <w:r/>
    </w:p>
    <w:p>
      <w:pPr>
        <w:ind w:firstLine="0"/>
        <w:jc w:val="center"/>
        <w:keepLines w:val="0"/>
        <w:keepNext w:val="0"/>
        <w:pageBreakBefore w:val="0"/>
        <w:spacing w:line="480" w:lineRule="exact"/>
        <w:widowControl w:val="off"/>
        <w:rPr>
          <w:rFonts w:hint="eastAsia" w:ascii="宋体" w:hAnsi="宋体"/>
          <w:b/>
          <w:bCs/>
          <w:color w:val="auto"/>
          <w:sz w:val="36"/>
          <w:szCs w:val="36"/>
          <w:highlight w:val="none"/>
        </w:rPr>
        <w:outlineLvl w:val="9"/>
      </w:pPr>
      <w:r>
        <w:rPr>
          <w:rFonts w:hint="eastAsia" w:ascii="宋体" w:hAnsi="宋体"/>
          <w:b/>
          <w:bCs/>
          <w:color w:val="auto"/>
          <w:sz w:val="36"/>
          <w:szCs w:val="36"/>
          <w:highlight w:val="none"/>
        </w:rPr>
      </w:r>
      <w:r/>
    </w:p>
    <w:p>
      <w:pPr>
        <w:ind w:firstLine="0"/>
        <w:jc w:val="center"/>
        <w:keepLines w:val="0"/>
        <w:keepNext w:val="0"/>
        <w:pageBreakBefore w:val="0"/>
        <w:spacing w:line="480" w:lineRule="exact"/>
        <w:widowControl w:val="off"/>
        <w:rPr>
          <w:rFonts w:hint="eastAsia" w:ascii="宋体" w:hAnsi="宋体"/>
          <w:b/>
          <w:bCs/>
          <w:color w:val="auto"/>
          <w:sz w:val="36"/>
          <w:szCs w:val="36"/>
          <w:highlight w:val="none"/>
        </w:rPr>
        <w:outlineLvl w:val="9"/>
      </w:pPr>
      <w:r>
        <w:rPr>
          <w:rFonts w:hint="eastAsia" w:ascii="宋体" w:hAnsi="宋体"/>
          <w:b/>
          <w:bCs/>
          <w:color w:val="auto"/>
          <w:sz w:val="36"/>
          <w:szCs w:val="36"/>
          <w:highlight w:val="none"/>
        </w:rPr>
      </w:r>
      <w:r/>
    </w:p>
    <w:p>
      <w:pPr>
        <w:ind w:firstLine="0"/>
        <w:jc w:val="center"/>
        <w:keepLines w:val="0"/>
        <w:keepNext w:val="0"/>
        <w:pageBreakBefore w:val="0"/>
        <w:spacing w:line="480" w:lineRule="exact"/>
        <w:widowControl w:val="off"/>
        <w:rPr>
          <w:rFonts w:hint="eastAsia" w:ascii="宋体" w:hAnsi="宋体"/>
          <w:b/>
          <w:bCs/>
          <w:color w:val="auto"/>
          <w:sz w:val="36"/>
          <w:szCs w:val="36"/>
          <w:highlight w:val="none"/>
          <w:u w:val="single"/>
          <w:lang w:val="en-US" w:eastAsia="zh-CN"/>
        </w:rPr>
        <w:outlineLvl w:val="9"/>
      </w:pPr>
      <w:r>
        <w:rPr>
          <w:rFonts w:hint="eastAsia" w:ascii="宋体" w:hAnsi="宋体"/>
          <w:b/>
          <w:bCs/>
          <w:color w:val="auto"/>
          <w:sz w:val="36"/>
          <w:szCs w:val="36"/>
          <w:highlight w:val="none"/>
        </w:rPr>
        <w:t xml:space="preserve">投标人名称 ：</w:t>
      </w:r>
      <w:r/>
    </w:p>
    <w:p>
      <w:pPr>
        <w:ind w:left="0" w:firstLine="0"/>
        <w:jc w:val="center"/>
        <w:keepLines w:val="0"/>
        <w:keepNext w:val="0"/>
        <w:pageBreakBefore w:val="0"/>
        <w:spacing w:line="480" w:lineRule="exact"/>
        <w:widowControl w:val="off"/>
        <w:rPr>
          <w:rFonts w:hint="eastAsia" w:ascii="宋体" w:hAnsi="宋体"/>
          <w:b/>
          <w:bCs/>
          <w:color w:val="auto"/>
          <w:sz w:val="36"/>
          <w:szCs w:val="36"/>
          <w:highlight w:val="none"/>
          <w:u w:val="single"/>
        </w:rPr>
        <w:outlineLvl w:val="9"/>
      </w:pPr>
      <w:r>
        <w:rPr>
          <w:rFonts w:hint="eastAsia" w:ascii="宋体" w:hAnsi="宋体"/>
          <w:b/>
          <w:bCs/>
          <w:color w:val="auto"/>
          <w:sz w:val="36"/>
          <w:szCs w:val="36"/>
          <w:highlight w:val="none"/>
        </w:rPr>
        <w:t xml:space="preserve">日      期 ：</w:t>
      </w:r>
      <w:r/>
    </w:p>
    <w:p>
      <w:pPr>
        <w:pStyle w:val="829"/>
        <w:ind w:firstLine="0"/>
        <w:jc w:val="center"/>
        <w:keepLines w:val="0"/>
        <w:keepNext w:val="0"/>
        <w:pageBreakBefore w:val="0"/>
        <w:spacing w:line="480" w:lineRule="exact"/>
        <w:widowControl w:val="off"/>
        <w:rPr>
          <w:rFonts w:hint="eastAsia"/>
          <w:color w:val="auto"/>
          <w:highlight w:val="none"/>
        </w:rPr>
      </w:pPr>
      <w:r>
        <w:rPr>
          <w:rFonts w:hint="eastAsia"/>
          <w:color w:val="auto"/>
          <w:highlight w:val="none"/>
        </w:rPr>
      </w:r>
      <w:r/>
    </w:p>
    <w:p>
      <w:pPr>
        <w:ind w:firstLine="0"/>
        <w:jc w:val="center"/>
        <w:keepLines w:val="0"/>
        <w:keepNext w:val="0"/>
        <w:pageBreakBefore/>
        <w:widowControl w:val="off"/>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投标主要文件目录</w:t>
      </w:r>
      <w:r/>
    </w:p>
    <w:p>
      <w:pPr>
        <w:ind w:left="0" w:firstLine="0"/>
        <w:jc w:val="center"/>
        <w:rPr>
          <w:rFonts w:hint="eastAsia" w:ascii="宋体" w:hAnsi="宋体"/>
          <w:b/>
          <w:bCs/>
          <w:color w:val="auto"/>
          <w:sz w:val="32"/>
          <w:szCs w:val="32"/>
          <w:highlight w:val="none"/>
          <w:lang w:val="en-US" w:eastAsia="zh-CN"/>
        </w:rPr>
        <w:outlineLvl w:val="9"/>
      </w:pPr>
      <w:r>
        <w:rPr>
          <w:rFonts w:hint="eastAsia" w:ascii="宋体" w:hAnsi="宋体"/>
          <w:b/>
          <w:bCs/>
          <w:color w:val="auto"/>
          <w:sz w:val="32"/>
          <w:szCs w:val="32"/>
          <w:highlight w:val="none"/>
          <w:lang w:val="en-US" w:eastAsia="zh-CN"/>
        </w:rPr>
      </w:r>
      <w:r/>
    </w:p>
    <w:p>
      <w:pPr>
        <w:ind w:left="0" w:firstLine="0"/>
        <w:jc w:val="center"/>
        <w:rPr>
          <w:rFonts w:hint="eastAsia" w:ascii="宋体" w:hAnsi="宋体" w:eastAsia="宋体"/>
          <w:b/>
          <w:bCs/>
          <w:color w:val="auto"/>
          <w:sz w:val="32"/>
          <w:szCs w:val="32"/>
          <w:highlight w:val="none"/>
          <w:lang w:val="en-US" w:eastAsia="zh-CN"/>
        </w:rPr>
        <w:outlineLvl w:val="9"/>
      </w:pPr>
      <w:r>
        <w:rPr>
          <w:rFonts w:hint="eastAsia" w:ascii="宋体" w:hAnsi="宋体"/>
          <w:b/>
          <w:bCs/>
          <w:color w:val="auto"/>
          <w:sz w:val="32"/>
          <w:szCs w:val="32"/>
          <w:highlight w:val="none"/>
          <w:lang w:val="en-US" w:eastAsia="zh-CN"/>
        </w:rPr>
        <w:t xml:space="preserve">（自拟）</w:t>
      </w:r>
      <w:r/>
    </w:p>
    <w:p>
      <w:pPr>
        <w:pStyle w:val="984"/>
        <w:rPr>
          <w:rFonts w:hint="eastAsia" w:ascii="宋体" w:hAnsi="宋体"/>
          <w:color w:val="auto"/>
          <w:sz w:val="24"/>
          <w:highlight w:val="none"/>
        </w:rPr>
      </w:pPr>
      <w:r>
        <w:rPr>
          <w:rFonts w:hint="eastAsia" w:ascii="宋体" w:hAnsi="宋体"/>
          <w:color w:val="auto"/>
          <w:sz w:val="24"/>
          <w:highlight w:val="none"/>
        </w:rPr>
      </w:r>
      <w:r/>
    </w:p>
    <w:p>
      <w:pPr>
        <w:numPr>
          <w:ilvl w:val="0"/>
          <w:numId w:val="26"/>
        </w:numPr>
        <w:ind w:left="0" w:firstLine="420"/>
        <w:jc w:val="center"/>
        <w:keepLines w:val="0"/>
        <w:keepNext w:val="0"/>
        <w:pageBreakBefore/>
        <w:spacing w:before="120" w:after="120" w:line="440" w:lineRule="exact"/>
        <w:widowControl w:val="off"/>
        <w:rPr>
          <w:rFonts w:hint="eastAsia" w:ascii="宋体" w:hAnsi="宋体"/>
          <w:b/>
          <w:color w:val="auto"/>
          <w:sz w:val="32"/>
          <w:szCs w:val="32"/>
          <w:highlight w:val="none"/>
        </w:rPr>
        <w:outlineLvl w:val="1"/>
      </w:pPr>
      <w:r>
        <w:rPr>
          <w:rFonts w:hint="eastAsia" w:ascii="宋体" w:hAnsi="宋体"/>
          <w:b/>
          <w:color w:val="auto"/>
          <w:sz w:val="32"/>
          <w:szCs w:val="32"/>
          <w:highlight w:val="none"/>
        </w:rPr>
        <w:t xml:space="preserve">投标函格式</w:t>
      </w:r>
      <w:r/>
    </w:p>
    <w:p>
      <w:pPr>
        <w:ind w:firstLine="480"/>
        <w:rPr>
          <w:rFonts w:hint="eastAsia" w:ascii="宋体" w:hAnsi="宋体"/>
          <w:color w:val="auto"/>
          <w:sz w:val="24"/>
          <w:highlight w:val="none"/>
        </w:rPr>
        <w:outlineLvl w:val="9"/>
      </w:pPr>
      <w:r>
        <w:rPr>
          <w:rFonts w:hint="eastAsia" w:ascii="宋体" w:hAnsi="宋体"/>
          <w:color w:val="auto"/>
          <w:sz w:val="24"/>
          <w:highlight w:val="none"/>
        </w:rPr>
      </w:r>
      <w:r/>
    </w:p>
    <w:p>
      <w:pPr>
        <w:ind w:firstLine="0"/>
        <w:keepLines w:val="0"/>
        <w:keepNext w:val="0"/>
        <w:pageBreakBefore w:val="0"/>
        <w:widowControl w:val="off"/>
        <w:rPr>
          <w:rFonts w:hint="eastAsia" w:ascii="宋体" w:hAnsi="宋体"/>
          <w:bCs/>
          <w:color w:val="auto"/>
          <w:sz w:val="24"/>
          <w:highlight w:val="none"/>
        </w:rPr>
        <w:outlineLvl w:val="9"/>
      </w:pPr>
      <w:r>
        <w:rPr>
          <w:rFonts w:hint="eastAsia" w:ascii="宋体" w:hAnsi="宋体"/>
          <w:bCs/>
          <w:color w:val="auto"/>
          <w:sz w:val="24"/>
          <w:highlight w:val="none"/>
        </w:rPr>
        <w:t xml:space="preserve">致：</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根据贵方的 </w:t>
      </w: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号招标文件，正式授权下述签字人 (姓名和职务)代表我方（投标人的名称），全权处理本次项目投标的有关事宜。 </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据此函，</w:t>
      </w: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签字人兹宣布同意如下： </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1、同意向贵方提供贵方可能另外要求的与投标有关的任何证据或资料； </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2、我们完全理解贵方不一定将合同授予最低报价的投标人； </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4、一旦我方中标，我们将根据招标文件的规定，严格履行合同条款的责任和义务</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并保证按照合同条款提供服务； </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5、与本投标有关的正式通讯地址为： </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地址： </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邮编： </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电话： </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传真： </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投标单位代表姓名： </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投标单位名称： </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公章： </w:t>
      </w:r>
      <w:r/>
    </w:p>
    <w:p>
      <w:pPr>
        <w:ind w:firstLine="480"/>
        <w:jc w:val="left"/>
        <w:keepLines w:val="0"/>
        <w:keepNext w:val="0"/>
        <w:pageBreakBefore w:val="0"/>
        <w:widowControl/>
        <w:rPr>
          <w:color w:val="auto"/>
          <w:highlight w:val="none"/>
        </w:rPr>
        <w:outlineLvl w:val="9"/>
      </w:pPr>
      <w:r>
        <w:rPr>
          <w:rFonts w:hint="eastAsia" w:ascii="宋体" w:hAnsi="宋体" w:cs="宋体"/>
          <w:color w:val="auto"/>
          <w:sz w:val="24"/>
          <w:highlight w:val="none"/>
          <w:lang w:bidi="ar"/>
        </w:rPr>
        <w:t xml:space="preserve">日期：</w:t>
      </w:r>
      <w:r/>
    </w:p>
    <w:p>
      <w:pPr>
        <w:ind w:firstLine="480"/>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ind w:firstLine="480"/>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829"/>
        <w:ind w:firstLine="0"/>
        <w:rPr>
          <w:rFonts w:hint="eastAsia"/>
          <w:color w:val="auto"/>
          <w:highlight w:val="none"/>
        </w:rPr>
      </w:pPr>
      <w:r>
        <w:rPr>
          <w:rFonts w:hint="eastAsia"/>
          <w:color w:val="auto"/>
          <w:highlight w:val="none"/>
        </w:rPr>
      </w:r>
      <w:r/>
    </w:p>
    <w:p>
      <w:pPr>
        <w:ind w:firstLine="2570"/>
        <w:jc w:val="lef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2570"/>
        <w:jc w:val="lef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2570"/>
        <w:jc w:val="lef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2570"/>
        <w:jc w:val="lef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2570"/>
        <w:jc w:val="lef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numPr>
          <w:ilvl w:val="0"/>
          <w:numId w:val="26"/>
        </w:numPr>
        <w:ind w:left="0" w:firstLine="420"/>
        <w:jc w:val="center"/>
        <w:keepLines w:val="0"/>
        <w:keepNext w:val="0"/>
        <w:pageBreakBefore/>
        <w:spacing w:before="120" w:after="120" w:line="440" w:lineRule="exact"/>
        <w:widowControl w:val="off"/>
        <w:rPr>
          <w:rFonts w:hint="eastAsia" w:ascii="宋体" w:hAnsi="宋体"/>
          <w:b/>
          <w:bCs/>
          <w:color w:val="auto"/>
          <w:sz w:val="32"/>
          <w:szCs w:val="32"/>
          <w:highlight w:val="none"/>
        </w:rPr>
        <w:outlineLvl w:val="1"/>
      </w:pPr>
      <w:r>
        <w:rPr>
          <w:rFonts w:hint="eastAsia" w:ascii="宋体" w:hAnsi="宋体" w:eastAsia="宋体" w:cs="Times New Roman"/>
          <w:b/>
          <w:color w:val="auto"/>
          <w:sz w:val="32"/>
          <w:szCs w:val="32"/>
          <w:highlight w:val="none"/>
        </w:rPr>
        <w:t xml:space="preserve">开 标</w:t>
      </w:r>
      <w:r>
        <w:rPr>
          <w:rFonts w:hint="eastAsia" w:ascii="宋体" w:hAnsi="宋体"/>
          <w:b/>
          <w:bCs/>
          <w:color w:val="auto"/>
          <w:sz w:val="32"/>
          <w:szCs w:val="32"/>
          <w:highlight w:val="none"/>
        </w:rPr>
        <w:t xml:space="preserve"> 一 览 表</w:t>
      </w:r>
      <w:r/>
    </w:p>
    <w:p>
      <w:pPr>
        <w:ind w:firstLine="2731"/>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19"/>
        <w:keepLines w:val="0"/>
        <w:keepNext w:val="0"/>
        <w:widowControl/>
        <w:rPr>
          <w:color w:val="auto"/>
          <w:highlight w:val="none"/>
        </w:rPr>
        <w:suppressLineNumbers w:val="0"/>
      </w:pPr>
      <w:r>
        <w:rPr>
          <w:color w:val="auto"/>
          <w:highlight w:val="none"/>
        </w:rPr>
        <w:t xml:space="preserve">投标人全称（加盖公章）：</w:t>
      </w:r>
      <w:r/>
    </w:p>
    <w:p>
      <w:pPr>
        <w:pStyle w:val="819"/>
        <w:keepLines w:val="0"/>
        <w:keepNext w:val="0"/>
        <w:widowControl/>
        <w:rPr>
          <w:color w:val="auto"/>
          <w:highlight w:val="none"/>
        </w:rPr>
        <w:suppressLineNumbers w:val="0"/>
      </w:pPr>
      <w:r>
        <w:rPr>
          <w:color w:val="auto"/>
          <w:highlight w:val="none"/>
        </w:rPr>
        <w:t xml:space="preserve">项目编号：</w:t>
      </w:r>
      <w:r/>
    </w:p>
    <w:p>
      <w:pPr>
        <w:pStyle w:val="819"/>
        <w:keepLines w:val="0"/>
        <w:keepNext w:val="0"/>
        <w:widowControl/>
        <w:rPr>
          <w:color w:val="auto"/>
          <w:highlight w:val="none"/>
        </w:rPr>
        <w:suppressLineNumbers w:val="0"/>
      </w:pPr>
      <w:r>
        <w:rPr>
          <w:color w:val="auto"/>
          <w:highlight w:val="none"/>
        </w:rPr>
        <w:t xml:space="preserve">分包号：</w:t>
      </w:r>
      <w:r/>
    </w:p>
    <w:tbl>
      <w:tblPr>
        <w:tblStyle w:val="795"/>
        <w:tblW w:w="9758" w:type="dxa"/>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4394"/>
        <w:gridCol w:w="5364"/>
      </w:tblGrid>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4394" w:type="dxa"/>
            <w:vAlign w:val="center"/>
            <w:textDirection w:val="lrTb"/>
            <w:noWrap w:val="false"/>
          </w:tcPr>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5364" w:type="dxa"/>
            <w:vAlign w:val="center"/>
            <w:textDirection w:val="lrTb"/>
            <w:noWrap w:val="false"/>
          </w:tcPr>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投标总报价</w:t>
            </w:r>
            <w:r/>
          </w:p>
        </w:tc>
      </w:tr>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4394" w:type="dxa"/>
            <w:vAlign w:val="center"/>
            <w:textDirection w:val="lrTb"/>
            <w:noWrap w:val="false"/>
          </w:tcPr>
          <w:p>
            <w:pPr>
              <w:jc w:val="left"/>
              <w:keepLines w:val="0"/>
              <w:keepNext w:val="0"/>
              <w:widowControl/>
              <w:rPr>
                <w:color w:val="auto"/>
                <w:highlight w:val="none"/>
              </w:rPr>
              <w:suppressLineNumbers w:val="0"/>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5364" w:type="dxa"/>
            <w:vAlign w:val="center"/>
            <w:textDirection w:val="lrTb"/>
            <w:noWrap w:val="false"/>
          </w:tcPr>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小写：</w:t>
            </w:r>
            <w:r>
              <w:rPr>
                <w:rFonts w:hint="eastAsia" w:ascii="宋体" w:hAnsi="宋体" w:cs="宋体"/>
                <w:color w:val="auto"/>
                <w:sz w:val="24"/>
                <w:szCs w:val="24"/>
                <w:highlight w:val="none"/>
                <w:lang w:val="en-US" w:eastAsia="zh-CN" w:bidi="ar"/>
              </w:rPr>
              <w:t xml:space="preserve">             </w:t>
            </w:r>
            <w:r>
              <w:rPr>
                <w:rFonts w:hint="default" w:ascii="宋体" w:hAnsi="宋体" w:eastAsia="宋体" w:cs="宋体"/>
                <w:color w:val="auto"/>
                <w:sz w:val="24"/>
                <w:szCs w:val="24"/>
                <w:highlight w:val="none"/>
                <w:lang w:val="en-US" w:eastAsia="zh-CN" w:bidi="ar"/>
              </w:rPr>
              <w:t xml:space="preserve"> （元人民币）</w:t>
            </w:r>
            <w:r/>
          </w:p>
        </w:tc>
      </w:tr>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4394" w:type="dxa"/>
            <w:vAlign w:val="center"/>
            <w:textDirection w:val="lrTb"/>
            <w:noWrap w:val="false"/>
          </w:tcPr>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5364" w:type="dxa"/>
            <w:vAlign w:val="center"/>
            <w:textDirection w:val="lrTb"/>
            <w:noWrap w:val="false"/>
          </w:tcPr>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金额大写 </w:t>
            </w:r>
            <w:r/>
          </w:p>
        </w:tc>
      </w:tr>
    </w:tbl>
    <w:p>
      <w:pPr>
        <w:pStyle w:val="819"/>
        <w:jc w:val="right"/>
        <w:keepLines w:val="0"/>
        <w:keepNext w:val="0"/>
        <w:widowControl/>
        <w:rPr>
          <w:color w:val="auto"/>
          <w:highlight w:val="none"/>
        </w:rPr>
        <w:suppressLineNumbers w:val="0"/>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 年 </w:t>
      </w:r>
      <w:r>
        <w:rPr>
          <w:rFonts w:hint="eastAsia"/>
          <w:color w:val="auto"/>
          <w:highlight w:val="none"/>
          <w:lang w:val="en-US" w:eastAsia="zh-CN"/>
        </w:rPr>
        <w:t xml:space="preserve">      </w:t>
      </w:r>
      <w:r>
        <w:rPr>
          <w:color w:val="auto"/>
          <w:highlight w:val="none"/>
        </w:rPr>
        <w:t xml:space="preserve">月 </w:t>
      </w:r>
      <w:r>
        <w:rPr>
          <w:rFonts w:hint="eastAsia"/>
          <w:color w:val="auto"/>
          <w:highlight w:val="none"/>
          <w:lang w:val="en-US" w:eastAsia="zh-CN"/>
        </w:rPr>
        <w:t xml:space="preserve">      </w:t>
      </w:r>
      <w:r>
        <w:rPr>
          <w:color w:val="auto"/>
          <w:highlight w:val="none"/>
        </w:rPr>
        <w:t xml:space="preserve">日</w:t>
      </w:r>
      <w:r/>
    </w:p>
    <w:p>
      <w:pPr>
        <w:pStyle w:val="819"/>
        <w:ind w:firstLine="198"/>
        <w:keepLines w:val="0"/>
        <w:keepNext w:val="0"/>
        <w:pageBreakBefore w:val="0"/>
        <w:spacing w:line="240" w:lineRule="exact"/>
        <w:widowControl/>
        <w:rPr>
          <w:color w:val="auto"/>
          <w:highlight w:val="none"/>
        </w:rPr>
        <w:suppressLineNumbers w:val="0"/>
      </w:pPr>
      <w:r>
        <w:rPr>
          <w:color w:val="auto"/>
          <w:highlight w:val="none"/>
        </w:rPr>
        <w:t xml:space="preserve">填写说明：</w:t>
      </w:r>
      <w:r/>
    </w:p>
    <w:p>
      <w:pPr>
        <w:pStyle w:val="819"/>
        <w:ind w:firstLine="198"/>
        <w:keepLines w:val="0"/>
        <w:keepNext w:val="0"/>
        <w:pageBreakBefore w:val="0"/>
        <w:spacing w:line="240" w:lineRule="exact"/>
        <w:widowControl/>
        <w:rPr>
          <w:color w:val="auto"/>
          <w:highlight w:val="none"/>
        </w:rPr>
        <w:suppressLineNumbers w:val="0"/>
      </w:pPr>
      <w:r>
        <w:rPr>
          <w:rStyle w:val="825"/>
          <w:color w:val="auto"/>
          <w:highlight w:val="none"/>
          <w:u w:val="single"/>
        </w:rPr>
        <w:t xml:space="preserve">1、开标一览表必须加盖投标人公章（复印件无效）。</w:t>
      </w:r>
      <w:r/>
    </w:p>
    <w:p>
      <w:pPr>
        <w:pStyle w:val="819"/>
        <w:ind w:firstLine="198"/>
        <w:keepLines w:val="0"/>
        <w:keepNext w:val="0"/>
        <w:pageBreakBefore w:val="0"/>
        <w:spacing w:line="240" w:lineRule="exact"/>
        <w:widowControl/>
        <w:rPr>
          <w:rStyle w:val="825"/>
          <w:color w:val="auto"/>
          <w:highlight w:val="none"/>
          <w:u w:val="single"/>
        </w:rPr>
        <w:suppressLineNumbers w:val="0"/>
      </w:pPr>
      <w:r>
        <w:rPr>
          <w:rStyle w:val="825"/>
          <w:rFonts w:eastAsia="宋体"/>
          <w:color w:val="auto"/>
          <w:highlight w:val="none"/>
          <w:u w:val="single"/>
        </w:rPr>
        <w:t xml:space="preserve">2、如有分包，投标人投任何一个包的标的，都需单独填写开标一览表。</w:t>
      </w:r>
      <w:r/>
    </w:p>
    <w:p>
      <w:pPr>
        <w:numPr>
          <w:ilvl w:val="0"/>
          <w:numId w:val="26"/>
        </w:numPr>
        <w:ind w:left="0" w:firstLine="420"/>
        <w:jc w:val="center"/>
        <w:keepLines w:val="0"/>
        <w:keepNext w:val="0"/>
        <w:pageBreakBefore/>
        <w:spacing w:before="120" w:after="120" w:line="440" w:lineRule="exact"/>
        <w:widowControl w:val="off"/>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资格</w:t>
      </w:r>
      <w:r>
        <w:rPr>
          <w:rFonts w:hint="eastAsia" w:ascii="宋体" w:hAnsi="宋体" w:eastAsia="宋体" w:cs="Times New Roman"/>
          <w:b/>
          <w:color w:val="auto"/>
          <w:sz w:val="32"/>
          <w:szCs w:val="32"/>
          <w:highlight w:val="none"/>
        </w:rPr>
        <w:t xml:space="preserve">证明</w:t>
      </w:r>
      <w:r>
        <w:rPr>
          <w:rFonts w:hint="eastAsia" w:ascii="宋体" w:hAnsi="宋体"/>
          <w:b/>
          <w:bCs/>
          <w:color w:val="auto"/>
          <w:sz w:val="32"/>
          <w:szCs w:val="32"/>
          <w:highlight w:val="none"/>
        </w:rPr>
        <w:t xml:space="preserve">文件</w:t>
      </w:r>
      <w:r/>
    </w:p>
    <w:p>
      <w:pPr>
        <w:pStyle w:val="1022"/>
        <w:numPr>
          <w:ilvl w:val="0"/>
          <w:numId w:val="0"/>
        </w:numPr>
        <w:rPr>
          <w:b/>
          <w:bCs/>
          <w:i w:val="0"/>
          <w:iCs w:val="0"/>
          <w:color w:val="auto"/>
          <w:sz w:val="24"/>
          <w:szCs w:val="24"/>
          <w:highlight w:val="none"/>
          <w:u w:val="none"/>
        </w:rPr>
      </w:pPr>
      <w:r>
        <w:rPr>
          <w:b/>
          <w:bCs/>
          <w:i w:val="0"/>
          <w:iCs w:val="0"/>
          <w:color w:val="auto"/>
          <w:sz w:val="24"/>
          <w:szCs w:val="24"/>
          <w:highlight w:val="none"/>
          <w:u w:val="none"/>
        </w:rPr>
        <w:t xml:space="preserve">投标人必须在投标文件接收截止时间之前递交以下资格证明文件：</w:t>
      </w:r>
      <w:r/>
    </w:p>
    <w:p>
      <w:pPr>
        <w:pStyle w:val="1062"/>
        <w:jc w:val="left"/>
        <w:rPr>
          <w:rStyle w:val="794"/>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22"/>
        <w:numPr>
          <w:ilvl w:val="0"/>
          <w:numId w:val="27"/>
        </w:numPr>
        <w:ind w:left="0" w:firstLine="482"/>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t xml:space="preserve"> </w:t>
      </w:r>
      <w:r>
        <w:rPr>
          <w:rFonts w:hint="eastAsia" w:ascii="宋体" w:hAnsi="宋体" w:eastAsia="宋体" w:cs="宋体"/>
          <w:b/>
          <w:bCs w:val="0"/>
          <w:color w:val="auto"/>
          <w:sz w:val="32"/>
          <w:szCs w:val="32"/>
          <w:highlight w:val="none"/>
        </w:rPr>
        <w:t xml:space="preserve">法人或者其他组织的营业执照等证明文件，自然人的身份证明</w:t>
      </w:r>
      <w:r/>
    </w:p>
    <w:p>
      <w:pPr>
        <w:pStyle w:val="1063"/>
        <w:spacing w:line="440" w:lineRule="exact"/>
        <w:rPr>
          <w:rStyle w:val="794"/>
          <w:rFonts w:ascii="Times New Roman" w:hAnsi="Times New Roman" w:eastAsia="Times New Roman" w:cs="Times New Roman"/>
          <w:color w:val="auto"/>
          <w:spacing w:val="7"/>
          <w:highlight w:val="none"/>
        </w:rPr>
        <w:outlineLvl w:val="9"/>
      </w:pPr>
      <w:r>
        <w:rPr>
          <w:rStyle w:val="794"/>
          <w:rFonts w:ascii="Times New Roman" w:hAnsi="Times New Roman" w:eastAsia="Times New Roman" w:cs="Times New Roman"/>
          <w:color w:val="auto"/>
          <w:highlight w:val="none"/>
        </w:rPr>
        <w:t xml:space="preserve">﻿ </w:t>
      </w:r>
      <w:r/>
    </w:p>
    <w:p>
      <w:pPr>
        <w:pStyle w:val="1063"/>
        <w:spacing w:before="240" w:after="240"/>
        <w:rPr>
          <w:rStyle w:val="794"/>
          <w:rFonts w:ascii="Times New Roman" w:hAnsi="Times New Roman" w:eastAsia="Times New Roman" w:cs="Times New Roman"/>
          <w:color w:val="auto"/>
          <w:sz w:val="24"/>
          <w:szCs w:val="24"/>
          <w:highlight w:val="none"/>
        </w:rPr>
      </w:pPr>
      <w:r>
        <w:rPr>
          <w:rStyle w:val="794"/>
          <w:rFonts w:ascii="Times New Roman" w:hAnsi="Times New Roman" w:eastAsia="Times New Roman" w:cs="Times New Roman"/>
          <w:color w:val="auto"/>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27"/>
        </w:numPr>
        <w:ind w:left="0" w:firstLine="0"/>
        <w:jc w:val="center"/>
        <w:keepLines w:val="0"/>
        <w:keepNext w:val="0"/>
        <w:pageBreakBefore/>
        <w:spacing w:line="440" w:lineRule="exact"/>
        <w:widowControl w:val="off"/>
        <w:rPr>
          <w:rFonts w:hint="eastAsia" w:ascii="宋体" w:hAnsi="宋体" w:eastAsia="宋体" w:cs="宋体"/>
          <w:b/>
          <w:bCs w:val="0"/>
          <w:color w:val="auto"/>
          <w:sz w:val="32"/>
          <w:szCs w:val="32"/>
          <w:highlight w:val="none"/>
        </w:rPr>
        <w:outlineLvl w:val="9"/>
      </w:pPr>
      <w:r>
        <w:rPr>
          <w:rFonts w:hint="eastAsia" w:ascii="宋体" w:hAnsi="宋体" w:eastAsia="宋体" w:cs="宋体"/>
          <w:b/>
          <w:bCs w:val="0"/>
          <w:color w:val="auto"/>
          <w:sz w:val="32"/>
          <w:szCs w:val="32"/>
          <w:highlight w:val="none"/>
        </w:rPr>
        <w:t xml:space="preserve">财务状况报告（成立不满一年不需要提供）；</w:t>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64"/>
        <w:jc w:val="center"/>
        <w:spacing w:before="360" w:after="360" w:line="300" w:lineRule="auto"/>
        <w:rPr>
          <w:rStyle w:val="794"/>
          <w:rFonts w:hint="eastAsia" w:ascii="黑体" w:hAnsi="黑体" w:eastAsia="黑体" w:cs="黑体"/>
          <w:b/>
          <w:bCs/>
          <w:color w:val="auto"/>
          <w:sz w:val="36"/>
          <w:szCs w:val="36"/>
          <w:highlight w:val="none"/>
          <w:lang w:val="en-US" w:eastAsia="zh-CN"/>
        </w:rPr>
      </w:pPr>
      <w:r>
        <w:rPr>
          <w:rStyle w:val="794"/>
          <w:rFonts w:ascii="黑体" w:hAnsi="黑体" w:eastAsia="黑体" w:cs="黑体"/>
          <w:b/>
          <w:bCs/>
          <w:color w:val="auto"/>
          <w:sz w:val="36"/>
          <w:szCs w:val="36"/>
          <w:highlight w:val="none"/>
        </w:rPr>
        <w:t xml:space="preserve">财务状况</w:t>
      </w:r>
      <w:r>
        <w:rPr>
          <w:rStyle w:val="794"/>
          <w:rFonts w:hint="eastAsia" w:ascii="黑体" w:hAnsi="黑体" w:eastAsia="黑体" w:cs="黑体"/>
          <w:b/>
          <w:bCs/>
          <w:color w:val="auto"/>
          <w:sz w:val="36"/>
          <w:szCs w:val="36"/>
          <w:highlight w:val="none"/>
          <w:lang w:val="en-US" w:eastAsia="zh-CN"/>
        </w:rPr>
        <w:t xml:space="preserve">报告</w:t>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27"/>
        </w:numPr>
        <w:ind w:left="0" w:firstLine="0"/>
        <w:jc w:val="center"/>
        <w:keepLines w:val="0"/>
        <w:keepNext w:val="0"/>
        <w:pageBreakBefore/>
        <w:spacing w:line="440" w:lineRule="exact"/>
        <w:widowControl w:val="off"/>
        <w:rPr>
          <w:rFonts w:hint="eastAsia" w:ascii="宋体" w:hAnsi="宋体" w:eastAsia="宋体" w:cs="宋体"/>
          <w:b/>
          <w:bCs w:val="0"/>
          <w:color w:val="auto"/>
          <w:sz w:val="32"/>
          <w:szCs w:val="32"/>
          <w:highlight w:val="none"/>
          <w:lang w:val="en-US" w:eastAsia="zh-CN"/>
        </w:rPr>
        <w:outlineLvl w:val="9"/>
      </w:pPr>
      <w:r>
        <w:rPr>
          <w:rFonts w:hint="eastAsia" w:ascii="宋体" w:hAnsi="宋体" w:eastAsia="宋体" w:cs="宋体"/>
          <w:b/>
          <w:bCs w:val="0"/>
          <w:color w:val="auto"/>
          <w:sz w:val="32"/>
          <w:szCs w:val="32"/>
          <w:highlight w:val="none"/>
        </w:rPr>
        <w:t xml:space="preserve">依法缴纳税收和社会保障资金的相关材料；</w:t>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65"/>
        <w:jc w:val="center"/>
        <w:rPr>
          <w:color w:val="auto"/>
          <w:highlight w:val="none"/>
        </w:rPr>
      </w:pPr>
      <w:r>
        <w:rPr>
          <w:rFonts w:hint="eastAsia"/>
          <w:color w:val="auto"/>
          <w:highlight w:val="none"/>
        </w:rPr>
        <w:t xml:space="preserve">依法缴纳税收和社会保障资金的相关材料</w:t>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pStyle w:val="102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p>
      <w:pPr>
        <w:ind w:left="0" w:firstLine="0"/>
        <w:jc w:val="both"/>
        <w:spacing w:line="360" w:lineRule="auto"/>
        <w:tabs>
          <w:tab w:val="left" w:pos="0" w:leader="none"/>
          <w:tab w:val="left" w:pos="3840" w:leader="none"/>
        </w:tabs>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022"/>
        <w:numPr>
          <w:ilvl w:val="0"/>
          <w:numId w:val="27"/>
        </w:numPr>
        <w:ind w:left="0" w:firstLine="0"/>
        <w:jc w:val="center"/>
        <w:keepLines w:val="0"/>
        <w:keepNext w:val="0"/>
        <w:pageBreakBefore/>
        <w:spacing w:line="440" w:lineRule="exact"/>
        <w:widowControl w:val="off"/>
        <w:rPr>
          <w:rFonts w:hAnsi="宋体" w:cs="宋体"/>
          <w:b/>
          <w:bCs w:val="0"/>
          <w:color w:val="auto"/>
          <w:sz w:val="32"/>
          <w:szCs w:val="32"/>
          <w:highlight w:val="none"/>
        </w:rPr>
        <w:outlineLvl w:val="9"/>
      </w:pPr>
      <w:r>
        <w:rPr>
          <w:rFonts w:hint="eastAsia" w:ascii="宋体" w:hAnsi="宋体"/>
          <w:b/>
          <w:bCs w:val="0"/>
          <w:color w:val="auto"/>
          <w:sz w:val="32"/>
          <w:szCs w:val="32"/>
          <w:highlight w:val="none"/>
        </w:rPr>
        <w:t xml:space="preserve">具备履行合同所必需的设备和专业技术能力的书面声明</w:t>
      </w:r>
      <w:r/>
    </w:p>
    <w:p>
      <w:pPr>
        <w:ind w:left="0" w:firstLine="0"/>
        <w:spacing w:line="560" w:lineRule="exact"/>
        <w:rPr>
          <w:rFonts w:hint="eastAsia" w:hAnsi="宋体" w:cs="宋体"/>
          <w:color w:val="auto"/>
          <w:sz w:val="24"/>
          <w:highlight w:val="none"/>
        </w:rPr>
      </w:pPr>
      <w:r>
        <w:rPr>
          <w:rFonts w:hint="eastAsia" w:hAnsi="宋体" w:cs="宋体"/>
          <w:color w:val="auto"/>
          <w:sz w:val="24"/>
          <w:highlight w:val="none"/>
        </w:rPr>
      </w:r>
      <w:r/>
    </w:p>
    <w:p>
      <w:pPr>
        <w:ind w:left="0" w:firstLine="0"/>
        <w:spacing w:line="560" w:lineRule="exact"/>
        <w:rPr>
          <w:rFonts w:hAnsi="宋体" w:cs="宋体"/>
          <w:color w:val="auto"/>
          <w:sz w:val="24"/>
          <w:highlight w:val="none"/>
        </w:rPr>
      </w:pPr>
      <w:r>
        <w:rPr>
          <w:rFonts w:hint="eastAsia" w:hAnsi="宋体" w:cs="宋体"/>
          <w:color w:val="auto"/>
          <w:sz w:val="24"/>
          <w:highlight w:val="none"/>
        </w:rPr>
        <w:t xml:space="preserve">我单位郑重声明：</w:t>
      </w:r>
      <w:r/>
    </w:p>
    <w:p>
      <w:pPr>
        <w:ind w:left="0" w:firstLine="480"/>
        <w:spacing w:line="560" w:lineRule="exact"/>
        <w:rPr>
          <w:rFonts w:hint="eastAsia" w:hAnsi="宋体" w:cs="宋体"/>
          <w:color w:val="auto"/>
          <w:sz w:val="24"/>
          <w:highlight w:val="none"/>
        </w:rPr>
      </w:pPr>
      <w:r>
        <w:rPr>
          <w:rFonts w:hint="eastAsia" w:hAnsi="宋体" w:cs="宋体"/>
          <w:color w:val="auto"/>
          <w:sz w:val="24"/>
          <w:highlight w:val="none"/>
        </w:rPr>
      </w:r>
      <w:r/>
    </w:p>
    <w:p>
      <w:pPr>
        <w:ind w:left="0" w:firstLine="1200"/>
        <w:spacing w:line="560" w:lineRule="exact"/>
        <w:rPr>
          <w:rFonts w:hAnsi="宋体" w:cs="宋体"/>
          <w:color w:val="auto"/>
          <w:sz w:val="24"/>
          <w:highlight w:val="none"/>
        </w:rPr>
      </w:pPr>
      <w:r>
        <w:rPr>
          <w:rFonts w:hint="eastAsia" w:hAnsi="宋体" w:cs="宋体"/>
          <w:color w:val="auto"/>
          <w:sz w:val="24"/>
          <w:highlight w:val="none"/>
        </w:rPr>
        <w:t xml:space="preserve">我单位具备履行本项采购合同所必需的设备和专业技术能力。</w:t>
      </w:r>
      <w:r/>
    </w:p>
    <w:p>
      <w:pPr>
        <w:ind w:firstLine="480"/>
        <w:spacing w:line="560" w:lineRule="exact"/>
        <w:rPr>
          <w:rFonts w:hAnsi="宋体" w:cs="宋体"/>
          <w:color w:val="auto"/>
          <w:sz w:val="24"/>
          <w:highlight w:val="none"/>
        </w:rPr>
      </w:pPr>
      <w:r>
        <w:rPr>
          <w:rFonts w:hAnsi="宋体" w:cs="宋体"/>
          <w:color w:val="auto"/>
          <w:sz w:val="24"/>
          <w:highlight w:val="none"/>
        </w:rPr>
      </w:r>
      <w:r/>
    </w:p>
    <w:p>
      <w:pPr>
        <w:ind w:firstLine="480"/>
        <w:rPr>
          <w:rFonts w:hint="eastAsia" w:hAnsi="宋体" w:cs="宋体"/>
          <w:color w:val="auto"/>
          <w:sz w:val="24"/>
          <w:highlight w:val="none"/>
        </w:rPr>
      </w:pPr>
      <w:r>
        <w:rPr>
          <w:rFonts w:hint="eastAsia" w:hAnsi="宋体" w:cs="宋体"/>
          <w:color w:val="auto"/>
          <w:sz w:val="24"/>
          <w:highlight w:val="none"/>
        </w:rPr>
      </w:r>
      <w:r/>
    </w:p>
    <w:p>
      <w:pPr>
        <w:ind w:firstLine="480"/>
        <w:rPr>
          <w:rFonts w:hint="eastAsia" w:hAnsi="宋体" w:cs="宋体"/>
          <w:color w:val="auto"/>
          <w:sz w:val="24"/>
          <w:highlight w:val="none"/>
        </w:rPr>
      </w:pPr>
      <w:r>
        <w:rPr>
          <w:rFonts w:hint="eastAsia" w:hAnsi="宋体" w:cs="宋体"/>
          <w:color w:val="auto"/>
          <w:sz w:val="24"/>
          <w:highlight w:val="none"/>
        </w:rPr>
      </w:r>
      <w:r/>
    </w:p>
    <w:p>
      <w:pPr>
        <w:ind w:firstLine="480"/>
        <w:rPr>
          <w:rFonts w:hint="eastAsia" w:hAnsi="宋体" w:cs="宋体"/>
          <w:color w:val="auto"/>
          <w:sz w:val="24"/>
          <w:highlight w:val="none"/>
        </w:rPr>
      </w:pPr>
      <w:r>
        <w:rPr>
          <w:rFonts w:hint="eastAsia" w:hAnsi="宋体" w:cs="宋体"/>
          <w:color w:val="auto"/>
          <w:sz w:val="24"/>
          <w:highlight w:val="none"/>
        </w:rPr>
      </w:r>
      <w:r/>
    </w:p>
    <w:p>
      <w:pPr>
        <w:ind w:firstLine="480"/>
        <w:rPr>
          <w:rFonts w:hint="eastAsia" w:hAnsi="宋体" w:cs="宋体"/>
          <w:color w:val="auto"/>
          <w:sz w:val="24"/>
          <w:highlight w:val="none"/>
        </w:rPr>
      </w:pPr>
      <w:r>
        <w:rPr>
          <w:rFonts w:hint="eastAsia" w:hAnsi="宋体" w:cs="宋体"/>
          <w:color w:val="auto"/>
          <w:sz w:val="24"/>
          <w:highlight w:val="none"/>
        </w:rPr>
        <w:t xml:space="preserve">                              </w:t>
      </w:r>
      <w:r>
        <w:rPr>
          <w:rFonts w:hint="eastAsia" w:hAnsi="宋体" w:cs="宋体"/>
          <w:color w:val="auto"/>
          <w:sz w:val="24"/>
          <w:highlight w:val="none"/>
          <w:lang w:val="en-US" w:eastAsia="zh-CN"/>
        </w:rPr>
        <w:t xml:space="preserve">                  </w:t>
      </w:r>
      <w:r>
        <w:rPr>
          <w:rFonts w:hint="eastAsia" w:hAnsi="宋体" w:cs="宋体"/>
          <w:color w:val="auto"/>
          <w:sz w:val="24"/>
          <w:highlight w:val="none"/>
        </w:rPr>
        <w:t xml:space="preserve"> 投标单位（加盖公章）：</w:t>
      </w:r>
      <w:r/>
    </w:p>
    <w:p>
      <w:pPr>
        <w:ind w:firstLine="480"/>
        <w:jc w:val="center"/>
        <w:rPr>
          <w:rFonts w:hint="eastAsia" w:ascii="宋体" w:hAnsi="宋体"/>
          <w:color w:val="auto"/>
          <w:sz w:val="24"/>
          <w:highlight w:val="none"/>
        </w:rPr>
      </w:pPr>
      <w:r>
        <w:rPr>
          <w:rFonts w:hint="eastAsia" w:ascii="宋体" w:hAnsi="宋体"/>
          <w:color w:val="auto"/>
          <w:sz w:val="24"/>
          <w:highlight w:val="none"/>
        </w:rPr>
      </w:r>
      <w:r/>
    </w:p>
    <w:p>
      <w:pPr>
        <w:pStyle w:val="984"/>
        <w:rPr>
          <w:rFonts w:hint="eastAsia" w:ascii="宋体" w:hAnsi="宋体"/>
          <w:color w:val="auto"/>
          <w:sz w:val="24"/>
          <w:highlight w:val="none"/>
        </w:rPr>
      </w:pPr>
      <w:r>
        <w:rPr>
          <w:rFonts w:hint="eastAsia" w:ascii="宋体" w:hAnsi="宋体"/>
          <w:color w:val="auto"/>
          <w:sz w:val="24"/>
          <w:highlight w:val="none"/>
        </w:rPr>
      </w:r>
      <w:r/>
    </w:p>
    <w:p>
      <w:pPr>
        <w:pStyle w:val="984"/>
        <w:rPr>
          <w:rFonts w:hint="eastAsia" w:ascii="宋体" w:hAnsi="宋体"/>
          <w:color w:val="auto"/>
          <w:sz w:val="24"/>
          <w:highlight w:val="none"/>
        </w:rPr>
      </w:pPr>
      <w:r>
        <w:rPr>
          <w:rFonts w:hint="eastAsia" w:ascii="宋体" w:hAnsi="宋体"/>
          <w:color w:val="auto"/>
          <w:sz w:val="24"/>
          <w:highlight w:val="none"/>
        </w:rPr>
      </w:r>
      <w:r/>
    </w:p>
    <w:p>
      <w:pPr>
        <w:pStyle w:val="1022"/>
        <w:numPr>
          <w:ilvl w:val="0"/>
          <w:numId w:val="27"/>
        </w:numPr>
        <w:ind w:left="0" w:firstLine="0"/>
        <w:jc w:val="center"/>
        <w:keepLines w:val="0"/>
        <w:keepNext w:val="0"/>
        <w:pageBreakBefore/>
        <w:spacing w:line="440" w:lineRule="exact"/>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lang w:val="en-US" w:eastAsia="zh-CN"/>
        </w:rPr>
        <w:t xml:space="preserve">参加本次采购活动前3年内在经营活动中没有重大违法记录的书面声明</w:t>
      </w:r>
      <w:r/>
    </w:p>
    <w:p>
      <w:pPr>
        <w:ind w:firstLine="420"/>
        <w:keepLines w:val="0"/>
        <w:keepNext w:val="0"/>
        <w:rPr>
          <w:rFonts w:hint="eastAsia"/>
          <w:color w:val="auto"/>
          <w:highlight w:val="none"/>
        </w:rPr>
        <w:outlineLvl w:val="9"/>
      </w:pPr>
      <w:r>
        <w:rPr>
          <w:rFonts w:hint="eastAsia"/>
          <w:color w:val="auto"/>
          <w:highlight w:val="none"/>
        </w:rPr>
      </w:r>
      <w:r/>
    </w:p>
    <w:p>
      <w:pPr>
        <w:ind w:firstLine="480"/>
        <w:keepLines w:val="0"/>
        <w:keepNext w:val="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color w:val="auto"/>
          <w:sz w:val="24"/>
          <w:highlight w:val="none"/>
        </w:rPr>
        <w:outlineLvl w:val="9"/>
      </w:pPr>
      <w:r>
        <w:rPr>
          <w:rFonts w:hint="eastAsia"/>
          <w:color w:val="auto"/>
          <w:sz w:val="24"/>
          <w:highlight w:val="none"/>
        </w:rPr>
      </w:r>
      <w:r/>
    </w:p>
    <w:p>
      <w:pPr>
        <w:ind w:firstLine="480"/>
        <w:keepLines w:val="0"/>
        <w:keepNext w:val="0"/>
        <w:rPr>
          <w:rFonts w:hint="eastAsia"/>
          <w:color w:val="auto"/>
          <w:sz w:val="24"/>
          <w:highlight w:val="none"/>
        </w:rPr>
        <w:outlineLvl w:val="9"/>
      </w:pPr>
      <w:r>
        <w:rPr>
          <w:rFonts w:hint="eastAsia"/>
          <w:color w:val="auto"/>
          <w:sz w:val="24"/>
          <w:highlight w:val="none"/>
        </w:rPr>
        <w:t xml:space="preserve"> </w:t>
      </w:r>
      <w:r/>
    </w:p>
    <w:p>
      <w:pPr>
        <w:ind w:firstLine="480"/>
        <w:keepLines w:val="0"/>
        <w:keepNext w:val="0"/>
        <w:rPr>
          <w:rFonts w:hint="eastAsia"/>
          <w:color w:val="auto"/>
          <w:sz w:val="24"/>
          <w:highlight w:val="none"/>
          <w:lang w:val="en-US" w:eastAsia="zh-CN"/>
        </w:rPr>
        <w:outlineLvl w:val="9"/>
      </w:pPr>
      <w:r>
        <w:rPr>
          <w:rFonts w:hint="eastAsia"/>
          <w:color w:val="auto"/>
          <w:sz w:val="24"/>
          <w:highlight w:val="none"/>
        </w:rPr>
        <w:t xml:space="preserve">                                </w:t>
      </w:r>
      <w:r>
        <w:rPr>
          <w:rFonts w:hint="eastAsia"/>
          <w:color w:val="auto"/>
          <w:sz w:val="24"/>
          <w:highlight w:val="none"/>
          <w:lang w:val="en-US" w:eastAsia="zh-CN"/>
        </w:rPr>
        <w:t xml:space="preserve">                     </w:t>
      </w:r>
      <w:r/>
    </w:p>
    <w:p>
      <w:pPr>
        <w:ind w:firstLine="480"/>
        <w:jc w:val="right"/>
        <w:keepLines w:val="0"/>
        <w:keepNext w:val="0"/>
        <w:rPr>
          <w:rFonts w:hint="eastAsia"/>
          <w:color w:val="auto"/>
          <w:sz w:val="24"/>
          <w:highlight w:val="none"/>
        </w:rPr>
        <w:outlineLvl w:val="9"/>
      </w:pPr>
      <w:r>
        <w:rPr>
          <w:rFonts w:hint="eastAsia"/>
          <w:color w:val="auto"/>
          <w:sz w:val="24"/>
          <w:highlight w:val="none"/>
        </w:rPr>
        <w:t xml:space="preserve">投标单位（加盖公章）：</w:t>
      </w:r>
      <w:r/>
    </w:p>
    <w:p>
      <w:pPr>
        <w:ind w:firstLine="480"/>
        <w:keepLines w:val="0"/>
        <w:keepNext w:val="0"/>
        <w:rPr>
          <w:rFonts w:hint="eastAsia"/>
          <w:color w:val="auto"/>
          <w:sz w:val="24"/>
          <w:highlight w:val="none"/>
        </w:rPr>
        <w:outlineLvl w:val="9"/>
      </w:pPr>
      <w:r>
        <w:rPr>
          <w:rFonts w:hint="eastAsia"/>
          <w:color w:val="auto"/>
          <w:sz w:val="24"/>
          <w:highlight w:val="none"/>
        </w:rPr>
      </w:r>
      <w:r/>
    </w:p>
    <w:p>
      <w:pPr>
        <w:pStyle w:val="1022"/>
        <w:numPr>
          <w:ilvl w:val="0"/>
          <w:numId w:val="27"/>
        </w:numPr>
        <w:ind w:left="0" w:firstLine="0"/>
        <w:jc w:val="center"/>
        <w:keepLines w:val="0"/>
        <w:keepNext w:val="0"/>
        <w:pageBreakBefore/>
        <w:spacing w:line="440" w:lineRule="exact"/>
        <w:widowControl w:val="off"/>
        <w:rPr>
          <w:rFonts w:hint="eastAsia" w:ascii="宋体" w:hAnsi="宋体" w:eastAsia="宋体" w:cs="宋体"/>
          <w:b/>
          <w:color w:val="auto"/>
          <w:sz w:val="32"/>
          <w:szCs w:val="32"/>
          <w:highlight w:val="none"/>
          <w:lang w:val="en-US" w:eastAsia="zh-CN"/>
        </w:rPr>
        <w:outlineLvl w:val="9"/>
      </w:pPr>
      <w:r>
        <w:rPr>
          <w:rFonts w:hint="eastAsia" w:ascii="宋体" w:hAnsi="宋体" w:eastAsia="宋体" w:cs="宋体"/>
          <w:b/>
          <w:color w:val="auto"/>
          <w:sz w:val="32"/>
          <w:szCs w:val="32"/>
          <w:highlight w:val="none"/>
          <w:lang w:val="en-US" w:eastAsia="zh-CN"/>
        </w:rPr>
        <w:t xml:space="preserve">关于资格证明文件的书面承诺</w:t>
      </w:r>
      <w:r/>
    </w:p>
    <w:p>
      <w:pPr>
        <w:ind w:firstLine="643"/>
        <w:jc w:val="center"/>
        <w:keepLines w:val="0"/>
        <w:keepNext w:val="0"/>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pStyle w:val="982"/>
        <w:ind w:firstLine="480"/>
        <w:keepLines w:val="0"/>
        <w:keepNext w:val="0"/>
        <w:rPr>
          <w:rFonts w:ascii="宋体" w:hAnsi="宋体"/>
          <w:color w:val="auto"/>
          <w:sz w:val="24"/>
          <w:szCs w:val="24"/>
          <w:highlight w:val="none"/>
        </w:rPr>
        <w:outlineLvl w:val="9"/>
      </w:pPr>
      <w:r>
        <w:rPr>
          <w:rFonts w:hint="eastAsia" w:ascii="宋体" w:hAnsi="宋体"/>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color w:val="auto"/>
          <w:sz w:val="24"/>
          <w:highlight w:val="none"/>
        </w:rPr>
        <w:outlineLvl w:val="9"/>
      </w:pPr>
      <w:r>
        <w:rPr>
          <w:rFonts w:hint="eastAsia" w:ascii="宋体" w:hAnsi="宋体"/>
          <w:color w:val="auto"/>
          <w:sz w:val="24"/>
          <w:highlight w:val="none"/>
        </w:rPr>
      </w:r>
      <w:r/>
    </w:p>
    <w:p>
      <w:pPr>
        <w:ind w:firstLine="643"/>
        <w:jc w:val="center"/>
        <w:keepLines w:val="0"/>
        <w:keepNext w:val="0"/>
        <w:rPr>
          <w:rFonts w:hint="eastAsia"/>
          <w:b/>
          <w:color w:val="auto"/>
          <w:sz w:val="32"/>
          <w:szCs w:val="32"/>
          <w:highlight w:val="none"/>
        </w:rPr>
        <w:outlineLvl w:val="9"/>
      </w:pPr>
      <w:r>
        <w:rPr>
          <w:rFonts w:hint="eastAsia"/>
          <w:b/>
          <w:color w:val="auto"/>
          <w:sz w:val="32"/>
          <w:szCs w:val="32"/>
          <w:highlight w:val="none"/>
        </w:rPr>
      </w:r>
      <w:r/>
    </w:p>
    <w:p>
      <w:pPr>
        <w:ind w:firstLine="480"/>
        <w:jc w:val="right"/>
        <w:keepLines w:val="0"/>
        <w:keepNext w:val="0"/>
        <w:rPr>
          <w:rFonts w:hint="eastAsia" w:ascii="宋体" w:hAnsi="宋体"/>
          <w:color w:val="auto"/>
          <w:sz w:val="24"/>
          <w:highlight w:val="none"/>
        </w:rPr>
        <w:outlineLvl w:val="9"/>
      </w:pPr>
      <w:r>
        <w:rPr>
          <w:rFonts w:hint="eastAsia" w:ascii="宋体" w:hAnsi="宋体"/>
          <w:color w:val="auto"/>
          <w:sz w:val="24"/>
          <w:highlight w:val="none"/>
        </w:rPr>
        <w:t xml:space="preserve">     投标单位（加盖公章）：</w:t>
      </w:r>
      <w:r/>
    </w:p>
    <w:p>
      <w:pPr>
        <w:ind w:firstLine="560"/>
        <w:jc w:val="center"/>
        <w:keepLines w:val="0"/>
        <w:keepNext w:val="0"/>
        <w:rPr>
          <w:rFonts w:hint="eastAsia" w:ascii="仿宋_GB2312" w:eastAsia="仿宋_GB2312"/>
          <w:color w:val="auto"/>
          <w:sz w:val="28"/>
          <w:szCs w:val="28"/>
          <w:highlight w:val="none"/>
        </w:rPr>
        <w:outlineLvl w:val="9"/>
      </w:pPr>
      <w:r>
        <w:rPr>
          <w:rFonts w:hint="eastAsia" w:ascii="仿宋_GB2312" w:eastAsia="仿宋_GB2312"/>
          <w:color w:val="auto"/>
          <w:sz w:val="28"/>
          <w:szCs w:val="28"/>
          <w:highlight w:val="none"/>
        </w:rPr>
      </w:r>
      <w:r/>
    </w:p>
    <w:p>
      <w:pPr>
        <w:pStyle w:val="1022"/>
        <w:numPr>
          <w:ilvl w:val="0"/>
          <w:numId w:val="27"/>
        </w:numPr>
        <w:ind w:left="0" w:firstLine="0"/>
        <w:jc w:val="center"/>
        <w:keepLines w:val="0"/>
        <w:keepNext w:val="0"/>
        <w:pageBreakBefore/>
        <w:spacing w:line="440" w:lineRule="exact"/>
        <w:widowControl w:val="off"/>
        <w:rPr>
          <w:rFonts w:hint="eastAsia" w:ascii="宋体" w:hAnsi="宋体" w:eastAsia="宋体" w:cs="宋体"/>
          <w:b/>
          <w:color w:val="auto"/>
          <w:sz w:val="32"/>
          <w:szCs w:val="32"/>
          <w:highlight w:val="none"/>
          <w:lang w:val="en-US" w:eastAsia="zh-CN"/>
        </w:rPr>
        <w:outlineLvl w:val="9"/>
      </w:pPr>
      <w:r>
        <w:rPr>
          <w:rFonts w:hint="eastAsia" w:cs="宋体"/>
          <w:b/>
          <w:color w:val="auto"/>
          <w:sz w:val="32"/>
          <w:szCs w:val="32"/>
          <w:highlight w:val="none"/>
          <w:lang w:val="en-US" w:eastAsia="zh-CN"/>
        </w:rPr>
        <w:t xml:space="preserve">授权委托书</w:t>
      </w:r>
      <w:r/>
    </w:p>
    <w:p>
      <w:pPr>
        <w:ind w:left="0" w:firstLine="0"/>
        <w:rPr>
          <w:rFonts w:hint="eastAsia"/>
          <w:color w:val="auto"/>
          <w:highlight w:val="none"/>
          <w:lang w:val="en-US" w:eastAsia="zh-CN"/>
        </w:rPr>
      </w:pPr>
      <w:r>
        <w:rPr>
          <w:rFonts w:hint="eastAsia"/>
          <w:color w:val="auto"/>
          <w:highlight w:val="none"/>
          <w:lang w:val="en-US" w:eastAsia="zh-CN"/>
        </w:rPr>
      </w:r>
      <w:r/>
    </w:p>
    <w:p>
      <w:pPr>
        <w:pStyle w:val="1033"/>
        <w:ind w:firstLine="480"/>
        <w:keepLines w:val="0"/>
        <w:keepNext w:val="0"/>
        <w:pageBreakBefore w:val="0"/>
        <w:spacing w:line="440" w:lineRule="exact"/>
        <w:widowControl/>
        <w:rPr>
          <w:rStyle w:val="980"/>
          <w:rFonts w:ascii="Times New Roman" w:hAnsi="Times New Roman" w:eastAsia="Times New Roman" w:cs="Times New Roman"/>
          <w:color w:val="auto"/>
          <w:sz w:val="24"/>
          <w:szCs w:val="24"/>
          <w:highlight w:val="none"/>
        </w:rPr>
        <w:outlineLvl w:val="9"/>
      </w:pPr>
      <w:r>
        <w:rPr>
          <w:rStyle w:val="980"/>
          <w:rFonts w:ascii="Times New Roman" w:hAnsi="Times New Roman" w:eastAsia="Times New Roman" w:cs="Times New Roman"/>
          <w:color w:val="auto"/>
          <w:highlight w:val="none"/>
        </w:rPr>
        <w:t xml:space="preserve">本授权书声明： </w:t>
      </w:r>
      <w:r>
        <w:rPr>
          <w:rStyle w:val="980"/>
          <w:rFonts w:ascii="Times New Roman" w:hAnsi="Times New Roman" w:eastAsia="Times New Roman" w:cs="Times New Roman"/>
          <w:color w:val="auto"/>
          <w:highlight w:val="none"/>
          <w:u w:val="single"/>
        </w:rPr>
        <w:t xml:space="preserve">  （</w:t>
      </w:r>
      <w:r>
        <w:rPr>
          <w:rStyle w:val="980"/>
          <w:rFonts w:hint="eastAsia" w:eastAsia="宋体" w:cs="Times New Roman"/>
          <w:color w:val="auto"/>
          <w:highlight w:val="none"/>
          <w:u w:val="single"/>
          <w:lang w:val="en-US" w:eastAsia="zh-CN"/>
        </w:rPr>
        <w:t xml:space="preserve">投标人</w:t>
      </w:r>
      <w:r>
        <w:rPr>
          <w:rStyle w:val="980"/>
          <w:rFonts w:ascii="Times New Roman" w:hAnsi="Times New Roman" w:eastAsia="Times New Roman" w:cs="Times New Roman"/>
          <w:color w:val="auto"/>
          <w:highlight w:val="none"/>
          <w:u w:val="single"/>
        </w:rPr>
        <w:t xml:space="preserve">名称）</w:t>
      </w:r>
      <w:r>
        <w:rPr>
          <w:rStyle w:val="980"/>
          <w:rFonts w:ascii="Times New Roman" w:hAnsi="Times New Roman" w:eastAsia="Times New Roman" w:cs="Times New Roman"/>
          <w:color w:val="auto"/>
          <w:highlight w:val="none"/>
        </w:rPr>
        <w:t xml:space="preserve">授权(</w:t>
      </w:r>
      <w:r>
        <w:rPr>
          <w:rStyle w:val="980"/>
          <w:rFonts w:ascii="Times New Roman" w:hAnsi="Times New Roman" w:eastAsia="Times New Roman" w:cs="Times New Roman"/>
          <w:color w:val="auto"/>
          <w:highlight w:val="none"/>
          <w:u w:val="single"/>
        </w:rPr>
        <w:t xml:space="preserve">被授权人的姓名</w:t>
      </w:r>
      <w:r>
        <w:rPr>
          <w:rStyle w:val="980"/>
          <w:rFonts w:ascii="Times New Roman" w:hAnsi="Times New Roman" w:eastAsia="Times New Roman" w:cs="Times New Roman"/>
          <w:color w:val="auto"/>
          <w:highlight w:val="none"/>
        </w:rPr>
        <w:t xml:space="preserve">)为我方就 </w:t>
      </w:r>
      <w:r>
        <w:rPr>
          <w:rStyle w:val="980"/>
          <w:rFonts w:hint="eastAsia" w:eastAsia="宋体" w:cs="Times New Roman"/>
          <w:color w:val="auto"/>
          <w:highlight w:val="none"/>
          <w:u w:val="single"/>
          <w:lang w:val="en-US" w:eastAsia="zh-CN"/>
        </w:rPr>
        <w:t xml:space="preserve">     </w:t>
      </w:r>
      <w:r>
        <w:rPr>
          <w:rStyle w:val="980"/>
          <w:rFonts w:ascii="Times New Roman" w:hAnsi="Times New Roman" w:eastAsia="Times New Roman" w:cs="Times New Roman"/>
          <w:color w:val="auto"/>
          <w:highlight w:val="none"/>
        </w:rPr>
        <w:t xml:space="preserve">项目采购活动的合法代理人，以本单位名义全权处理一切与该项目采购有关的事务。</w:t>
      </w:r>
      <w:r>
        <w:rPr>
          <w:rStyle w:val="1054"/>
          <w:rFonts w:hint="eastAsia"/>
          <w:color w:val="auto"/>
          <w:highlight w:val="none"/>
        </w:rPr>
        <w:t xml:space="preserve">其代表本单位处理相关事项所产生的一切责任由本单位承担。</w:t>
      </w:r>
      <w:r>
        <w:rPr>
          <w:rStyle w:val="980"/>
          <w:rFonts w:ascii="Times New Roman" w:hAnsi="Times New Roman" w:eastAsia="Times New Roman" w:cs="Times New Roman"/>
          <w:color w:val="auto"/>
          <w:highlight w:val="none"/>
        </w:rPr>
        <w:t xml:space="preserve"> </w:t>
      </w:r>
      <w:r/>
    </w:p>
    <w:p>
      <w:pPr>
        <w:pStyle w:val="1033"/>
        <w:ind w:firstLine="480"/>
        <w:keepLines w:val="0"/>
        <w:keepNext w:val="0"/>
        <w:pageBreakBefore w:val="0"/>
        <w:spacing w:line="440" w:lineRule="exact"/>
        <w:widowControl/>
        <w:rPr>
          <w:rStyle w:val="980"/>
          <w:rFonts w:ascii="Times New Roman" w:hAnsi="Times New Roman" w:eastAsia="Times New Roman" w:cs="Times New Roman"/>
          <w:color w:val="auto"/>
          <w:sz w:val="24"/>
          <w:szCs w:val="24"/>
          <w:highlight w:val="none"/>
        </w:rPr>
        <w:outlineLvl w:val="9"/>
      </w:pPr>
      <w:r>
        <w:rPr>
          <w:rStyle w:val="980"/>
          <w:rFonts w:ascii="Times New Roman" w:hAnsi="Times New Roman" w:eastAsia="Times New Roman" w:cs="Times New Roman"/>
          <w:color w:val="auto"/>
          <w:highlight w:val="none"/>
        </w:rPr>
        <w:t xml:space="preserve">本授权书于</w:t>
      </w:r>
      <w:r>
        <w:rPr>
          <w:rStyle w:val="980"/>
          <w:rFonts w:hint="eastAsia" w:eastAsia="宋体" w:cs="Times New Roman"/>
          <w:color w:val="auto"/>
          <w:highlight w:val="none"/>
          <w:u w:val="single"/>
          <w:lang w:val="en-US" w:eastAsia="zh-CN"/>
        </w:rPr>
        <w:t xml:space="preserve">        </w:t>
      </w:r>
      <w:r>
        <w:rPr>
          <w:rStyle w:val="980"/>
          <w:rFonts w:ascii="Times New Roman" w:hAnsi="Times New Roman" w:eastAsia="Times New Roman" w:cs="Times New Roman"/>
          <w:color w:val="auto"/>
          <w:highlight w:val="none"/>
        </w:rPr>
        <w:t xml:space="preserve">起生效，特此声明。  </w:t>
      </w:r>
      <w:r/>
    </w:p>
    <w:p>
      <w:pPr>
        <w:pStyle w:val="1033"/>
        <w:ind w:firstLine="480"/>
        <w:keepLines w:val="0"/>
        <w:keepNext w:val="0"/>
        <w:pageBreakBefore w:val="0"/>
        <w:spacing w:line="440" w:lineRule="exact"/>
        <w:widowControl/>
        <w:rPr>
          <w:rStyle w:val="980"/>
          <w:rFonts w:ascii="Times New Roman" w:hAnsi="Times New Roman" w:eastAsia="Times New Roman" w:cs="Times New Roman"/>
          <w:color w:val="auto"/>
          <w:sz w:val="24"/>
          <w:szCs w:val="24"/>
          <w:highlight w:val="none"/>
        </w:rPr>
        <w:outlineLvl w:val="9"/>
      </w:pPr>
      <w:r>
        <w:rPr>
          <w:rStyle w:val="980"/>
          <w:rFonts w:ascii="Times New Roman" w:hAnsi="Times New Roman" w:eastAsia="Times New Roman" w:cs="Times New Roman"/>
          <w:color w:val="auto"/>
          <w:highlight w:val="none"/>
        </w:rPr>
        <w:t xml:space="preserve"> </w:t>
      </w:r>
      <w:r/>
    </w:p>
    <w:p>
      <w:pPr>
        <w:pStyle w:val="1033"/>
        <w:ind w:firstLine="4560"/>
        <w:keepLines w:val="0"/>
        <w:keepNext w:val="0"/>
        <w:spacing w:before="240" w:after="240"/>
        <w:rPr>
          <w:rStyle w:val="980"/>
          <w:rFonts w:ascii="Times New Roman" w:hAnsi="Times New Roman" w:eastAsia="Times New Roman" w:cs="Times New Roman"/>
          <w:color w:val="auto"/>
          <w:sz w:val="24"/>
          <w:szCs w:val="24"/>
          <w:highlight w:val="none"/>
        </w:rPr>
        <w:outlineLvl w:val="9"/>
      </w:pPr>
      <w:r>
        <w:rPr>
          <w:rStyle w:val="980"/>
          <w:rFonts w:ascii="Times New Roman" w:hAnsi="Times New Roman" w:eastAsia="Times New Roman" w:cs="Times New Roman"/>
          <w:color w:val="auto"/>
          <w:highlight w:val="none"/>
        </w:rPr>
        <w:t xml:space="preserve">被授权人身份证号码：   </w:t>
      </w:r>
      <w:r/>
    </w:p>
    <w:p>
      <w:pPr>
        <w:pStyle w:val="1033"/>
        <w:ind w:firstLine="4560"/>
        <w:keepLines w:val="0"/>
        <w:keepNext w:val="0"/>
        <w:spacing w:before="240" w:after="240"/>
        <w:rPr>
          <w:rStyle w:val="980"/>
          <w:rFonts w:ascii="Times New Roman" w:hAnsi="Times New Roman" w:eastAsia="Times New Roman" w:cs="Times New Roman"/>
          <w:color w:val="auto"/>
          <w:highlight w:val="none"/>
        </w:rPr>
        <w:outlineLvl w:val="9"/>
      </w:pPr>
      <w:r>
        <w:rPr>
          <w:rStyle w:val="980"/>
          <w:rFonts w:ascii="Times New Roman" w:hAnsi="Times New Roman" w:eastAsia="Times New Roman" w:cs="Times New Roman"/>
          <w:color w:val="auto"/>
          <w:highlight w:val="none"/>
        </w:rPr>
        <w:t xml:space="preserve">被授权人联系电话：（手机）   </w:t>
      </w:r>
      <w:r/>
    </w:p>
    <w:p>
      <w:pPr>
        <w:pStyle w:val="1033"/>
        <w:ind w:firstLine="4560"/>
        <w:keepLines w:val="0"/>
        <w:keepNext w:val="0"/>
        <w:spacing w:before="240" w:after="240"/>
        <w:rPr>
          <w:rStyle w:val="980"/>
          <w:rFonts w:ascii="Times New Roman" w:hAnsi="Times New Roman" w:eastAsia="Times New Roman" w:cs="Times New Roman"/>
          <w:color w:val="auto"/>
          <w:highlight w:val="none"/>
        </w:rPr>
        <w:outlineLvl w:val="9"/>
      </w:pPr>
      <w:r>
        <w:rPr>
          <w:rStyle w:val="980"/>
          <w:rFonts w:ascii="Times New Roman" w:hAnsi="Times New Roman" w:eastAsia="Times New Roman" w:cs="Times New Roman"/>
          <w:color w:val="auto"/>
          <w:highlight w:val="none"/>
        </w:rPr>
        <w:t xml:space="preserve">授权单位名称：   （加盖公章）</w:t>
      </w:r>
      <w:r/>
    </w:p>
    <w:p>
      <w:pPr>
        <w:pStyle w:val="1033"/>
        <w:ind w:firstLine="4560"/>
        <w:keepLines w:val="0"/>
        <w:keepNext w:val="0"/>
        <w:spacing w:before="240" w:after="240"/>
        <w:rPr>
          <w:rStyle w:val="980"/>
          <w:rFonts w:ascii="Times New Roman" w:hAnsi="Times New Roman" w:eastAsia="Times New Roman" w:cs="Times New Roman"/>
          <w:color w:val="auto"/>
          <w:highlight w:val="none"/>
        </w:rPr>
        <w:outlineLvl w:val="9"/>
      </w:pPr>
      <w:r>
        <w:rPr>
          <w:rStyle w:val="980"/>
          <w:rFonts w:ascii="Times New Roman" w:hAnsi="Times New Roman" w:eastAsia="Times New Roman" w:cs="Times New Roman"/>
          <w:color w:val="auto"/>
          <w:highlight w:val="none"/>
        </w:rPr>
        <w:t xml:space="preserve">单位地址：   </w:t>
      </w:r>
      <w:r/>
    </w:p>
    <w:p>
      <w:pPr>
        <w:pStyle w:val="1033"/>
        <w:ind w:firstLine="4560"/>
        <w:keepLines w:val="0"/>
        <w:keepNext w:val="0"/>
        <w:spacing w:before="240" w:after="240"/>
        <w:rPr>
          <w:rStyle w:val="980"/>
          <w:rFonts w:ascii="Times New Roman" w:hAnsi="Times New Roman" w:eastAsia="Times New Roman" w:cs="Times New Roman"/>
          <w:color w:val="auto"/>
          <w:highlight w:val="none"/>
        </w:rPr>
        <w:outlineLvl w:val="9"/>
      </w:pPr>
      <w:r>
        <w:rPr>
          <w:rStyle w:val="980"/>
          <w:rFonts w:ascii="Times New Roman" w:hAnsi="Times New Roman" w:eastAsia="Times New Roman" w:cs="Times New Roman"/>
          <w:color w:val="auto"/>
          <w:highlight w:val="none"/>
        </w:rPr>
        <w:t xml:space="preserve">日期：</w:t>
      </w:r>
      <w:r/>
    </w:p>
    <w:p>
      <w:pPr>
        <w:pStyle w:val="1033"/>
        <w:ind w:firstLine="4560"/>
        <w:keepLines w:val="0"/>
        <w:keepNext w:val="0"/>
        <w:spacing w:before="240" w:after="240"/>
        <w:rPr>
          <w:rStyle w:val="980"/>
          <w:rFonts w:ascii="Times New Roman" w:hAnsi="Times New Roman" w:eastAsia="Times New Roman" w:cs="Times New Roman"/>
          <w:color w:val="auto"/>
          <w:highlight w:val="none"/>
        </w:rPr>
        <w:outlineLvl w:val="9"/>
      </w:pPr>
      <w:r>
        <w:rPr>
          <w:rFonts w:ascii="Times New Roman" w:hAnsi="Times New Roman" w:eastAsia="Times New Roman" w:cs="Times New Roman"/>
          <w:color w:val="auto"/>
          <w:highlight w:val="none"/>
        </w:rPr>
      </w:r>
      <w:r/>
    </w:p>
    <w:p>
      <w:pPr>
        <w:pStyle w:val="1022"/>
        <w:numPr>
          <w:ilvl w:val="0"/>
          <w:numId w:val="0"/>
        </w:numPr>
        <w:ind w:firstLine="482"/>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lang w:val="en-US" w:eastAsia="zh-CN"/>
        </w:rPr>
        <w:outlineLvl w:val="9"/>
      </w:pPr>
      <w:r>
        <w:rPr>
          <w:rFonts w:hint="eastAsia" w:ascii="宋体" w:hAnsi="宋体" w:eastAsia="宋体" w:cs="宋体"/>
          <w:b/>
          <w:bCs/>
          <w:i w:val="0"/>
          <w:iCs w:val="0"/>
          <w:color w:val="auto"/>
          <w:sz w:val="24"/>
          <w:szCs w:val="24"/>
          <w:highlight w:val="none"/>
          <w:u w:val="none"/>
          <w:lang w:val="en-US" w:eastAsia="zh-CN"/>
        </w:rPr>
      </w:r>
      <w:r/>
    </w:p>
    <w:p>
      <w:pPr>
        <w:pStyle w:val="1022"/>
        <w:numPr>
          <w:ilvl w:val="0"/>
          <w:numId w:val="0"/>
        </w:numPr>
        <w:ind w:firstLine="482"/>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u w:val="none"/>
          <w:lang w:val="en-US" w:eastAsia="zh-CN"/>
        </w:rPr>
        <w:outlineLvl w:val="9"/>
      </w:pPr>
      <w:r>
        <w:rPr>
          <w:rFonts w:hint="eastAsia" w:ascii="宋体" w:hAnsi="宋体" w:eastAsia="宋体" w:cs="宋体"/>
          <w:b/>
          <w:bCs/>
          <w:i w:val="0"/>
          <w:iCs w:val="0"/>
          <w:color w:val="auto"/>
          <w:sz w:val="24"/>
          <w:szCs w:val="24"/>
          <w:highlight w:val="none"/>
          <w:u w:val="none"/>
          <w:lang w:val="en-US" w:eastAsia="zh-CN"/>
        </w:rPr>
      </w:r>
      <w:r/>
    </w:p>
    <w:p>
      <w:pPr>
        <w:pStyle w:val="1022"/>
        <w:numPr>
          <w:ilvl w:val="0"/>
          <w:numId w:val="0"/>
        </w:numPr>
        <w:ind w:firstLine="482"/>
        <w:keepLines w:val="0"/>
        <w:keepNext w:val="0"/>
        <w:pageBreakBefore w:val="0"/>
        <w:spacing w:line="440" w:lineRule="exact"/>
        <w:widowControl w:val="off"/>
        <w:rPr>
          <w:rStyle w:val="105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i w:val="0"/>
          <w:iCs w:val="0"/>
          <w:color w:val="auto"/>
          <w:sz w:val="24"/>
          <w:szCs w:val="24"/>
          <w:highlight w:val="none"/>
          <w:u w:val="none"/>
          <w:lang w:val="en-US" w:eastAsia="zh-CN"/>
        </w:rPr>
        <w:t xml:space="preserve">附：</w:t>
      </w:r>
      <w:r>
        <w:rPr>
          <w:rStyle w:val="1054"/>
          <w:rFonts w:hint="eastAsia" w:ascii="宋体" w:hAnsi="宋体" w:eastAsia="宋体" w:cs="宋体"/>
          <w:b/>
          <w:bCs w:val="0"/>
          <w:color w:val="auto"/>
          <w:sz w:val="24"/>
          <w:szCs w:val="22"/>
          <w:highlight w:val="none"/>
        </w:rPr>
        <w:t xml:space="preserve">被授权人非法定代表人的，应提供授权委托书</w:t>
      </w:r>
      <w:r>
        <w:rPr>
          <w:rStyle w:val="1054"/>
          <w:rFonts w:hint="eastAsia" w:ascii="宋体" w:hAnsi="宋体" w:eastAsia="宋体" w:cs="宋体"/>
          <w:b/>
          <w:bCs w:val="0"/>
          <w:color w:val="auto"/>
          <w:sz w:val="24"/>
          <w:szCs w:val="22"/>
          <w:highlight w:val="none"/>
          <w:lang w:val="en-US" w:eastAsia="zh-CN"/>
        </w:rPr>
        <w:t xml:space="preserve">以及</w:t>
      </w:r>
      <w:r>
        <w:rPr>
          <w:rFonts w:hint="eastAsia" w:ascii="宋体" w:hAnsi="宋体" w:eastAsia="宋体" w:cs="宋体"/>
          <w:b/>
          <w:bCs/>
          <w:i w:val="0"/>
          <w:iCs w:val="0"/>
          <w:color w:val="auto"/>
          <w:sz w:val="24"/>
          <w:szCs w:val="24"/>
          <w:highlight w:val="none"/>
          <w:u w:val="none"/>
          <w:lang w:val="en-US" w:eastAsia="zh-CN"/>
        </w:rPr>
        <w:t xml:space="preserve">法定代表人的、被授权人代表的身份证明材料；</w:t>
      </w:r>
      <w:r>
        <w:rPr>
          <w:rStyle w:val="1054"/>
          <w:rFonts w:hint="eastAsia" w:ascii="宋体" w:hAnsi="宋体" w:eastAsia="宋体" w:cs="宋体"/>
          <w:b/>
          <w:bCs w:val="0"/>
          <w:color w:val="auto"/>
          <w:sz w:val="24"/>
          <w:szCs w:val="22"/>
          <w:highlight w:val="none"/>
        </w:rPr>
        <w:t xml:space="preserve">被授权人是法定代表人的，应</w:t>
      </w:r>
      <w:r>
        <w:rPr>
          <w:rStyle w:val="1054"/>
          <w:rFonts w:hint="eastAsia" w:ascii="宋体" w:hAnsi="宋体" w:eastAsia="宋体" w:cs="宋体"/>
          <w:b/>
          <w:bCs w:val="0"/>
          <w:color w:val="auto"/>
          <w:sz w:val="24"/>
          <w:szCs w:val="22"/>
          <w:highlight w:val="none"/>
          <w:lang w:val="en-US" w:eastAsia="zh-CN"/>
        </w:rPr>
        <w:t xml:space="preserve">提供</w:t>
      </w:r>
      <w:r>
        <w:rPr>
          <w:rStyle w:val="1054"/>
          <w:rFonts w:hint="eastAsia" w:ascii="宋体" w:hAnsi="宋体" w:eastAsia="宋体" w:cs="宋体"/>
          <w:b/>
          <w:bCs w:val="0"/>
          <w:color w:val="auto"/>
          <w:sz w:val="24"/>
          <w:szCs w:val="22"/>
          <w:highlight w:val="none"/>
        </w:rPr>
        <w:t xml:space="preserve">法定代表人身份证明</w:t>
      </w:r>
      <w:r>
        <w:rPr>
          <w:rStyle w:val="1054"/>
          <w:rFonts w:hint="eastAsia" w:ascii="宋体" w:hAnsi="宋体" w:eastAsia="宋体" w:cs="宋体"/>
          <w:b/>
          <w:bCs w:val="0"/>
          <w:color w:val="auto"/>
          <w:sz w:val="24"/>
          <w:szCs w:val="22"/>
          <w:highlight w:val="none"/>
          <w:lang w:val="en-US" w:eastAsia="zh-CN"/>
        </w:rPr>
        <w:t xml:space="preserve">材料</w:t>
      </w:r>
      <w:r>
        <w:rPr>
          <w:rStyle w:val="1054"/>
          <w:rFonts w:hint="eastAsia" w:ascii="宋体" w:hAnsi="宋体" w:eastAsia="宋体" w:cs="宋体"/>
          <w:b/>
          <w:bCs w:val="0"/>
          <w:color w:val="auto"/>
          <w:sz w:val="24"/>
          <w:szCs w:val="22"/>
          <w:highlight w:val="none"/>
          <w:lang w:eastAsia="zh-CN"/>
        </w:rPr>
        <w:t xml:space="preserve">。</w:t>
      </w:r>
      <w:r/>
    </w:p>
    <w:p>
      <w:pPr>
        <w:pStyle w:val="1022"/>
        <w:numPr>
          <w:ilvl w:val="0"/>
          <w:numId w:val="0"/>
        </w:numPr>
        <w:ind w:firstLine="482"/>
        <w:keepLines w:val="0"/>
        <w:keepNext w:val="0"/>
        <w:pageBreakBefore w:val="0"/>
        <w:spacing w:line="440" w:lineRule="exact"/>
        <w:widowControl w:val="off"/>
        <w:rPr>
          <w:rStyle w:val="105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22"/>
        <w:numPr>
          <w:ilvl w:val="0"/>
          <w:numId w:val="0"/>
        </w:numPr>
        <w:ind w:firstLine="482"/>
        <w:keepLines w:val="0"/>
        <w:keepNext w:val="0"/>
        <w:pageBreakBefore w:val="0"/>
        <w:spacing w:line="440" w:lineRule="exact"/>
        <w:widowControl w:val="off"/>
        <w:rPr>
          <w:rStyle w:val="105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22"/>
        <w:numPr>
          <w:ilvl w:val="0"/>
          <w:numId w:val="0"/>
        </w:numPr>
        <w:ind w:firstLine="482"/>
        <w:keepLines w:val="0"/>
        <w:keepNext w:val="0"/>
        <w:pageBreakBefore w:val="0"/>
        <w:spacing w:line="440" w:lineRule="exact"/>
        <w:widowControl w:val="off"/>
        <w:rPr>
          <w:rStyle w:val="105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22"/>
        <w:numPr>
          <w:ilvl w:val="0"/>
          <w:numId w:val="0"/>
        </w:numPr>
        <w:ind w:firstLine="482"/>
        <w:keepLines w:val="0"/>
        <w:keepNext w:val="0"/>
        <w:pageBreakBefore w:val="0"/>
        <w:spacing w:line="440" w:lineRule="exact"/>
        <w:widowControl w:val="off"/>
        <w:rPr>
          <w:rStyle w:val="105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22"/>
        <w:numPr>
          <w:ilvl w:val="0"/>
          <w:numId w:val="0"/>
        </w:numPr>
        <w:ind w:firstLine="482"/>
        <w:keepLines w:val="0"/>
        <w:keepNext w:val="0"/>
        <w:pageBreakBefore w:val="0"/>
        <w:spacing w:line="440" w:lineRule="exact"/>
        <w:widowControl w:val="off"/>
        <w:rPr>
          <w:rStyle w:val="105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22"/>
        <w:numPr>
          <w:ilvl w:val="0"/>
          <w:numId w:val="0"/>
        </w:numPr>
        <w:ind w:firstLine="482"/>
        <w:keepLines w:val="0"/>
        <w:keepNext w:val="0"/>
        <w:pageBreakBefore w:val="0"/>
        <w:spacing w:line="440" w:lineRule="exact"/>
        <w:widowControl w:val="off"/>
        <w:rPr>
          <w:rStyle w:val="105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22"/>
        <w:numPr>
          <w:ilvl w:val="0"/>
          <w:numId w:val="0"/>
        </w:numPr>
        <w:ind w:firstLine="482"/>
        <w:keepLines w:val="0"/>
        <w:keepNext w:val="0"/>
        <w:pageBreakBefore w:val="0"/>
        <w:spacing w:line="440" w:lineRule="exact"/>
        <w:widowControl w:val="off"/>
        <w:rPr>
          <w:rStyle w:val="105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22"/>
        <w:numPr>
          <w:ilvl w:val="0"/>
          <w:numId w:val="0"/>
        </w:numPr>
        <w:ind w:firstLine="482"/>
        <w:keepLines w:val="0"/>
        <w:keepNext w:val="0"/>
        <w:pageBreakBefore w:val="0"/>
        <w:spacing w:line="440" w:lineRule="exact"/>
        <w:widowControl w:val="off"/>
        <w:rPr>
          <w:rStyle w:val="105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22"/>
        <w:numPr>
          <w:ilvl w:val="0"/>
          <w:numId w:val="0"/>
        </w:numPr>
        <w:ind w:firstLine="482"/>
        <w:keepLines w:val="0"/>
        <w:keepNext w:val="0"/>
        <w:pageBreakBefore w:val="0"/>
        <w:spacing w:line="440" w:lineRule="exact"/>
        <w:widowControl w:val="off"/>
        <w:rPr>
          <w:rStyle w:val="105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22"/>
        <w:numPr>
          <w:ilvl w:val="0"/>
          <w:numId w:val="0"/>
        </w:numPr>
        <w:ind w:firstLine="482"/>
        <w:keepLines w:val="0"/>
        <w:keepNext w:val="0"/>
        <w:pageBreakBefore w:val="0"/>
        <w:spacing w:line="440" w:lineRule="exact"/>
        <w:widowControl w:val="off"/>
        <w:rPr>
          <w:rStyle w:val="105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22"/>
        <w:numPr>
          <w:ilvl w:val="0"/>
          <w:numId w:val="0"/>
        </w:numPr>
        <w:ind w:firstLine="482"/>
        <w:keepLines w:val="0"/>
        <w:keepNext w:val="0"/>
        <w:pageBreakBefore w:val="0"/>
        <w:spacing w:line="440" w:lineRule="exact"/>
        <w:widowControl w:val="off"/>
        <w:rPr>
          <w:rStyle w:val="105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22"/>
        <w:numPr>
          <w:ilvl w:val="0"/>
          <w:numId w:val="0"/>
        </w:numPr>
        <w:ind w:firstLine="482"/>
        <w:keepLines w:val="0"/>
        <w:keepNext w:val="0"/>
        <w:pageBreakBefore w:val="0"/>
        <w:spacing w:line="440" w:lineRule="exact"/>
        <w:widowControl w:val="off"/>
        <w:rPr>
          <w:rStyle w:val="105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ind w:left="0" w:right="0" w:firstLine="0"/>
        <w:jc w:val="center"/>
        <w:keepLines w:val="0"/>
        <w:keepNext w:val="0"/>
        <w:pageBreakBefore w:val="0"/>
        <w:spacing w:before="240" w:after="240" w:line="4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8.</w:t>
      </w:r>
      <w:r>
        <w:rPr>
          <w:rFonts w:ascii="宋体" w:hAnsi="宋体" w:eastAsia="宋体" w:cs="宋体"/>
          <w:b/>
          <w:color w:val="auto"/>
          <w:sz w:val="32"/>
          <w:highlight w:val="none"/>
        </w:rPr>
        <w:t xml:space="preserve">中小企业声明函(货物)</w:t>
      </w:r>
      <w:r/>
    </w:p>
    <w:p>
      <w:pPr>
        <w:ind w:left="0" w:right="0" w:firstLine="480"/>
        <w:keepLines w:val="0"/>
        <w:keepNext w:val="0"/>
        <w:pageBreakBefore w:val="0"/>
        <w:spacing w:before="240" w:after="240"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本公司郑重声明，根据《政府采购促进中小企业发展管理办法》(财库(2020)46号)的规定，本公司(联合体)参加</w:t>
      </w:r>
      <w:r>
        <w:rPr>
          <w:rFonts w:ascii="宋体" w:hAnsi="宋体" w:eastAsia="宋体" w:cs="宋体"/>
          <w:color w:val="auto"/>
          <w:sz w:val="24"/>
          <w:highlight w:val="none"/>
          <w:u w:val="single"/>
        </w:rPr>
        <w:t xml:space="preserve">(单位名称)</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(项目名称)</w:t>
      </w:r>
      <w:r>
        <w:rPr>
          <w:rFonts w:ascii="宋体" w:hAnsi="宋体" w:eastAsia="宋体" w:cs="宋体"/>
          <w:color w:val="auto"/>
          <w:sz w:val="24"/>
          <w:highlight w:val="none"/>
        </w:rPr>
        <w:t xml:space="preserve">采购活动，提供的货物全部由符合政策要求的中小企业制造。相关企业的具体情况如下:</w:t>
      </w:r>
      <w:r/>
    </w:p>
    <w:p>
      <w:pPr>
        <w:ind w:firstLine="480"/>
        <w:keepLines w:val="0"/>
        <w:keepNext w:val="0"/>
        <w:pageBreakBefore w:val="0"/>
        <w:spacing w:line="400" w:lineRule="exact"/>
        <w:shd w:val="clear" w:color="auto"/>
        <w:rPr>
          <w:rFonts w:hint="eastAsia" w:ascii="宋体" w:hAnsi="宋体" w:eastAsia="宋体" w:cs="宋体"/>
          <w:color w:val="auto"/>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企业；（中型企业、小型企业、微型企业）</w:t>
      </w:r>
      <w:r/>
    </w:p>
    <w:p>
      <w:pPr>
        <w:ind w:firstLine="480"/>
        <w:jc w:val="left"/>
        <w:keepLines w:val="0"/>
        <w:keepNext w:val="0"/>
        <w:pageBreakBefore w:val="0"/>
        <w:spacing w:line="400" w:lineRule="exact"/>
        <w:shd w:val="clear" w:color="auto"/>
        <w:tabs>
          <w:tab w:val="left" w:pos="6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企业；（中型企业、小型企业、微型企业）</w:t>
      </w:r>
      <w:r/>
    </w:p>
    <w:p>
      <w:pPr>
        <w:ind w:firstLine="480"/>
        <w:jc w:val="left"/>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企业；（中型企业、小型企业、微型企业）</w:t>
      </w:r>
      <w:r/>
    </w:p>
    <w:p>
      <w:pPr>
        <w:ind w:firstLine="480"/>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企业；（中型企业、小型企业、微型企业）</w:t>
      </w:r>
      <w:r/>
    </w:p>
    <w:p>
      <w:pPr>
        <w:pStyle w:val="829"/>
        <w:keepLines w:val="0"/>
        <w:keepNext w:val="0"/>
        <w:pageBreakBefore w:val="0"/>
        <w:spacing w:line="40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rPr>
          <w:rFonts w:hint="eastAsia" w:ascii="宋体" w:hAnsi="宋体" w:eastAsia="宋体" w:cs="宋体"/>
          <w:color w:val="auto"/>
          <w:szCs w:val="24"/>
          <w:highlight w:val="none"/>
          <w:u w:val="single"/>
        </w:rPr>
        <w:t xml:space="preserve">     （标的名称）   </w:t>
      </w:r>
      <w:r>
        <w:rPr>
          <w:rFonts w:hint="eastAsia" w:ascii="宋体" w:hAnsi="宋体" w:eastAsia="宋体" w:cs="宋体"/>
          <w:i/>
          <w:iCs/>
          <w:color w:val="auto"/>
          <w:szCs w:val="24"/>
          <w:highlight w:val="none"/>
        </w:rPr>
        <w:t xml:space="preserve">，</w:t>
      </w:r>
      <w:r>
        <w:rPr>
          <w:rFonts w:hint="eastAsia" w:ascii="宋体" w:hAnsi="宋体" w:eastAsia="宋体" w:cs="宋体"/>
          <w:color w:val="auto"/>
          <w:szCs w:val="24"/>
          <w:highlight w:val="none"/>
        </w:rPr>
        <w:t xml:space="preserve">属于</w:t>
      </w:r>
      <w:r>
        <w:rPr>
          <w:rFonts w:hint="eastAsia" w:ascii="宋体" w:hAnsi="宋体" w:eastAsia="宋体" w:cs="宋体"/>
          <w:color w:val="auto"/>
          <w:szCs w:val="24"/>
          <w:highlight w:val="none"/>
          <w:u w:val="single"/>
        </w:rPr>
        <w:t xml:space="preserve">      （采购文件中明确的所属行业）</w:t>
      </w:r>
      <w:r>
        <w:rPr>
          <w:rFonts w:hint="eastAsia" w:ascii="宋体" w:hAnsi="宋体" w:eastAsia="宋体" w:cs="宋体"/>
          <w:color w:val="auto"/>
          <w:szCs w:val="24"/>
          <w:highlight w:val="none"/>
        </w:rPr>
        <w:t xml:space="preserve">行业；</w:t>
      </w:r>
      <w:r>
        <w:rPr>
          <w:rFonts w:hint="eastAsia" w:ascii="宋体" w:hAnsi="宋体" w:eastAsia="宋体" w:cs="宋体"/>
          <w:b/>
          <w:bCs/>
          <w:color w:val="auto"/>
          <w:szCs w:val="24"/>
          <w:highlight w:val="none"/>
        </w:rPr>
        <w:t xml:space="preserve">制造商</w:t>
      </w:r>
      <w:r>
        <w:rPr>
          <w:rFonts w:hint="eastAsia" w:ascii="宋体" w:hAnsi="宋体" w:eastAsia="宋体" w:cs="宋体"/>
          <w:color w:val="auto"/>
          <w:szCs w:val="24"/>
          <w:highlight w:val="none"/>
        </w:rPr>
        <w:t xml:space="preserve">为</w:t>
      </w:r>
      <w:r>
        <w:rPr>
          <w:rFonts w:hint="eastAsia" w:ascii="宋体" w:hAnsi="宋体" w:eastAsia="宋体" w:cs="宋体"/>
          <w:color w:val="auto"/>
          <w:szCs w:val="24"/>
          <w:highlight w:val="none"/>
          <w:u w:val="single"/>
        </w:rPr>
        <w:t xml:space="preserve">          （企业名称）</w:t>
      </w:r>
      <w:r>
        <w:rPr>
          <w:rFonts w:hint="eastAsia" w:ascii="宋体" w:hAnsi="宋体" w:eastAsia="宋体" w:cs="宋体"/>
          <w:color w:val="auto"/>
          <w:szCs w:val="24"/>
          <w:highlight w:val="none"/>
        </w:rPr>
        <w:t xml:space="preserve">，从业人员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人，营业收入为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万元，资产总额为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万元，属于</w:t>
      </w:r>
      <w:r>
        <w:rPr>
          <w:rFonts w:hint="eastAsia" w:ascii="宋体" w:hAnsi="宋体" w:eastAsia="宋体" w:cs="宋体"/>
          <w:color w:val="auto"/>
          <w:szCs w:val="24"/>
          <w:highlight w:val="none"/>
          <w:u w:val="single"/>
        </w:rPr>
        <w:t xml:space="preserve">            企业；（中型企业、小型企业、微型企业）</w:t>
      </w:r>
      <w:r/>
    </w:p>
    <w:p>
      <w:pPr>
        <w:ind w:firstLine="480"/>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企业；（中型企业、小型企业、微型企业）</w:t>
      </w:r>
      <w:r/>
    </w:p>
    <w:p>
      <w:pPr>
        <w:ind w:firstLine="480"/>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企业；（中型企业、小型企业、微型企业）</w:t>
      </w:r>
      <w:r/>
    </w:p>
    <w:p>
      <w:pPr>
        <w:ind w:firstLine="480"/>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企业；（中型企业、小型企业、微型企业）</w:t>
      </w:r>
      <w:r/>
    </w:p>
    <w:p>
      <w:pPr>
        <w:ind w:firstLine="480"/>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企业；（中型企业、小型企业、微型企业）</w:t>
      </w:r>
      <w:r/>
    </w:p>
    <w:p>
      <w:pPr>
        <w:ind w:firstLine="480"/>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auto"/>
          <w:sz w:val="24"/>
          <w:szCs w:val="24"/>
          <w:highlight w:val="non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企业；（中型企业、小型企业、微型企业）</w:t>
      </w:r>
      <w:r/>
    </w:p>
    <w:p>
      <w:pPr>
        <w:ind w:firstLine="480"/>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p>
      <w:pPr>
        <w:ind w:firstLine="480"/>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p>
      <w:pPr>
        <w:ind w:firstLine="480"/>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rPr>
          <w:rFonts w:hint="eastAsia" w:ascii="宋体" w:hAnsi="宋体" w:eastAsia="宋体" w:cs="宋体"/>
          <w:color w:val="auto"/>
          <w:sz w:val="24"/>
          <w:szCs w:val="24"/>
          <w:highlight w:val="none"/>
          <w:u w:val="single"/>
        </w:rPr>
        <w:t xml:space="preserve">                </w:t>
      </w:r>
      <w:r/>
    </w:p>
    <w:p>
      <w:pPr>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ind w:firstLine="480"/>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注：供应商对照《关于印发中小企业划型标准规定的通知》（工信部联企业【2011】300号）中的标准，明确标的制造商所属企业类型。</w:t>
      </w:r>
      <w:r/>
    </w:p>
    <w:p>
      <w:pPr>
        <w:ind w:firstLine="482"/>
        <w:jc w:val="left"/>
        <w:keepLines w:val="0"/>
        <w:keepNext w:val="0"/>
        <w:pageBreakBefore w:val="0"/>
        <w:spacing w:before="240" w:after="240" w:line="4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jc w:val="left"/>
        <w:keepLines w:val="0"/>
        <w:keepNext w:val="0"/>
        <w:pageBreakBefore w:val="0"/>
        <w:spacing w:before="240" w:after="240" w:line="4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1.从业人员、营业收入、资产总额填报上一年度数据，无上一年度数据的新成立企业可不填报。</w:t>
      </w:r>
      <w:r/>
    </w:p>
    <w:p>
      <w:pPr>
        <w:ind w:firstLine="482"/>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2.涉及多个采购标的的项目，供应商应当逐一填报与采购项目属性一致的每个采购标的（主要采购标的，不包括配件、辅料等）的制造商或者承建（承接）供应商信息。</w:t>
      </w:r>
      <w:r/>
    </w:p>
    <w:p>
      <w:pPr>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附：中小企业划型标准规定</w:t>
      </w:r>
      <w:r/>
    </w:p>
    <w:p>
      <w:pPr>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keepLines w:val="0"/>
        <w:keepNext w:val="0"/>
        <w:pageBreakBefore w:val="0"/>
        <w:spacing w:before="240" w:after="24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keepLines w:val="0"/>
        <w:keepNext w:val="0"/>
        <w:pageBreakBefore w:val="0"/>
        <w:spacing w:before="240" w:after="240"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keepLines w:val="0"/>
        <w:keepNext w:val="0"/>
        <w:pageBreakBefore w:val="0"/>
        <w:spacing w:before="240" w:after="240"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keepLines w:val="0"/>
        <w:keepNext w:val="0"/>
        <w:pageBreakBefore w:val="0"/>
        <w:spacing w:before="240" w:after="240"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keepLines w:val="0"/>
        <w:keepNext w:val="0"/>
        <w:pageBreakBefore w:val="0"/>
        <w:spacing w:before="240" w:after="240"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keepLines w:val="0"/>
        <w:keepNext w:val="0"/>
        <w:pageBreakBefore w:val="0"/>
        <w:spacing w:before="240" w:after="240"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keepLines w:val="0"/>
        <w:keepNext w:val="0"/>
        <w:pageBreakBefore w:val="0"/>
        <w:spacing w:before="240" w:after="240"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keepLines w:val="0"/>
        <w:keepNext w:val="0"/>
        <w:pageBreakBefore w:val="0"/>
        <w:spacing w:before="240" w:after="240"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keepLines w:val="0"/>
        <w:keepNext w:val="0"/>
        <w:pageBreakBefore w:val="0"/>
        <w:spacing w:before="240" w:after="240"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keepLines w:val="0"/>
        <w:keepNext w:val="0"/>
        <w:pageBreakBefore w:val="0"/>
        <w:spacing w:before="240" w:after="240"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keepLines w:val="0"/>
        <w:keepNext w:val="0"/>
        <w:pageBreakBefore w:val="0"/>
        <w:spacing w:before="240" w:after="240"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keepLines w:val="0"/>
        <w:keepNext w:val="0"/>
        <w:pageBreakBefore w:val="0"/>
        <w:spacing w:before="240" w:after="240"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
        <w:rPr>
          <w:color w:val="auto"/>
          <w:highlight w:val="none"/>
        </w:rPr>
        <w:br w:type="page" w:clear="all"/>
      </w:r>
      <w:r/>
      <w:r>
        <w:rPr>
          <w:rFonts w:hint="eastAsia" w:ascii="宋体" w:hAnsi="宋体" w:eastAsia="宋体" w:cs="宋体"/>
          <w:color w:val="auto"/>
          <w:sz w:val="24"/>
          <w:szCs w:val="24"/>
          <w:highlight w:val="none"/>
        </w:rP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9、残疾人福利性单位声明函（专门面向中小企业）</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残疾人福利性单位声明函</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rPr>
          <w:rFonts w:ascii="宋体" w:hAnsi="宋体" w:eastAsia="宋体" w:cs="宋体"/>
          <w:color w:val="auto"/>
          <w:sz w:val="21"/>
          <w:highlight w:val="none"/>
        </w:rPr>
        <w:t xml:space="preserve">  本单位郑重声明，根据《财政部</w:t>
      </w:r>
      <w:r>
        <w:rPr>
          <w:rFonts w:ascii="Calibri" w:hAnsi="Calibri" w:eastAsia="Calibri" w:cs="Calibri"/>
          <w:color w:val="auto"/>
          <w:sz w:val="21"/>
          <w:highlight w:val="none"/>
        </w:rPr>
        <w:t xml:space="preserve"> </w:t>
      </w:r>
      <w:r>
        <w:rPr>
          <w:rFonts w:ascii="宋体" w:hAnsi="宋体" w:eastAsia="宋体" w:cs="宋体"/>
          <w:color w:val="auto"/>
          <w:sz w:val="21"/>
          <w:highlight w:val="none"/>
        </w:rPr>
        <w:t xml:space="preserve">民政部</w:t>
      </w:r>
      <w:r>
        <w:rPr>
          <w:rFonts w:ascii="Calibri" w:hAnsi="Calibri" w:eastAsia="Calibri" w:cs="Calibri"/>
          <w:color w:val="auto"/>
          <w:sz w:val="21"/>
          <w:highlight w:val="none"/>
        </w:rPr>
        <w:t xml:space="preserve"> </w:t>
      </w:r>
      <w:r>
        <w:rPr>
          <w:rFonts w:ascii="宋体" w:hAnsi="宋体" w:eastAsia="宋体" w:cs="宋体"/>
          <w:color w:val="auto"/>
          <w:sz w:val="21"/>
          <w:highlight w:val="none"/>
        </w:rPr>
        <w:t xml:space="preserve">中国残疾人联合会关于促进残疾人就业政府采购政策的通知》（财库〔</w:t>
      </w:r>
      <w:r>
        <w:rPr>
          <w:rFonts w:ascii="Calibri" w:hAnsi="Calibri" w:eastAsia="Calibri" w:cs="Calibri"/>
          <w:color w:val="auto"/>
          <w:sz w:val="21"/>
          <w:highlight w:val="none"/>
        </w:rPr>
        <w:t xml:space="preserve">2017</w:t>
      </w:r>
      <w:r>
        <w:rPr>
          <w:rFonts w:ascii="宋体" w:hAnsi="宋体" w:eastAsia="宋体" w:cs="宋体"/>
          <w:color w:val="auto"/>
          <w:sz w:val="21"/>
          <w:highlight w:val="none"/>
        </w:rPr>
        <w:t xml:space="preserve">〕</w:t>
      </w:r>
      <w:r>
        <w:rPr>
          <w:rFonts w:ascii="Calibri" w:hAnsi="Calibri" w:eastAsia="Calibri" w:cs="Calibri"/>
          <w:color w:val="auto"/>
          <w:sz w:val="21"/>
          <w:highlight w:val="none"/>
        </w:rPr>
        <w:t xml:space="preserve">141</w:t>
      </w:r>
      <w:r>
        <w:rPr>
          <w:rFonts w:ascii="宋体" w:hAnsi="宋体" w:eastAsia="宋体" w:cs="宋体"/>
          <w:color w:val="auto"/>
          <w:sz w:val="21"/>
          <w:highlight w:val="none"/>
        </w:rPr>
        <w:t xml:space="preserve">号）的规定，本单位为符合条件的残疾人福利性单位，且本单位参加</w:t>
      </w:r>
      <w:r>
        <w:rPr>
          <w:rFonts w:ascii="Calibri" w:hAnsi="Calibri" w:eastAsia="Calibri" w:cs="Calibri"/>
          <w:color w:val="auto"/>
          <w:sz w:val="21"/>
          <w:highlight w:val="none"/>
        </w:rPr>
        <w:t xml:space="preserve">   </w:t>
      </w:r>
      <w:r>
        <w:rPr>
          <w:rFonts w:ascii="宋体" w:hAnsi="宋体" w:eastAsia="宋体" w:cs="宋体"/>
          <w:color w:val="auto"/>
          <w:sz w:val="21"/>
          <w:highlight w:val="none"/>
        </w:rPr>
        <w:t xml:space="preserve">单位的</w:t>
      </w:r>
      <w:r>
        <w:rPr>
          <w:rFonts w:ascii="Calibri" w:hAnsi="Calibri" w:eastAsia="Calibri" w:cs="Calibri"/>
          <w:color w:val="auto"/>
          <w:sz w:val="21"/>
          <w:highlight w:val="none"/>
        </w:rPr>
        <w:t xml:space="preserve">   </w:t>
      </w:r>
      <w:r>
        <w:rPr>
          <w:rFonts w:ascii="宋体" w:hAnsi="宋体" w:eastAsia="宋体" w:cs="宋体"/>
          <w:color w:val="auto"/>
          <w:sz w:val="21"/>
          <w:highlight w:val="none"/>
        </w:rPr>
        <w:t xml:space="preserve">项目采购活动提供本单位制造的货物（由本单位承担工程</w:t>
      </w:r>
      <w:r>
        <w:rPr>
          <w:rFonts w:ascii="Calibri" w:hAnsi="Calibri" w:eastAsia="Calibri" w:cs="Calibri"/>
          <w:color w:val="auto"/>
          <w:sz w:val="21"/>
          <w:highlight w:val="none"/>
        </w:rPr>
        <w:t xml:space="preserve">/</w:t>
      </w:r>
      <w:r>
        <w:rPr>
          <w:rFonts w:ascii="宋体" w:hAnsi="宋体" w:eastAsia="宋体" w:cs="宋体"/>
          <w:color w:val="auto"/>
          <w:sz w:val="21"/>
          <w:highlight w:val="none"/>
        </w:rPr>
        <w:t xml:space="preserve">提供服务），或者提供其他残疾人福利性单位制造的货物（不包括使用非残疾人福利性单位注册商标的货物）。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本单位对上述声明的真实性负责。如有虚假，将依法承担相应责任。</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单位名称（盖章）：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供应商提供的《残疾人福利性单位声明函》与事实不符的，依照《政府采购法》第七十七条第一款的规定追究法律责任。</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2、若供应商对照《关于促进残疾人就业政府采购政策的通知》（财库〔2017〕141号）中的规定，明确不符合残疾人福利性单位条件的，则无需提供此声明函。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10、监狱企业的证明文件（专门面向中小企业）</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监狱企业的证明文件</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color w:val="auto"/>
          <w:sz w:val="21"/>
          <w:highlight w:val="none"/>
        </w:rPr>
        <w:t xml:space="preserve"> </w:t>
      </w:r>
      <w:r/>
    </w:p>
    <w:p>
      <w:pPr>
        <w:ind w:left="0" w:right="0" w:firstLine="48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color w:val="auto"/>
          <w:sz w:val="21"/>
          <w:highlight w:val="none"/>
        </w:rPr>
        <w:t xml:space="preserve">      </w:t>
      </w:r>
      <w:r/>
    </w:p>
    <w:p>
      <w:pPr>
        <w:ind w:left="0" w:right="0" w:firstLine="48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2、若供应商对照《关于政府采购支持监狱企业发展有关问题的通知》（财库〔2014〕68号）中的规定，明确不符合监狱企业条件的，则无需提供相关证明文件。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pStyle w:val="1022"/>
        <w:numPr>
          <w:ilvl w:val="0"/>
          <w:numId w:val="0"/>
        </w:numPr>
        <w:ind w:firstLine="480"/>
        <w:keepLines w:val="0"/>
        <w:keepNext w:val="0"/>
        <w:pageBreakBefore w:val="0"/>
        <w:spacing w:line="440" w:lineRule="exact"/>
        <w:widowControl w:val="off"/>
        <w:rPr>
          <w:rStyle w:val="105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ind w:left="0" w:right="0" w:firstLine="0"/>
        <w:spacing w:before="240" w:after="240"/>
        <w:rPr>
          <w:rFonts w:ascii="宋体" w:hAnsi="宋体" w:eastAsia="宋体" w:cs="宋体"/>
          <w:b/>
          <w:color w:val="auto"/>
          <w:sz w:val="3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r>
      <w:r/>
    </w:p>
    <w:p>
      <w:pPr>
        <w:ind w:left="0" w:right="0" w:firstLine="0"/>
        <w:spacing w:before="240" w:after="240"/>
        <w:rPr>
          <w:rFonts w:ascii="宋体" w:hAnsi="宋体" w:eastAsia="宋体" w:cs="宋体"/>
          <w:b/>
          <w:color w:val="auto"/>
          <w:sz w:val="3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r>
      <w:r/>
    </w:p>
    <w:p>
      <w:pPr>
        <w:ind w:left="0" w:right="0" w:firstLine="0"/>
        <w:spacing w:before="240" w:after="240"/>
        <w:rPr>
          <w:rFonts w:ascii="宋体" w:hAnsi="宋体" w:eastAsia="宋体" w:cs="宋体"/>
          <w:b/>
          <w:color w:val="auto"/>
          <w:sz w:val="3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r>
      <w:r/>
    </w:p>
    <w:p>
      <w:pPr>
        <w:ind w:left="0" w:right="0" w:firstLine="0"/>
        <w:spacing w:before="240" w:after="240"/>
        <w:rPr>
          <w:rFonts w:ascii="宋体" w:hAnsi="宋体" w:eastAsia="宋体" w:cs="宋体"/>
          <w:b/>
          <w:color w:val="auto"/>
          <w:sz w:val="3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r>
      <w:r/>
    </w:p>
    <w:p>
      <w:pPr>
        <w:ind w:left="0" w:right="0" w:firstLine="0"/>
        <w:spacing w:before="240" w:after="240"/>
        <w:rPr>
          <w:rFonts w:ascii="宋体" w:hAnsi="宋体" w:eastAsia="宋体" w:cs="宋体"/>
          <w:b/>
          <w:color w:val="auto"/>
          <w:sz w:val="3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r>
      <w:r/>
    </w:p>
    <w:p>
      <w:pPr>
        <w:ind w:left="0" w:right="0" w:firstLine="0"/>
        <w:spacing w:before="240" w:after="240"/>
        <w:rPr>
          <w:rFonts w:ascii="宋体" w:hAnsi="宋体" w:eastAsia="宋体" w:cs="宋体"/>
          <w:b/>
          <w:color w:val="auto"/>
          <w:sz w:val="3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r>
      <w:r/>
    </w:p>
    <w:p>
      <w:pPr>
        <w:ind w:left="0" w:right="0" w:firstLine="0"/>
        <w:spacing w:before="240" w:after="240"/>
        <w:rPr>
          <w:rFonts w:ascii="宋体" w:hAnsi="宋体" w:eastAsia="宋体" w:cs="宋体"/>
          <w:b/>
          <w:color w:val="auto"/>
          <w:sz w:val="3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r>
      <w:r/>
    </w:p>
    <w:p>
      <w:pPr>
        <w:ind w:left="0" w:right="0" w:firstLine="0"/>
        <w:spacing w:before="240" w:after="240"/>
        <w:rPr>
          <w:rFonts w:ascii="宋体" w:hAnsi="宋体" w:eastAsia="宋体" w:cs="宋体"/>
          <w:b/>
          <w:color w:val="auto"/>
          <w:sz w:val="3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r>
      <w:r/>
    </w:p>
    <w:p>
      <w:pPr>
        <w:ind w:left="0" w:right="0" w:firstLine="0"/>
        <w:spacing w:before="240" w:after="240"/>
        <w:rPr>
          <w:rFonts w:ascii="宋体" w:hAnsi="宋体" w:eastAsia="宋体" w:cs="宋体"/>
          <w:b/>
          <w:color w:val="auto"/>
          <w:sz w:val="3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r>
      <w:r/>
    </w:p>
    <w:p>
      <w:pPr>
        <w:ind w:left="0" w:right="0" w:firstLine="0"/>
        <w:spacing w:before="240" w:after="240"/>
        <w:rPr>
          <w:rFonts w:ascii="宋体" w:hAnsi="宋体" w:eastAsia="宋体" w:cs="宋体"/>
          <w:b/>
          <w:color w:val="auto"/>
          <w:sz w:val="3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五、投标配置及分项报价表</w:t>
      </w:r>
      <w:r/>
    </w:p>
    <w:p>
      <w:pPr>
        <w:ind w:left="0" w:right="0" w:firstLine="0"/>
        <w:jc w:val="center"/>
        <w:spacing w:before="400" w:after="400" w:line="7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0"/>
          <w:highlight w:val="none"/>
        </w:rPr>
        <w:t xml:space="preserve">投标配置及分项报价表 </w:t>
      </w:r>
      <w:r/>
    </w:p>
    <w:tbl>
      <w:tblPr>
        <w:tblStyle w:val="795"/>
        <w:tblW w:w="9099" w:type="dxa"/>
        <w:jc w:val="center"/>
        <w:tblBorders>
          <w:top w:val="single" w:color="auto" w:sz="4" w:space="0"/>
          <w:left w:val="single" w:color="auto" w:sz="4" w:space="0"/>
          <w:bottom w:val="single" w:color="auto" w:sz="4" w:space="0"/>
          <w:right w:val="none" w:color="auto" w:sz="0"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0"/>
        <w:gridCol w:w="1245"/>
        <w:gridCol w:w="918"/>
        <w:gridCol w:w="760"/>
        <w:gridCol w:w="918"/>
        <w:gridCol w:w="918"/>
        <w:gridCol w:w="918"/>
        <w:gridCol w:w="616"/>
        <w:gridCol w:w="1234"/>
        <w:gridCol w:w="1002"/>
      </w:tblGrid>
      <w:tr>
        <w:trPr>
          <w:jc w:val="center"/>
          <w:trHeight w:val="680"/>
        </w:trPr>
        <w:tc>
          <w:tcPr>
            <w:tcMar>
              <w:left w:w="0" w:type="dxa"/>
              <w:top w:w="0" w:type="dxa"/>
              <w:right w:w="0" w:type="dxa"/>
              <w:bottom w:w="0" w:type="dxa"/>
            </w:tcMar>
            <w:tcW w:w="5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0" w:type="dxa"/>
              <w:top w:w="0" w:type="dxa"/>
              <w:right w:w="0" w:type="dxa"/>
              <w:bottom w:w="0" w:type="dxa"/>
            </w:tcMar>
            <w:tcW w:w="1245"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货物名称</w:t>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Mar>
              <w:left w:w="0" w:type="dxa"/>
              <w:top w:w="0" w:type="dxa"/>
              <w:right w:w="0" w:type="dxa"/>
              <w:bottom w:w="0" w:type="dxa"/>
            </w:tcMar>
            <w:tcW w:w="76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制造厂商</w:t>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Mar>
              <w:left w:w="0" w:type="dxa"/>
              <w:top w:w="0" w:type="dxa"/>
              <w:right w:w="0" w:type="dxa"/>
              <w:bottom w:w="0" w:type="dxa"/>
            </w:tcMar>
            <w:tcW w:w="616"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right w:val="single" w:color="000000" w:sz="2" w:space="0"/>
            </w:tcBorders>
            <w:tcMar>
              <w:left w:w="0" w:type="dxa"/>
              <w:top w:w="0" w:type="dxa"/>
              <w:right w:w="0" w:type="dxa"/>
              <w:bottom w:w="0" w:type="dxa"/>
            </w:tcMar>
            <w:tcW w:w="1234"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002"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jc w:val="center"/>
          <w:trHeight w:val="680"/>
        </w:trPr>
        <w:tc>
          <w:tcPr>
            <w:tcMar>
              <w:left w:w="0" w:type="dxa"/>
              <w:top w:w="0" w:type="dxa"/>
              <w:right w:w="0" w:type="dxa"/>
              <w:bottom w:w="0" w:type="dxa"/>
            </w:tcMar>
            <w:tcW w:w="5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0" w:type="dxa"/>
              <w:top w:w="0" w:type="dxa"/>
              <w:right w:w="0" w:type="dxa"/>
              <w:bottom w:w="0" w:type="dxa"/>
            </w:tcMar>
            <w:tcW w:w="1245"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16"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2" w:space="0"/>
            </w:tcBorders>
            <w:tcMar>
              <w:left w:w="0" w:type="dxa"/>
              <w:top w:w="0" w:type="dxa"/>
              <w:right w:w="0" w:type="dxa"/>
              <w:bottom w:w="0" w:type="dxa"/>
            </w:tcMar>
            <w:tcW w:w="1234"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002"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Mar>
              <w:left w:w="0" w:type="dxa"/>
              <w:top w:w="0" w:type="dxa"/>
              <w:right w:w="0" w:type="dxa"/>
              <w:bottom w:w="0" w:type="dxa"/>
            </w:tcMar>
            <w:tcW w:w="5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0" w:type="dxa"/>
              <w:top w:w="0" w:type="dxa"/>
              <w:right w:w="0" w:type="dxa"/>
              <w:bottom w:w="0" w:type="dxa"/>
            </w:tcMar>
            <w:tcW w:w="1245"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16"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2" w:space="0"/>
            </w:tcBorders>
            <w:tcMar>
              <w:left w:w="0" w:type="dxa"/>
              <w:top w:w="0" w:type="dxa"/>
              <w:right w:w="0" w:type="dxa"/>
              <w:bottom w:w="0" w:type="dxa"/>
            </w:tcMar>
            <w:tcW w:w="1234"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002"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Mar>
              <w:left w:w="0" w:type="dxa"/>
              <w:top w:w="0" w:type="dxa"/>
              <w:right w:w="0" w:type="dxa"/>
              <w:bottom w:w="0" w:type="dxa"/>
            </w:tcMar>
            <w:tcW w:w="5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0" w:type="dxa"/>
              <w:top w:w="0" w:type="dxa"/>
              <w:right w:w="0" w:type="dxa"/>
              <w:bottom w:w="0" w:type="dxa"/>
            </w:tcMar>
            <w:tcW w:w="1245"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16"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2" w:space="0"/>
            </w:tcBorders>
            <w:tcMar>
              <w:left w:w="0" w:type="dxa"/>
              <w:top w:w="0" w:type="dxa"/>
              <w:right w:w="0" w:type="dxa"/>
              <w:bottom w:w="0" w:type="dxa"/>
            </w:tcMar>
            <w:tcW w:w="1234"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002"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Mar>
              <w:left w:w="0" w:type="dxa"/>
              <w:top w:w="0" w:type="dxa"/>
              <w:right w:w="0" w:type="dxa"/>
              <w:bottom w:w="0" w:type="dxa"/>
            </w:tcMar>
            <w:tcW w:w="5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45"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16"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2" w:space="0"/>
            </w:tcBorders>
            <w:tcMar>
              <w:left w:w="0" w:type="dxa"/>
              <w:top w:w="0" w:type="dxa"/>
              <w:right w:w="0" w:type="dxa"/>
              <w:bottom w:w="0" w:type="dxa"/>
            </w:tcMar>
            <w:tcW w:w="1234"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002"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Mar>
              <w:left w:w="0" w:type="dxa"/>
              <w:top w:w="0" w:type="dxa"/>
              <w:right w:w="0" w:type="dxa"/>
              <w:bottom w:w="0" w:type="dxa"/>
            </w:tcMar>
            <w:tcW w:w="5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45"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16"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2" w:space="0"/>
            </w:tcBorders>
            <w:tcMar>
              <w:left w:w="0" w:type="dxa"/>
              <w:top w:w="0" w:type="dxa"/>
              <w:right w:w="0" w:type="dxa"/>
              <w:bottom w:w="0" w:type="dxa"/>
            </w:tcMar>
            <w:tcW w:w="1234"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002"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Mar>
              <w:left w:w="0" w:type="dxa"/>
              <w:top w:w="0" w:type="dxa"/>
              <w:right w:w="0" w:type="dxa"/>
              <w:bottom w:w="0" w:type="dxa"/>
            </w:tcMar>
            <w:tcW w:w="5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45"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16"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2" w:space="0"/>
            </w:tcBorders>
            <w:tcMar>
              <w:left w:w="0" w:type="dxa"/>
              <w:top w:w="0" w:type="dxa"/>
              <w:right w:w="0" w:type="dxa"/>
              <w:bottom w:w="0" w:type="dxa"/>
            </w:tcMar>
            <w:tcW w:w="1234"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002"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Mar>
              <w:left w:w="0" w:type="dxa"/>
              <w:top w:w="0" w:type="dxa"/>
              <w:right w:w="0" w:type="dxa"/>
              <w:bottom w:w="0" w:type="dxa"/>
            </w:tcMar>
            <w:tcW w:w="5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45"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16"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2" w:space="0"/>
            </w:tcBorders>
            <w:tcMar>
              <w:left w:w="0" w:type="dxa"/>
              <w:top w:w="0" w:type="dxa"/>
              <w:right w:w="0" w:type="dxa"/>
              <w:bottom w:w="0" w:type="dxa"/>
            </w:tcMar>
            <w:tcW w:w="1234"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002"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bottom w:val="single" w:color="000000" w:sz="2" w:space="0"/>
            </w:tcBorders>
            <w:tcMar>
              <w:left w:w="0" w:type="dxa"/>
              <w:top w:w="0" w:type="dxa"/>
              <w:right w:w="0" w:type="dxa"/>
              <w:bottom w:w="0" w:type="dxa"/>
            </w:tcMar>
            <w:tcW w:w="5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bottom w:val="single" w:color="000000" w:sz="2" w:space="0"/>
            </w:tcBorders>
            <w:tcMar>
              <w:left w:w="0" w:type="dxa"/>
              <w:top w:w="0" w:type="dxa"/>
              <w:right w:w="0" w:type="dxa"/>
              <w:bottom w:w="0" w:type="dxa"/>
            </w:tcMar>
            <w:tcW w:w="1245"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2" w:space="0"/>
            </w:tcBorders>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2" w:space="0"/>
            </w:tcBorders>
            <w:tcMar>
              <w:left w:w="0" w:type="dxa"/>
              <w:top w:w="0" w:type="dxa"/>
              <w:right w:w="0" w:type="dxa"/>
              <w:bottom w:w="0" w:type="dxa"/>
            </w:tcMar>
            <w:tcW w:w="76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2" w:space="0"/>
            </w:tcBorders>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2" w:space="0"/>
            </w:tcBorders>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2" w:space="0"/>
            </w:tcBorders>
            <w:tcMar>
              <w:left w:w="0" w:type="dxa"/>
              <w:top w:w="0" w:type="dxa"/>
              <w:right w:w="0" w:type="dxa"/>
              <w:bottom w:w="0" w:type="dxa"/>
            </w:tcMar>
            <w:tcW w:w="91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2" w:space="0"/>
            </w:tcBorders>
            <w:tcMar>
              <w:left w:w="0" w:type="dxa"/>
              <w:top w:w="0" w:type="dxa"/>
              <w:right w:w="0" w:type="dxa"/>
              <w:bottom w:w="0" w:type="dxa"/>
            </w:tcMar>
            <w:tcW w:w="616"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2" w:space="0"/>
              <w:right w:val="single" w:color="000000" w:sz="2" w:space="0"/>
            </w:tcBorders>
            <w:tcMar>
              <w:left w:w="0" w:type="dxa"/>
              <w:top w:w="0" w:type="dxa"/>
              <w:right w:w="0" w:type="dxa"/>
              <w:bottom w:w="0" w:type="dxa"/>
            </w:tcMar>
            <w:tcW w:w="1234"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002"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gridSpan w:val="2"/>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815" w:type="dxa"/>
            <w:vAlign w:val="center"/>
            <w:textDirection w:val="lrTb"/>
            <w:noWrap w:val="false"/>
          </w:tcPr>
          <w:p>
            <w:pPr>
              <w:jc w:val="center"/>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合计</w:t>
            </w:r>
            <w:r/>
          </w:p>
        </w:tc>
        <w:tc>
          <w:tcPr>
            <w:gridSpan w:val="8"/>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7284" w:type="dxa"/>
            <w:vAlign w:val="center"/>
            <w:textDirection w:val="lrTb"/>
            <w:noWrap w:val="false"/>
          </w:tcPr>
          <w:p>
            <w:pPr>
              <w:jc w:val="center"/>
              <w:shd w:val="clear" w:color="auto"/>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元（大写：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w:t>
            </w:r>
            <w:r/>
          </w:p>
        </w:tc>
      </w:tr>
    </w:tbl>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1、技术要求详见招标文件第四章项目需求；此表的总计金额应与开标一览表相符。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2、请提供本标书要求设备详细的配置清单及分项报价，包括标准件及选购件。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3、若无品牌，可填“自制”。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86"/>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rPr>
        <w:t xml:space="preserve">核心产品品牌表</w:t>
      </w:r>
      <w:r/>
    </w:p>
    <w:p>
      <w:pPr>
        <w:jc w:val="center"/>
        <w:spacing w:before="120" w:after="120"/>
        <w:shd w:val="clear" w:color="auto"/>
        <w:widowControl/>
        <w:rPr>
          <w:rFonts w:hint="eastAsia" w:ascii="宋体" w:hAnsi="宋体" w:eastAsia="宋体" w:cs="宋体"/>
          <w:b/>
          <w:bCs/>
          <w:color w:val="auto"/>
          <w:sz w:val="28"/>
          <w:szCs w:val="28"/>
          <w:highlight w:val="none"/>
        </w:rPr>
      </w:pPr>
      <w:r/>
      <w:bookmarkStart w:id="192" w:name="_Toc12940"/>
      <w:r/>
      <w:bookmarkStart w:id="193" w:name="_Toc21327"/>
      <w:r/>
      <w:bookmarkStart w:id="194" w:name="_Toc11497"/>
      <w:r>
        <w:rPr>
          <w:rFonts w:hint="eastAsia" w:ascii="宋体" w:hAnsi="宋体" w:eastAsia="宋体" w:cs="宋体"/>
          <w:b/>
          <w:bCs/>
          <w:color w:val="auto"/>
          <w:sz w:val="28"/>
          <w:szCs w:val="28"/>
          <w:highlight w:val="none"/>
        </w:rPr>
        <w:t xml:space="preserve">核心产品品牌表</w:t>
      </w:r>
      <w:bookmarkEnd w:id="192"/>
      <w:r/>
      <w:bookmarkEnd w:id="193"/>
      <w:r/>
      <w:bookmarkEnd w:id="194"/>
      <w:r/>
      <w:r/>
    </w:p>
    <w:tbl>
      <w:tblPr>
        <w:tblStyle w:val="795"/>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598"/>
        <w:gridCol w:w="1878"/>
        <w:gridCol w:w="1771"/>
        <w:gridCol w:w="1913"/>
      </w:tblGrid>
      <w:tr>
        <w:trPr>
          <w:jc w:val="center"/>
          <w:trHeight w:val="680"/>
        </w:trPr>
        <w:tc>
          <w:tcPr>
            <w:tcW w:w="837" w:type="dxa"/>
            <w:vAlign w:val="center"/>
            <w:textDirection w:val="lrTb"/>
            <w:noWrap w:val="false"/>
          </w:tcPr>
          <w:p>
            <w:pPr>
              <w:pStyle w:val="1071"/>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W w:w="2598" w:type="dxa"/>
            <w:vAlign w:val="center"/>
            <w:textDirection w:val="lrTb"/>
            <w:noWrap w:val="false"/>
          </w:tcPr>
          <w:p>
            <w:pPr>
              <w:pStyle w:val="1071"/>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设备名称</w:t>
            </w:r>
            <w:r/>
          </w:p>
        </w:tc>
        <w:tc>
          <w:tcPr>
            <w:tcW w:w="1878" w:type="dxa"/>
            <w:vAlign w:val="center"/>
            <w:textDirection w:val="lrTb"/>
            <w:noWrap w:val="false"/>
          </w:tcPr>
          <w:p>
            <w:pPr>
              <w:pStyle w:val="1071"/>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品牌</w:t>
            </w:r>
            <w:r/>
          </w:p>
        </w:tc>
        <w:tc>
          <w:tcPr>
            <w:tcW w:w="1771" w:type="dxa"/>
            <w:vAlign w:val="center"/>
            <w:textDirection w:val="lrTb"/>
            <w:noWrap w:val="false"/>
          </w:tcPr>
          <w:p>
            <w:pPr>
              <w:pStyle w:val="1071"/>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制造厂商</w:t>
            </w:r>
            <w:r/>
          </w:p>
        </w:tc>
        <w:tc>
          <w:tcPr>
            <w:tcW w:w="1913" w:type="dxa"/>
            <w:vAlign w:val="center"/>
            <w:textDirection w:val="lrTb"/>
            <w:noWrap w:val="false"/>
          </w:tcPr>
          <w:p>
            <w:pPr>
              <w:pStyle w:val="1080"/>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备注</w:t>
            </w:r>
            <w:r/>
          </w:p>
        </w:tc>
      </w:tr>
      <w:tr>
        <w:trPr>
          <w:jc w:val="center"/>
          <w:trHeight w:val="680"/>
        </w:trPr>
        <w:tc>
          <w:tcPr>
            <w:tcW w:w="837" w:type="dxa"/>
            <w:vAlign w:val="center"/>
            <w:textDirection w:val="lrTb"/>
            <w:noWrap w:val="false"/>
          </w:tcPr>
          <w:p>
            <w:pPr>
              <w:pStyle w:val="108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W w:w="2598"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b/>
                <w:bCs/>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液压一体升降柱</w:t>
            </w:r>
            <w:r/>
          </w:p>
        </w:tc>
        <w:tc>
          <w:tcPr>
            <w:tcW w:w="1878" w:type="dxa"/>
            <w:vAlign w:val="center"/>
            <w:textDirection w:val="lrTb"/>
            <w:noWrap w:val="false"/>
          </w:tcPr>
          <w:p>
            <w:pPr>
              <w:pStyle w:val="10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71" w:type="dxa"/>
            <w:vAlign w:val="center"/>
            <w:textDirection w:val="lrTb"/>
            <w:noWrap w:val="false"/>
          </w:tcPr>
          <w:p>
            <w:pPr>
              <w:pStyle w:val="10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13" w:type="dxa"/>
            <w:vAlign w:val="center"/>
            <w:textDirection w:val="lrTb"/>
            <w:noWrap w:val="false"/>
          </w:tcPr>
          <w:p>
            <w:pPr>
              <w:pStyle w:val="108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核心产品</w:t>
            </w:r>
            <w:r/>
          </w:p>
        </w:tc>
      </w:tr>
      <w:tr>
        <w:trPr>
          <w:jc w:val="center"/>
          <w:trHeight w:val="680"/>
        </w:trPr>
        <w:tc>
          <w:tcPr>
            <w:tcW w:w="837" w:type="dxa"/>
            <w:vAlign w:val="center"/>
            <w:textDirection w:val="lrTb"/>
            <w:noWrap w:val="false"/>
          </w:tcPr>
          <w:p>
            <w:pPr>
              <w:pStyle w:val="1080"/>
              <w:jc w:val="center"/>
              <w:shd w:val="clear" w:color="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p>
        </w:tc>
        <w:tc>
          <w:tcPr>
            <w:shd w:val="clear" w:color="auto" w:fill="auto"/>
            <w:tcW w:w="2598" w:type="dxa"/>
            <w:vAlign w:val="center"/>
            <w:textDirection w:val="lrTb"/>
            <w:noWrap w:val="false"/>
          </w:tcPr>
          <w:p>
            <w:pPr>
              <w:ind w:left="0" w:right="0" w:firstLine="0"/>
              <w:jc w:val="center"/>
              <w:spacing w:before="0" w:after="0" w:line="240" w:lineRule="auto"/>
              <w:rPr>
                <w:rFonts w:hint="eastAsia" w:ascii="宋体" w:hAnsi="宋体" w:eastAsia="宋体" w:cs="宋体"/>
                <w:b/>
                <w:bCs/>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t xml:space="preserve">智慧校园综合管理平台</w:t>
            </w:r>
            <w:r/>
          </w:p>
        </w:tc>
        <w:tc>
          <w:tcPr>
            <w:tcW w:w="1878" w:type="dxa"/>
            <w:vAlign w:val="center"/>
            <w:textDirection w:val="lrTb"/>
            <w:noWrap w:val="false"/>
          </w:tcPr>
          <w:p>
            <w:pPr>
              <w:pStyle w:val="1080"/>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1771" w:type="dxa"/>
            <w:vAlign w:val="center"/>
            <w:textDirection w:val="lrTb"/>
            <w:noWrap w:val="false"/>
          </w:tcPr>
          <w:p>
            <w:pPr>
              <w:pStyle w:val="1080"/>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1913" w:type="dxa"/>
            <w:vAlign w:val="center"/>
            <w:textDirection w:val="lrTb"/>
            <w:noWrap w:val="false"/>
          </w:tcPr>
          <w:p>
            <w:pPr>
              <w:pStyle w:val="108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核心产品</w:t>
            </w:r>
            <w:r/>
          </w:p>
        </w:tc>
      </w:tr>
      <w:tr>
        <w:trPr>
          <w:jc w:val="center"/>
          <w:trHeight w:val="680"/>
        </w:trPr>
        <w:tc>
          <w:tcPr>
            <w:tcW w:w="837" w:type="dxa"/>
            <w:vAlign w:val="center"/>
            <w:textDirection w:val="lrTb"/>
            <w:noWrap w:val="false"/>
          </w:tcPr>
          <w:p>
            <w:pPr>
              <w:pStyle w:val="10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598" w:type="dxa"/>
            <w:vAlign w:val="center"/>
            <w:textDirection w:val="lrTb"/>
            <w:noWrap w:val="false"/>
          </w:tcPr>
          <w:p>
            <w:pPr>
              <w:pStyle w:val="1080"/>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1878" w:type="dxa"/>
            <w:vAlign w:val="center"/>
            <w:textDirection w:val="lrTb"/>
            <w:noWrap w:val="false"/>
          </w:tcPr>
          <w:p>
            <w:pPr>
              <w:pStyle w:val="1080"/>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1771" w:type="dxa"/>
            <w:vAlign w:val="center"/>
            <w:textDirection w:val="lrTb"/>
            <w:noWrap w:val="false"/>
          </w:tcPr>
          <w:p>
            <w:pPr>
              <w:pStyle w:val="1080"/>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1913" w:type="dxa"/>
            <w:vAlign w:val="center"/>
            <w:textDirection w:val="lrTb"/>
            <w:noWrap w:val="false"/>
          </w:tcPr>
          <w:p>
            <w:pPr>
              <w:pStyle w:val="10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此表填写的核心产品的品牌应与投标配置及分项报价表中品牌一致。</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u w:val="none"/>
          <w:lang w:val="en-US" w:eastAsia="zh-CN"/>
        </w:rPr>
        <w:t xml:space="preserve">七</w:t>
      </w:r>
      <w:r>
        <w:rPr>
          <w:rFonts w:ascii="宋体" w:hAnsi="宋体" w:eastAsia="宋体" w:cs="宋体"/>
          <w:b/>
          <w:color w:val="auto"/>
          <w:sz w:val="32"/>
          <w:highlight w:val="none"/>
          <w:u w:val="none"/>
        </w:rPr>
        <w:t xml:space="preserve">、常用零件及耗材报价表</w:t>
      </w:r>
      <w:r/>
    </w:p>
    <w:p>
      <w:pPr>
        <w:ind w:left="0" w:right="0" w:firstLine="0"/>
        <w:jc w:val="center"/>
        <w:spacing w:before="400" w:after="400" w:line="7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0"/>
          <w:highlight w:val="none"/>
        </w:rPr>
        <w:t xml:space="preserve">常用零配件及耗材报价表</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bl>
      <w:tblPr>
        <w:tblStyle w:val="822"/>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4"/>
        <w:gridCol w:w="2372"/>
        <w:gridCol w:w="3159"/>
        <w:gridCol w:w="956"/>
        <w:gridCol w:w="956"/>
        <w:gridCol w:w="1428"/>
      </w:tblGrid>
      <w:tr>
        <w:trPr>
          <w:trHeight w:val="287"/>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484"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2372"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产品名称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3159"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规格型号</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95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计量单位</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95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28"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单价（元）</w:t>
            </w:r>
            <w:r/>
          </w:p>
        </w:tc>
      </w:tr>
      <w:tr>
        <w:trPr>
          <w:trHeight w:val="287"/>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84"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2372"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3159"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95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95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8"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注：以上常用零配件及耗材必须保证与所投报设备兼容配套使用。</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u w:val="none"/>
          <w:lang w:val="en-US" w:eastAsia="zh-CN"/>
        </w:rPr>
        <w:t xml:space="preserve">八</w:t>
      </w:r>
      <w:r>
        <w:rPr>
          <w:rFonts w:ascii="宋体" w:hAnsi="宋体" w:eastAsia="宋体" w:cs="宋体"/>
          <w:b/>
          <w:color w:val="auto"/>
          <w:sz w:val="32"/>
          <w:highlight w:val="none"/>
          <w:u w:val="none"/>
        </w:rPr>
        <w:t xml:space="preserve">、技术参数响应及偏离表</w:t>
      </w:r>
      <w:r/>
    </w:p>
    <w:p>
      <w:pPr>
        <w:ind w:left="0" w:right="0" w:firstLine="0"/>
        <w:jc w:val="center"/>
        <w:spacing w:before="320" w:after="320" w:line="7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技术参数响应及偏离表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bl>
      <w:tblPr>
        <w:tblStyle w:val="822"/>
        <w:tblW w:w="967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
        <w:gridCol w:w="1144"/>
        <w:gridCol w:w="2503"/>
        <w:gridCol w:w="2276"/>
        <w:gridCol w:w="691"/>
        <w:gridCol w:w="2276"/>
        <w:gridCol w:w="70"/>
        <w:gridCol w:w="60"/>
        <w:gridCol w:w="60"/>
        <w:gridCol w:w="60"/>
        <w:gridCol w:w="70"/>
      </w:tblGrid>
      <w:tr>
        <w:trPr>
          <w:trHeight w:val="287"/>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464"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144"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2503"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招标货物的技术性能</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227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参与投标的货物的技术性能</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691"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有无偏离</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2276"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偏离内容及原因</w:t>
            </w:r>
            <w:r/>
          </w:p>
        </w:tc>
        <w:tc>
          <w:tcPr>
            <w:tcBorders>
              <w:top w:val="single" w:color="000000" w:sz="8" w:space="0"/>
              <w:left w:val="none" w:color="000000" w:sz="4" w:space="0"/>
              <w:bottom w:val="single" w:color="808080" w:sz="6" w:space="0"/>
              <w:right w:val="none" w:color="000000" w:sz="4" w:space="0"/>
            </w:tcBorders>
            <w:tcMar>
              <w:left w:w="0" w:type="dxa"/>
              <w:top w:w="0" w:type="dxa"/>
              <w:right w:w="0" w:type="dxa"/>
              <w:bottom w:w="0" w:type="dxa"/>
            </w:tcMar>
            <w:tcW w:w="70"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none" w:color="000000" w:sz="4" w:space="0"/>
              <w:bottom w:val="single" w:color="808080" w:sz="6" w:space="0"/>
              <w:right w:val="none" w:color="000000" w:sz="4" w:space="0"/>
            </w:tcBorders>
            <w:tcMar>
              <w:left w:w="0" w:type="dxa"/>
              <w:top w:w="0" w:type="dxa"/>
              <w:right w:w="0" w:type="dxa"/>
              <w:bottom w:w="0" w:type="dxa"/>
            </w:tcMar>
            <w:tcW w:w="60"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none" w:color="000000" w:sz="4" w:space="0"/>
              <w:bottom w:val="single" w:color="808080" w:sz="6" w:space="0"/>
              <w:right w:val="none" w:color="000000" w:sz="4" w:space="0"/>
            </w:tcBorders>
            <w:tcMar>
              <w:left w:w="0" w:type="dxa"/>
              <w:top w:w="0" w:type="dxa"/>
              <w:right w:w="0" w:type="dxa"/>
              <w:bottom w:w="0" w:type="dxa"/>
            </w:tcMar>
            <w:tcW w:w="60"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none" w:color="000000" w:sz="4" w:space="0"/>
              <w:bottom w:val="single" w:color="808080" w:sz="6" w:space="0"/>
              <w:right w:val="none" w:color="000000" w:sz="4" w:space="0"/>
            </w:tcBorders>
            <w:tcMar>
              <w:left w:w="0" w:type="dxa"/>
              <w:top w:w="0" w:type="dxa"/>
              <w:right w:w="0" w:type="dxa"/>
              <w:bottom w:w="0" w:type="dxa"/>
            </w:tcMar>
            <w:tcW w:w="60"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none" w:color="000000" w:sz="4" w:space="0"/>
              <w:bottom w:val="single" w:color="808080" w:sz="6" w:space="0"/>
              <w:right w:val="single" w:color="000000" w:sz="8" w:space="0"/>
            </w:tcBorders>
            <w:tcMar>
              <w:left w:w="0" w:type="dxa"/>
              <w:top w:w="0" w:type="dxa"/>
              <w:right w:w="0" w:type="dxa"/>
              <w:bottom w:w="0" w:type="dxa"/>
            </w:tcMar>
            <w:tcW w:w="70"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460"/>
        </w:trPr>
        <w:tc>
          <w:tcPr>
            <w:gridSpan w:val="11"/>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674"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460"/>
        </w:trPr>
        <w:tc>
          <w:tcPr>
            <w:gridSpan w:val="11"/>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674"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1、投标人应根据“技术要求”中的参数要求，对照所投报货物的技术性能进行逐项填写。因未标明或表述含糊导致的评标风险将由投标人承担。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3、表格不够可另接。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u w:val="none"/>
          <w:lang w:val="en-US" w:eastAsia="zh-CN"/>
        </w:rPr>
        <w:t xml:space="preserve">九</w:t>
      </w:r>
      <w:r>
        <w:rPr>
          <w:rFonts w:ascii="宋体" w:hAnsi="宋体" w:eastAsia="宋体" w:cs="宋体"/>
          <w:b/>
          <w:color w:val="auto"/>
          <w:sz w:val="32"/>
          <w:highlight w:val="none"/>
          <w:u w:val="none"/>
        </w:rPr>
        <w:t xml:space="preserve">、商务条款响应及偏离表</w:t>
      </w:r>
      <w:r/>
    </w:p>
    <w:p>
      <w:pPr>
        <w:ind w:left="0" w:right="0" w:firstLine="0"/>
        <w:jc w:val="center"/>
        <w:spacing w:before="320" w:after="320" w:line="7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商务条款响应及偏离表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bl>
      <w:tblPr>
        <w:tblStyle w:val="822"/>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71"/>
        <w:gridCol w:w="2671"/>
        <w:gridCol w:w="811"/>
        <w:gridCol w:w="3202"/>
      </w:tblGrid>
      <w:tr>
        <w:trPr>
          <w:trHeight w:val="287"/>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2671"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2671"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招标文件要求</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811"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是否响应</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3202"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投标人的承诺或说明</w:t>
            </w:r>
            <w:r/>
          </w:p>
        </w:tc>
      </w:tr>
      <w:tr>
        <w:trPr>
          <w:trHeight w:val="287"/>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2671"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2671"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811"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3202"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287"/>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2671"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2671"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811"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3202"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u w:val="none"/>
          <w:lang w:val="en-US" w:eastAsia="zh-CN"/>
        </w:rPr>
        <w:t xml:space="preserve">十</w:t>
      </w:r>
      <w:r>
        <w:rPr>
          <w:rFonts w:ascii="宋体" w:hAnsi="宋体" w:eastAsia="宋体" w:cs="宋体"/>
          <w:b/>
          <w:color w:val="auto"/>
          <w:sz w:val="32"/>
          <w:highlight w:val="none"/>
          <w:u w:val="none"/>
        </w:rPr>
        <w:t xml:space="preserve">、第四章项目需求中实质性要求响应对照表</w:t>
      </w:r>
      <w:r/>
    </w:p>
    <w:p>
      <w:pPr>
        <w:ind w:left="0" w:right="0" w:firstLine="0"/>
        <w:jc w:val="center"/>
        <w:spacing w:before="320" w:after="320" w:line="7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第四章项目需求中实质性要求响应对照表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bl>
      <w:tblPr>
        <w:tblStyle w:val="822"/>
        <w:tblW w:w="93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7515"/>
        <w:gridCol w:w="915"/>
      </w:tblGrid>
      <w:tr>
        <w:trPr>
          <w:trHeight w:val="287"/>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915"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7515"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第四章项目需求中的实质性要求</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915"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是否响应（填是或者否）</w:t>
            </w:r>
            <w:r/>
          </w:p>
        </w:tc>
      </w:tr>
      <w:tr>
        <w:trPr>
          <w:trHeight w:val="287"/>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15"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7515"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915"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287"/>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15"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7515"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915"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十</w:t>
      </w:r>
      <w:r>
        <w:rPr>
          <w:rFonts w:hint="eastAsia" w:ascii="宋体" w:hAnsi="宋体" w:cs="宋体"/>
          <w:b/>
          <w:color w:val="auto"/>
          <w:sz w:val="32"/>
          <w:highlight w:val="none"/>
          <w:u w:val="none"/>
          <w:lang w:val="en-US" w:eastAsia="zh-CN"/>
        </w:rPr>
        <w:t xml:space="preserve">一</w:t>
      </w:r>
      <w:r>
        <w:rPr>
          <w:rFonts w:ascii="宋体" w:hAnsi="宋体" w:eastAsia="宋体" w:cs="宋体"/>
          <w:b/>
          <w:color w:val="auto"/>
          <w:sz w:val="32"/>
          <w:highlight w:val="none"/>
          <w:u w:val="none"/>
        </w:rPr>
        <w:t xml:space="preserve">、技术方案、服务方案</w:t>
      </w:r>
      <w:r/>
    </w:p>
    <w:p>
      <w:pPr>
        <w:ind w:left="0" w:right="0" w:firstLine="0"/>
        <w:jc w:val="center"/>
        <w:spacing w:before="260" w:after="26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u w:val="none"/>
        </w:rPr>
        <w:t xml:space="preserve">技术方案、服务方案</w:t>
      </w:r>
      <w:r/>
    </w:p>
    <w:p>
      <w:pPr>
        <w:ind w:left="0" w:right="0" w:firstLine="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（技术方案及服务方案的内容编排等由投标人自定）</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十一、投标人情况介绍</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1、拥有的加工设备介绍</w:t>
      </w:r>
      <w:r/>
    </w:p>
    <w:p>
      <w:pPr>
        <w:ind w:left="0" w:right="0" w:firstLine="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拥有的加工设备介绍（若有的话）</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2、类似业绩一览表</w:t>
      </w:r>
      <w:r/>
    </w:p>
    <w:p>
      <w:pPr>
        <w:ind w:left="0" w:right="0" w:firstLine="0"/>
        <w:jc w:val="center"/>
        <w:spacing w:before="360" w:after="360" w:line="7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类似业绩一览表 </w:t>
      </w:r>
      <w:r/>
    </w:p>
    <w:tbl>
      <w:tblPr>
        <w:tblStyle w:val="822"/>
        <w:tblW w:w="935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9"/>
        <w:gridCol w:w="2339"/>
        <w:gridCol w:w="2339"/>
        <w:gridCol w:w="2339"/>
      </w:tblGrid>
      <w:tr>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2339"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 </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2339"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 </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2339"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合同期（天） </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2339"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合同金额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2339"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2339"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2339"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2339"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3、投标人获得的相关证书</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jc w:val="center"/>
        <w:spacing w:before="360" w:after="360" w:line="7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各类证书</w:t>
      </w:r>
      <w:r/>
    </w:p>
    <w:tbl>
      <w:tblPr>
        <w:tblStyle w:val="822"/>
        <w:tblW w:w="867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7125"/>
      </w:tblGrid>
      <w:tr>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1548"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证书名称 </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7125" w:type="dxa"/>
            <w:vAlign w:val="center"/>
            <w:textDirection w:val="lrTb"/>
            <w:noWrap w:val="false"/>
          </w:tcPr>
          <w:p>
            <w:pPr>
              <w:ind w:left="0" w:right="0" w:firstLine="1058"/>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查看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1548"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7125" w:type="dxa"/>
            <w:vAlign w:val="center"/>
            <w:textDirection w:val="lrTb"/>
            <w:noWrap w:val="false"/>
          </w:tcPr>
          <w:p>
            <w:pPr>
              <w:ind w:left="0" w:right="0" w:firstLine="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spacing w:before="240" w:after="240"/>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color w:val="auto"/>
          <w:highlight w:val="none"/>
        </w:rPr>
        <w:br w:type="page" w:clear="all"/>
      </w:r>
      <w:r>
        <w:rPr>
          <w:rFonts w:ascii="宋体" w:hAnsi="宋体" w:eastAsia="宋体" w:cs="宋体"/>
          <w:b/>
          <w:color w:val="auto"/>
          <w:sz w:val="32"/>
          <w:highlight w:val="none"/>
          <w:u w:val="none"/>
        </w:rPr>
        <w:t xml:space="preserve">十三、其他材料</w:t>
      </w:r>
      <w:r>
        <w:rPr>
          <w:rFonts w:hint="eastAsia" w:ascii="宋体" w:hAnsi="宋体" w:cs="宋体"/>
          <w:b/>
          <w:color w:val="auto"/>
          <w:sz w:val="32"/>
          <w:highlight w:val="none"/>
          <w:u w:val="none"/>
          <w:lang w:eastAsia="zh-CN"/>
        </w:rPr>
        <w:t xml:space="preserve">（</w:t>
      </w:r>
      <w:r>
        <w:rPr>
          <w:rFonts w:hint="eastAsia" w:ascii="宋体" w:hAnsi="宋体" w:cs="宋体"/>
          <w:b/>
          <w:color w:val="auto"/>
          <w:sz w:val="32"/>
          <w:highlight w:val="none"/>
          <w:u w:val="none"/>
          <w:lang w:val="en-US" w:eastAsia="zh-CN"/>
        </w:rPr>
        <w:t xml:space="preserve">如有）</w:t>
      </w:r>
      <w:r/>
    </w:p>
    <w:p>
      <w:pPr>
        <w:ind w:left="0" w:right="0" w:firstLine="4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rPr>
          <w:color w:val="auto"/>
          <w:highlight w:val="none"/>
        </w:rPr>
      </w:pPr>
      <w:r>
        <w:rPr>
          <w:color w:val="auto"/>
          <w:highlight w:val="none"/>
        </w:rPr>
      </w:r>
      <w:r/>
    </w:p>
    <w:p>
      <w:pPr>
        <w:pStyle w:val="830"/>
        <w:rPr>
          <w:color w:val="auto"/>
          <w:highlight w:val="none"/>
        </w:rPr>
      </w:pPr>
      <w:r>
        <w:rPr>
          <w:color w:val="auto"/>
          <w:highlight w:val="none"/>
        </w:rPr>
      </w:r>
      <w:r/>
    </w:p>
    <w:p>
      <w:pPr>
        <w:pStyle w:val="831"/>
        <w:rPr>
          <w:color w:val="auto"/>
          <w:highlight w:val="none"/>
        </w:rPr>
      </w:pPr>
      <w:r>
        <w:rPr>
          <w:color w:val="auto"/>
          <w:highlight w:val="none"/>
        </w:rPr>
      </w:r>
      <w:r/>
    </w:p>
    <w:p>
      <w:pPr>
        <w:pStyle w:val="831"/>
        <w:rPr>
          <w:color w:val="auto"/>
          <w:highlight w:val="none"/>
        </w:rPr>
      </w:pPr>
      <w:r>
        <w:rPr>
          <w:color w:val="auto"/>
          <w:highlight w:val="none"/>
        </w:rPr>
      </w:r>
      <w:r/>
    </w:p>
    <w:p>
      <w:pPr>
        <w:pStyle w:val="831"/>
        <w:rPr>
          <w:color w:val="auto"/>
          <w:highlight w:val="none"/>
        </w:rPr>
      </w:pPr>
      <w:r>
        <w:rPr>
          <w:color w:val="auto"/>
          <w:highlight w:val="none"/>
        </w:rPr>
      </w:r>
      <w:r/>
    </w:p>
    <w:p>
      <w:pPr>
        <w:pStyle w:val="831"/>
        <w:rPr>
          <w:color w:val="auto"/>
          <w:highlight w:val="none"/>
        </w:rPr>
      </w:pPr>
      <w:r>
        <w:rPr>
          <w:color w:val="auto"/>
          <w:highlight w:val="none"/>
        </w:rPr>
      </w:r>
      <w:r/>
    </w:p>
    <w:p>
      <w:pPr>
        <w:pStyle w:val="831"/>
        <w:rPr>
          <w:color w:val="auto"/>
          <w:highlight w:val="none"/>
        </w:rPr>
      </w:pPr>
      <w:r>
        <w:rPr>
          <w:color w:val="auto"/>
          <w:highlight w:val="none"/>
        </w:rPr>
      </w:r>
      <w:r/>
    </w:p>
    <w:p>
      <w:pPr>
        <w:pStyle w:val="831"/>
        <w:rPr>
          <w:color w:val="auto"/>
          <w:highlight w:val="none"/>
        </w:rPr>
      </w:pPr>
      <w:r>
        <w:rPr>
          <w:color w:val="auto"/>
          <w:highlight w:val="none"/>
        </w:rPr>
      </w:r>
      <w:r/>
    </w:p>
    <w:p>
      <w:pPr>
        <w:pStyle w:val="831"/>
        <w:rPr>
          <w:color w:val="auto"/>
          <w:highlight w:val="none"/>
        </w:rPr>
      </w:pPr>
      <w:r>
        <w:rPr>
          <w:color w:val="auto"/>
          <w:highlight w:val="none"/>
        </w:rPr>
      </w:r>
      <w:r/>
    </w:p>
    <w:p>
      <w:pPr>
        <w:pStyle w:val="831"/>
        <w:jc w:val="right"/>
        <w:rPr>
          <w:rFonts w:hint="eastAsia" w:eastAsia="楷体_GB2312"/>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全文完</w:t>
      </w:r>
      <w:r>
        <w:rPr>
          <w:rFonts w:hint="eastAsia"/>
          <w:color w:val="auto"/>
          <w:highlight w:val="none"/>
          <w:lang w:eastAsia="zh-CN"/>
        </w:rPr>
        <w:t xml:space="preserve">）</w:t>
      </w:r>
      <w:r/>
    </w:p>
    <w:p>
      <w:pPr>
        <w:pStyle w:val="984"/>
        <w:jc w:val="right"/>
        <w:tabs>
          <w:tab w:val="left" w:pos="1484"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sectPr>
      <w:headerReference w:type="default" r:id="rId10"/>
      <w:footerReference w:type="default" r:id="rId14"/>
      <w:footnotePr>
        <w:numFmt w:val="decimalEnclosedCircleChinese"/>
      </w:footnotePr>
      <w:endnotePr/>
      <w:type w:val="nextPage"/>
      <w:pgSz w:w="11906" w:h="16838" w:orient="portrait"/>
      <w:pgMar w:top="1440" w:right="1080" w:bottom="1440" w:left="1080"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ambria Math">
    <w:panose1 w:val="02040503050406030204"/>
  </w:font>
  <w:font w:name="Symbol">
    <w:panose1 w:val="05050102010706020507"/>
  </w:font>
  <w:font w:name="Wingdings">
    <w:panose1 w:val="05000000000000000000"/>
  </w:font>
  <w:font w:name="Courier New">
    <w:panose1 w:val="02070309020205020404"/>
  </w:font>
  <w:font w:name="Cambria">
    <w:panose1 w:val="02040503050406030204"/>
  </w:font>
  <w:font w:name="仿宋_GB2312">
    <w:panose1 w:val="02010609060101010101"/>
  </w:font>
  <w:font w:name="黑体">
    <w:panose1 w:val="02010609060101010101"/>
  </w:font>
  <w:font w:name="幼圆">
    <w:panose1 w:val="020105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0"/>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instrText xml:space="preserve">PAGE \* MERGEFORMAT</w:instrText>
    </w:r>
    <w:r>
      <w:fldChar w:fldCharType="separate"/>
    </w:r>
    <w:r>
      <w:t xml:space="preserve">1</w:t>
    </w:r>
    <w:r>
      <w:fldChar w:fldCharType="end"/>
    </w:r>
    <w:r/>
  </w:p>
  <w:p>
    <w:pPr>
      <w:pStyle w:val="8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2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4">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24"/>
  </w:num>
  <w:num w:numId="4">
    <w:abstractNumId w:val="22"/>
  </w:num>
  <w:num w:numId="5">
    <w:abstractNumId w:val="4"/>
  </w:num>
  <w:num w:numId="6">
    <w:abstractNumId w:val="8"/>
  </w:num>
  <w:num w:numId="7">
    <w:abstractNumId w:val="19"/>
  </w:num>
  <w:num w:numId="8">
    <w:abstractNumId w:val="15"/>
  </w:num>
  <w:num w:numId="9">
    <w:abstractNumId w:val="13"/>
  </w:num>
  <w:num w:numId="10">
    <w:abstractNumId w:val="21"/>
  </w:num>
  <w:num w:numId="11">
    <w:abstractNumId w:val="2"/>
  </w:num>
  <w:num w:numId="12">
    <w:abstractNumId w:val="14"/>
  </w:num>
  <w:num w:numId="13">
    <w:abstractNumId w:val="7"/>
  </w:num>
  <w:num w:numId="14">
    <w:abstractNumId w:val="25"/>
  </w:num>
  <w:num w:numId="15">
    <w:abstractNumId w:val="20"/>
  </w:num>
  <w:num w:numId="16">
    <w:abstractNumId w:val="18"/>
  </w:num>
  <w:num w:numId="17">
    <w:abstractNumId w:val="10"/>
  </w:num>
  <w:num w:numId="18">
    <w:abstractNumId w:val="16"/>
  </w:num>
  <w:num w:numId="19">
    <w:abstractNumId w:val="23"/>
  </w:num>
  <w:num w:numId="20">
    <w:abstractNumId w:val="5"/>
  </w:num>
  <w:num w:numId="21">
    <w:abstractNumId w:val="26"/>
  </w:num>
  <w:num w:numId="22">
    <w:abstractNumId w:val="12"/>
  </w:num>
  <w:num w:numId="23">
    <w:abstractNumId w:val="9"/>
  </w:num>
  <w:num w:numId="24">
    <w:abstractNumId w:val="1"/>
  </w:num>
  <w:num w:numId="25">
    <w:abstractNumId w:val="6"/>
  </w:num>
  <w:num w:numId="26">
    <w:abstractNumId w:val="0"/>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next w:val="796"/>
    <w:link w:val="1054"/>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785">
    <w:name w:val="Heading 1"/>
    <w:basedOn w:val="784"/>
    <w:next w:val="784"/>
    <w:link w:val="833"/>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834"/>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835"/>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836"/>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37"/>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38"/>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40"/>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41"/>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Normal Indent"/>
    <w:basedOn w:val="784"/>
    <w:uiPriority w:val="0"/>
    <w:qFormat/>
    <w:pPr>
      <w:ind w:firstLine="420"/>
      <w:jc w:val="left"/>
      <w:spacing w:line="360" w:lineRule="atLeast"/>
    </w:pPr>
    <w:rPr>
      <w:sz w:val="24"/>
      <w:szCs w:val="20"/>
    </w:rPr>
  </w:style>
  <w:style w:type="paragraph" w:styleId="797">
    <w:name w:val="toc 7"/>
    <w:basedOn w:val="784"/>
    <w:next w:val="784"/>
    <w:uiPriority w:val="39"/>
    <w:unhideWhenUsed/>
    <w:qFormat/>
    <w:pPr>
      <w:ind w:left="1701" w:right="0" w:firstLine="0"/>
      <w:spacing w:after="57"/>
    </w:pPr>
  </w:style>
  <w:style w:type="paragraph" w:styleId="798">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9">
    <w:name w:val="Document Map"/>
    <w:basedOn w:val="784"/>
    <w:uiPriority w:val="99"/>
    <w:qFormat/>
    <w:pPr>
      <w:shd w:val="clear" w:color="auto" w:fill="000080"/>
    </w:pPr>
  </w:style>
  <w:style w:type="paragraph" w:styleId="800">
    <w:name w:val="annotation text"/>
    <w:basedOn w:val="784"/>
    <w:uiPriority w:val="99"/>
    <w:unhideWhenUsed/>
    <w:qFormat/>
    <w:pPr>
      <w:jc w:val="left"/>
    </w:pPr>
  </w:style>
  <w:style w:type="paragraph" w:styleId="801">
    <w:name w:val="Body Text 3"/>
    <w:basedOn w:val="784"/>
    <w:uiPriority w:val="0"/>
    <w:qFormat/>
    <w:pPr>
      <w:spacing w:line="360" w:lineRule="auto"/>
    </w:pPr>
    <w:rPr>
      <w:rFonts w:ascii="Calibri"/>
      <w:sz w:val="24"/>
      <w:szCs w:val="20"/>
    </w:rPr>
  </w:style>
  <w:style w:type="paragraph" w:styleId="802">
    <w:name w:val="Body Text"/>
    <w:basedOn w:val="784"/>
    <w:uiPriority w:val="1"/>
    <w:qFormat/>
    <w:rPr>
      <w:sz w:val="32"/>
      <w:szCs w:val="32"/>
    </w:rPr>
  </w:style>
  <w:style w:type="paragraph" w:styleId="803">
    <w:name w:val="Body Text Indent"/>
    <w:basedOn w:val="784"/>
    <w:uiPriority w:val="0"/>
    <w:qFormat/>
    <w:pPr>
      <w:ind w:firstLine="645"/>
    </w:pPr>
    <w:rPr>
      <w:rFonts w:ascii="楷体_GB2312" w:hAnsi="宋体" w:eastAsia="楷体_GB2312" w:cs="宋体"/>
      <w:sz w:val="32"/>
      <w:szCs w:val="32"/>
    </w:rPr>
  </w:style>
  <w:style w:type="paragraph" w:styleId="804">
    <w:name w:val="toc 5"/>
    <w:basedOn w:val="784"/>
    <w:next w:val="784"/>
    <w:uiPriority w:val="39"/>
    <w:unhideWhenUsed/>
    <w:qFormat/>
    <w:pPr>
      <w:ind w:left="1134" w:right="0" w:firstLine="0"/>
      <w:spacing w:after="57"/>
    </w:pPr>
  </w:style>
  <w:style w:type="paragraph" w:styleId="805">
    <w:name w:val="toc 3"/>
    <w:basedOn w:val="784"/>
    <w:next w:val="784"/>
    <w:uiPriority w:val="39"/>
    <w:unhideWhenUsed/>
    <w:qFormat/>
    <w:pPr>
      <w:ind w:left="567" w:right="0" w:firstLine="0"/>
      <w:spacing w:after="57"/>
    </w:pPr>
  </w:style>
  <w:style w:type="paragraph" w:styleId="806">
    <w:name w:val="toc 8"/>
    <w:basedOn w:val="784"/>
    <w:next w:val="784"/>
    <w:uiPriority w:val="39"/>
    <w:unhideWhenUsed/>
    <w:qFormat/>
    <w:pPr>
      <w:ind w:left="1984" w:right="0" w:firstLine="0"/>
      <w:spacing w:after="57"/>
    </w:pPr>
  </w:style>
  <w:style w:type="paragraph" w:styleId="807">
    <w:name w:val="endnote text"/>
    <w:basedOn w:val="784"/>
    <w:link w:val="977"/>
    <w:uiPriority w:val="99"/>
    <w:semiHidden/>
    <w:unhideWhenUsed/>
    <w:qFormat/>
    <w:pPr>
      <w:spacing w:after="0" w:line="240" w:lineRule="auto"/>
    </w:pPr>
    <w:rPr>
      <w:sz w:val="20"/>
    </w:rPr>
  </w:style>
  <w:style w:type="paragraph" w:styleId="808">
    <w:name w:val="Footer"/>
    <w:basedOn w:val="784"/>
    <w:link w:val="850"/>
    <w:uiPriority w:val="99"/>
    <w:unhideWhenUsed/>
    <w:qFormat/>
    <w:pPr>
      <w:spacing w:after="0" w:line="240" w:lineRule="auto"/>
      <w:tabs>
        <w:tab w:val="center" w:pos="7143" w:leader="none"/>
        <w:tab w:val="right" w:pos="14287" w:leader="none"/>
      </w:tabs>
    </w:pPr>
  </w:style>
  <w:style w:type="paragraph" w:styleId="809">
    <w:name w:val="envelope return"/>
    <w:basedOn w:val="784"/>
    <w:uiPriority w:val="99"/>
    <w:qFormat/>
    <w:rPr>
      <w:rFonts w:ascii="Arial" w:hAnsi="Arial"/>
    </w:rPr>
  </w:style>
  <w:style w:type="paragraph" w:styleId="810">
    <w:name w:val="Header"/>
    <w:basedOn w:val="784"/>
    <w:link w:val="848"/>
    <w:uiPriority w:val="99"/>
    <w:unhideWhenUsed/>
    <w:qFormat/>
    <w:pPr>
      <w:spacing w:after="0" w:line="240" w:lineRule="auto"/>
      <w:tabs>
        <w:tab w:val="center" w:pos="7143" w:leader="none"/>
        <w:tab w:val="right" w:pos="14287" w:leader="none"/>
      </w:tabs>
    </w:pPr>
  </w:style>
  <w:style w:type="paragraph" w:styleId="811">
    <w:name w:val="toc 1"/>
    <w:basedOn w:val="784"/>
    <w:next w:val="784"/>
    <w:uiPriority w:val="39"/>
    <w:unhideWhenUsed/>
    <w:qFormat/>
    <w:pPr>
      <w:ind w:left="0" w:right="0" w:firstLine="0"/>
      <w:spacing w:after="57"/>
    </w:pPr>
  </w:style>
  <w:style w:type="paragraph" w:styleId="812">
    <w:name w:val="toc 4"/>
    <w:basedOn w:val="784"/>
    <w:next w:val="784"/>
    <w:uiPriority w:val="39"/>
    <w:unhideWhenUsed/>
    <w:qFormat/>
    <w:pPr>
      <w:ind w:left="850" w:right="0" w:firstLine="0"/>
      <w:spacing w:after="57"/>
    </w:pPr>
  </w:style>
  <w:style w:type="paragraph" w:styleId="813">
    <w:name w:val="Subtitle"/>
    <w:basedOn w:val="784"/>
    <w:next w:val="784"/>
    <w:link w:val="843"/>
    <w:uiPriority w:val="11"/>
    <w:qFormat/>
    <w:pPr>
      <w:spacing w:before="200" w:after="200"/>
    </w:pPr>
    <w:rPr>
      <w:sz w:val="24"/>
      <w:szCs w:val="24"/>
    </w:rPr>
  </w:style>
  <w:style w:type="paragraph" w:styleId="814">
    <w:name w:val="footnote text"/>
    <w:basedOn w:val="784"/>
    <w:link w:val="976"/>
    <w:uiPriority w:val="99"/>
    <w:semiHidden/>
    <w:unhideWhenUsed/>
    <w:qFormat/>
    <w:pPr>
      <w:spacing w:after="40" w:line="240" w:lineRule="auto"/>
    </w:pPr>
    <w:rPr>
      <w:sz w:val="18"/>
    </w:rPr>
  </w:style>
  <w:style w:type="paragraph" w:styleId="815">
    <w:name w:val="toc 6"/>
    <w:basedOn w:val="784"/>
    <w:next w:val="784"/>
    <w:uiPriority w:val="39"/>
    <w:unhideWhenUsed/>
    <w:qFormat/>
    <w:pPr>
      <w:ind w:left="1417" w:right="0" w:firstLine="0"/>
      <w:spacing w:after="57"/>
    </w:pPr>
  </w:style>
  <w:style w:type="paragraph" w:styleId="816">
    <w:name w:val="table of figures"/>
    <w:basedOn w:val="784"/>
    <w:next w:val="784"/>
    <w:uiPriority w:val="99"/>
    <w:unhideWhenUsed/>
    <w:qFormat/>
    <w:pPr>
      <w:spacing w:after="0" w:afterAutospacing="0"/>
    </w:pPr>
  </w:style>
  <w:style w:type="paragraph" w:styleId="817">
    <w:name w:val="toc 2"/>
    <w:basedOn w:val="784"/>
    <w:next w:val="784"/>
    <w:uiPriority w:val="39"/>
    <w:unhideWhenUsed/>
    <w:qFormat/>
    <w:pPr>
      <w:ind w:left="283" w:right="0" w:firstLine="0"/>
      <w:spacing w:after="57"/>
    </w:pPr>
  </w:style>
  <w:style w:type="paragraph" w:styleId="818">
    <w:name w:val="toc 9"/>
    <w:basedOn w:val="784"/>
    <w:next w:val="784"/>
    <w:uiPriority w:val="39"/>
    <w:unhideWhenUsed/>
    <w:qFormat/>
    <w:pPr>
      <w:ind w:left="2268" w:right="0" w:firstLine="0"/>
      <w:spacing w:after="57"/>
    </w:pPr>
  </w:style>
  <w:style w:type="paragraph" w:styleId="819">
    <w:name w:val="Normal (Web)"/>
    <w:basedOn w:val="784"/>
    <w:uiPriority w:val="99"/>
    <w:semiHidden/>
    <w:unhideWhenUsed/>
    <w:qFormat/>
    <w:pPr>
      <w:ind w:left="0" w:right="0"/>
      <w:jc w:val="left"/>
      <w:spacing w:before="0" w:beforeAutospacing="1" w:after="0" w:afterAutospacing="1"/>
    </w:pPr>
    <w:rPr>
      <w:sz w:val="24"/>
      <w:lang w:val="en-US" w:eastAsia="zh-CN" w:bidi="ar"/>
    </w:rPr>
  </w:style>
  <w:style w:type="paragraph" w:styleId="820">
    <w:name w:val="Title"/>
    <w:basedOn w:val="784"/>
    <w:link w:val="842"/>
    <w:uiPriority w:val="10"/>
    <w:qFormat/>
    <w:pPr>
      <w:contextualSpacing/>
      <w:spacing w:before="300" w:after="200"/>
    </w:pPr>
    <w:rPr>
      <w:sz w:val="48"/>
      <w:szCs w:val="48"/>
    </w:rPr>
  </w:style>
  <w:style w:type="paragraph" w:styleId="821">
    <w:name w:val="Body Text First Indent 2"/>
    <w:basedOn w:val="803"/>
    <w:uiPriority w:val="0"/>
    <w:qFormat/>
    <w:pPr>
      <w:ind w:firstLine="200"/>
      <w:spacing w:line="360" w:lineRule="auto"/>
    </w:pPr>
    <w:rPr>
      <w:rFonts w:ascii="宋体" w:eastAsia="宋体"/>
      <w:sz w:val="21"/>
      <w:szCs w:val="20"/>
    </w:rPr>
  </w:style>
  <w:style w:type="table" w:styleId="8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endnote reference"/>
    <w:uiPriority w:val="99"/>
    <w:semiHidden/>
    <w:unhideWhenUsed/>
    <w:qFormat/>
    <w:rPr>
      <w:vertAlign w:val="superscript"/>
    </w:rPr>
  </w:style>
  <w:style w:type="character" w:styleId="824">
    <w:name w:val="page number"/>
    <w:uiPriority w:val="0"/>
    <w:qFormat/>
  </w:style>
  <w:style w:type="character" w:styleId="825">
    <w:name w:val="Emphasis"/>
    <w:basedOn w:val="794"/>
    <w:uiPriority w:val="20"/>
    <w:qFormat/>
    <w:rPr>
      <w:i/>
    </w:rPr>
  </w:style>
  <w:style w:type="character" w:styleId="826">
    <w:name w:val="Hyperlink"/>
    <w:uiPriority w:val="99"/>
    <w:unhideWhenUsed/>
    <w:qFormat/>
    <w:rPr>
      <w:color w:val="0000ff" w:themeColor="hyperlink"/>
      <w:u w:val="single"/>
      <w14:textFill>
        <w14:solidFill>
          <w14:schemeClr w14:val="hlink"/>
        </w14:solidFill>
      </w14:textFill>
    </w:rPr>
  </w:style>
  <w:style w:type="character" w:styleId="827">
    <w:name w:val="annotation reference"/>
    <w:basedOn w:val="794"/>
    <w:uiPriority w:val="0"/>
    <w:qFormat/>
    <w:rPr>
      <w:sz w:val="21"/>
      <w:szCs w:val="21"/>
    </w:rPr>
  </w:style>
  <w:style w:type="character" w:styleId="828">
    <w:name w:val="footnote reference"/>
    <w:uiPriority w:val="99"/>
    <w:unhideWhenUsed/>
    <w:qFormat/>
    <w:rPr>
      <w:vertAlign w:val="superscript"/>
    </w:rPr>
  </w:style>
  <w:style w:type="paragraph" w:styleId="829" w:customStyle="1">
    <w:name w:val="首行缩进"/>
    <w:basedOn w:val="784"/>
    <w:next w:val="784"/>
    <w:uiPriority w:val="0"/>
    <w:qFormat/>
    <w:pPr>
      <w:ind w:firstLine="480"/>
      <w:jc w:val="left"/>
      <w:spacing w:line="360" w:lineRule="auto"/>
    </w:pPr>
    <w:rPr>
      <w:rFonts w:ascii="宋体" w:hAnsi="宋体"/>
      <w:sz w:val="24"/>
    </w:rPr>
  </w:style>
  <w:style w:type="paragraph" w:styleId="830" w:customStyle="1">
    <w:name w:val="正文文本缩进1"/>
    <w:basedOn w:val="784"/>
    <w:next w:val="831"/>
    <w:uiPriority w:val="0"/>
    <w:qFormat/>
    <w:pPr>
      <w:ind w:firstLine="645"/>
    </w:pPr>
    <w:rPr>
      <w:rFonts w:ascii="楷体_GB2312" w:hAnsi="宋体" w:eastAsia="楷体_GB2312"/>
      <w:sz w:val="32"/>
      <w:szCs w:val="32"/>
    </w:rPr>
  </w:style>
  <w:style w:type="paragraph" w:styleId="831" w:customStyle="1">
    <w:name w:val="寄信人地址1"/>
    <w:basedOn w:val="784"/>
    <w:uiPriority w:val="99"/>
    <w:qFormat/>
    <w:rPr>
      <w:rFonts w:ascii="Arial" w:hAnsi="Arial"/>
    </w:rPr>
  </w:style>
  <w:style w:type="paragraph" w:styleId="832" w:customStyle="1">
    <w:name w:val="正文1"/>
    <w:basedOn w:val="784"/>
    <w:next w:val="784"/>
    <w:uiPriority w:val="0"/>
    <w:qFormat/>
    <w:pPr>
      <w:ind w:left="420"/>
      <w:spacing w:line="300" w:lineRule="auto"/>
      <w:widowControl/>
    </w:pPr>
    <w:rPr>
      <w:szCs w:val="20"/>
    </w:rPr>
  </w:style>
  <w:style w:type="character" w:styleId="833" w:customStyle="1">
    <w:name w:val="Heading 1 Char"/>
    <w:link w:val="785"/>
    <w:uiPriority w:val="9"/>
    <w:qFormat/>
    <w:rPr>
      <w:rFonts w:ascii="Arial" w:hAnsi="Arial" w:eastAsia="Arial" w:cs="Arial"/>
      <w:sz w:val="40"/>
      <w:szCs w:val="40"/>
    </w:rPr>
  </w:style>
  <w:style w:type="character" w:styleId="834" w:customStyle="1">
    <w:name w:val="Heading 2 Char"/>
    <w:link w:val="786"/>
    <w:uiPriority w:val="9"/>
    <w:qFormat/>
    <w:rPr>
      <w:rFonts w:ascii="Arial" w:hAnsi="Arial" w:eastAsia="Arial" w:cs="Arial"/>
      <w:sz w:val="34"/>
    </w:rPr>
  </w:style>
  <w:style w:type="character" w:styleId="835" w:customStyle="1">
    <w:name w:val="Heading 3 Char"/>
    <w:link w:val="787"/>
    <w:uiPriority w:val="9"/>
    <w:qFormat/>
    <w:rPr>
      <w:rFonts w:ascii="Arial" w:hAnsi="Arial" w:eastAsia="Arial" w:cs="Arial"/>
      <w:sz w:val="30"/>
      <w:szCs w:val="30"/>
    </w:rPr>
  </w:style>
  <w:style w:type="character" w:styleId="836" w:customStyle="1">
    <w:name w:val="Heading 4 Char"/>
    <w:link w:val="788"/>
    <w:uiPriority w:val="9"/>
    <w:qFormat/>
    <w:rPr>
      <w:rFonts w:ascii="Arial" w:hAnsi="Arial" w:eastAsia="Arial" w:cs="Arial"/>
      <w:b/>
      <w:bCs/>
      <w:sz w:val="26"/>
      <w:szCs w:val="26"/>
    </w:rPr>
  </w:style>
  <w:style w:type="character" w:styleId="837" w:customStyle="1">
    <w:name w:val="Heading 5 Char"/>
    <w:link w:val="789"/>
    <w:uiPriority w:val="9"/>
    <w:qFormat/>
    <w:rPr>
      <w:rFonts w:ascii="Arial" w:hAnsi="Arial" w:eastAsia="Arial" w:cs="Arial"/>
      <w:b/>
      <w:bCs/>
      <w:sz w:val="24"/>
      <w:szCs w:val="24"/>
    </w:rPr>
  </w:style>
  <w:style w:type="character" w:styleId="838" w:customStyle="1">
    <w:name w:val="Heading 6 Char"/>
    <w:link w:val="790"/>
    <w:uiPriority w:val="9"/>
    <w:qFormat/>
    <w:rPr>
      <w:rFonts w:ascii="Arial" w:hAnsi="Arial" w:eastAsia="Arial" w:cs="Arial"/>
      <w:b/>
      <w:bCs/>
      <w:sz w:val="22"/>
      <w:szCs w:val="22"/>
    </w:rPr>
  </w:style>
  <w:style w:type="character" w:styleId="839" w:customStyle="1">
    <w:name w:val="Heading 7 Char"/>
    <w:link w:val="791"/>
    <w:uiPriority w:val="9"/>
    <w:qFormat/>
    <w:rPr>
      <w:rFonts w:ascii="Arial" w:hAnsi="Arial" w:eastAsia="Arial" w:cs="Arial"/>
      <w:b/>
      <w:bCs/>
      <w:i/>
      <w:iCs/>
      <w:sz w:val="22"/>
      <w:szCs w:val="22"/>
    </w:rPr>
  </w:style>
  <w:style w:type="character" w:styleId="840" w:customStyle="1">
    <w:name w:val="Heading 8 Char"/>
    <w:link w:val="792"/>
    <w:uiPriority w:val="9"/>
    <w:qFormat/>
    <w:rPr>
      <w:rFonts w:ascii="Arial" w:hAnsi="Arial" w:eastAsia="Arial" w:cs="Arial"/>
      <w:i/>
      <w:iCs/>
      <w:sz w:val="22"/>
      <w:szCs w:val="22"/>
    </w:rPr>
  </w:style>
  <w:style w:type="character" w:styleId="841" w:customStyle="1">
    <w:name w:val="Heading 9 Char"/>
    <w:link w:val="793"/>
    <w:uiPriority w:val="9"/>
    <w:qFormat/>
    <w:rPr>
      <w:rFonts w:ascii="Arial" w:hAnsi="Arial" w:eastAsia="Arial" w:cs="Arial"/>
      <w:i/>
      <w:iCs/>
      <w:sz w:val="21"/>
      <w:szCs w:val="21"/>
    </w:rPr>
  </w:style>
  <w:style w:type="character" w:styleId="842" w:customStyle="1">
    <w:name w:val="Title Char"/>
    <w:link w:val="820"/>
    <w:uiPriority w:val="10"/>
    <w:qFormat/>
    <w:rPr>
      <w:sz w:val="48"/>
      <w:szCs w:val="48"/>
    </w:rPr>
  </w:style>
  <w:style w:type="character" w:styleId="843" w:customStyle="1">
    <w:name w:val="Subtitle Char"/>
    <w:link w:val="813"/>
    <w:uiPriority w:val="11"/>
    <w:qFormat/>
    <w:rPr>
      <w:sz w:val="24"/>
      <w:szCs w:val="24"/>
    </w:rPr>
  </w:style>
  <w:style w:type="paragraph" w:styleId="844">
    <w:name w:val="Quote"/>
    <w:basedOn w:val="784"/>
    <w:next w:val="784"/>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84"/>
    <w:next w:val="784"/>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Header Char"/>
    <w:link w:val="810"/>
    <w:uiPriority w:val="99"/>
    <w:qFormat/>
  </w:style>
  <w:style w:type="character" w:styleId="849" w:customStyle="1">
    <w:name w:val="Footer Char"/>
    <w:link w:val="808"/>
    <w:uiPriority w:val="99"/>
    <w:qFormat/>
  </w:style>
  <w:style w:type="character" w:styleId="850" w:customStyle="1">
    <w:name w:val="Caption Char"/>
    <w:link w:val="808"/>
    <w:uiPriority w:val="99"/>
    <w:qFormat/>
  </w:style>
  <w:style w:type="table" w:styleId="8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Footnote Text Char"/>
    <w:link w:val="814"/>
    <w:uiPriority w:val="99"/>
    <w:qFormat/>
    <w:rPr>
      <w:sz w:val="18"/>
    </w:rPr>
  </w:style>
  <w:style w:type="character" w:styleId="977" w:customStyle="1">
    <w:name w:val="Endnote Text Char"/>
    <w:link w:val="807"/>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标题 21"/>
    <w:basedOn w:val="784"/>
    <w:next w:val="784"/>
    <w:uiPriority w:val="0"/>
    <w:qFormat/>
    <w:pPr>
      <w:jc w:val="center"/>
      <w:keepLines/>
      <w:keepNext/>
      <w:spacing w:before="260" w:after="260" w:line="415" w:lineRule="auto"/>
      <w:outlineLvl w:val="1"/>
    </w:pPr>
    <w:rPr>
      <w:rFonts w:ascii="Arial" w:hAnsi="Arial" w:eastAsia="幼圆"/>
      <w:b/>
      <w:bCs/>
      <w:sz w:val="44"/>
      <w:szCs w:val="44"/>
    </w:rPr>
  </w:style>
  <w:style w:type="character" w:styleId="980" w:customStyle="1">
    <w:name w:val="默认段落字体1"/>
    <w:link w:val="784"/>
    <w:uiPriority w:val="0"/>
    <w:semiHidden/>
    <w:qFormat/>
  </w:style>
  <w:style w:type="table" w:styleId="981" w:customStyle="1">
    <w:name w:val="普通表格1"/>
    <w:uiPriority w:val="0"/>
    <w:semiHidden/>
    <w:qFormat/>
    <w:tblPr/>
  </w:style>
  <w:style w:type="paragraph" w:styleId="982" w:customStyle="1">
    <w:name w:val="正文缩进1"/>
    <w:basedOn w:val="784"/>
    <w:uiPriority w:val="0"/>
    <w:qFormat/>
    <w:pPr>
      <w:ind w:firstLine="420"/>
    </w:pPr>
    <w:rPr>
      <w:szCs w:val="21"/>
    </w:rPr>
  </w:style>
  <w:style w:type="paragraph" w:styleId="983" w:customStyle="1">
    <w:name w:val="文档结构图1"/>
    <w:basedOn w:val="784"/>
    <w:uiPriority w:val="0"/>
    <w:qFormat/>
    <w:pPr>
      <w:shd w:val="clear" w:color="auto" w:fill="000080"/>
    </w:pPr>
    <w:rPr>
      <w:szCs w:val="21"/>
    </w:rPr>
  </w:style>
  <w:style w:type="paragraph" w:styleId="984" w:customStyle="1">
    <w:name w:val="正文文本1"/>
    <w:basedOn w:val="784"/>
    <w:next w:val="784"/>
    <w:uiPriority w:val="0"/>
    <w:qFormat/>
    <w:pPr>
      <w:spacing w:after="120"/>
    </w:pPr>
  </w:style>
  <w:style w:type="paragraph" w:styleId="985" w:customStyle="1">
    <w:name w:val="日期1"/>
    <w:basedOn w:val="784"/>
    <w:next w:val="784"/>
    <w:uiPriority w:val="0"/>
    <w:qFormat/>
    <w:rPr>
      <w:sz w:val="24"/>
    </w:rPr>
  </w:style>
  <w:style w:type="paragraph" w:styleId="986" w:customStyle="1">
    <w:name w:val="页脚1"/>
    <w:basedOn w:val="784"/>
    <w:uiPriority w:val="99"/>
    <w:qFormat/>
    <w:pPr>
      <w:jc w:val="left"/>
      <w:tabs>
        <w:tab w:val="center" w:pos="4153" w:leader="none"/>
        <w:tab w:val="right" w:pos="8306" w:leader="none"/>
      </w:tabs>
    </w:pPr>
    <w:rPr>
      <w:sz w:val="18"/>
      <w:szCs w:val="18"/>
    </w:rPr>
  </w:style>
  <w:style w:type="paragraph" w:styleId="987" w:customStyle="1">
    <w:name w:val="页眉1"/>
    <w:basedOn w:val="784"/>
    <w:uiPriority w:val="99"/>
    <w:qFormat/>
    <w:pPr>
      <w:jc w:val="center"/>
      <w:tabs>
        <w:tab w:val="center" w:pos="4153" w:leader="none"/>
        <w:tab w:val="right" w:pos="8306" w:leader="none"/>
      </w:tabs>
      <w:pBdr>
        <w:bottom w:val="single" w:color="000000" w:sz="6" w:space="1"/>
      </w:pBdr>
    </w:pPr>
    <w:rPr>
      <w:sz w:val="18"/>
      <w:szCs w:val="18"/>
    </w:rPr>
  </w:style>
  <w:style w:type="paragraph" w:styleId="988" w:customStyle="1">
    <w:name w:val="目录 11"/>
    <w:basedOn w:val="784"/>
    <w:next w:val="784"/>
    <w:uiPriority w:val="0"/>
    <w:qFormat/>
  </w:style>
  <w:style w:type="paragraph" w:styleId="989" w:customStyle="1">
    <w:name w:val="目录 21"/>
    <w:basedOn w:val="784"/>
    <w:next w:val="784"/>
    <w:uiPriority w:val="0"/>
    <w:qFormat/>
    <w:pPr>
      <w:ind w:left="420"/>
    </w:pPr>
  </w:style>
  <w:style w:type="paragraph" w:styleId="990" w:customStyle="1">
    <w:name w:val="普通(网站)1"/>
    <w:basedOn w:val="784"/>
    <w:uiPriority w:val="0"/>
    <w:qFormat/>
    <w:pPr>
      <w:ind w:left="0" w:right="0"/>
      <w:jc w:val="left"/>
      <w:spacing w:before="100" w:beforeAutospacing="1" w:after="100" w:afterAutospacing="1"/>
    </w:pPr>
    <w:rPr>
      <w:sz w:val="24"/>
      <w:lang w:val="en-US" w:eastAsia="zh-CN" w:bidi="ar"/>
    </w:rPr>
  </w:style>
  <w:style w:type="paragraph" w:styleId="991" w:customStyle="1">
    <w:name w:val="正文首行缩进1"/>
    <w:basedOn w:val="984"/>
    <w:next w:val="784"/>
    <w:uiPriority w:val="99"/>
    <w:unhideWhenUsed/>
    <w:qFormat/>
    <w:pPr>
      <w:ind w:firstLine="420"/>
    </w:pPr>
  </w:style>
  <w:style w:type="paragraph" w:styleId="992" w:customStyle="1">
    <w:name w:val="正文首行缩进 21"/>
    <w:basedOn w:val="830"/>
    <w:uiPriority w:val="0"/>
    <w:qFormat/>
    <w:pPr>
      <w:ind w:firstLine="200"/>
      <w:spacing w:line="360" w:lineRule="auto"/>
    </w:pPr>
    <w:rPr>
      <w:rFonts w:ascii="宋体" w:eastAsia="宋体"/>
      <w:sz w:val="21"/>
      <w:szCs w:val="20"/>
    </w:rPr>
  </w:style>
  <w:style w:type="character" w:styleId="993" w:customStyle="1">
    <w:name w:val="要点1"/>
    <w:basedOn w:val="980"/>
    <w:link w:val="784"/>
    <w:uiPriority w:val="0"/>
    <w:qFormat/>
    <w:rPr>
      <w:b/>
      <w:bCs/>
    </w:rPr>
  </w:style>
  <w:style w:type="character" w:styleId="994" w:customStyle="1">
    <w:name w:val="页码1"/>
    <w:link w:val="784"/>
    <w:uiPriority w:val="0"/>
    <w:qFormat/>
  </w:style>
  <w:style w:type="character" w:styleId="995" w:customStyle="1">
    <w:name w:val="已访问的超链接1"/>
    <w:basedOn w:val="980"/>
    <w:link w:val="784"/>
    <w:uiPriority w:val="0"/>
    <w:qFormat/>
    <w:rPr>
      <w:color w:val="800080"/>
      <w:u w:val="none"/>
    </w:rPr>
  </w:style>
  <w:style w:type="character" w:styleId="996" w:customStyle="1">
    <w:name w:val="强调1"/>
    <w:basedOn w:val="980"/>
    <w:link w:val="784"/>
    <w:uiPriority w:val="0"/>
    <w:qFormat/>
    <w:rPr>
      <w:b/>
      <w:bCs/>
    </w:rPr>
  </w:style>
  <w:style w:type="character" w:styleId="997" w:customStyle="1">
    <w:name w:val="HTML 定义1"/>
    <w:basedOn w:val="980"/>
    <w:link w:val="784"/>
    <w:uiPriority w:val="0"/>
    <w:qFormat/>
  </w:style>
  <w:style w:type="character" w:styleId="998" w:customStyle="1">
    <w:name w:val="HTML 打字机1"/>
    <w:basedOn w:val="980"/>
    <w:link w:val="784"/>
    <w:uiPriority w:val="0"/>
    <w:qFormat/>
    <w:rPr>
      <w:rFonts w:ascii="monospace" w:hAnsi="monospace" w:eastAsia="monospace" w:cs="monospace"/>
      <w:sz w:val="20"/>
    </w:rPr>
  </w:style>
  <w:style w:type="character" w:styleId="999" w:customStyle="1">
    <w:name w:val="HTML 缩写1"/>
    <w:basedOn w:val="980"/>
    <w:link w:val="784"/>
    <w:uiPriority w:val="0"/>
    <w:qFormat/>
  </w:style>
  <w:style w:type="character" w:styleId="1000" w:customStyle="1">
    <w:name w:val="HTML 变量1"/>
    <w:basedOn w:val="980"/>
    <w:link w:val="784"/>
    <w:uiPriority w:val="0"/>
    <w:qFormat/>
  </w:style>
  <w:style w:type="character" w:styleId="1001" w:customStyle="1">
    <w:name w:val="超链接1"/>
    <w:basedOn w:val="980"/>
    <w:link w:val="784"/>
    <w:uiPriority w:val="0"/>
    <w:qFormat/>
    <w:rPr>
      <w:color w:val="0000ff"/>
      <w:u w:val="none"/>
    </w:rPr>
  </w:style>
  <w:style w:type="character" w:styleId="1002" w:customStyle="1">
    <w:name w:val="HTML 代码1"/>
    <w:basedOn w:val="980"/>
    <w:link w:val="784"/>
    <w:uiPriority w:val="0"/>
    <w:qFormat/>
    <w:rPr>
      <w:rFonts w:ascii="monospace" w:hAnsi="monospace" w:eastAsia="monospace" w:cs="monospace"/>
      <w:sz w:val="20"/>
    </w:rPr>
  </w:style>
  <w:style w:type="character" w:styleId="1003" w:customStyle="1">
    <w:name w:val="HTML 引文1"/>
    <w:basedOn w:val="980"/>
    <w:link w:val="784"/>
    <w:uiPriority w:val="0"/>
    <w:qFormat/>
  </w:style>
  <w:style w:type="character" w:styleId="1004" w:customStyle="1">
    <w:name w:val="HTML 键盘1"/>
    <w:basedOn w:val="980"/>
    <w:link w:val="784"/>
    <w:uiPriority w:val="0"/>
    <w:qFormat/>
    <w:rPr>
      <w:rFonts w:ascii="monospace" w:hAnsi="monospace" w:eastAsia="monospace" w:cs="monospace"/>
      <w:sz w:val="20"/>
    </w:rPr>
  </w:style>
  <w:style w:type="character" w:styleId="1005" w:customStyle="1">
    <w:name w:val="HTML 样本1"/>
    <w:basedOn w:val="980"/>
    <w:link w:val="784"/>
    <w:uiPriority w:val="0"/>
    <w:qFormat/>
    <w:rPr>
      <w:rFonts w:ascii="monospace" w:hAnsi="monospace" w:eastAsia="monospace" w:cs="monospace"/>
    </w:rPr>
  </w:style>
  <w:style w:type="paragraph" w:styleId="1006" w:customStyle="1">
    <w:name w:val="普通正文"/>
    <w:basedOn w:val="784"/>
    <w:uiPriority w:val="0"/>
    <w:qFormat/>
    <w:pPr>
      <w:ind w:firstLine="480"/>
      <w:jc w:val="left"/>
      <w:spacing w:before="120" w:after="120" w:line="360" w:lineRule="auto"/>
    </w:pPr>
    <w:rPr>
      <w:rFonts w:ascii="Arial" w:hAnsi="Arial"/>
      <w:sz w:val="24"/>
    </w:rPr>
  </w:style>
  <w:style w:type="paragraph" w:styleId="1007" w:customStyle="1">
    <w:name w:val="WPSOffice手动目录 1"/>
    <w:uiPriority w:val="0"/>
    <w:qFormat/>
    <w:rPr>
      <w:rFonts w:hint="default" w:ascii="Times New Roman" w:hAnsi="Times New Roman" w:eastAsia="宋体" w:cs="Times New Roman"/>
      <w:sz w:val="20"/>
      <w:szCs w:val="20"/>
    </w:rPr>
  </w:style>
  <w:style w:type="character" w:styleId="1008" w:customStyle="1">
    <w:name w:val="标题 4 Char"/>
    <w:link w:val="784"/>
    <w:uiPriority w:val="9"/>
    <w:qFormat/>
    <w:rPr>
      <w:rFonts w:ascii="Cambria" w:hAnsi="Cambria" w:eastAsia="宋体" w:cs="Times New Roman"/>
      <w:b/>
      <w:bCs/>
      <w:sz w:val="28"/>
      <w:szCs w:val="28"/>
    </w:rPr>
  </w:style>
  <w:style w:type="paragraph" w:styleId="1009"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1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1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12"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13"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1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15"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16" w:customStyle="1">
    <w:name w:val="Normal_0"/>
    <w:next w:val="1017"/>
    <w:uiPriority w:val="0"/>
    <w:qFormat/>
    <w:rPr>
      <w:rFonts w:hint="default" w:ascii="Times New Roman" w:hAnsi="Times New Roman" w:eastAsia="Times New Roman" w:cs="Times New Roman"/>
      <w:sz w:val="24"/>
      <w:szCs w:val="24"/>
      <w:lang w:val="en-US" w:eastAsia="zh-CN" w:bidi="ar-SA"/>
    </w:rPr>
  </w:style>
  <w:style w:type="paragraph" w:styleId="1017" w:customStyle="1">
    <w:name w:val="首行缩进_0"/>
    <w:basedOn w:val="1018"/>
    <w:uiPriority w:val="0"/>
    <w:qFormat/>
    <w:pPr>
      <w:ind w:firstLine="480"/>
      <w:jc w:val="left"/>
      <w:spacing w:line="360" w:lineRule="auto"/>
    </w:pPr>
    <w:rPr>
      <w:rFonts w:ascii="宋体" w:hAnsi="宋体"/>
      <w:sz w:val="24"/>
    </w:rPr>
  </w:style>
  <w:style w:type="paragraph" w:styleId="1018" w:customStyle="1">
    <w:name w:val="Normal_9"/>
    <w:next w:val="10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20" w:customStyle="1">
    <w:name w:val="正文 A"/>
    <w:next w:val="1021"/>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21" w:customStyle="1">
    <w:name w:val="段"/>
    <w:next w:val="784"/>
    <w:uiPriority w:val="0"/>
    <w:qFormat/>
    <w:pPr>
      <w:ind w:firstLine="200"/>
      <w:jc w:val="both"/>
    </w:pPr>
    <w:rPr>
      <w:rFonts w:hint="default" w:ascii="宋体" w:hAnsi="Times New Roman" w:eastAsia="宋体" w:cs="Times New Roman"/>
      <w:sz w:val="21"/>
      <w:szCs w:val="22"/>
      <w:lang w:val="en-US" w:eastAsia="zh-CN" w:bidi="ar-SA"/>
    </w:rPr>
  </w:style>
  <w:style w:type="paragraph" w:styleId="1022" w:customStyle="1">
    <w:name w:val="样式1"/>
    <w:basedOn w:val="784"/>
    <w:uiPriority w:val="0"/>
    <w:qFormat/>
    <w:pPr>
      <w:numPr>
        <w:ilvl w:val="0"/>
        <w:numId w:val="1"/>
      </w:numPr>
      <w:ind w:firstLine="0"/>
    </w:pPr>
    <w:rPr>
      <w:rFonts w:ascii="宋体" w:hAnsi="宋体" w:cs="宋体"/>
      <w:szCs w:val="21"/>
    </w:rPr>
  </w:style>
  <w:style w:type="paragraph" w:styleId="1023">
    <w:name w:val="List Paragraph"/>
    <w:basedOn w:val="784"/>
    <w:uiPriority w:val="34"/>
    <w:qFormat/>
    <w:pPr>
      <w:ind w:firstLine="420"/>
    </w:pPr>
  </w:style>
  <w:style w:type="paragraph" w:styleId="1024" w:customStyle="1">
    <w:name w:val="Normal_0_2"/>
    <w:uiPriority w:val="0"/>
    <w:qFormat/>
    <w:rPr>
      <w:rFonts w:hint="default" w:ascii="Times New Roman" w:hAnsi="Times New Roman" w:eastAsia="Times New Roman" w:cs="Times New Roman"/>
      <w:sz w:val="24"/>
      <w:szCs w:val="24"/>
    </w:rPr>
  </w:style>
  <w:style w:type="paragraph" w:styleId="1025" w:customStyle="1">
    <w:name w:val="Normal_1_1"/>
    <w:uiPriority w:val="0"/>
    <w:qFormat/>
    <w:rPr>
      <w:rFonts w:hint="default" w:ascii="Times New Roman" w:hAnsi="Times New Roman" w:eastAsia="Times New Roman" w:cs="Times New Roman"/>
      <w:sz w:val="24"/>
      <w:szCs w:val="24"/>
    </w:rPr>
  </w:style>
  <w:style w:type="paragraph" w:styleId="1026" w:customStyle="1">
    <w:name w:val="Normal_0_1_0"/>
    <w:uiPriority w:val="0"/>
    <w:qFormat/>
    <w:rPr>
      <w:rFonts w:hint="default" w:ascii="Times New Roman" w:hAnsi="Times New Roman" w:eastAsia="Times New Roman" w:cs="Times New Roman"/>
      <w:sz w:val="24"/>
      <w:szCs w:val="24"/>
    </w:rPr>
  </w:style>
  <w:style w:type="paragraph" w:styleId="1027" w:customStyle="1">
    <w:name w:val="Normal_0_4"/>
    <w:uiPriority w:val="0"/>
    <w:qFormat/>
    <w:rPr>
      <w:rFonts w:hint="default" w:ascii="Times New Roman" w:hAnsi="Times New Roman" w:eastAsia="Times New Roman" w:cs="Times New Roman"/>
      <w:sz w:val="24"/>
      <w:szCs w:val="24"/>
    </w:rPr>
  </w:style>
  <w:style w:type="paragraph" w:styleId="1028" w:customStyle="1">
    <w:name w:val="Normal_13"/>
    <w:uiPriority w:val="0"/>
    <w:qFormat/>
    <w:rPr>
      <w:rFonts w:hint="default" w:ascii="Times New Roman" w:hAnsi="Times New Roman" w:eastAsia="Times New Roman" w:cs="Times New Roman"/>
      <w:sz w:val="24"/>
      <w:szCs w:val="24"/>
    </w:rPr>
  </w:style>
  <w:style w:type="character" w:styleId="1029" w:customStyle="1">
    <w:name w:val="hover"/>
    <w:basedOn w:val="980"/>
    <w:link w:val="784"/>
    <w:uiPriority w:val="0"/>
    <w:qFormat/>
  </w:style>
  <w:style w:type="character" w:styleId="1030" w:customStyle="1">
    <w:name w:val="hover1"/>
    <w:basedOn w:val="980"/>
    <w:link w:val="784"/>
    <w:uiPriority w:val="0"/>
    <w:qFormat/>
    <w:rPr>
      <w:color w:val="2590eb"/>
    </w:rPr>
  </w:style>
  <w:style w:type="character" w:styleId="1031" w:customStyle="1">
    <w:name w:val="hover2"/>
    <w:basedOn w:val="980"/>
    <w:link w:val="784"/>
    <w:uiPriority w:val="0"/>
    <w:qFormat/>
    <w:rPr>
      <w:color w:val="2590eb"/>
    </w:rPr>
  </w:style>
  <w:style w:type="character" w:styleId="1032" w:customStyle="1">
    <w:name w:val="mini-outputtext1"/>
    <w:basedOn w:val="980"/>
    <w:link w:val="784"/>
    <w:uiPriority w:val="0"/>
    <w:qFormat/>
  </w:style>
  <w:style w:type="paragraph" w:styleId="1033" w:customStyle="1">
    <w:name w:val="Normal_18_0"/>
    <w:uiPriority w:val="0"/>
    <w:qFormat/>
    <w:rPr>
      <w:rFonts w:hint="default" w:ascii="Times New Roman" w:hAnsi="Times New Roman" w:eastAsia="Times New Roman" w:cs="Times New Roman"/>
      <w:sz w:val="24"/>
      <w:szCs w:val="24"/>
    </w:rPr>
  </w:style>
  <w:style w:type="paragraph" w:styleId="1034" w:customStyle="1">
    <w:name w:val="Normal_24"/>
    <w:uiPriority w:val="0"/>
    <w:qFormat/>
    <w:rPr>
      <w:rFonts w:hint="default" w:ascii="Times New Roman" w:hAnsi="Times New Roman" w:eastAsia="Times New Roman" w:cs="Times New Roman"/>
      <w:sz w:val="24"/>
      <w:szCs w:val="24"/>
    </w:rPr>
  </w:style>
  <w:style w:type="paragraph" w:styleId="1035" w:customStyle="1">
    <w:name w:val="Normal_27"/>
    <w:uiPriority w:val="0"/>
    <w:qFormat/>
    <w:rPr>
      <w:rFonts w:hint="default" w:ascii="Times New Roman" w:hAnsi="Times New Roman" w:eastAsia="Times New Roman" w:cs="Times New Roman"/>
      <w:sz w:val="24"/>
      <w:szCs w:val="24"/>
    </w:rPr>
  </w:style>
  <w:style w:type="paragraph" w:styleId="1036" w:customStyle="1">
    <w:name w:val="Normal_43"/>
    <w:uiPriority w:val="0"/>
    <w:qFormat/>
    <w:rPr>
      <w:rFonts w:hint="default" w:ascii="Times New Roman" w:hAnsi="Times New Roman" w:eastAsia="Times New Roman" w:cs="Times New Roman"/>
      <w:sz w:val="24"/>
      <w:szCs w:val="24"/>
    </w:rPr>
  </w:style>
  <w:style w:type="paragraph" w:styleId="1037" w:customStyle="1">
    <w:name w:val="Normal_6_1"/>
    <w:uiPriority w:val="0"/>
    <w:qFormat/>
    <w:rPr>
      <w:rFonts w:hint="default" w:ascii="Times New Roman" w:hAnsi="Times New Roman" w:eastAsia="Times New Roman" w:cs="Times New Roman"/>
      <w:sz w:val="24"/>
      <w:szCs w:val="24"/>
    </w:rPr>
  </w:style>
  <w:style w:type="paragraph" w:styleId="1038" w:customStyle="1">
    <w:name w:val="Normal_0_1"/>
    <w:uiPriority w:val="0"/>
    <w:qFormat/>
    <w:rPr>
      <w:rFonts w:hint="default" w:ascii="Times New Roman" w:hAnsi="Times New Roman" w:eastAsia="Times New Roman" w:cs="Times New Roman"/>
      <w:sz w:val="24"/>
      <w:szCs w:val="24"/>
    </w:rPr>
  </w:style>
  <w:style w:type="paragraph" w:styleId="1039" w:customStyle="1">
    <w:name w:val="Normal_23"/>
    <w:uiPriority w:val="0"/>
    <w:qFormat/>
    <w:rPr>
      <w:rFonts w:hint="default" w:ascii="Times New Roman" w:hAnsi="Times New Roman" w:eastAsia="Times New Roman" w:cs="Times New Roman"/>
      <w:sz w:val="24"/>
      <w:szCs w:val="24"/>
    </w:rPr>
  </w:style>
  <w:style w:type="paragraph" w:styleId="1040" w:customStyle="1">
    <w:name w:val="p0"/>
    <w:basedOn w:val="784"/>
    <w:uiPriority w:val="99"/>
    <w:qFormat/>
    <w:pPr>
      <w:widowControl/>
    </w:pPr>
    <w:rPr>
      <w:rFonts w:ascii="Calibri" w:hAnsi="Calibri" w:cs="宋体"/>
      <w:szCs w:val="21"/>
    </w:rPr>
  </w:style>
  <w:style w:type="paragraph" w:styleId="1041" w:customStyle="1">
    <w:name w:val="Normal_2_0"/>
    <w:uiPriority w:val="0"/>
    <w:qFormat/>
    <w:rPr>
      <w:rFonts w:hint="default" w:ascii="Times New Roman" w:hAnsi="Times New Roman" w:eastAsia="Times New Roman" w:cs="Times New Roman"/>
      <w:sz w:val="24"/>
      <w:szCs w:val="24"/>
    </w:rPr>
  </w:style>
  <w:style w:type="paragraph" w:styleId="1042" w:customStyle="1">
    <w:name w:val="Normal_4_0"/>
    <w:uiPriority w:val="0"/>
    <w:qFormat/>
    <w:rPr>
      <w:rFonts w:hint="default" w:ascii="Times New Roman" w:hAnsi="Times New Roman" w:eastAsia="Times New Roman" w:cs="Times New Roman"/>
      <w:sz w:val="24"/>
      <w:szCs w:val="24"/>
    </w:rPr>
  </w:style>
  <w:style w:type="paragraph" w:styleId="1043" w:customStyle="1">
    <w:name w:val="Normal_5_0"/>
    <w:uiPriority w:val="0"/>
    <w:qFormat/>
    <w:rPr>
      <w:rFonts w:hint="default" w:ascii="Times New Roman" w:hAnsi="Times New Roman" w:eastAsia="Times New Roman" w:cs="Times New Roman"/>
      <w:sz w:val="24"/>
      <w:szCs w:val="24"/>
    </w:rPr>
  </w:style>
  <w:style w:type="table" w:styleId="1044" w:customStyle="1">
    <w:name w:val="TableGrid1"/>
    <w:uiPriority w:val="0"/>
    <w:qFormat/>
    <w:tblPr/>
  </w:style>
  <w:style w:type="paragraph" w:styleId="1045">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046" w:customStyle="1">
    <w:name w:val="Normal_25"/>
    <w:uiPriority w:val="0"/>
    <w:qFormat/>
    <w:rPr>
      <w:rFonts w:hint="default" w:ascii="Times New Roman" w:hAnsi="Times New Roman" w:eastAsia="Times New Roman" w:cs="Times New Roman"/>
      <w:sz w:val="24"/>
      <w:szCs w:val="24"/>
    </w:rPr>
  </w:style>
  <w:style w:type="paragraph" w:styleId="1047" w:customStyle="1">
    <w:name w:val="Normal_26"/>
    <w:uiPriority w:val="0"/>
    <w:qFormat/>
    <w:rPr>
      <w:rFonts w:hint="default" w:ascii="Times New Roman" w:hAnsi="Times New Roman" w:eastAsia="Times New Roman" w:cs="Times New Roman"/>
      <w:sz w:val="24"/>
      <w:szCs w:val="24"/>
    </w:rPr>
  </w:style>
  <w:style w:type="paragraph" w:styleId="104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Normal_30"/>
    <w:uiPriority w:val="0"/>
    <w:qFormat/>
    <w:rPr>
      <w:rFonts w:hint="default" w:ascii="Times New Roman" w:hAnsi="Times New Roman" w:eastAsia="Times New Roman" w:cs="Times New Roman"/>
      <w:sz w:val="24"/>
      <w:szCs w:val="24"/>
    </w:rPr>
  </w:style>
  <w:style w:type="paragraph" w:styleId="1050" w:customStyle="1">
    <w:name w:val="WPSOffice手动目录 2"/>
    <w:uiPriority w:val="0"/>
    <w:qFormat/>
    <w:rPr>
      <w:rFonts w:hint="default" w:ascii="Times New Roman" w:hAnsi="Times New Roman" w:eastAsia="宋体" w:cs="Times New Roman"/>
      <w:sz w:val="20"/>
      <w:szCs w:val="20"/>
    </w:rPr>
  </w:style>
  <w:style w:type="paragraph" w:styleId="1051" w:customStyle="1">
    <w:name w:val="WPSOffice手动目录 3"/>
    <w:uiPriority w:val="0"/>
    <w:qFormat/>
    <w:rPr>
      <w:rFonts w:hint="default" w:ascii="Times New Roman" w:hAnsi="Times New Roman" w:eastAsia="宋体" w:cs="Times New Roman"/>
      <w:sz w:val="20"/>
      <w:szCs w:val="20"/>
    </w:rPr>
  </w:style>
  <w:style w:type="paragraph" w:styleId="1052" w:customStyle="1">
    <w:name w:val="p0_0"/>
    <w:basedOn w:val="1016"/>
    <w:uiPriority w:val="0"/>
    <w:qFormat/>
    <w:pPr>
      <w:widowControl/>
    </w:pPr>
    <w:rPr>
      <w:szCs w:val="21"/>
    </w:rPr>
  </w:style>
  <w:style w:type="paragraph" w:styleId="1053" w:customStyle="1">
    <w:name w:val="标题 41"/>
    <w:basedOn w:val="784"/>
    <w:next w:val="784"/>
    <w:uiPriority w:val="0"/>
    <w:qFormat/>
    <w:pPr>
      <w:keepLines/>
      <w:keepNext/>
      <w:spacing w:before="280" w:after="290" w:line="376" w:lineRule="auto"/>
      <w:outlineLvl w:val="3"/>
    </w:pPr>
    <w:rPr>
      <w:rFonts w:ascii="Arial" w:hAnsi="Arial" w:eastAsia="黑体" w:cs="Times New Roman"/>
      <w:b/>
      <w:bCs/>
      <w:sz w:val="28"/>
      <w:szCs w:val="28"/>
    </w:rPr>
  </w:style>
  <w:style w:type="character" w:styleId="1054" w:customStyle="1">
    <w:name w:val="默认段落字体11"/>
    <w:link w:val="784"/>
    <w:uiPriority w:val="0"/>
    <w:semiHidden/>
    <w:qFormat/>
  </w:style>
  <w:style w:type="paragraph" w:styleId="1055"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056" w:customStyle="1">
    <w:name w:val="Normal_14"/>
    <w:uiPriority w:val="0"/>
    <w:qFormat/>
    <w:rPr>
      <w:rFonts w:hint="default" w:ascii="Times New Roman" w:hAnsi="Times New Roman" w:eastAsia="Times New Roman" w:cs="Times New Roman"/>
      <w:sz w:val="24"/>
      <w:szCs w:val="24"/>
    </w:rPr>
  </w:style>
  <w:style w:type="paragraph" w:styleId="1057" w:customStyle="1">
    <w:name w:val="Normal_18"/>
    <w:uiPriority w:val="0"/>
    <w:qFormat/>
    <w:rPr>
      <w:rFonts w:hint="default" w:ascii="Times New Roman" w:hAnsi="Times New Roman" w:eastAsia="Times New Roman" w:cs="Times New Roman"/>
      <w:sz w:val="24"/>
      <w:szCs w:val="24"/>
    </w:rPr>
  </w:style>
  <w:style w:type="paragraph" w:styleId="1058"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59" w:customStyle="1">
    <w:name w:val="Normal_0_6"/>
    <w:uiPriority w:val="0"/>
    <w:qFormat/>
    <w:rPr>
      <w:rFonts w:hint="default" w:ascii="Times New Roman" w:hAnsi="Times New Roman" w:eastAsia="Times New Roman" w:cs="Times New Roman"/>
      <w:sz w:val="24"/>
      <w:szCs w:val="24"/>
    </w:rPr>
  </w:style>
  <w:style w:type="paragraph" w:styleId="1060"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61"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62" w:customStyle="1">
    <w:name w:val="Normal_8_1"/>
    <w:uiPriority w:val="0"/>
    <w:qFormat/>
    <w:rPr>
      <w:rFonts w:hint="default" w:ascii="Times New Roman" w:hAnsi="Times New Roman" w:eastAsia="Times New Roman" w:cs="Times New Roman"/>
      <w:sz w:val="24"/>
      <w:szCs w:val="24"/>
    </w:rPr>
  </w:style>
  <w:style w:type="paragraph" w:styleId="1063" w:customStyle="1">
    <w:name w:val="Normal_9_0"/>
    <w:uiPriority w:val="0"/>
    <w:qFormat/>
    <w:rPr>
      <w:rFonts w:hint="default" w:ascii="Times New Roman" w:hAnsi="Times New Roman" w:eastAsia="Times New Roman" w:cs="Times New Roman"/>
      <w:sz w:val="24"/>
      <w:szCs w:val="24"/>
    </w:rPr>
  </w:style>
  <w:style w:type="paragraph" w:styleId="1064" w:customStyle="1">
    <w:name w:val="Normal_11_0"/>
    <w:uiPriority w:val="0"/>
    <w:qFormat/>
    <w:rPr>
      <w:rFonts w:hint="default" w:ascii="Times New Roman" w:hAnsi="Times New Roman" w:eastAsia="Times New Roman" w:cs="Times New Roman"/>
      <w:sz w:val="24"/>
      <w:szCs w:val="24"/>
    </w:rPr>
  </w:style>
  <w:style w:type="paragraph" w:styleId="1065" w:customStyle="1">
    <w:name w:val="正文_0"/>
    <w:uiPriority w:val="0"/>
    <w:qFormat/>
    <w:pPr>
      <w:jc w:val="both"/>
      <w:widowControl w:val="off"/>
    </w:pPr>
    <w:rPr>
      <w:rFonts w:hint="default" w:ascii="Calibri" w:hAnsi="Calibri" w:eastAsia="宋体" w:cs="Times New Roman"/>
      <w:sz w:val="21"/>
      <w:szCs w:val="22"/>
    </w:rPr>
  </w:style>
  <w:style w:type="paragraph" w:styleId="1066" w:customStyle="1">
    <w:name w:val="Table Text"/>
    <w:uiPriority w:val="99"/>
    <w:qFormat/>
    <w:pPr>
      <w:spacing w:before="80" w:after="80"/>
    </w:pPr>
    <w:rPr>
      <w:rFonts w:hint="default" w:ascii="Arial" w:hAnsi="Arial" w:eastAsiaTheme="minorEastAsia" w:cstheme="minorBidi"/>
      <w:sz w:val="18"/>
      <w:szCs w:val="18"/>
      <w:lang w:val="en-US" w:eastAsia="zh-CN" w:bidi="ar-SA"/>
    </w:rPr>
  </w:style>
  <w:style w:type="table" w:styleId="1067" w:customStyle="1">
    <w:name w:val="Table Normal"/>
    <w:uiPriority w:val="0"/>
    <w:semiHidden/>
    <w:unhideWhenUsed/>
    <w:qFormat/>
    <w:rPr>
      <w:rFonts w:ascii="Arial" w:hAnsi="Arial" w:cs="Arial"/>
      <w:sz w:val="20"/>
      <w:szCs w:val="20"/>
    </w:rPr>
    <w:tblPr>
      <w:tblCellMar>
        <w:left w:w="0" w:type="dxa"/>
        <w:top w:w="0" w:type="dxa"/>
        <w:right w:w="0" w:type="dxa"/>
        <w:bottom w:w="0" w:type="dxa"/>
      </w:tblCellMar>
    </w:tblPr>
  </w:style>
  <w:style w:type="paragraph" w:styleId="1068" w:customStyle="1">
    <w:name w:val="Normal_1_0_0"/>
    <w:uiPriority w:val="0"/>
    <w:qFormat/>
    <w:rPr>
      <w:rFonts w:hint="default" w:ascii="Times New Roman" w:hAnsi="Times New Roman" w:eastAsia="Times New Roman" w:cs="Times New Roman"/>
      <w:sz w:val="24"/>
      <w:szCs w:val="24"/>
    </w:rPr>
  </w:style>
  <w:style w:type="paragraph" w:styleId="1069" w:customStyle="1">
    <w:name w:val="Normal_2_0_0"/>
    <w:uiPriority w:val="0"/>
    <w:qFormat/>
    <w:rPr>
      <w:rFonts w:hint="default" w:ascii="Times New Roman" w:hAnsi="Times New Roman" w:eastAsia="Times New Roman" w:cs="Times New Roman"/>
      <w:sz w:val="24"/>
      <w:szCs w:val="24"/>
    </w:rPr>
  </w:style>
  <w:style w:type="paragraph" w:styleId="1070" w:customStyle="1">
    <w:name w:val="Normal_3_0_0"/>
    <w:uiPriority w:val="0"/>
    <w:qFormat/>
    <w:rPr>
      <w:rFonts w:hint="default" w:ascii="Times New Roman" w:hAnsi="Times New Roman" w:eastAsia="Times New Roman" w:cs="Times New Roman"/>
      <w:sz w:val="24"/>
      <w:szCs w:val="24"/>
    </w:rPr>
  </w:style>
  <w:style w:type="paragraph" w:styleId="1071" w:customStyle="1">
    <w:name w:val="Normal_28"/>
    <w:uiPriority w:val="0"/>
    <w:qFormat/>
    <w:rPr>
      <w:rFonts w:hint="default" w:ascii="Times New Roman" w:hAnsi="Times New Roman" w:eastAsia="Times New Roman" w:cs="Times New Roman"/>
      <w:sz w:val="24"/>
      <w:szCs w:val="24"/>
    </w:rPr>
  </w:style>
  <w:style w:type="paragraph" w:styleId="1072" w:customStyle="1">
    <w:name w:val="Table Paragraph"/>
    <w:basedOn w:val="784"/>
    <w:uiPriority w:val="1"/>
    <w:qFormat/>
  </w:style>
  <w:style w:type="character" w:styleId="1073" w:customStyle="1">
    <w:name w:val="font141"/>
    <w:basedOn w:val="794"/>
    <w:uiPriority w:val="0"/>
    <w:qFormat/>
    <w:rPr>
      <w:rFonts w:hint="eastAsia" w:ascii="宋体" w:hAnsi="宋体" w:eastAsia="宋体" w:cs="宋体"/>
      <w:color w:val="ff0000"/>
      <w:sz w:val="20"/>
      <w:szCs w:val="20"/>
      <w:u w:val="none"/>
    </w:rPr>
  </w:style>
  <w:style w:type="character" w:styleId="1074" w:customStyle="1">
    <w:name w:val="font151"/>
    <w:basedOn w:val="794"/>
    <w:uiPriority w:val="0"/>
    <w:qFormat/>
    <w:rPr>
      <w:rFonts w:hint="eastAsia" w:ascii="宋体" w:hAnsi="宋体" w:eastAsia="宋体" w:cs="宋体"/>
      <w:color w:val="000000"/>
      <w:sz w:val="20"/>
      <w:szCs w:val="20"/>
      <w:u w:val="none"/>
    </w:rPr>
  </w:style>
  <w:style w:type="character" w:styleId="1075" w:customStyle="1">
    <w:name w:val="font41"/>
    <w:basedOn w:val="794"/>
    <w:uiPriority w:val="0"/>
    <w:qFormat/>
    <w:rPr>
      <w:rFonts w:hint="eastAsia" w:ascii="宋体" w:hAnsi="宋体" w:eastAsia="宋体" w:cs="宋体"/>
      <w:color w:val="000000"/>
      <w:sz w:val="20"/>
      <w:szCs w:val="20"/>
      <w:u w:val="none"/>
    </w:rPr>
  </w:style>
  <w:style w:type="character" w:styleId="1076" w:customStyle="1">
    <w:name w:val="font161"/>
    <w:basedOn w:val="794"/>
    <w:uiPriority w:val="0"/>
    <w:qFormat/>
    <w:rPr>
      <w:rFonts w:hint="eastAsia" w:ascii="宋体" w:hAnsi="宋体" w:eastAsia="宋体" w:cs="宋体"/>
      <w:color w:val="000000"/>
      <w:sz w:val="20"/>
      <w:szCs w:val="20"/>
      <w:u w:val="none"/>
    </w:rPr>
  </w:style>
  <w:style w:type="character" w:styleId="1077" w:customStyle="1">
    <w:name w:val="font51"/>
    <w:basedOn w:val="794"/>
    <w:uiPriority w:val="0"/>
    <w:qFormat/>
    <w:rPr>
      <w:rFonts w:hint="eastAsia" w:ascii="宋体" w:hAnsi="宋体" w:eastAsia="宋体" w:cs="宋体"/>
      <w:color w:val="000000"/>
      <w:sz w:val="20"/>
      <w:szCs w:val="20"/>
      <w:u w:val="none"/>
    </w:rPr>
  </w:style>
  <w:style w:type="character" w:styleId="1078" w:customStyle="1">
    <w:name w:val="font171"/>
    <w:basedOn w:val="794"/>
    <w:uiPriority w:val="0"/>
    <w:qFormat/>
    <w:rPr>
      <w:rFonts w:ascii="Arial" w:hAnsi="Arial" w:cs="Arial"/>
      <w:color w:val="000000"/>
      <w:sz w:val="20"/>
      <w:szCs w:val="20"/>
      <w:u w:val="none"/>
    </w:rPr>
  </w:style>
  <w:style w:type="paragraph" w:styleId="1079"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080" w:customStyle="1">
    <w:name w:val="Normal_29"/>
    <w:uiPriority w:val="99"/>
    <w:qFormat/>
    <w:rPr>
      <w:rFonts w:hint="default" w:ascii="Times New Roman" w:hAnsi="Times New Roman" w:eastAsia="宋体" w:cs="Times New Roman"/>
      <w:sz w:val="24"/>
      <w:szCs w:val="24"/>
      <w:lang w:val="en-US" w:eastAsia="zh-CN" w:bidi="ar-SA"/>
    </w:rPr>
  </w:style>
  <w:style w:type="numbering" w:styleId="327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赵敏慧</cp:lastModifiedBy>
  <cp:revision>19</cp:revision>
  <dcterms:created xsi:type="dcterms:W3CDTF">2023-07-14T14:37:00Z</dcterms:created>
  <dcterms:modified xsi:type="dcterms:W3CDTF">2025-09-22T05:02:28Z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3A3BA59BCCF547E811BDA268793D1F70_43</vt:lpwstr>
  </property>
  <property fmtid="{D5CDD505-2E9C-101B-9397-08002B2CF9AE}" pid="4" name="KSOTemplateDocerSaveRecord">
    <vt:lpwstr>eyJoZGlkIjoiZmJkYTA2NTU1NzNlOTljZWQ4MmIzZGI5MTRhOTA3ZDAiLCJ1c2VySWQiOiI1MDQ5MjUxNDgifQ==</vt:lpwstr>
  </property>
</Properties>
</file>