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120" w:beforeAutospacing="0" w:after="120" w:afterAutospacing="0" w:line="360" w:lineRule="auto"/>
        <w:rPr>
          <w:rFonts w:ascii="仿宋" w:hAnsi="仿宋" w:eastAsia="仿宋" w:cs="仿宋"/>
        </w:rPr>
      </w:pPr>
      <w:r>
        <w:rPr>
          <w:rFonts w:ascii="Calibri" w:hAnsi="Calibri" w:eastAsia="仿宋" w:cs="Calibri"/>
        </w:rPr>
        <w:t> </w:t>
      </w:r>
    </w:p>
    <w:p>
      <w:pPr>
        <w:pStyle w:val="12"/>
        <w:spacing w:before="120" w:beforeAutospacing="0" w:after="120" w:afterAutospacing="0" w:line="360" w:lineRule="auto"/>
        <w:rPr>
          <w:rFonts w:ascii="仿宋" w:hAnsi="仿宋" w:eastAsia="仿宋" w:cs="仿宋"/>
        </w:rPr>
      </w:pPr>
    </w:p>
    <w:p>
      <w:pPr>
        <w:pStyle w:val="12"/>
        <w:spacing w:before="120" w:beforeAutospacing="0" w:after="120" w:afterAutospacing="0" w:line="360" w:lineRule="auto"/>
        <w:jc w:val="center"/>
        <w:rPr>
          <w:rFonts w:ascii="仿宋" w:hAnsi="仿宋" w:eastAsia="仿宋" w:cs="仿宋"/>
        </w:rPr>
      </w:pPr>
      <w:r>
        <w:rPr>
          <w:rFonts w:hint="eastAsia" w:ascii="仿宋" w:hAnsi="仿宋" w:eastAsia="仿宋" w:cs="仿宋"/>
          <w:b/>
          <w:color w:val="000000"/>
          <w:sz w:val="84"/>
          <w:szCs w:val="84"/>
        </w:rPr>
        <w:t>招 标 文 件</w:t>
      </w:r>
    </w:p>
    <w:tbl>
      <w:tblPr>
        <w:tblStyle w:val="14"/>
        <w:tblpPr w:leftFromText="180" w:rightFromText="180" w:vertAnchor="text" w:horzAnchor="page" w:tblpXSpec="center" w:tblpY="1383"/>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23"/>
        <w:gridCol w:w="5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pStyle w:val="12"/>
              <w:spacing w:beforeAutospacing="0" w:afterAutospacing="0" w:line="480" w:lineRule="auto"/>
              <w:jc w:val="both"/>
              <w:rPr>
                <w:rFonts w:ascii="仿宋" w:hAnsi="仿宋" w:eastAsia="仿宋" w:cs="仿宋"/>
              </w:rPr>
            </w:pPr>
            <w:r>
              <w:rPr>
                <w:rFonts w:hint="eastAsia" w:ascii="仿宋" w:hAnsi="仿宋" w:eastAsia="仿宋" w:cs="仿宋"/>
                <w:b/>
                <w:color w:val="000000"/>
                <w:sz w:val="32"/>
                <w:szCs w:val="32"/>
              </w:rPr>
              <w:t>项目名称：</w:t>
            </w:r>
          </w:p>
        </w:tc>
        <w:tc>
          <w:tcPr>
            <w:tcW w:w="5318" w:type="dxa"/>
          </w:tcPr>
          <w:p>
            <w:pPr>
              <w:spacing w:line="480" w:lineRule="auto"/>
              <w:outlineLvl w:val="0"/>
              <w:rPr>
                <w:rFonts w:ascii="仿宋" w:hAnsi="仿宋" w:eastAsia="仿宋" w:cs="仿宋"/>
              </w:rPr>
            </w:pPr>
            <w:bookmarkStart w:id="0" w:name="_Toc4518"/>
            <w:r>
              <w:rPr>
                <w:rFonts w:hint="eastAsia" w:ascii="仿宋" w:hAnsi="仿宋" w:eastAsia="仿宋" w:cs="仿宋"/>
                <w:b/>
                <w:bCs/>
                <w:w w:val="90"/>
                <w:sz w:val="32"/>
                <w:szCs w:val="32"/>
              </w:rPr>
              <w:t>大丰港石化新材料产业园环境监控设备运维服务项目</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pStyle w:val="12"/>
              <w:spacing w:beforeAutospacing="0" w:afterAutospacing="0" w:line="480" w:lineRule="auto"/>
              <w:jc w:val="both"/>
              <w:rPr>
                <w:rFonts w:ascii="仿宋" w:hAnsi="仿宋" w:eastAsia="仿宋" w:cs="仿宋"/>
              </w:rPr>
            </w:pPr>
            <w:r>
              <w:rPr>
                <w:rFonts w:hint="eastAsia" w:ascii="仿宋" w:hAnsi="仿宋" w:eastAsia="仿宋" w:cs="仿宋"/>
                <w:b/>
                <w:color w:val="000000"/>
                <w:sz w:val="32"/>
                <w:szCs w:val="32"/>
              </w:rPr>
              <w:t>项目编号：</w:t>
            </w:r>
          </w:p>
        </w:tc>
        <w:tc>
          <w:tcPr>
            <w:tcW w:w="5318" w:type="dxa"/>
          </w:tcPr>
          <w:p>
            <w:pPr>
              <w:pStyle w:val="12"/>
              <w:spacing w:beforeAutospacing="0" w:afterAutospacing="0" w:line="480" w:lineRule="auto"/>
              <w:jc w:val="both"/>
              <w:rPr>
                <w:rFonts w:ascii="仿宋" w:hAnsi="仿宋" w:eastAsia="仿宋" w:cs="仿宋"/>
              </w:rPr>
            </w:pPr>
            <w:r>
              <w:rPr>
                <w:rFonts w:hint="eastAsia" w:ascii="仿宋" w:hAnsi="仿宋" w:eastAsia="仿宋" w:cs="仿宋"/>
                <w:b/>
                <w:bCs/>
                <w:sz w:val="32"/>
                <w:szCs w:val="32"/>
              </w:rPr>
              <w:t>JSZC-320904-YSGL-G2024-0005</w:t>
            </w:r>
            <w:r>
              <w:rPr>
                <w:rFonts w:hint="eastAsia" w:ascii="仿宋" w:hAnsi="仿宋" w:eastAsia="仿宋" w:cs="仿宋"/>
                <w:b/>
                <w:bCs/>
                <w:sz w:val="32"/>
                <w:szCs w:val="32"/>
              </w:rPr>
              <w:tab/>
            </w:r>
          </w:p>
        </w:tc>
      </w:tr>
    </w:tbl>
    <w:p>
      <w:pPr>
        <w:pStyle w:val="12"/>
        <w:spacing w:beforeAutospacing="0" w:afterAutospacing="0" w:line="360" w:lineRule="auto"/>
        <w:rPr>
          <w:rFonts w:ascii="仿宋" w:hAnsi="仿宋" w:eastAsia="仿宋" w:cs="仿宋"/>
        </w:rPr>
      </w:pPr>
      <w:r>
        <w:rPr>
          <w:rFonts w:ascii="Calibri" w:hAnsi="Calibri" w:eastAsia="仿宋" w:cs="Calibri"/>
        </w:rPr>
        <w:t> </w:t>
      </w:r>
    </w:p>
    <w:p>
      <w:pPr>
        <w:pStyle w:val="12"/>
        <w:spacing w:beforeAutospacing="0" w:afterAutospacing="0" w:line="360" w:lineRule="auto"/>
        <w:rPr>
          <w:rFonts w:ascii="仿宋" w:hAnsi="仿宋" w:eastAsia="仿宋" w:cs="仿宋"/>
        </w:rPr>
      </w:pPr>
      <w:r>
        <w:rPr>
          <w:rFonts w:ascii="Calibri" w:hAnsi="Calibri" w:eastAsia="仿宋" w:cs="Calibri"/>
        </w:rPr>
        <w:t> </w:t>
      </w:r>
    </w:p>
    <w:p>
      <w:pPr>
        <w:pStyle w:val="12"/>
        <w:spacing w:beforeAutospacing="0" w:afterAutospacing="0" w:line="360" w:lineRule="auto"/>
        <w:rPr>
          <w:rFonts w:ascii="仿宋" w:hAnsi="仿宋" w:eastAsia="仿宋" w:cs="仿宋"/>
        </w:rPr>
      </w:pPr>
      <w:r>
        <w:rPr>
          <w:rFonts w:ascii="Calibri" w:hAnsi="Calibri" w:eastAsia="仿宋" w:cs="Calibri"/>
        </w:rPr>
        <w:t> </w:t>
      </w:r>
    </w:p>
    <w:p>
      <w:pPr>
        <w:pStyle w:val="12"/>
        <w:spacing w:beforeAutospacing="0" w:afterAutospacing="0" w:line="360" w:lineRule="auto"/>
        <w:rPr>
          <w:rFonts w:ascii="仿宋" w:hAnsi="仿宋" w:eastAsia="仿宋" w:cs="仿宋"/>
        </w:rPr>
      </w:pPr>
      <w:r>
        <w:rPr>
          <w:rFonts w:ascii="Calibri" w:hAnsi="Calibri" w:eastAsia="仿宋" w:cs="Calibri"/>
        </w:rPr>
        <w:t> </w:t>
      </w:r>
    </w:p>
    <w:p>
      <w:pPr>
        <w:pStyle w:val="12"/>
        <w:spacing w:beforeAutospacing="0" w:afterAutospacing="0" w:line="360" w:lineRule="auto"/>
        <w:rPr>
          <w:rFonts w:ascii="仿宋" w:hAnsi="仿宋" w:eastAsia="仿宋" w:cs="仿宋"/>
        </w:rPr>
      </w:pPr>
      <w:r>
        <w:rPr>
          <w:rFonts w:ascii="Calibri" w:hAnsi="Calibri" w:eastAsia="仿宋" w:cs="Calibri"/>
        </w:rPr>
        <w:t> </w:t>
      </w:r>
    </w:p>
    <w:p>
      <w:pPr>
        <w:pStyle w:val="12"/>
        <w:spacing w:beforeAutospacing="0" w:afterAutospacing="0" w:line="360" w:lineRule="auto"/>
        <w:rPr>
          <w:rFonts w:ascii="仿宋" w:hAnsi="仿宋" w:eastAsia="仿宋" w:cs="仿宋"/>
        </w:rPr>
      </w:pPr>
      <w:r>
        <w:rPr>
          <w:rFonts w:ascii="Calibri" w:hAnsi="Calibri" w:eastAsia="仿宋" w:cs="Calibri"/>
        </w:rPr>
        <w:t> </w:t>
      </w:r>
    </w:p>
    <w:p>
      <w:pPr>
        <w:pStyle w:val="12"/>
        <w:spacing w:beforeAutospacing="0" w:afterAutospacing="0" w:line="360" w:lineRule="auto"/>
        <w:rPr>
          <w:rFonts w:ascii="仿宋" w:hAnsi="仿宋" w:eastAsia="仿宋" w:cs="仿宋"/>
        </w:rPr>
      </w:pPr>
    </w:p>
    <w:p>
      <w:pPr>
        <w:pStyle w:val="12"/>
        <w:spacing w:beforeAutospacing="0" w:afterAutospacing="0" w:line="360" w:lineRule="auto"/>
        <w:rPr>
          <w:rFonts w:ascii="仿宋" w:hAnsi="仿宋" w:eastAsia="仿宋" w:cs="仿宋"/>
        </w:rPr>
      </w:pPr>
    </w:p>
    <w:p>
      <w:pPr>
        <w:pStyle w:val="12"/>
        <w:spacing w:beforeAutospacing="0" w:afterAutospacing="0" w:line="360" w:lineRule="auto"/>
        <w:rPr>
          <w:rFonts w:ascii="仿宋" w:hAnsi="仿宋" w:eastAsia="仿宋" w:cs="仿宋"/>
        </w:rPr>
      </w:pPr>
    </w:p>
    <w:p>
      <w:pPr>
        <w:pStyle w:val="12"/>
        <w:spacing w:beforeAutospacing="0" w:afterAutospacing="0" w:line="360" w:lineRule="auto"/>
        <w:rPr>
          <w:rFonts w:ascii="仿宋" w:hAnsi="仿宋" w:eastAsia="仿宋" w:cs="仿宋"/>
        </w:rPr>
      </w:pPr>
    </w:p>
    <w:p>
      <w:pPr>
        <w:pStyle w:val="12"/>
        <w:spacing w:beforeAutospacing="0" w:afterAutospacing="0" w:line="360" w:lineRule="auto"/>
        <w:rPr>
          <w:rFonts w:ascii="仿宋" w:hAnsi="仿宋" w:eastAsia="仿宋" w:cs="仿宋"/>
        </w:rPr>
      </w:pPr>
    </w:p>
    <w:p>
      <w:pPr>
        <w:pStyle w:val="12"/>
        <w:spacing w:beforeAutospacing="0" w:afterAutospacing="0" w:line="360" w:lineRule="auto"/>
        <w:rPr>
          <w:rFonts w:ascii="仿宋" w:hAnsi="仿宋" w:eastAsia="仿宋" w:cs="仿宋"/>
        </w:rPr>
      </w:pPr>
      <w:r>
        <w:rPr>
          <w:rFonts w:ascii="Calibri" w:hAnsi="Calibri" w:eastAsia="仿宋" w:cs="Calibri"/>
        </w:rPr>
        <w:t> </w:t>
      </w:r>
    </w:p>
    <w:p>
      <w:pPr>
        <w:pStyle w:val="12"/>
        <w:spacing w:beforeAutospacing="0" w:afterAutospacing="0" w:line="360" w:lineRule="auto"/>
        <w:rPr>
          <w:rFonts w:ascii="仿宋" w:hAnsi="仿宋" w:eastAsia="仿宋" w:cs="仿宋"/>
        </w:rPr>
      </w:pPr>
    </w:p>
    <w:p>
      <w:pPr>
        <w:pStyle w:val="12"/>
        <w:spacing w:beforeAutospacing="0" w:afterAutospacing="0" w:line="360" w:lineRule="auto"/>
        <w:rPr>
          <w:rFonts w:ascii="仿宋" w:hAnsi="仿宋" w:eastAsia="仿宋" w:cs="仿宋"/>
        </w:rPr>
      </w:pPr>
    </w:p>
    <w:p>
      <w:pPr>
        <w:pStyle w:val="12"/>
        <w:spacing w:beforeAutospacing="0" w:afterAutospacing="0" w:line="360" w:lineRule="auto"/>
        <w:rPr>
          <w:rFonts w:ascii="仿宋" w:hAnsi="仿宋" w:eastAsia="仿宋" w:cs="仿宋"/>
        </w:rPr>
      </w:pPr>
    </w:p>
    <w:p>
      <w:pPr>
        <w:pStyle w:val="12"/>
        <w:spacing w:before="120" w:beforeAutospacing="0" w:after="120" w:afterAutospacing="0" w:line="360" w:lineRule="auto"/>
        <w:jc w:val="center"/>
        <w:outlineLvl w:val="0"/>
        <w:rPr>
          <w:rFonts w:ascii="仿宋" w:hAnsi="仿宋" w:eastAsia="仿宋" w:cs="仿宋"/>
          <w:b/>
          <w:color w:val="000000"/>
          <w:sz w:val="32"/>
          <w:szCs w:val="32"/>
        </w:rPr>
      </w:pPr>
      <w:bookmarkStart w:id="1" w:name="_Toc19906"/>
      <w:r>
        <w:rPr>
          <w:rFonts w:hint="eastAsia" w:ascii="仿宋" w:hAnsi="仿宋" w:eastAsia="仿宋" w:cs="仿宋"/>
          <w:b/>
          <w:color w:val="000000"/>
          <w:sz w:val="32"/>
          <w:szCs w:val="32"/>
        </w:rPr>
        <w:t>江苏大丰港经济开发区管理委员会</w:t>
      </w:r>
      <w:bookmarkEnd w:id="1"/>
    </w:p>
    <w:p>
      <w:pPr>
        <w:pStyle w:val="12"/>
        <w:spacing w:before="120" w:beforeAutospacing="0" w:after="120" w:afterAutospacing="0" w:line="360" w:lineRule="auto"/>
        <w:jc w:val="center"/>
        <w:rPr>
          <w:rFonts w:ascii="仿宋" w:hAnsi="仿宋" w:eastAsia="仿宋" w:cs="仿宋"/>
        </w:rPr>
      </w:pPr>
      <w:r>
        <w:rPr>
          <w:rFonts w:hint="eastAsia" w:ascii="仿宋" w:hAnsi="仿宋" w:eastAsia="仿宋" w:cs="仿宋"/>
          <w:b/>
          <w:color w:val="000000"/>
          <w:sz w:val="32"/>
          <w:szCs w:val="32"/>
        </w:rPr>
        <w:t>2024年5月</w:t>
      </w:r>
    </w:p>
    <w:p>
      <w:pPr>
        <w:pStyle w:val="12"/>
        <w:spacing w:before="120" w:beforeAutospacing="0" w:after="120" w:afterAutospacing="0" w:line="360" w:lineRule="auto"/>
        <w:rPr>
          <w:rFonts w:ascii="仿宋" w:hAnsi="仿宋" w:eastAsia="仿宋" w:cs="仿宋"/>
        </w:rPr>
      </w:pPr>
      <w:r>
        <w:rPr>
          <w:rFonts w:ascii="Calibri" w:hAnsi="Calibri" w:eastAsia="仿宋" w:cs="Calibri"/>
          <w:color w:val="000000"/>
        </w:rPr>
        <w:t> </w:t>
      </w:r>
      <w:r>
        <w:rPr>
          <w:rFonts w:hint="eastAsia" w:ascii="仿宋" w:hAnsi="仿宋" w:eastAsia="仿宋" w:cs="仿宋"/>
          <w:color w:val="000000"/>
        </w:rPr>
        <w:t xml:space="preserve">                       </w:t>
      </w:r>
    </w:p>
    <w:p>
      <w:pPr>
        <w:pStyle w:val="12"/>
        <w:spacing w:before="120" w:beforeAutospacing="0" w:after="120" w:afterAutospacing="0" w:line="360" w:lineRule="auto"/>
        <w:jc w:val="center"/>
        <w:rPr>
          <w:rFonts w:ascii="仿宋" w:hAnsi="仿宋" w:eastAsia="仿宋" w:cs="仿宋"/>
        </w:rPr>
      </w:pPr>
      <w:r>
        <w:rPr>
          <w:rFonts w:ascii="Calibri" w:hAnsi="Calibri" w:eastAsia="仿宋" w:cs="Calibri"/>
        </w:rPr>
        <w:t> </w:t>
      </w:r>
    </w:p>
    <w:p>
      <w:pPr>
        <w:spacing w:line="360" w:lineRule="auto"/>
        <w:jc w:val="center"/>
        <w:rPr>
          <w:rFonts w:ascii="仿宋" w:hAnsi="仿宋" w:eastAsia="仿宋" w:cs="仿宋"/>
          <w:b/>
          <w:bCs/>
          <w:kern w:val="0"/>
          <w:sz w:val="32"/>
          <w:szCs w:val="32"/>
        </w:rPr>
      </w:pPr>
      <w:r>
        <w:rPr>
          <w:rFonts w:hint="eastAsia" w:ascii="仿宋" w:hAnsi="仿宋" w:eastAsia="仿宋" w:cs="仿宋"/>
          <w:color w:val="000000"/>
          <w:szCs w:val="21"/>
        </w:rPr>
        <w:br w:type="page"/>
      </w:r>
      <w:r>
        <w:rPr>
          <w:rFonts w:hint="eastAsia" w:ascii="仿宋" w:hAnsi="仿宋" w:eastAsia="仿宋" w:cs="仿宋"/>
          <w:b/>
          <w:bCs/>
          <w:kern w:val="0"/>
          <w:sz w:val="32"/>
          <w:szCs w:val="32"/>
        </w:rPr>
        <w:t>不见面开标须知</w:t>
      </w:r>
    </w:p>
    <w:p>
      <w:pPr>
        <w:spacing w:line="360" w:lineRule="auto"/>
        <w:jc w:val="left"/>
        <w:rPr>
          <w:rFonts w:ascii="仿宋" w:hAnsi="仿宋" w:eastAsia="仿宋" w:cs="仿宋"/>
          <w:kern w:val="0"/>
          <w:sz w:val="24"/>
        </w:rPr>
      </w:pPr>
      <w:r>
        <w:rPr>
          <w:rFonts w:hint="eastAsia" w:ascii="仿宋" w:hAnsi="仿宋" w:eastAsia="仿宋" w:cs="仿宋"/>
          <w:kern w:val="0"/>
          <w:sz w:val="24"/>
        </w:rPr>
        <w:t>各潜在投标单位：</w:t>
      </w:r>
    </w:p>
    <w:p>
      <w:pPr>
        <w:spacing w:line="360" w:lineRule="auto"/>
        <w:ind w:firstLine="480" w:firstLineChars="200"/>
        <w:rPr>
          <w:rFonts w:ascii="仿宋" w:hAnsi="仿宋" w:eastAsia="仿宋" w:cs="仿宋"/>
          <w:sz w:val="24"/>
        </w:rPr>
      </w:pPr>
      <w:r>
        <w:rPr>
          <w:rFonts w:hint="eastAsia" w:ascii="仿宋" w:hAnsi="仿宋" w:eastAsia="仿宋" w:cs="仿宋"/>
          <w:sz w:val="24"/>
        </w:rPr>
        <w:t>1、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结合当前疫情防控要求，本项目开标方式为不见面纸质文件开标。开标当日，投标人无需到达开标现场，仅需在任意地点通过 PC端或移动端的“腾讯会议”及相应的配套硬件设备参加开标会议。</w:t>
      </w:r>
    </w:p>
    <w:p>
      <w:pPr>
        <w:spacing w:line="360" w:lineRule="auto"/>
        <w:ind w:firstLine="480" w:firstLineChars="200"/>
        <w:rPr>
          <w:rFonts w:ascii="仿宋" w:hAnsi="仿宋" w:eastAsia="仿宋" w:cs="仿宋"/>
          <w:sz w:val="24"/>
        </w:rPr>
      </w:pPr>
      <w:r>
        <w:rPr>
          <w:rFonts w:hint="eastAsia" w:ascii="仿宋" w:hAnsi="仿宋" w:eastAsia="仿宋" w:cs="仿宋"/>
          <w:sz w:val="24"/>
        </w:rPr>
        <w:t>参加会议的方法（必选）：电脑或智能手机可以搜索下载并安装“腾讯会议”，注册完成后点击“加入会议”，输入会议号</w:t>
      </w:r>
      <w:r>
        <w:rPr>
          <w:rFonts w:hint="eastAsia" w:ascii="仿宋" w:hAnsi="仿宋" w:eastAsia="仿宋" w:cs="仿宋"/>
          <w:b/>
          <w:sz w:val="24"/>
        </w:rPr>
        <w:t>“</w:t>
      </w:r>
      <w:r>
        <w:rPr>
          <w:rFonts w:hint="eastAsia" w:ascii="仿宋" w:hAnsi="仿宋" w:eastAsia="仿宋" w:cs="仿宋"/>
          <w:b/>
          <w:sz w:val="24"/>
          <w:u w:val="single"/>
          <w:lang w:val="en-US" w:eastAsia="zh-CN"/>
        </w:rPr>
        <w:t>616 549 209</w:t>
      </w:r>
      <w:r>
        <w:rPr>
          <w:rFonts w:hint="eastAsia" w:ascii="仿宋" w:hAnsi="仿宋" w:eastAsia="仿宋" w:cs="仿宋"/>
          <w:b/>
          <w:sz w:val="24"/>
        </w:rPr>
        <w:t>”</w:t>
      </w:r>
      <w:r>
        <w:rPr>
          <w:rFonts w:hint="eastAsia" w:ascii="仿宋" w:hAnsi="仿宋" w:eastAsia="仿宋" w:cs="仿宋"/>
          <w:sz w:val="24"/>
        </w:rPr>
        <w:t>，“您的姓名”按“</w:t>
      </w:r>
      <w:r>
        <w:rPr>
          <w:rFonts w:hint="eastAsia" w:ascii="仿宋" w:hAnsi="仿宋" w:eastAsia="仿宋" w:cs="仿宋"/>
          <w:b/>
          <w:bCs/>
          <w:sz w:val="24"/>
        </w:rPr>
        <w:t>单位简称+授权委托人姓名</w:t>
      </w:r>
      <w:r>
        <w:rPr>
          <w:rFonts w:hint="eastAsia" w:ascii="仿宋" w:hAnsi="仿宋" w:eastAsia="仿宋" w:cs="仿宋"/>
          <w:sz w:val="24"/>
        </w:rPr>
        <w:t>”格式填写，然后点击“加入会议”。会议系统将在投标截止时间前10分钟开放。</w:t>
      </w:r>
    </w:p>
    <w:p>
      <w:pPr>
        <w:spacing w:line="360" w:lineRule="auto"/>
        <w:ind w:firstLine="480" w:firstLineChars="200"/>
        <w:rPr>
          <w:rFonts w:ascii="仿宋" w:hAnsi="仿宋" w:eastAsia="仿宋" w:cs="仿宋"/>
          <w:sz w:val="24"/>
        </w:rPr>
      </w:pPr>
      <w:r>
        <w:rPr>
          <w:rFonts w:hint="eastAsia" w:ascii="仿宋" w:hAnsi="仿宋" w:eastAsia="仿宋" w:cs="仿宋"/>
          <w:sz w:val="24"/>
        </w:rPr>
        <w:t>2、因本</w:t>
      </w:r>
      <w:r>
        <w:rPr>
          <w:rFonts w:hint="eastAsia" w:ascii="仿宋" w:hAnsi="仿宋" w:eastAsia="仿宋" w:cs="仿宋"/>
          <w:b/>
          <w:bCs/>
          <w:sz w:val="24"/>
        </w:rPr>
        <w:t>项目</w:t>
      </w:r>
      <w:r>
        <w:rPr>
          <w:rFonts w:hint="eastAsia" w:ascii="仿宋" w:hAnsi="仿宋" w:eastAsia="仿宋" w:cs="仿宋"/>
          <w:sz w:val="24"/>
        </w:rPr>
        <w:t xml:space="preserve">采用不见面纸质开标模式，故招标人特别说明如下： </w:t>
      </w:r>
    </w:p>
    <w:p>
      <w:pPr>
        <w:spacing w:line="360" w:lineRule="auto"/>
        <w:ind w:firstLine="480" w:firstLineChars="200"/>
        <w:rPr>
          <w:rFonts w:ascii="仿宋" w:hAnsi="仿宋" w:eastAsia="仿宋" w:cs="仿宋"/>
          <w:sz w:val="24"/>
        </w:rPr>
      </w:pPr>
      <w:r>
        <w:rPr>
          <w:rFonts w:hint="eastAsia" w:ascii="仿宋" w:hAnsi="仿宋" w:eastAsia="仿宋" w:cs="仿宋"/>
          <w:sz w:val="24"/>
        </w:rPr>
        <w:t>2.1投标人投标文件的编制和递交，应依照招标文件的规定进行。如未按招标文件要求编制、递交投标文件，将可能导致废标，其后果由投标人自负。</w:t>
      </w:r>
      <w:r>
        <w:rPr>
          <w:rFonts w:hint="eastAsia" w:ascii="仿宋" w:hAnsi="仿宋" w:eastAsia="仿宋" w:cs="仿宋"/>
          <w:b/>
          <w:bCs/>
          <w:sz w:val="24"/>
          <w:lang w:bidi="zh-CN"/>
        </w:rPr>
        <w:t>特别说明：因非采购人原因，投标人无法在规定的时间内递交投标文件的，视同放弃此次投标机会，投标人不得向招标人、监管部门、招标代理机构等所有相关部门追责。</w:t>
      </w:r>
    </w:p>
    <w:p>
      <w:pPr>
        <w:spacing w:line="360" w:lineRule="auto"/>
        <w:ind w:firstLine="480" w:firstLineChars="200"/>
        <w:rPr>
          <w:rFonts w:ascii="仿宋" w:hAnsi="仿宋" w:eastAsia="仿宋" w:cs="仿宋"/>
          <w:sz w:val="24"/>
        </w:rPr>
      </w:pPr>
      <w:r>
        <w:rPr>
          <w:rFonts w:hint="eastAsia" w:ascii="仿宋" w:hAnsi="仿宋" w:eastAsia="仿宋" w:cs="仿宋"/>
          <w:sz w:val="24"/>
        </w:rPr>
        <w:t>2.2开标当日，投标人提交纸质投标文件后可离开，不需要参加现场开标会议，开标会议视频按第1条方法进行。</w:t>
      </w:r>
    </w:p>
    <w:p>
      <w:pPr>
        <w:spacing w:line="360" w:lineRule="auto"/>
        <w:ind w:firstLine="480" w:firstLineChars="200"/>
        <w:rPr>
          <w:rFonts w:ascii="仿宋" w:hAnsi="仿宋" w:eastAsia="仿宋" w:cs="仿宋"/>
          <w:sz w:val="24"/>
        </w:rPr>
      </w:pPr>
      <w:r>
        <w:rPr>
          <w:rFonts w:hint="eastAsia" w:ascii="仿宋" w:hAnsi="仿宋" w:eastAsia="仿宋" w:cs="仿宋"/>
          <w:sz w:val="24"/>
        </w:rPr>
        <w:t>2.3开标时间前10分钟，招标人、招标代理机构提前进入开标会议系统，播放测试音频，各投标人的授权委托人或法人代表于规定时间内进入开标会议系统收听观看实时音视频交互并及时在讨论组中反馈，未按时加入开标会议系统的或未能在开标会议系统内全程参与交互的，视为放弃交互和放弃对开标全过程提疑的权利，投标人无法看到唱标、开标结果等实时情况，导致的一切后果由投标人承担。</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2.4开标全过程中，各投标人参与远程交互的授权委托人或法人代表应始终为同一个人，中途不得更换，在废标、澄清、提疑等特殊情况下需要交互时，投标人一端参与交互的人员将均被视为是投标人的授权委托人或法人代表，投标人不得以不承认交互人员的资格或身份等为借口抵赖推脱，投标人自行承担随意更换人员所导致的一切后果。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2.5为顺利实现本项目开评标的远程交互，建议投标人配置能够实现远程音视频通话的高配置笔记本电脑、进入开标会议后确保网络通畅、稳定，为保证交互效果，建议投标人选择封闭安静的地点参与远程交互。因投标人自身软硬件配备不齐全或发生故障等问题而导致在交互过程中出现不稳定或中断等情况的，由投标人自身承担一切后果。 </w:t>
      </w:r>
    </w:p>
    <w:p>
      <w:pPr>
        <w:spacing w:line="360" w:lineRule="auto"/>
        <w:ind w:firstLine="480" w:firstLineChars="200"/>
        <w:rPr>
          <w:rFonts w:ascii="仿宋" w:hAnsi="仿宋" w:eastAsia="仿宋" w:cs="仿宋"/>
          <w:sz w:val="24"/>
        </w:rPr>
      </w:pPr>
      <w:r>
        <w:rPr>
          <w:rFonts w:hint="eastAsia" w:ascii="仿宋" w:hAnsi="仿宋" w:eastAsia="仿宋" w:cs="仿宋"/>
          <w:sz w:val="24"/>
        </w:rPr>
        <w:t>3、友情提醒：投标人如对上述腾讯会议软件等有疑问的，请尽早和软件公司的服务人员或其他专业人员联系，他们会根据投标人要求，提供必要的培训和技术支持。</w:t>
      </w:r>
    </w:p>
    <w:p>
      <w:pPr>
        <w:spacing w:line="360" w:lineRule="auto"/>
        <w:ind w:firstLine="482" w:firstLineChars="200"/>
        <w:rPr>
          <w:rFonts w:ascii="宋体" w:hAnsi="宋体" w:cs="宋体"/>
          <w:b/>
          <w:sz w:val="24"/>
        </w:rPr>
      </w:pPr>
      <w:r>
        <w:rPr>
          <w:rFonts w:hint="eastAsia" w:ascii="仿宋" w:hAnsi="仿宋" w:eastAsia="仿宋" w:cs="仿宋"/>
          <w:b/>
          <w:sz w:val="24"/>
        </w:rPr>
        <w:t>腾讯客服联系方式：0755-83765566</w:t>
      </w:r>
    </w:p>
    <w:p>
      <w:pPr>
        <w:rPr>
          <w:rFonts w:ascii="仿宋" w:hAnsi="仿宋" w:eastAsia="仿宋" w:cs="仿宋"/>
          <w:color w:val="000000"/>
          <w:szCs w:val="21"/>
        </w:rPr>
      </w:pPr>
      <w:r>
        <w:rPr>
          <w:rFonts w:hint="eastAsia" w:ascii="仿宋" w:hAnsi="仿宋" w:eastAsia="仿宋" w:cs="仿宋"/>
          <w:color w:val="000000"/>
          <w:szCs w:val="21"/>
        </w:rPr>
        <w:br w:type="page"/>
      </w:r>
    </w:p>
    <w:p>
      <w:pPr>
        <w:pStyle w:val="12"/>
        <w:spacing w:beforeAutospacing="0" w:afterAutospacing="0" w:line="480" w:lineRule="auto"/>
        <w:jc w:val="center"/>
        <w:rPr>
          <w:rFonts w:ascii="仿宋" w:hAnsi="仿宋" w:eastAsia="仿宋" w:cs="仿宋"/>
          <w:color w:val="000000"/>
          <w:sz w:val="21"/>
          <w:szCs w:val="21"/>
        </w:rPr>
      </w:pPr>
    </w:p>
    <w:p>
      <w:pPr>
        <w:pStyle w:val="12"/>
        <w:spacing w:beforeAutospacing="0" w:afterAutospacing="0" w:line="480" w:lineRule="auto"/>
        <w:jc w:val="both"/>
        <w:rPr>
          <w:rFonts w:ascii="仿宋" w:hAnsi="仿宋" w:eastAsia="仿宋" w:cs="仿宋"/>
        </w:rPr>
      </w:pPr>
      <w:r>
        <w:rPr>
          <w:rFonts w:ascii="Calibri" w:hAnsi="Calibri" w:eastAsia="仿宋" w:cs="Calibri"/>
        </w:rPr>
        <w:t> </w:t>
      </w:r>
    </w:p>
    <w:sdt>
      <w:sdtPr>
        <w:rPr>
          <w:rFonts w:hint="eastAsia" w:ascii="仿宋" w:hAnsi="仿宋" w:eastAsia="仿宋" w:cs="仿宋"/>
          <w:b/>
          <w:bCs/>
          <w:sz w:val="44"/>
          <w:szCs w:val="44"/>
        </w:rPr>
        <w:id w:val="147453605"/>
        <w15:color w:val="DBDBDB"/>
        <w:docPartObj>
          <w:docPartGallery w:val="Table of Contents"/>
          <w:docPartUnique/>
        </w:docPartObj>
      </w:sdtPr>
      <w:sdtEndPr>
        <w:rPr>
          <w:rFonts w:hint="eastAsia" w:ascii="仿宋" w:hAnsi="仿宋" w:eastAsia="仿宋" w:cs="仿宋"/>
          <w:b/>
          <w:bCs/>
          <w:sz w:val="44"/>
          <w:szCs w:val="44"/>
        </w:rPr>
      </w:sdtEndPr>
      <w:sdtContent>
        <w:p>
          <w:pPr>
            <w:jc w:val="center"/>
            <w:rPr>
              <w:rFonts w:ascii="仿宋" w:hAnsi="仿宋" w:eastAsia="仿宋" w:cs="仿宋"/>
              <w:b/>
              <w:bCs/>
              <w:sz w:val="44"/>
              <w:szCs w:val="44"/>
            </w:rPr>
          </w:pPr>
          <w:r>
            <w:rPr>
              <w:rFonts w:hint="eastAsia" w:ascii="仿宋" w:hAnsi="仿宋" w:eastAsia="仿宋" w:cs="仿宋"/>
              <w:b/>
              <w:bCs/>
              <w:sz w:val="44"/>
              <w:szCs w:val="44"/>
            </w:rPr>
            <w:t>目   录</w:t>
          </w:r>
        </w:p>
        <w:p>
          <w:pPr>
            <w:pStyle w:val="11"/>
            <w:tabs>
              <w:tab w:val="right" w:leader="dot" w:pos="8306"/>
            </w:tabs>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"1-1" \h \u </w:instrText>
          </w:r>
          <w:r>
            <w:rPr>
              <w:rFonts w:hint="eastAsia" w:ascii="仿宋" w:hAnsi="仿宋" w:eastAsia="仿宋" w:cs="仿宋"/>
              <w:sz w:val="32"/>
              <w:szCs w:val="32"/>
            </w:rPr>
            <w:fldChar w:fldCharType="separate"/>
          </w:r>
        </w:p>
        <w:p>
          <w:pPr>
            <w:pStyle w:val="11"/>
            <w:tabs>
              <w:tab w:val="right" w:leader="dot" w:pos="8306"/>
            </w:tabs>
            <w:rPr>
              <w:sz w:val="28"/>
              <w:szCs w:val="28"/>
            </w:rPr>
          </w:pPr>
          <w:r>
            <w:fldChar w:fldCharType="begin"/>
          </w:r>
          <w:r>
            <w:instrText xml:space="preserve"> HYPERLINK \l "_Toc8636" </w:instrText>
          </w:r>
          <w:r>
            <w:fldChar w:fldCharType="separate"/>
          </w:r>
          <w:r>
            <w:rPr>
              <w:rFonts w:hint="eastAsia" w:ascii="仿宋" w:hAnsi="仿宋" w:eastAsia="仿宋" w:cs="仿宋"/>
              <w:sz w:val="28"/>
              <w:szCs w:val="28"/>
            </w:rPr>
            <w:t>第一章  招标公告</w:t>
          </w:r>
          <w:r>
            <w:rPr>
              <w:sz w:val="28"/>
              <w:szCs w:val="28"/>
            </w:rPr>
            <w:tab/>
          </w:r>
          <w:r>
            <w:rPr>
              <w:sz w:val="28"/>
              <w:szCs w:val="28"/>
            </w:rPr>
            <w:fldChar w:fldCharType="begin"/>
          </w:r>
          <w:r>
            <w:rPr>
              <w:sz w:val="28"/>
              <w:szCs w:val="28"/>
            </w:rPr>
            <w:instrText xml:space="preserve"> PAGEREF _Toc8636 \h </w:instrText>
          </w:r>
          <w:r>
            <w:rPr>
              <w:sz w:val="28"/>
              <w:szCs w:val="28"/>
            </w:rPr>
            <w:fldChar w:fldCharType="separate"/>
          </w:r>
          <w:r>
            <w:rPr>
              <w:sz w:val="28"/>
              <w:szCs w:val="28"/>
            </w:rPr>
            <w:t>- 5 -</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"_Toc26324" </w:instrText>
          </w:r>
          <w:r>
            <w:fldChar w:fldCharType="separate"/>
          </w:r>
          <w:r>
            <w:rPr>
              <w:rFonts w:hint="eastAsia" w:ascii="仿宋" w:hAnsi="仿宋" w:eastAsia="仿宋" w:cs="仿宋"/>
              <w:sz w:val="28"/>
              <w:szCs w:val="28"/>
            </w:rPr>
            <w:t>第二章  投标人须知</w:t>
          </w:r>
          <w:r>
            <w:rPr>
              <w:sz w:val="28"/>
              <w:szCs w:val="28"/>
            </w:rPr>
            <w:tab/>
          </w:r>
          <w:r>
            <w:rPr>
              <w:sz w:val="28"/>
              <w:szCs w:val="28"/>
            </w:rPr>
            <w:fldChar w:fldCharType="begin"/>
          </w:r>
          <w:r>
            <w:rPr>
              <w:sz w:val="28"/>
              <w:szCs w:val="28"/>
            </w:rPr>
            <w:instrText xml:space="preserve"> PAGEREF _Toc26324 \h </w:instrText>
          </w:r>
          <w:r>
            <w:rPr>
              <w:sz w:val="28"/>
              <w:szCs w:val="28"/>
            </w:rPr>
            <w:fldChar w:fldCharType="separate"/>
          </w:r>
          <w:r>
            <w:rPr>
              <w:sz w:val="28"/>
              <w:szCs w:val="28"/>
            </w:rPr>
            <w:t>- 8 -</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"_Toc1702" </w:instrText>
          </w:r>
          <w:r>
            <w:fldChar w:fldCharType="separate"/>
          </w:r>
          <w:r>
            <w:rPr>
              <w:rFonts w:hint="eastAsia" w:ascii="仿宋" w:hAnsi="仿宋" w:eastAsia="仿宋" w:cs="仿宋"/>
              <w:sz w:val="28"/>
              <w:szCs w:val="28"/>
            </w:rPr>
            <w:t>第三章  合同文本</w:t>
          </w:r>
          <w:r>
            <w:rPr>
              <w:sz w:val="28"/>
              <w:szCs w:val="28"/>
            </w:rPr>
            <w:tab/>
          </w:r>
          <w:r>
            <w:rPr>
              <w:sz w:val="28"/>
              <w:szCs w:val="28"/>
            </w:rPr>
            <w:fldChar w:fldCharType="begin"/>
          </w:r>
          <w:r>
            <w:rPr>
              <w:sz w:val="28"/>
              <w:szCs w:val="28"/>
            </w:rPr>
            <w:instrText xml:space="preserve"> PAGEREF _Toc1702 \h </w:instrText>
          </w:r>
          <w:r>
            <w:rPr>
              <w:sz w:val="28"/>
              <w:szCs w:val="28"/>
            </w:rPr>
            <w:fldChar w:fldCharType="separate"/>
          </w:r>
          <w:r>
            <w:rPr>
              <w:sz w:val="28"/>
              <w:szCs w:val="28"/>
            </w:rPr>
            <w:t>- 18 -</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"_Toc845" </w:instrText>
          </w:r>
          <w:r>
            <w:fldChar w:fldCharType="separate"/>
          </w:r>
          <w:r>
            <w:rPr>
              <w:rFonts w:hint="eastAsia" w:ascii="仿宋" w:hAnsi="仿宋" w:eastAsia="仿宋" w:cs="仿宋"/>
              <w:sz w:val="28"/>
              <w:szCs w:val="28"/>
            </w:rPr>
            <w:t>第四章  采购需求</w:t>
          </w:r>
          <w:r>
            <w:rPr>
              <w:sz w:val="28"/>
              <w:szCs w:val="28"/>
            </w:rPr>
            <w:tab/>
          </w:r>
          <w:r>
            <w:rPr>
              <w:sz w:val="28"/>
              <w:szCs w:val="28"/>
            </w:rPr>
            <w:fldChar w:fldCharType="begin"/>
          </w:r>
          <w:r>
            <w:rPr>
              <w:sz w:val="28"/>
              <w:szCs w:val="28"/>
            </w:rPr>
            <w:instrText xml:space="preserve"> PAGEREF _Toc845 \h </w:instrText>
          </w:r>
          <w:r>
            <w:rPr>
              <w:sz w:val="28"/>
              <w:szCs w:val="28"/>
            </w:rPr>
            <w:fldChar w:fldCharType="separate"/>
          </w:r>
          <w:r>
            <w:rPr>
              <w:sz w:val="28"/>
              <w:szCs w:val="28"/>
            </w:rPr>
            <w:t>- 21 -</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"_Toc15537" </w:instrText>
          </w:r>
          <w:r>
            <w:fldChar w:fldCharType="separate"/>
          </w:r>
          <w:r>
            <w:rPr>
              <w:rFonts w:hint="eastAsia" w:ascii="仿宋" w:hAnsi="仿宋" w:eastAsia="仿宋" w:cs="仿宋"/>
              <w:sz w:val="28"/>
              <w:szCs w:val="28"/>
            </w:rPr>
            <w:t>第五章  评标方法与评标标准</w:t>
          </w:r>
          <w:r>
            <w:rPr>
              <w:sz w:val="28"/>
              <w:szCs w:val="28"/>
            </w:rPr>
            <w:tab/>
          </w:r>
          <w:r>
            <w:rPr>
              <w:sz w:val="28"/>
              <w:szCs w:val="28"/>
            </w:rPr>
            <w:fldChar w:fldCharType="begin"/>
          </w:r>
          <w:r>
            <w:rPr>
              <w:sz w:val="28"/>
              <w:szCs w:val="28"/>
            </w:rPr>
            <w:instrText xml:space="preserve"> PAGEREF _Toc15537 \h </w:instrText>
          </w:r>
          <w:r>
            <w:rPr>
              <w:sz w:val="28"/>
              <w:szCs w:val="28"/>
            </w:rPr>
            <w:fldChar w:fldCharType="separate"/>
          </w:r>
          <w:r>
            <w:rPr>
              <w:sz w:val="28"/>
              <w:szCs w:val="28"/>
            </w:rPr>
            <w:t>- 31 -</w:t>
          </w:r>
          <w:r>
            <w:rPr>
              <w:sz w:val="28"/>
              <w:szCs w:val="28"/>
            </w:rPr>
            <w:fldChar w:fldCharType="end"/>
          </w:r>
          <w:r>
            <w:rPr>
              <w:sz w:val="28"/>
              <w:szCs w:val="28"/>
            </w:rPr>
            <w:fldChar w:fldCharType="end"/>
          </w:r>
        </w:p>
        <w:p>
          <w:pPr>
            <w:pStyle w:val="11"/>
            <w:tabs>
              <w:tab w:val="right" w:leader="dot" w:pos="8306"/>
            </w:tabs>
          </w:pPr>
          <w:r>
            <w:fldChar w:fldCharType="begin"/>
          </w:r>
          <w:r>
            <w:instrText xml:space="preserve"> HYPERLINK \l "_Toc30570" </w:instrText>
          </w:r>
          <w:r>
            <w:fldChar w:fldCharType="separate"/>
          </w:r>
          <w:r>
            <w:rPr>
              <w:rFonts w:hint="eastAsia" w:ascii="仿宋" w:hAnsi="仿宋" w:eastAsia="仿宋" w:cs="仿宋"/>
              <w:sz w:val="28"/>
              <w:szCs w:val="28"/>
            </w:rPr>
            <w:t>第六章  投标文件格式</w:t>
          </w:r>
          <w:r>
            <w:rPr>
              <w:sz w:val="28"/>
              <w:szCs w:val="28"/>
            </w:rPr>
            <w:tab/>
          </w:r>
          <w:r>
            <w:rPr>
              <w:sz w:val="28"/>
              <w:szCs w:val="28"/>
            </w:rPr>
            <w:fldChar w:fldCharType="begin"/>
          </w:r>
          <w:r>
            <w:rPr>
              <w:sz w:val="28"/>
              <w:szCs w:val="28"/>
            </w:rPr>
            <w:instrText xml:space="preserve"> PAGEREF _Toc30570 \h </w:instrText>
          </w:r>
          <w:r>
            <w:rPr>
              <w:sz w:val="28"/>
              <w:szCs w:val="28"/>
            </w:rPr>
            <w:fldChar w:fldCharType="separate"/>
          </w:r>
          <w:r>
            <w:rPr>
              <w:sz w:val="28"/>
              <w:szCs w:val="28"/>
            </w:rPr>
            <w:t>- 37 -</w:t>
          </w:r>
          <w:r>
            <w:rPr>
              <w:sz w:val="28"/>
              <w:szCs w:val="28"/>
            </w:rPr>
            <w:fldChar w:fldCharType="end"/>
          </w:r>
          <w:r>
            <w:rPr>
              <w:sz w:val="28"/>
              <w:szCs w:val="28"/>
            </w:rPr>
            <w:fldChar w:fldCharType="end"/>
          </w:r>
        </w:p>
        <w:p>
          <w:pPr>
            <w:rPr>
              <w:rFonts w:ascii="仿宋" w:hAnsi="仿宋" w:eastAsia="仿宋" w:cs="仿宋"/>
            </w:rPr>
          </w:pPr>
          <w:r>
            <w:rPr>
              <w:rFonts w:hint="eastAsia" w:ascii="仿宋" w:hAnsi="仿宋" w:eastAsia="仿宋" w:cs="仿宋"/>
              <w:szCs w:val="32"/>
            </w:rPr>
            <w:fldChar w:fldCharType="end"/>
          </w:r>
        </w:p>
      </w:sdtContent>
    </w:sdt>
    <w:p>
      <w:pPr>
        <w:pStyle w:val="12"/>
        <w:spacing w:beforeAutospacing="0" w:afterAutospacing="0"/>
        <w:jc w:val="both"/>
        <w:rPr>
          <w:rFonts w:ascii="仿宋" w:hAnsi="仿宋" w:eastAsia="仿宋" w:cs="仿宋"/>
        </w:rPr>
      </w:pPr>
      <w:r>
        <w:rPr>
          <w:rFonts w:ascii="Calibri" w:hAnsi="Calibri" w:eastAsia="仿宋" w:cs="Calibri"/>
        </w:rPr>
        <w:t> </w:t>
      </w:r>
    </w:p>
    <w:p>
      <w:pPr>
        <w:pStyle w:val="12"/>
        <w:spacing w:beforeAutospacing="0" w:afterAutospacing="0"/>
        <w:jc w:val="both"/>
        <w:rPr>
          <w:rFonts w:ascii="仿宋" w:hAnsi="仿宋" w:eastAsia="仿宋" w:cs="仿宋"/>
        </w:rPr>
      </w:pPr>
      <w:r>
        <w:rPr>
          <w:rFonts w:ascii="Calibri" w:hAnsi="Calibri" w:eastAsia="仿宋" w:cs="Calibri"/>
        </w:rPr>
        <w:t> </w:t>
      </w:r>
    </w:p>
    <w:p>
      <w:pPr>
        <w:pStyle w:val="12"/>
        <w:spacing w:beforeAutospacing="0" w:afterAutospacing="0"/>
        <w:jc w:val="both"/>
        <w:rPr>
          <w:rFonts w:ascii="仿宋" w:hAnsi="仿宋" w:eastAsia="仿宋" w:cs="仿宋"/>
        </w:rPr>
      </w:pPr>
      <w:r>
        <w:rPr>
          <w:rFonts w:ascii="Calibri" w:hAnsi="Calibri" w:eastAsia="仿宋" w:cs="Calibri"/>
        </w:rPr>
        <w:t> </w:t>
      </w:r>
    </w:p>
    <w:p>
      <w:pPr>
        <w:pStyle w:val="12"/>
        <w:spacing w:beforeAutospacing="0" w:afterAutospacing="0"/>
        <w:jc w:val="both"/>
        <w:rPr>
          <w:rFonts w:ascii="仿宋" w:hAnsi="仿宋" w:eastAsia="仿宋" w:cs="仿宋"/>
        </w:rPr>
      </w:pPr>
      <w:r>
        <w:rPr>
          <w:rFonts w:ascii="Calibri" w:hAnsi="Calibri" w:eastAsia="仿宋" w:cs="Calibri"/>
        </w:rPr>
        <w:t> </w:t>
      </w:r>
    </w:p>
    <w:p>
      <w:pPr>
        <w:pStyle w:val="12"/>
        <w:spacing w:beforeAutospacing="0" w:afterAutospacing="0"/>
        <w:jc w:val="both"/>
        <w:rPr>
          <w:rFonts w:ascii="仿宋" w:hAnsi="仿宋" w:eastAsia="仿宋" w:cs="仿宋"/>
        </w:rPr>
      </w:pPr>
      <w:r>
        <w:rPr>
          <w:rFonts w:ascii="Calibri" w:hAnsi="Calibri" w:eastAsia="仿宋" w:cs="Calibri"/>
        </w:rPr>
        <w:t> </w:t>
      </w:r>
    </w:p>
    <w:p>
      <w:pPr>
        <w:pStyle w:val="12"/>
        <w:spacing w:beforeAutospacing="0" w:afterAutospacing="0"/>
        <w:jc w:val="both"/>
        <w:rPr>
          <w:rFonts w:ascii="仿宋" w:hAnsi="仿宋" w:eastAsia="仿宋" w:cs="仿宋"/>
        </w:rPr>
      </w:pPr>
      <w:r>
        <w:rPr>
          <w:rFonts w:ascii="Calibri" w:hAnsi="Calibri" w:eastAsia="仿宋" w:cs="Calibri"/>
        </w:rPr>
        <w:t> </w:t>
      </w:r>
    </w:p>
    <w:p>
      <w:pPr>
        <w:pStyle w:val="12"/>
        <w:spacing w:beforeAutospacing="0" w:afterAutospacing="0"/>
        <w:jc w:val="both"/>
        <w:rPr>
          <w:rFonts w:ascii="仿宋" w:hAnsi="仿宋" w:eastAsia="仿宋" w:cs="仿宋"/>
        </w:rPr>
      </w:pPr>
      <w:r>
        <w:rPr>
          <w:rFonts w:ascii="Calibri" w:hAnsi="Calibri" w:eastAsia="仿宋" w:cs="Calibri"/>
        </w:rPr>
        <w:t> </w:t>
      </w:r>
    </w:p>
    <w:p>
      <w:pPr>
        <w:pStyle w:val="12"/>
        <w:spacing w:beforeAutospacing="0" w:afterAutospacing="0"/>
        <w:jc w:val="both"/>
        <w:rPr>
          <w:rFonts w:ascii="仿宋" w:hAnsi="仿宋" w:eastAsia="仿宋" w:cs="仿宋"/>
        </w:rPr>
      </w:pPr>
      <w:r>
        <w:rPr>
          <w:rFonts w:ascii="Calibri" w:hAnsi="Calibri" w:eastAsia="仿宋" w:cs="Calibri"/>
        </w:rPr>
        <w:t> </w:t>
      </w:r>
    </w:p>
    <w:p>
      <w:pPr>
        <w:pStyle w:val="12"/>
        <w:spacing w:beforeAutospacing="0" w:afterAutospacing="0"/>
        <w:jc w:val="both"/>
        <w:rPr>
          <w:rFonts w:ascii="仿宋" w:hAnsi="仿宋" w:eastAsia="仿宋" w:cs="仿宋"/>
        </w:rPr>
      </w:pPr>
      <w:r>
        <w:rPr>
          <w:rFonts w:ascii="Calibri" w:hAnsi="Calibri" w:eastAsia="仿宋" w:cs="Calibri"/>
        </w:rPr>
        <w:t> </w:t>
      </w:r>
    </w:p>
    <w:p>
      <w:pPr>
        <w:pStyle w:val="12"/>
        <w:spacing w:beforeAutospacing="0" w:afterAutospacing="0"/>
        <w:jc w:val="both"/>
        <w:rPr>
          <w:rFonts w:ascii="仿宋" w:hAnsi="仿宋" w:eastAsia="仿宋" w:cs="仿宋"/>
        </w:rPr>
      </w:pPr>
      <w:r>
        <w:rPr>
          <w:rFonts w:ascii="Calibri" w:hAnsi="Calibri" w:eastAsia="仿宋" w:cs="Calibri"/>
        </w:rPr>
        <w:t> </w:t>
      </w:r>
    </w:p>
    <w:p>
      <w:pPr>
        <w:pStyle w:val="12"/>
        <w:spacing w:beforeAutospacing="0" w:afterAutospacing="0"/>
        <w:jc w:val="both"/>
        <w:rPr>
          <w:rFonts w:ascii="仿宋" w:hAnsi="仿宋" w:eastAsia="仿宋" w:cs="仿宋"/>
        </w:rPr>
      </w:pPr>
      <w:r>
        <w:rPr>
          <w:rFonts w:ascii="Calibri" w:hAnsi="Calibri" w:eastAsia="仿宋" w:cs="Calibri"/>
        </w:rPr>
        <w:t> </w:t>
      </w:r>
    </w:p>
    <w:p>
      <w:pPr>
        <w:pStyle w:val="12"/>
        <w:spacing w:beforeAutospacing="0" w:afterAutospacing="0"/>
        <w:jc w:val="both"/>
        <w:rPr>
          <w:rFonts w:ascii="仿宋" w:hAnsi="仿宋" w:eastAsia="仿宋" w:cs="仿宋"/>
        </w:rPr>
      </w:pPr>
      <w:r>
        <w:rPr>
          <w:rFonts w:ascii="Calibri" w:hAnsi="Calibri" w:eastAsia="仿宋" w:cs="Calibri"/>
        </w:rPr>
        <w:t> </w:t>
      </w:r>
    </w:p>
    <w:p>
      <w:pPr>
        <w:pStyle w:val="12"/>
        <w:keepNext/>
        <w:spacing w:beforeAutospacing="0" w:afterAutospacing="0" w:line="360" w:lineRule="auto"/>
        <w:jc w:val="center"/>
        <w:outlineLvl w:val="0"/>
        <w:rPr>
          <w:rFonts w:ascii="仿宋" w:hAnsi="仿宋" w:eastAsia="仿宋" w:cs="仿宋"/>
          <w:color w:val="00000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17" w:left="1440" w:header="851" w:footer="567" w:gutter="0"/>
          <w:pgBorders>
            <w:top w:val="none" w:sz="0" w:space="0"/>
            <w:left w:val="none" w:sz="0" w:space="0"/>
            <w:bottom w:val="none" w:sz="0" w:space="0"/>
            <w:right w:val="none" w:sz="0" w:space="0"/>
          </w:pgBorders>
          <w:pgNumType w:fmt="numberInDash" w:start="1"/>
          <w:cols w:space="0" w:num="1"/>
          <w:rtlGutter w:val="0"/>
          <w:docGrid w:type="lines" w:linePitch="312" w:charSpace="0"/>
        </w:sectPr>
      </w:pPr>
      <w:bookmarkStart w:id="2" w:name="_Toc8636"/>
    </w:p>
    <w:p>
      <w:pPr>
        <w:pStyle w:val="12"/>
        <w:keepNext/>
        <w:spacing w:beforeAutospacing="0" w:afterAutospacing="0" w:line="360" w:lineRule="auto"/>
        <w:jc w:val="center"/>
        <w:outlineLvl w:val="0"/>
        <w:rPr>
          <w:rFonts w:ascii="仿宋" w:hAnsi="仿宋" w:eastAsia="仿宋" w:cs="仿宋"/>
        </w:rPr>
      </w:pPr>
      <w:r>
        <w:rPr>
          <w:rFonts w:hint="eastAsia" w:ascii="仿宋" w:hAnsi="仿宋" w:eastAsia="仿宋" w:cs="仿宋"/>
          <w:color w:val="000000"/>
          <w:sz w:val="44"/>
          <w:szCs w:val="44"/>
        </w:rPr>
        <w:t>第一章  招标公告</w:t>
      </w:r>
      <w:bookmarkEnd w:id="2"/>
    </w:p>
    <w:p>
      <w:pPr>
        <w:pStyle w:val="12"/>
        <w:pBdr>
          <w:top w:val="single" w:color="000000" w:sz="4" w:space="0"/>
          <w:left w:val="single" w:color="000000" w:sz="4" w:space="0"/>
          <w:bottom w:val="single" w:color="000000" w:sz="4" w:space="0"/>
          <w:right w:val="single" w:color="000000" w:sz="4" w:space="0"/>
        </w:pBdr>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项目概况</w:t>
      </w:r>
    </w:p>
    <w:p>
      <w:pPr>
        <w:pStyle w:val="12"/>
        <w:pBdr>
          <w:top w:val="single" w:color="000000" w:sz="4" w:space="0"/>
          <w:left w:val="single" w:color="000000" w:sz="4" w:space="0"/>
          <w:bottom w:val="single" w:color="000000" w:sz="4" w:space="0"/>
          <w:right w:val="single" w:color="000000" w:sz="4" w:space="0"/>
        </w:pBdr>
        <w:wordWrap w:val="0"/>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u w:val="single"/>
        </w:rPr>
        <w:t>大丰港石化新材料产业园环境监控设备运维服务项目</w:t>
      </w:r>
      <w:r>
        <w:rPr>
          <w:rFonts w:hint="eastAsia" w:ascii="仿宋" w:hAnsi="仿宋" w:eastAsia="仿宋" w:cs="仿宋"/>
          <w:color w:val="000000"/>
        </w:rPr>
        <w:t>招标项目的潜在投标人应在</w:t>
      </w:r>
      <w:r>
        <w:rPr>
          <w:rFonts w:hint="eastAsia" w:ascii="仿宋" w:hAnsi="仿宋" w:eastAsia="仿宋" w:cs="仿宋"/>
          <w:color w:val="000000"/>
          <w:u w:val="single"/>
        </w:rPr>
        <w:t>江苏亿尚建设项目管理有限</w:t>
      </w:r>
      <w:r>
        <w:rPr>
          <w:rFonts w:hint="eastAsia" w:ascii="仿宋" w:hAnsi="仿宋" w:eastAsia="仿宋" w:cs="仿宋"/>
          <w:color w:val="000000"/>
          <w:u w:val="single"/>
          <w:lang w:val="en-US" w:eastAsia="zh-CN"/>
        </w:rPr>
        <w:t>公司</w:t>
      </w:r>
      <w:r>
        <w:rPr>
          <w:rFonts w:hint="eastAsia" w:ascii="仿宋" w:hAnsi="仿宋" w:eastAsia="仿宋" w:cs="仿宋"/>
          <w:color w:val="000000"/>
        </w:rPr>
        <w:t>获取招标文件，并于</w:t>
      </w:r>
      <w:r>
        <w:rPr>
          <w:rFonts w:hint="eastAsia" w:ascii="仿宋" w:hAnsi="仿宋" w:eastAsia="仿宋" w:cs="仿宋"/>
          <w:color w:val="000000"/>
          <w:u w:val="single"/>
        </w:rPr>
        <w:t>2024年6月1</w:t>
      </w:r>
      <w:r>
        <w:rPr>
          <w:rFonts w:hint="eastAsia" w:ascii="仿宋" w:hAnsi="仿宋" w:eastAsia="仿宋" w:cs="仿宋"/>
          <w:color w:val="000000"/>
          <w:u w:val="single"/>
          <w:lang w:val="en-US" w:eastAsia="zh-CN"/>
        </w:rPr>
        <w:t>3</w:t>
      </w:r>
      <w:r>
        <w:rPr>
          <w:rFonts w:hint="eastAsia" w:ascii="仿宋" w:hAnsi="仿宋" w:eastAsia="仿宋" w:cs="仿宋"/>
          <w:color w:val="000000"/>
          <w:u w:val="single"/>
        </w:rPr>
        <w:t>日9点00分（</w:t>
      </w:r>
      <w:r>
        <w:rPr>
          <w:rFonts w:hint="eastAsia" w:ascii="仿宋" w:hAnsi="仿宋" w:eastAsia="仿宋" w:cs="仿宋"/>
          <w:color w:val="000000"/>
        </w:rPr>
        <w:t>北京时间）前递交投标文件。</w:t>
      </w:r>
    </w:p>
    <w:p>
      <w:pPr>
        <w:pStyle w:val="12"/>
        <w:keepNext/>
        <w:keepLines/>
        <w:spacing w:beforeAutospacing="0" w:afterAutospacing="0" w:line="360" w:lineRule="auto"/>
        <w:ind w:firstLine="482" w:firstLineChars="200"/>
        <w:jc w:val="both"/>
        <w:rPr>
          <w:rFonts w:ascii="仿宋" w:hAnsi="仿宋" w:eastAsia="仿宋" w:cs="仿宋"/>
        </w:rPr>
      </w:pPr>
      <w:bookmarkStart w:id="3" w:name="_Toc28359079"/>
      <w:bookmarkStart w:id="4" w:name="_Toc38985263"/>
      <w:bookmarkStart w:id="5" w:name="_Toc35393621"/>
      <w:bookmarkStart w:id="6" w:name="_Hlk24379207"/>
      <w:bookmarkStart w:id="7" w:name="_Toc35393790"/>
      <w:bookmarkStart w:id="8" w:name="_Toc28359002"/>
      <w:r>
        <w:rPr>
          <w:rFonts w:hint="eastAsia" w:ascii="仿宋" w:hAnsi="仿宋" w:eastAsia="仿宋" w:cs="仿宋"/>
          <w:b/>
          <w:color w:val="000000"/>
        </w:rPr>
        <w:t>一、项目基本情况</w:t>
      </w:r>
      <w:bookmarkEnd w:id="3"/>
      <w:bookmarkEnd w:id="4"/>
      <w:bookmarkEnd w:id="5"/>
      <w:bookmarkEnd w:id="6"/>
      <w:bookmarkEnd w:id="7"/>
      <w:bookmarkEnd w:id="8"/>
    </w:p>
    <w:p>
      <w:pPr>
        <w:pStyle w:val="12"/>
        <w:spacing w:beforeAutospacing="0" w:afterAutospacing="0" w:line="360" w:lineRule="auto"/>
        <w:ind w:firstLine="480" w:firstLineChars="200"/>
        <w:jc w:val="both"/>
        <w:rPr>
          <w:rFonts w:hint="eastAsia" w:ascii="仿宋" w:hAnsi="仿宋" w:eastAsia="仿宋" w:cs="仿宋"/>
          <w:color w:val="000000"/>
          <w:lang w:eastAsia="zh-CN"/>
        </w:rPr>
      </w:pPr>
      <w:r>
        <w:rPr>
          <w:rFonts w:hint="eastAsia" w:ascii="仿宋" w:hAnsi="仿宋" w:eastAsia="仿宋" w:cs="仿宋"/>
          <w:color w:val="000000"/>
        </w:rPr>
        <w:t>1.项目编号：JSZC-320904-YSGL-G2024-0005</w:t>
      </w:r>
      <w:r>
        <w:rPr>
          <w:rFonts w:hint="eastAsia" w:ascii="仿宋" w:hAnsi="仿宋" w:eastAsia="仿宋" w:cs="仿宋"/>
          <w:color w:val="000000"/>
          <w:lang w:eastAsia="zh-CN"/>
        </w:rPr>
        <w:t>。</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2.项目名称：大丰港石化新材料产业园环境监控设备运维服务项目。</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333333"/>
          <w:shd w:val="clear" w:color="auto" w:fill="FFFFFF"/>
        </w:rPr>
        <w:t>3.采购方式：公开招标。</w:t>
      </w:r>
    </w:p>
    <w:p>
      <w:pPr>
        <w:pStyle w:val="12"/>
        <w:spacing w:beforeAutospacing="0" w:afterAutospacing="0" w:line="360" w:lineRule="auto"/>
        <w:ind w:firstLine="480" w:firstLineChars="200"/>
        <w:jc w:val="both"/>
        <w:rPr>
          <w:rFonts w:ascii="仿宋" w:hAnsi="仿宋" w:eastAsia="仿宋" w:cs="仿宋"/>
          <w:color w:val="000000"/>
          <w:shd w:val="clear" w:color="auto" w:fill="FFFF00"/>
        </w:rPr>
      </w:pPr>
      <w:r>
        <w:rPr>
          <w:rFonts w:hint="eastAsia" w:ascii="仿宋" w:hAnsi="仿宋" w:eastAsia="仿宋" w:cs="仿宋"/>
          <w:color w:val="000000"/>
        </w:rPr>
        <w:t>4.预算金额：260万元。</w:t>
      </w:r>
    </w:p>
    <w:p>
      <w:pPr>
        <w:pStyle w:val="12"/>
        <w:spacing w:beforeAutospacing="0" w:afterAutospacing="0" w:line="360" w:lineRule="auto"/>
        <w:ind w:firstLine="480" w:firstLineChars="200"/>
        <w:jc w:val="both"/>
        <w:rPr>
          <w:rFonts w:ascii="仿宋" w:hAnsi="仿宋" w:eastAsia="仿宋" w:cs="仿宋"/>
          <w:color w:val="000000"/>
          <w:shd w:val="clear" w:color="auto" w:fill="FFFF00"/>
        </w:rPr>
      </w:pPr>
      <w:r>
        <w:rPr>
          <w:rFonts w:hint="eastAsia" w:ascii="仿宋" w:hAnsi="仿宋" w:eastAsia="仿宋" w:cs="仿宋"/>
          <w:color w:val="333333"/>
          <w:shd w:val="clear" w:color="auto" w:fill="FFFFFF"/>
        </w:rPr>
        <w:t>5.最高限价（如有）：260万元。</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6.采购需求（简介）：本项目园区已建成环境监测监控体系，现有3套微型空气站、3套标准空气站、4套水站、3套超级气站、8套恶臭监测站和5</w:t>
      </w:r>
      <w:r>
        <w:rPr>
          <w:rFonts w:hint="eastAsia" w:ascii="仿宋" w:hAnsi="仿宋" w:eastAsia="仿宋" w:cs="仿宋"/>
          <w:color w:val="000000"/>
          <w:lang w:val="en-US" w:eastAsia="zh-CN"/>
        </w:rPr>
        <w:t>0</w:t>
      </w:r>
      <w:r>
        <w:rPr>
          <w:rFonts w:hint="eastAsia" w:ascii="仿宋" w:hAnsi="仿宋" w:eastAsia="仿宋" w:cs="仿宋"/>
          <w:color w:val="000000"/>
        </w:rPr>
        <w:t>套微型空气站,为确保监测设备正常运行，数据上传至上级部门，需委托第三方专业机构对以上设备进行运维。（详细内容见本招标文件采购需求）</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7.合同履行期限：1年。</w:t>
      </w:r>
    </w:p>
    <w:p>
      <w:pPr>
        <w:pStyle w:val="12"/>
        <w:spacing w:beforeAutospacing="0" w:afterAutospacing="0" w:line="360" w:lineRule="auto"/>
        <w:ind w:firstLine="480" w:firstLineChars="200"/>
        <w:jc w:val="both"/>
        <w:rPr>
          <w:rFonts w:ascii="仿宋" w:hAnsi="仿宋" w:eastAsia="仿宋" w:cs="仿宋"/>
          <w:color w:val="000000"/>
          <w:shd w:val="clear" w:color="auto" w:fill="FFFF00"/>
        </w:rPr>
      </w:pPr>
      <w:r>
        <w:rPr>
          <w:rFonts w:hint="eastAsia" w:ascii="仿宋" w:hAnsi="仿宋" w:eastAsia="仿宋" w:cs="仿宋"/>
          <w:color w:val="333333"/>
          <w:shd w:val="clear" w:color="auto" w:fill="FFFFFF"/>
        </w:rPr>
        <w:t>8.本项目</w:t>
      </w:r>
      <w:r>
        <w:rPr>
          <w:rFonts w:hint="eastAsia" w:ascii="仿宋" w:hAnsi="仿宋" w:eastAsia="仿宋" w:cs="仿宋"/>
          <w:b/>
          <w:bCs/>
          <w:color w:val="333333"/>
          <w:u w:val="single"/>
          <w:shd w:val="clear" w:color="auto" w:fill="FFFFFF"/>
        </w:rPr>
        <w:t>不接受</w:t>
      </w:r>
      <w:r>
        <w:rPr>
          <w:rFonts w:hint="eastAsia" w:ascii="仿宋" w:hAnsi="仿宋" w:eastAsia="仿宋" w:cs="仿宋"/>
          <w:color w:val="333333"/>
          <w:shd w:val="clear" w:color="auto" w:fill="FFFFFF"/>
        </w:rPr>
        <w:t>联合体</w:t>
      </w:r>
      <w:r>
        <w:rPr>
          <w:rFonts w:hint="eastAsia" w:ascii="仿宋" w:hAnsi="仿宋" w:eastAsia="仿宋" w:cs="仿宋"/>
          <w:color w:val="000000"/>
        </w:rPr>
        <w:t>参与招标。</w:t>
      </w:r>
    </w:p>
    <w:p>
      <w:pPr>
        <w:pStyle w:val="12"/>
        <w:keepNext/>
        <w:keepLines/>
        <w:spacing w:beforeAutospacing="0" w:afterAutospacing="0" w:line="360" w:lineRule="auto"/>
        <w:ind w:firstLine="482" w:firstLineChars="200"/>
        <w:jc w:val="both"/>
        <w:rPr>
          <w:rFonts w:ascii="仿宋" w:hAnsi="仿宋" w:eastAsia="仿宋" w:cs="仿宋"/>
        </w:rPr>
      </w:pPr>
      <w:bookmarkStart w:id="9" w:name="_Toc35393791"/>
      <w:bookmarkStart w:id="10" w:name="_Toc28359003"/>
      <w:bookmarkStart w:id="11" w:name="_Toc35393622"/>
      <w:bookmarkStart w:id="12" w:name="_Toc28359080"/>
      <w:bookmarkStart w:id="13" w:name="_Toc38985264"/>
      <w:r>
        <w:rPr>
          <w:rFonts w:hint="eastAsia" w:ascii="仿宋" w:hAnsi="仿宋" w:eastAsia="仿宋" w:cs="仿宋"/>
          <w:b/>
          <w:color w:val="000000"/>
        </w:rPr>
        <w:t>二、申请人的资格要求：</w:t>
      </w:r>
      <w:bookmarkEnd w:id="9"/>
      <w:bookmarkEnd w:id="10"/>
      <w:bookmarkEnd w:id="11"/>
      <w:bookmarkEnd w:id="12"/>
      <w:bookmarkEnd w:id="13"/>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1.满足《中华人民共和国政府采购法》第二十二条规定，并提供下列材料：</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1.1 法人或者其他组织的营业执照等证明文件，自然人的身份证明；</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1.2上一年度的财务状况报表（成立不满一年无需提供）；</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1.3具备履行合同所必需的设备和专业技术能力的书面声明；</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1.4依法缴纳税收和社会保障资金的相关材料（提供提交响应文件截止时间前一年内至少一个月依法缴纳税收及缴纳社会保障资金的证明材料。供应商依法享受缓缴、免缴税收、社会保障资金的提供证明材料。）；</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1.5参加政府采购活动前3年内在经营活动中没有重大违法记录的书面声明。</w:t>
      </w:r>
    </w:p>
    <w:p>
      <w:pPr>
        <w:pStyle w:val="12"/>
        <w:spacing w:beforeAutospacing="0" w:afterAutospacing="0" w:line="360" w:lineRule="auto"/>
        <w:ind w:firstLine="480" w:firstLineChars="200"/>
        <w:jc w:val="both"/>
        <w:rPr>
          <w:rFonts w:ascii="仿宋" w:hAnsi="仿宋" w:eastAsia="仿宋" w:cs="仿宋"/>
          <w:u w:val="none"/>
        </w:rPr>
      </w:pPr>
      <w:r>
        <w:rPr>
          <w:rFonts w:hint="eastAsia" w:ascii="仿宋" w:hAnsi="仿宋" w:eastAsia="仿宋" w:cs="仿宋"/>
          <w:color w:val="000000"/>
        </w:rPr>
        <w:t>2.落实政府采购政策需满足的资格要求：</w:t>
      </w:r>
      <w:r>
        <w:rPr>
          <w:rFonts w:hint="eastAsia" w:ascii="仿宋" w:hAnsi="仿宋" w:eastAsia="仿宋" w:cs="仿宋"/>
          <w:color w:val="000000"/>
          <w:u w:val="none"/>
        </w:rPr>
        <w:t>对小型和微型企业产品的价格给予20%的扣除，用扣除后的价格参与评审</w:t>
      </w:r>
      <w:r>
        <w:rPr>
          <w:rFonts w:hint="eastAsia" w:ascii="仿宋" w:hAnsi="仿宋" w:eastAsia="仿宋" w:cs="仿宋"/>
          <w:color w:val="000000"/>
          <w:u w:val="none"/>
          <w:lang w:eastAsia="zh-CN"/>
        </w:rPr>
        <w:t>。</w:t>
      </w:r>
      <w:bookmarkStart w:id="203" w:name="_GoBack"/>
      <w:bookmarkEnd w:id="203"/>
      <w:r>
        <w:rPr>
          <w:rFonts w:hint="eastAsia" w:ascii="仿宋" w:hAnsi="仿宋" w:eastAsia="仿宋" w:cs="仿宋"/>
          <w:color w:val="000000"/>
          <w:u w:val="none"/>
        </w:rPr>
        <w:t>中小微企业划分标准以工信部、国家统计局、国家发改委、财政部《关于印发中小企业划型标准规定的通知》（工信部联企业{2011}300号）为准。</w:t>
      </w:r>
    </w:p>
    <w:p>
      <w:pPr>
        <w:pStyle w:val="12"/>
        <w:widowControl/>
        <w:shd w:val="clear" w:color="auto" w:fill="FFFFFF"/>
        <w:spacing w:beforeAutospacing="0" w:afterAutospacing="0" w:line="360" w:lineRule="auto"/>
        <w:ind w:firstLine="480" w:firstLineChars="200"/>
        <w:jc w:val="both"/>
        <w:rPr>
          <w:rFonts w:hint="eastAsia" w:ascii="仿宋" w:hAnsi="仿宋" w:eastAsia="仿宋" w:cs="仿宋"/>
          <w:color w:val="000000"/>
        </w:rPr>
      </w:pPr>
      <w:r>
        <w:rPr>
          <w:rFonts w:hint="eastAsia" w:ascii="仿宋" w:hAnsi="仿宋" w:eastAsia="仿宋" w:cs="仿宋"/>
          <w:color w:val="000000"/>
        </w:rPr>
        <w:t>3.本项目的特定资格要求：</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lang w:val="en-US" w:eastAsia="zh-CN"/>
        </w:rPr>
        <w:t>3.1</w:t>
      </w:r>
      <w:r>
        <w:rPr>
          <w:rFonts w:hint="eastAsia" w:ascii="仿宋" w:hAnsi="仿宋" w:eastAsia="仿宋" w:cs="仿宋"/>
          <w:color w:val="000000"/>
        </w:rPr>
        <w:t>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lang w:val="en-US" w:eastAsia="zh-CN"/>
        </w:rPr>
        <w:t>3.2</w:t>
      </w:r>
      <w:r>
        <w:rPr>
          <w:rFonts w:hint="eastAsia" w:ascii="仿宋" w:hAnsi="仿宋" w:eastAsia="仿宋" w:cs="仿宋"/>
          <w:color w:val="000000"/>
        </w:rPr>
        <w:t>单位负责人为同一人或者存在直接控股、服务关系的不同供应商，不得参加同一合同项下的政府采购活动。</w:t>
      </w:r>
    </w:p>
    <w:p>
      <w:pPr>
        <w:pStyle w:val="12"/>
        <w:widowControl/>
        <w:shd w:val="clear" w:color="auto" w:fill="FFFFFF"/>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三、获取招标文件</w:t>
      </w:r>
    </w:p>
    <w:p>
      <w:pPr>
        <w:pStyle w:val="12"/>
        <w:keepNext/>
        <w:keepLines/>
        <w:spacing w:beforeAutospacing="0" w:afterAutospacing="0" w:line="360" w:lineRule="auto"/>
        <w:ind w:firstLine="480" w:firstLineChars="200"/>
        <w:jc w:val="both"/>
        <w:rPr>
          <w:rFonts w:hint="eastAsia" w:ascii="仿宋" w:hAnsi="仿宋" w:eastAsia="仿宋" w:cs="仿宋"/>
          <w:color w:val="000000"/>
          <w:lang w:val="en-US" w:eastAsia="zh-CN"/>
        </w:rPr>
      </w:pPr>
      <w:r>
        <w:rPr>
          <w:rFonts w:hint="eastAsia" w:ascii="仿宋" w:hAnsi="仿宋" w:eastAsia="仿宋" w:cs="仿宋"/>
          <w:color w:val="000000"/>
        </w:rPr>
        <w:t>1.时间：2024年</w:t>
      </w:r>
      <w:r>
        <w:rPr>
          <w:rFonts w:hint="eastAsia" w:ascii="仿宋" w:hAnsi="仿宋" w:eastAsia="仿宋" w:cs="仿宋"/>
          <w:color w:val="000000"/>
          <w:lang w:val="en-US" w:eastAsia="zh-CN"/>
        </w:rPr>
        <w:t>5</w:t>
      </w:r>
      <w:r>
        <w:rPr>
          <w:rFonts w:hint="eastAsia" w:ascii="仿宋" w:hAnsi="仿宋" w:eastAsia="仿宋" w:cs="仿宋"/>
          <w:color w:val="000000"/>
        </w:rPr>
        <w:t>月</w:t>
      </w:r>
      <w:r>
        <w:rPr>
          <w:rFonts w:hint="eastAsia" w:ascii="仿宋" w:hAnsi="仿宋" w:eastAsia="仿宋" w:cs="仿宋"/>
          <w:color w:val="000000"/>
          <w:lang w:val="en-US" w:eastAsia="zh-CN"/>
        </w:rPr>
        <w:t>24</w:t>
      </w:r>
      <w:r>
        <w:rPr>
          <w:rFonts w:hint="eastAsia" w:ascii="仿宋" w:hAnsi="仿宋" w:eastAsia="仿宋" w:cs="仿宋"/>
          <w:color w:val="000000"/>
        </w:rPr>
        <w:t>日至2024年</w:t>
      </w:r>
      <w:r>
        <w:rPr>
          <w:rFonts w:hint="eastAsia" w:ascii="仿宋" w:hAnsi="仿宋" w:eastAsia="仿宋" w:cs="仿宋"/>
          <w:color w:val="000000"/>
          <w:lang w:val="en-US" w:eastAsia="zh-CN"/>
        </w:rPr>
        <w:t>5</w:t>
      </w:r>
      <w:r>
        <w:rPr>
          <w:rFonts w:hint="eastAsia" w:ascii="仿宋" w:hAnsi="仿宋" w:eastAsia="仿宋" w:cs="仿宋"/>
          <w:color w:val="000000"/>
        </w:rPr>
        <w:t>月</w:t>
      </w:r>
      <w:r>
        <w:rPr>
          <w:rFonts w:hint="eastAsia" w:ascii="仿宋" w:hAnsi="仿宋" w:eastAsia="仿宋" w:cs="仿宋"/>
          <w:color w:val="000000"/>
          <w:lang w:val="en-US" w:eastAsia="zh-CN"/>
        </w:rPr>
        <w:t>31</w:t>
      </w:r>
      <w:r>
        <w:rPr>
          <w:rFonts w:hint="eastAsia" w:ascii="仿宋" w:hAnsi="仿宋" w:eastAsia="仿宋" w:cs="仿宋"/>
          <w:color w:val="000000"/>
        </w:rPr>
        <w:t>日，每天上午08:</w:t>
      </w:r>
      <w:r>
        <w:rPr>
          <w:rFonts w:hint="eastAsia" w:ascii="仿宋" w:hAnsi="仿宋" w:eastAsia="仿宋" w:cs="仿宋"/>
          <w:color w:val="000000"/>
          <w:lang w:val="en-US" w:eastAsia="zh-CN"/>
        </w:rPr>
        <w:t>00</w:t>
      </w:r>
      <w:r>
        <w:rPr>
          <w:rFonts w:hint="eastAsia" w:ascii="仿宋" w:hAnsi="仿宋" w:eastAsia="仿宋" w:cs="仿宋"/>
          <w:color w:val="000000"/>
        </w:rPr>
        <w:t>至12:00，下午14</w:t>
      </w:r>
      <w:r>
        <w:rPr>
          <w:rFonts w:hint="eastAsia" w:ascii="仿宋" w:hAnsi="仿宋" w:eastAsia="仿宋" w:cs="仿宋"/>
          <w:color w:val="000000"/>
          <w:lang w:val="en-US" w:eastAsia="zh-CN"/>
        </w:rPr>
        <w:t>:00</w:t>
      </w:r>
      <w:r>
        <w:rPr>
          <w:rFonts w:hint="eastAsia" w:ascii="仿宋" w:hAnsi="仿宋" w:eastAsia="仿宋" w:cs="仿宋"/>
          <w:color w:val="000000"/>
        </w:rPr>
        <w:t>至18:00(北京时间，法定节假日除外)</w:t>
      </w:r>
      <w:r>
        <w:rPr>
          <w:rFonts w:hint="eastAsia" w:ascii="仿宋" w:hAnsi="仿宋" w:eastAsia="仿宋" w:cs="仿宋"/>
          <w:color w:val="000000"/>
          <w:lang w:eastAsia="zh-CN"/>
        </w:rPr>
        <w:t>。</w:t>
      </w:r>
    </w:p>
    <w:p>
      <w:pPr>
        <w:pStyle w:val="12"/>
        <w:keepNext/>
        <w:keepLines/>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2.地点：江苏亿尚建设项目管理有限公司</w:t>
      </w:r>
      <w:r>
        <w:rPr>
          <w:rFonts w:hint="eastAsia" w:ascii="仿宋" w:hAnsi="仿宋" w:eastAsia="仿宋" w:cs="仿宋"/>
          <w:color w:val="000000"/>
          <w:u w:val="none"/>
          <w:lang w:val="en-US" w:eastAsia="zh-CN"/>
        </w:rPr>
        <w:t>（</w:t>
      </w:r>
      <w:r>
        <w:rPr>
          <w:rFonts w:hint="eastAsia" w:ascii="仿宋" w:hAnsi="仿宋" w:eastAsia="仿宋" w:cs="仿宋"/>
          <w:color w:val="333333"/>
          <w:shd w:val="clear" w:color="auto" w:fill="FFFFFF"/>
        </w:rPr>
        <w:t>大丰区黄海西路50号，佰仕大厦六楼</w:t>
      </w:r>
      <w:r>
        <w:rPr>
          <w:rFonts w:hint="eastAsia" w:ascii="仿宋" w:hAnsi="仿宋" w:eastAsia="仿宋" w:cs="仿宋"/>
          <w:color w:val="333333"/>
          <w:shd w:val="clear" w:color="auto" w:fill="FFFFFF"/>
          <w:lang w:eastAsia="zh-CN"/>
        </w:rPr>
        <w:t>）</w:t>
      </w:r>
      <w:r>
        <w:rPr>
          <w:rFonts w:hint="eastAsia" w:ascii="仿宋" w:hAnsi="仿宋" w:eastAsia="仿宋" w:cs="仿宋"/>
          <w:color w:val="000000"/>
        </w:rPr>
        <w:t>；</w:t>
      </w:r>
    </w:p>
    <w:p>
      <w:pPr>
        <w:pStyle w:val="12"/>
        <w:keepNext/>
        <w:keepLines/>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3.方式：符合资格要求的投标人携带</w:t>
      </w:r>
      <w:r>
        <w:rPr>
          <w:rFonts w:hint="eastAsia" w:ascii="仿宋" w:hAnsi="仿宋" w:eastAsia="仿宋" w:cs="仿宋"/>
          <w:color w:val="000000"/>
          <w:u w:val="single"/>
        </w:rPr>
        <w:t>单位介绍信或授权委托书（注明联系人、联系方式及邮箱，以便及时联系，无法联系的责任由申请人自负）营业执照、被授权人身份证复印件（加盖公章）等资料</w:t>
      </w:r>
      <w:r>
        <w:rPr>
          <w:rFonts w:hint="eastAsia" w:ascii="仿宋" w:hAnsi="仿宋" w:eastAsia="仿宋" w:cs="仿宋"/>
          <w:color w:val="000000"/>
        </w:rPr>
        <w:t>至</w:t>
      </w:r>
      <w:r>
        <w:rPr>
          <w:rFonts w:hint="eastAsia" w:ascii="仿宋" w:hAnsi="仿宋" w:eastAsia="仿宋" w:cs="仿宋"/>
          <w:color w:val="000000"/>
          <w:u w:val="single"/>
        </w:rPr>
        <w:t>江苏亿尚建设项目管理有限公司</w:t>
      </w:r>
      <w:r>
        <w:rPr>
          <w:rFonts w:hint="eastAsia" w:ascii="仿宋" w:hAnsi="仿宋" w:eastAsia="仿宋" w:cs="仿宋"/>
          <w:color w:val="000000"/>
        </w:rPr>
        <w:t>获取招标文件；</w:t>
      </w:r>
    </w:p>
    <w:p>
      <w:pPr>
        <w:pStyle w:val="12"/>
        <w:keepNext/>
        <w:keepLines/>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4.售价：300元/份，售后不退。</w:t>
      </w:r>
    </w:p>
    <w:p>
      <w:pPr>
        <w:pStyle w:val="12"/>
        <w:keepNext/>
        <w:keepLines/>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四、提交投标文件截止时间、开标时间和地点</w:t>
      </w:r>
    </w:p>
    <w:p>
      <w:pPr>
        <w:pStyle w:val="12"/>
        <w:widowControl/>
        <w:shd w:val="clear" w:color="auto" w:fill="FFFFFF"/>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1.时间：</w:t>
      </w:r>
      <w:r>
        <w:rPr>
          <w:rFonts w:hint="eastAsia" w:ascii="仿宋" w:hAnsi="仿宋" w:eastAsia="仿宋" w:cs="仿宋"/>
          <w:color w:val="333333"/>
          <w:u w:val="single"/>
          <w:shd w:val="clear" w:color="auto" w:fill="FFFFFF"/>
        </w:rPr>
        <w:t>2024年6月1</w:t>
      </w:r>
      <w:r>
        <w:rPr>
          <w:rFonts w:hint="eastAsia" w:ascii="仿宋" w:hAnsi="仿宋" w:eastAsia="仿宋" w:cs="仿宋"/>
          <w:color w:val="333333"/>
          <w:u w:val="single"/>
          <w:shd w:val="clear" w:color="auto" w:fill="FFFFFF"/>
          <w:lang w:val="en-US" w:eastAsia="zh-CN"/>
        </w:rPr>
        <w:t>3</w:t>
      </w:r>
      <w:r>
        <w:rPr>
          <w:rFonts w:hint="eastAsia" w:ascii="仿宋" w:hAnsi="仿宋" w:eastAsia="仿宋" w:cs="仿宋"/>
          <w:color w:val="333333"/>
          <w:u w:val="single"/>
          <w:shd w:val="clear" w:color="auto" w:fill="FFFFFF"/>
        </w:rPr>
        <w:t>日9点00分</w:t>
      </w:r>
      <w:r>
        <w:rPr>
          <w:rFonts w:hint="eastAsia" w:ascii="仿宋" w:hAnsi="仿宋" w:eastAsia="仿宋" w:cs="仿宋"/>
          <w:color w:val="000000"/>
        </w:rPr>
        <w:t>（北京时间）。</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2.地点：江苏亿尚建设项目管理有限公司</w:t>
      </w:r>
      <w:r>
        <w:rPr>
          <w:rFonts w:hint="eastAsia" w:ascii="仿宋" w:hAnsi="仿宋" w:eastAsia="仿宋" w:cs="仿宋"/>
          <w:color w:val="000000"/>
          <w:u w:val="none"/>
          <w:lang w:val="en-US" w:eastAsia="zh-CN"/>
        </w:rPr>
        <w:t>（</w:t>
      </w:r>
      <w:r>
        <w:rPr>
          <w:rFonts w:hint="eastAsia" w:ascii="仿宋" w:hAnsi="仿宋" w:eastAsia="仿宋" w:cs="仿宋"/>
          <w:color w:val="333333"/>
          <w:shd w:val="clear" w:color="auto" w:fill="FFFFFF"/>
        </w:rPr>
        <w:t>大丰区黄海西路50号，佰仕大厦六楼</w:t>
      </w:r>
      <w:r>
        <w:rPr>
          <w:rFonts w:hint="eastAsia" w:ascii="仿宋" w:hAnsi="仿宋" w:eastAsia="仿宋" w:cs="仿宋"/>
          <w:color w:val="333333"/>
          <w:shd w:val="clear" w:color="auto" w:fill="FFFFFF"/>
          <w:lang w:eastAsia="zh-CN"/>
        </w:rPr>
        <w:t>）。</w:t>
      </w:r>
    </w:p>
    <w:p>
      <w:pPr>
        <w:pStyle w:val="12"/>
        <w:keepNext/>
        <w:keepLines/>
        <w:spacing w:beforeAutospacing="0" w:afterAutospacing="0" w:line="360" w:lineRule="auto"/>
        <w:ind w:firstLine="482" w:firstLineChars="200"/>
        <w:jc w:val="both"/>
        <w:rPr>
          <w:rFonts w:ascii="仿宋" w:hAnsi="仿宋" w:eastAsia="仿宋" w:cs="仿宋"/>
        </w:rPr>
      </w:pPr>
      <w:bookmarkStart w:id="14" w:name="_Toc35393794"/>
      <w:bookmarkStart w:id="15" w:name="_Toc28359084"/>
      <w:bookmarkStart w:id="16" w:name="_Toc35393625"/>
      <w:bookmarkStart w:id="17" w:name="_Toc28359007"/>
      <w:bookmarkStart w:id="18" w:name="_Toc38985267"/>
      <w:r>
        <w:rPr>
          <w:rFonts w:hint="eastAsia" w:ascii="仿宋" w:hAnsi="仿宋" w:eastAsia="仿宋" w:cs="仿宋"/>
          <w:b/>
          <w:color w:val="000000"/>
        </w:rPr>
        <w:t>五、公告期限</w:t>
      </w:r>
      <w:bookmarkEnd w:id="14"/>
      <w:bookmarkEnd w:id="15"/>
      <w:bookmarkEnd w:id="16"/>
      <w:bookmarkEnd w:id="17"/>
      <w:bookmarkEnd w:id="18"/>
    </w:p>
    <w:p>
      <w:pPr>
        <w:pStyle w:val="12"/>
        <w:widowControl/>
        <w:shd w:val="clear" w:color="auto" w:fill="FFFFFF"/>
        <w:spacing w:beforeAutospacing="0" w:afterAutospacing="0" w:line="360" w:lineRule="auto"/>
        <w:ind w:firstLine="480" w:firstLineChars="200"/>
        <w:jc w:val="both"/>
        <w:rPr>
          <w:rFonts w:ascii="仿宋" w:hAnsi="仿宋" w:eastAsia="仿宋" w:cs="仿宋"/>
          <w:color w:val="333333"/>
          <w:shd w:val="clear" w:color="auto" w:fill="FFFFFF"/>
        </w:rPr>
      </w:pPr>
      <w:bookmarkStart w:id="19" w:name="_Toc35393626"/>
      <w:bookmarkStart w:id="20" w:name="_Toc35393795"/>
      <w:bookmarkStart w:id="21" w:name="_Toc38985268"/>
      <w:r>
        <w:rPr>
          <w:rFonts w:hint="eastAsia" w:ascii="仿宋" w:hAnsi="仿宋" w:eastAsia="仿宋" w:cs="仿宋"/>
          <w:color w:val="333333"/>
          <w:shd w:val="clear" w:color="auto" w:fill="FFFFFF"/>
        </w:rPr>
        <w:t>自本公告发布之日起5个工作日。</w:t>
      </w:r>
      <w:bookmarkEnd w:id="19"/>
      <w:bookmarkEnd w:id="20"/>
      <w:bookmarkEnd w:id="21"/>
    </w:p>
    <w:p>
      <w:pPr>
        <w:pStyle w:val="12"/>
        <w:keepNext/>
        <w:keepLines/>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六、其他补充事宜</w:t>
      </w:r>
    </w:p>
    <w:p>
      <w:pPr>
        <w:pStyle w:val="12"/>
        <w:widowControl/>
        <w:shd w:val="clear" w:color="auto" w:fill="FFFFFF"/>
        <w:wordWrap w:val="0"/>
        <w:spacing w:beforeAutospacing="0" w:afterAutospacing="0" w:line="360" w:lineRule="auto"/>
        <w:ind w:firstLine="480" w:firstLineChars="200"/>
        <w:jc w:val="both"/>
        <w:rPr>
          <w:rFonts w:ascii="仿宋" w:hAnsi="仿宋" w:eastAsia="仿宋" w:cs="仿宋"/>
          <w:color w:val="333333"/>
          <w:shd w:val="clear" w:color="auto" w:fill="FFFFFF"/>
        </w:rPr>
      </w:pPr>
      <w:bookmarkStart w:id="22" w:name="_Toc28359018"/>
      <w:r>
        <w:rPr>
          <w:rFonts w:hint="eastAsia" w:ascii="仿宋" w:hAnsi="仿宋" w:eastAsia="仿宋" w:cs="仿宋"/>
          <w:color w:val="333333"/>
          <w:shd w:val="clear" w:color="auto" w:fill="FFFFFF"/>
        </w:rPr>
        <w:t>1.本项目对投标申请人的资格审查采用资格后审方式，报名时不进行任何审查，由意向投标人自行判断是否符合投标资格。</w:t>
      </w:r>
    </w:p>
    <w:p>
      <w:pPr>
        <w:pStyle w:val="12"/>
        <w:widowControl/>
        <w:shd w:val="clear" w:color="auto" w:fill="FFFFFF"/>
        <w:wordWrap w:val="0"/>
        <w:spacing w:beforeAutospacing="0" w:afterAutospacing="0" w:line="360" w:lineRule="auto"/>
        <w:ind w:firstLine="480" w:firstLineChars="200"/>
        <w:jc w:val="both"/>
        <w:rPr>
          <w:rFonts w:ascii="仿宋" w:hAnsi="仿宋" w:eastAsia="仿宋" w:cs="仿宋"/>
          <w:color w:val="333333"/>
          <w:shd w:val="clear" w:color="auto" w:fill="FFFFFF"/>
        </w:rPr>
      </w:pPr>
      <w:r>
        <w:rPr>
          <w:rFonts w:hint="eastAsia" w:ascii="仿宋" w:hAnsi="仿宋" w:eastAsia="仿宋" w:cs="仿宋"/>
          <w:color w:val="333333"/>
          <w:shd w:val="clear" w:color="auto" w:fill="FFFFFF"/>
        </w:rPr>
        <w:t>2.本招标项目采用的评标方法：综合评分法。</w:t>
      </w:r>
    </w:p>
    <w:p>
      <w:pPr>
        <w:pStyle w:val="12"/>
        <w:widowControl/>
        <w:shd w:val="clear" w:color="auto" w:fill="FFFFFF"/>
        <w:wordWrap w:val="0"/>
        <w:spacing w:beforeAutospacing="0" w:afterAutospacing="0" w:line="360" w:lineRule="auto"/>
        <w:ind w:firstLine="480" w:firstLineChars="200"/>
        <w:jc w:val="both"/>
        <w:rPr>
          <w:rFonts w:ascii="仿宋" w:hAnsi="仿宋" w:eastAsia="仿宋" w:cs="仿宋"/>
          <w:color w:val="333333"/>
          <w:shd w:val="clear" w:color="auto" w:fill="FFFFFF"/>
        </w:rPr>
      </w:pPr>
      <w:r>
        <w:rPr>
          <w:rFonts w:hint="eastAsia" w:ascii="仿宋" w:hAnsi="仿宋" w:eastAsia="仿宋" w:cs="仿宋"/>
          <w:color w:val="333333"/>
          <w:shd w:val="clear" w:color="auto" w:fill="FFFFFF"/>
        </w:rPr>
        <w:t>3.本招标项目招标公告发布媒介：中国政府采购网、江苏政府采购网、盐城市政府采购网。</w:t>
      </w:r>
    </w:p>
    <w:p>
      <w:pPr>
        <w:pStyle w:val="12"/>
        <w:widowControl/>
        <w:shd w:val="clear" w:color="auto" w:fill="FFFFFF"/>
        <w:wordWrap w:val="0"/>
        <w:spacing w:beforeAutospacing="0" w:afterAutospacing="0" w:line="360" w:lineRule="auto"/>
        <w:ind w:firstLine="480" w:firstLineChars="200"/>
        <w:jc w:val="both"/>
        <w:rPr>
          <w:rFonts w:ascii="仿宋" w:hAnsi="仿宋" w:eastAsia="仿宋" w:cs="仿宋"/>
          <w:color w:val="333333"/>
          <w:shd w:val="clear" w:color="auto" w:fill="FFFFFF"/>
        </w:rPr>
      </w:pPr>
      <w:r>
        <w:rPr>
          <w:rFonts w:hint="eastAsia" w:ascii="仿宋" w:hAnsi="仿宋" w:eastAsia="仿宋" w:cs="仿宋"/>
          <w:color w:val="333333"/>
          <w:shd w:val="clear" w:color="auto" w:fill="FFFFFF"/>
        </w:rPr>
        <w:t>4.本项目实行不见面开标，各投标人（供应商）的授权委托人或法人代表应在投标文件提交截止时间前提交投标文件，投标人未按时递交投标文件的，均被视为投标人放弃本次投标（无效投标），对其形成的不利后果及责任由投标人自行承担。投标人可自行决定是否继续参加开（唱）标会议，投标人未参加开标的，视同认可开标结果。</w:t>
      </w:r>
    </w:p>
    <w:p>
      <w:pPr>
        <w:pStyle w:val="12"/>
        <w:widowControl/>
        <w:shd w:val="clear" w:color="auto" w:fill="FFFFFF"/>
        <w:wordWrap w:val="0"/>
        <w:spacing w:beforeAutospacing="0" w:afterAutospacing="0" w:line="360" w:lineRule="auto"/>
        <w:ind w:firstLine="480" w:firstLineChars="200"/>
        <w:jc w:val="both"/>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5.本次招标不收取投标保证金。</w:t>
      </w:r>
    </w:p>
    <w:p>
      <w:pPr>
        <w:pStyle w:val="12"/>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仿宋" w:hAnsi="仿宋" w:eastAsia="仿宋" w:cs="仿宋"/>
          <w:color w:val="333333"/>
          <w:shd w:val="clear" w:color="auto" w:fill="FFFFFF"/>
          <w:lang w:val="en-US" w:eastAsia="zh-CN"/>
        </w:rPr>
      </w:pPr>
      <w:r>
        <w:rPr>
          <w:rFonts w:hint="eastAsia" w:ascii="仿宋" w:hAnsi="仿宋" w:eastAsia="仿宋" w:cs="仿宋"/>
          <w:color w:val="333333"/>
          <w:shd w:val="clear" w:color="auto" w:fill="FFFFFF"/>
          <w:lang w:val="en-US" w:eastAsia="zh-CN"/>
        </w:rPr>
        <w:t>6.投标供应商通过其他渠道获取的与本项目采购相关的资料，采购人一律不予承认且不承担由此引发的一切责任。</w:t>
      </w:r>
    </w:p>
    <w:p>
      <w:pPr>
        <w:pStyle w:val="4"/>
        <w:keepNext w:val="0"/>
        <w:keepLines w:val="0"/>
        <w:pageBreakBefore w:val="0"/>
        <w:kinsoku/>
        <w:overflowPunct/>
        <w:topLinePunct w:val="0"/>
        <w:autoSpaceDE/>
        <w:autoSpaceDN/>
        <w:bidi w:val="0"/>
        <w:adjustRightInd/>
        <w:snapToGrid/>
        <w:spacing w:beforeAutospacing="0" w:afterAutospacing="0" w:line="360" w:lineRule="auto"/>
        <w:textAlignment w:val="auto"/>
      </w:pPr>
      <w:r>
        <w:rPr>
          <w:rFonts w:hint="eastAsia"/>
          <w:shd w:val="clear" w:color="auto" w:fill="FFFFFF"/>
        </w:rPr>
        <w:t>七、对本次招标提出询问，请按以下方式联系。</w:t>
      </w:r>
      <w:bookmarkEnd w:id="22"/>
    </w:p>
    <w:p>
      <w:pPr>
        <w:pStyle w:val="12"/>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firstLineChars="200"/>
        <w:jc w:val="both"/>
        <w:textAlignment w:val="auto"/>
        <w:rPr>
          <w:rFonts w:ascii="仿宋" w:hAnsi="仿宋" w:eastAsia="仿宋" w:cs="仿宋"/>
          <w:color w:val="333333"/>
          <w:shd w:val="clear" w:color="auto" w:fill="FFFFFF"/>
        </w:rPr>
      </w:pPr>
      <w:r>
        <w:rPr>
          <w:rFonts w:ascii="Calibri" w:hAnsi="Calibri" w:eastAsia="仿宋" w:cs="Calibri"/>
          <w:color w:val="000000"/>
        </w:rPr>
        <w:t> </w:t>
      </w:r>
      <w:r>
        <w:rPr>
          <w:rFonts w:hint="eastAsia" w:ascii="仿宋" w:hAnsi="仿宋" w:eastAsia="仿宋" w:cs="仿宋"/>
          <w:color w:val="000000"/>
        </w:rPr>
        <w:t> </w:t>
      </w:r>
      <w:bookmarkStart w:id="23" w:name="_Toc28359009"/>
      <w:r>
        <w:rPr>
          <w:rFonts w:hint="eastAsia" w:ascii="仿宋" w:hAnsi="仿宋" w:eastAsia="仿宋" w:cs="仿宋"/>
          <w:color w:val="333333"/>
          <w:shd w:val="clear" w:color="auto" w:fill="FFFFFF"/>
        </w:rPr>
        <w:t>1.采购人信息</w:t>
      </w:r>
    </w:p>
    <w:p>
      <w:pPr>
        <w:pStyle w:val="12"/>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firstLineChars="200"/>
        <w:jc w:val="both"/>
        <w:textAlignment w:val="auto"/>
        <w:rPr>
          <w:rFonts w:ascii="仿宋" w:hAnsi="仿宋" w:eastAsia="仿宋" w:cs="仿宋"/>
          <w:color w:val="333333"/>
          <w:shd w:val="clear" w:color="auto" w:fill="FFFFFF"/>
        </w:rPr>
      </w:pPr>
      <w:r>
        <w:rPr>
          <w:rFonts w:hint="eastAsia" w:ascii="仿宋" w:hAnsi="仿宋" w:eastAsia="仿宋" w:cs="仿宋"/>
          <w:color w:val="333333"/>
          <w:shd w:val="clear" w:color="auto" w:fill="FFFFFF"/>
        </w:rPr>
        <w:t>名称：江苏大丰港经济开发区管理委员会</w:t>
      </w:r>
    </w:p>
    <w:p>
      <w:pPr>
        <w:pStyle w:val="12"/>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firstLineChars="200"/>
        <w:jc w:val="both"/>
        <w:textAlignment w:val="auto"/>
        <w:rPr>
          <w:rFonts w:ascii="仿宋" w:hAnsi="仿宋" w:eastAsia="仿宋" w:cs="仿宋"/>
          <w:color w:val="333333"/>
          <w:shd w:val="clear" w:color="auto" w:fill="FFFFFF"/>
        </w:rPr>
      </w:pPr>
      <w:r>
        <w:rPr>
          <w:rFonts w:hint="eastAsia" w:ascii="仿宋" w:hAnsi="仿宋" w:eastAsia="仿宋" w:cs="仿宋"/>
          <w:color w:val="333333"/>
          <w:shd w:val="clear" w:color="auto" w:fill="FFFFFF"/>
        </w:rPr>
        <w:t>地址：江苏省盐城市大丰区大丰港经济开发区中港大道1号</w:t>
      </w:r>
    </w:p>
    <w:p>
      <w:pPr>
        <w:pStyle w:val="12"/>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firstLineChars="200"/>
        <w:jc w:val="both"/>
        <w:textAlignment w:val="auto"/>
        <w:rPr>
          <w:rFonts w:ascii="仿宋" w:hAnsi="仿宋" w:eastAsia="仿宋" w:cs="仿宋"/>
          <w:color w:val="333333"/>
          <w:shd w:val="clear" w:color="auto" w:fill="FFFFFF"/>
        </w:rPr>
      </w:pPr>
      <w:r>
        <w:rPr>
          <w:rFonts w:hint="eastAsia" w:ascii="仿宋" w:hAnsi="仿宋" w:eastAsia="仿宋" w:cs="仿宋"/>
          <w:color w:val="333333"/>
          <w:shd w:val="clear" w:color="auto" w:fill="FFFFFF"/>
        </w:rPr>
        <w:t>联系人：董其超</w:t>
      </w:r>
    </w:p>
    <w:p>
      <w:pPr>
        <w:pStyle w:val="12"/>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firstLineChars="200"/>
        <w:jc w:val="both"/>
        <w:textAlignment w:val="auto"/>
        <w:rPr>
          <w:rFonts w:ascii="仿宋" w:hAnsi="仿宋" w:eastAsia="仿宋" w:cs="仿宋"/>
          <w:color w:val="333333"/>
          <w:shd w:val="clear" w:color="auto" w:fill="FFFFFF"/>
        </w:rPr>
      </w:pPr>
      <w:r>
        <w:rPr>
          <w:rFonts w:hint="eastAsia" w:ascii="仿宋" w:hAnsi="仿宋" w:eastAsia="仿宋" w:cs="仿宋"/>
          <w:color w:val="333333"/>
          <w:shd w:val="clear" w:color="auto" w:fill="FFFFFF"/>
        </w:rPr>
        <w:t>联系方式：18261213113</w:t>
      </w:r>
    </w:p>
    <w:p>
      <w:pPr>
        <w:pStyle w:val="12"/>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firstLineChars="200"/>
        <w:jc w:val="both"/>
        <w:textAlignment w:val="auto"/>
        <w:rPr>
          <w:rFonts w:ascii="仿宋" w:hAnsi="仿宋" w:eastAsia="仿宋" w:cs="仿宋"/>
          <w:color w:val="333333"/>
          <w:shd w:val="clear" w:color="auto" w:fill="FFFFFF"/>
        </w:rPr>
      </w:pPr>
      <w:r>
        <w:rPr>
          <w:rFonts w:hint="eastAsia" w:ascii="仿宋" w:hAnsi="仿宋" w:eastAsia="仿宋" w:cs="仿宋"/>
          <w:color w:val="333333"/>
          <w:shd w:val="clear" w:color="auto" w:fill="FFFFFF"/>
        </w:rPr>
        <w:t>2.采购代理机构信息</w:t>
      </w:r>
    </w:p>
    <w:p>
      <w:pPr>
        <w:pStyle w:val="12"/>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firstLineChars="200"/>
        <w:jc w:val="both"/>
        <w:textAlignment w:val="auto"/>
        <w:rPr>
          <w:rFonts w:ascii="仿宋" w:hAnsi="仿宋" w:eastAsia="仿宋" w:cs="仿宋"/>
          <w:color w:val="333333"/>
          <w:shd w:val="clear" w:color="auto" w:fill="FFFFFF"/>
        </w:rPr>
      </w:pPr>
      <w:r>
        <w:rPr>
          <w:rFonts w:hint="eastAsia" w:ascii="仿宋" w:hAnsi="仿宋" w:eastAsia="仿宋" w:cs="仿宋"/>
          <w:color w:val="333333"/>
          <w:shd w:val="clear" w:color="auto" w:fill="FFFFFF"/>
        </w:rPr>
        <w:t>名称： 江苏亿尚建设项目管理有限公司</w:t>
      </w:r>
    </w:p>
    <w:p>
      <w:pPr>
        <w:pStyle w:val="12"/>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firstLineChars="200"/>
        <w:jc w:val="both"/>
        <w:textAlignment w:val="auto"/>
        <w:rPr>
          <w:rFonts w:ascii="仿宋" w:hAnsi="仿宋" w:eastAsia="仿宋" w:cs="仿宋"/>
          <w:color w:val="333333"/>
          <w:shd w:val="clear" w:color="auto" w:fill="FFFFFF"/>
        </w:rPr>
      </w:pPr>
      <w:r>
        <w:rPr>
          <w:rFonts w:hint="eastAsia" w:ascii="仿宋" w:hAnsi="仿宋" w:eastAsia="仿宋" w:cs="仿宋"/>
          <w:color w:val="333333"/>
          <w:shd w:val="clear" w:color="auto" w:fill="FFFFFF"/>
        </w:rPr>
        <w:t>地址： 大丰区黄海西路50号，佰仕大厦六楼</w:t>
      </w:r>
    </w:p>
    <w:p>
      <w:pPr>
        <w:pStyle w:val="12"/>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firstLineChars="200"/>
        <w:jc w:val="both"/>
        <w:textAlignment w:val="auto"/>
        <w:rPr>
          <w:rFonts w:ascii="仿宋" w:hAnsi="仿宋" w:eastAsia="仿宋" w:cs="仿宋"/>
          <w:color w:val="333333"/>
          <w:shd w:val="clear" w:color="auto" w:fill="FFFFFF"/>
        </w:rPr>
      </w:pPr>
      <w:r>
        <w:rPr>
          <w:rFonts w:hint="eastAsia" w:ascii="仿宋" w:hAnsi="仿宋" w:eastAsia="仿宋" w:cs="仿宋"/>
          <w:color w:val="333333"/>
          <w:shd w:val="clear" w:color="auto" w:fill="FFFFFF"/>
        </w:rPr>
        <w:t>联系人：陈小剑</w:t>
      </w:r>
    </w:p>
    <w:p>
      <w:pPr>
        <w:pStyle w:val="12"/>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firstLineChars="200"/>
        <w:jc w:val="both"/>
        <w:textAlignment w:val="auto"/>
        <w:rPr>
          <w:rFonts w:ascii="仿宋" w:hAnsi="仿宋" w:eastAsia="仿宋" w:cs="仿宋"/>
          <w:color w:val="333333"/>
          <w:shd w:val="clear" w:color="auto" w:fill="FFFFFF"/>
        </w:rPr>
      </w:pPr>
      <w:r>
        <w:rPr>
          <w:rFonts w:hint="eastAsia" w:ascii="仿宋" w:hAnsi="仿宋" w:eastAsia="仿宋" w:cs="仿宋"/>
          <w:color w:val="333333"/>
          <w:shd w:val="clear" w:color="auto" w:fill="FFFFFF"/>
        </w:rPr>
        <w:t>联系方式：</w:t>
      </w:r>
      <w:bookmarkStart w:id="24" w:name="_Toc28359021"/>
      <w:r>
        <w:rPr>
          <w:rFonts w:hint="eastAsia" w:ascii="仿宋" w:hAnsi="仿宋" w:eastAsia="仿宋" w:cs="仿宋"/>
          <w:color w:val="333333"/>
          <w:shd w:val="clear" w:color="auto" w:fill="FFFFFF"/>
        </w:rPr>
        <w:t>15151080087</w:t>
      </w:r>
    </w:p>
    <w:p>
      <w:pPr>
        <w:pStyle w:val="12"/>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firstLineChars="200"/>
        <w:jc w:val="both"/>
        <w:textAlignment w:val="auto"/>
        <w:rPr>
          <w:rFonts w:ascii="仿宋" w:hAnsi="仿宋" w:eastAsia="仿宋" w:cs="仿宋"/>
          <w:color w:val="333333"/>
          <w:shd w:val="clear" w:color="auto" w:fill="FFFFFF"/>
        </w:rPr>
      </w:pPr>
      <w:r>
        <w:rPr>
          <w:rFonts w:hint="eastAsia" w:ascii="仿宋" w:hAnsi="仿宋" w:eastAsia="仿宋" w:cs="仿宋"/>
          <w:color w:val="333333"/>
          <w:shd w:val="clear" w:color="auto" w:fill="FFFFFF"/>
        </w:rPr>
        <w:t>3.</w:t>
      </w:r>
      <w:bookmarkEnd w:id="24"/>
      <w:r>
        <w:rPr>
          <w:rFonts w:hint="eastAsia" w:ascii="仿宋" w:hAnsi="仿宋" w:eastAsia="仿宋" w:cs="仿宋"/>
          <w:color w:val="333333"/>
          <w:shd w:val="clear" w:color="auto" w:fill="FFFFFF"/>
        </w:rPr>
        <w:t>项目联系方式</w:t>
      </w:r>
    </w:p>
    <w:p>
      <w:pPr>
        <w:pStyle w:val="12"/>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firstLineChars="200"/>
        <w:jc w:val="both"/>
        <w:textAlignment w:val="auto"/>
        <w:rPr>
          <w:rFonts w:ascii="仿宋" w:hAnsi="仿宋" w:eastAsia="仿宋" w:cs="仿宋"/>
          <w:color w:val="333333"/>
          <w:shd w:val="clear" w:color="auto" w:fill="FFFFFF"/>
        </w:rPr>
      </w:pPr>
      <w:r>
        <w:rPr>
          <w:rFonts w:hint="eastAsia" w:ascii="仿宋" w:hAnsi="仿宋" w:eastAsia="仿宋" w:cs="仿宋"/>
          <w:color w:val="333333"/>
          <w:shd w:val="clear" w:color="auto" w:fill="FFFFFF"/>
        </w:rPr>
        <w:t>项目联系人：陈小剑</w:t>
      </w:r>
    </w:p>
    <w:p>
      <w:pPr>
        <w:pStyle w:val="12"/>
        <w:keepNext w:val="0"/>
        <w:keepLines w:val="0"/>
        <w:pageBreakBefore w:val="0"/>
        <w:widowControl/>
        <w:shd w:val="clear" w:color="auto" w:fill="FFFFFF"/>
        <w:kinsoku/>
        <w:overflowPunct/>
        <w:topLinePunct w:val="0"/>
        <w:autoSpaceDE/>
        <w:autoSpaceDN/>
        <w:bidi w:val="0"/>
        <w:adjustRightInd/>
        <w:snapToGrid/>
        <w:spacing w:beforeAutospacing="0" w:afterAutospacing="0" w:line="360" w:lineRule="auto"/>
        <w:ind w:firstLine="480" w:firstLineChars="200"/>
        <w:jc w:val="both"/>
        <w:textAlignment w:val="auto"/>
        <w:rPr>
          <w:rFonts w:ascii="仿宋" w:hAnsi="仿宋" w:eastAsia="仿宋" w:cs="仿宋"/>
          <w:color w:val="333333"/>
          <w:shd w:val="clear" w:color="auto" w:fill="FFFFFF"/>
        </w:rPr>
      </w:pPr>
      <w:r>
        <w:rPr>
          <w:rFonts w:hint="eastAsia" w:ascii="仿宋" w:hAnsi="仿宋" w:eastAsia="仿宋" w:cs="仿宋"/>
          <w:color w:val="333333"/>
          <w:shd w:val="clear" w:color="auto" w:fill="FFFFFF"/>
        </w:rPr>
        <w:t>电话：15151080087</w:t>
      </w:r>
    </w:p>
    <w:p>
      <w:pPr>
        <w:rPr>
          <w:rFonts w:ascii="仿宋" w:hAnsi="仿宋" w:eastAsia="仿宋" w:cs="仿宋"/>
        </w:rPr>
      </w:pPr>
      <w:r>
        <w:rPr>
          <w:rFonts w:hint="eastAsia" w:ascii="仿宋" w:hAnsi="仿宋" w:eastAsia="仿宋" w:cs="仿宋"/>
        </w:rPr>
        <w:t> </w:t>
      </w:r>
    </w:p>
    <w:p>
      <w:pPr>
        <w:pStyle w:val="12"/>
        <w:spacing w:beforeAutospacing="0" w:afterAutospacing="0"/>
        <w:ind w:right="840"/>
        <w:jc w:val="center"/>
        <w:rPr>
          <w:rFonts w:ascii="仿宋" w:hAnsi="仿宋" w:eastAsia="仿宋" w:cs="仿宋"/>
          <w:sz w:val="28"/>
          <w:szCs w:val="28"/>
        </w:rPr>
      </w:pPr>
      <w:r>
        <w:rPr>
          <w:rFonts w:hint="eastAsia" w:ascii="仿宋" w:hAnsi="仿宋" w:eastAsia="仿宋" w:cs="仿宋"/>
          <w:color w:val="000000"/>
        </w:rPr>
        <w:br w:type="page"/>
      </w:r>
      <w:r>
        <w:rPr>
          <w:rFonts w:hint="eastAsia" w:ascii="仿宋" w:hAnsi="仿宋" w:eastAsia="仿宋" w:cs="仿宋"/>
          <w:color w:val="000000"/>
        </w:rPr>
        <w:t> </w:t>
      </w:r>
      <w:bookmarkStart w:id="25" w:name="_Toc120614211"/>
      <w:bookmarkStart w:id="26" w:name="_Toc26324"/>
      <w:r>
        <w:rPr>
          <w:rFonts w:hint="eastAsia" w:ascii="仿宋" w:hAnsi="仿宋" w:eastAsia="仿宋" w:cs="仿宋"/>
          <w:b/>
          <w:color w:val="000000"/>
          <w:sz w:val="28"/>
          <w:szCs w:val="28"/>
        </w:rPr>
        <w:t xml:space="preserve">第二章  </w:t>
      </w:r>
      <w:bookmarkEnd w:id="25"/>
      <w:bookmarkStart w:id="27" w:name="_Toc513029202"/>
      <w:bookmarkStart w:id="28" w:name="_Toc16938518"/>
      <w:bookmarkStart w:id="29" w:name="_Toc20823274"/>
      <w:bookmarkStart w:id="30" w:name="_Toc120614213"/>
      <w:r>
        <w:rPr>
          <w:rFonts w:hint="eastAsia" w:ascii="仿宋" w:hAnsi="仿宋" w:eastAsia="仿宋" w:cs="仿宋"/>
          <w:b/>
          <w:color w:val="000000"/>
          <w:sz w:val="28"/>
          <w:szCs w:val="28"/>
        </w:rPr>
        <w:t>投标人须知</w:t>
      </w:r>
      <w:bookmarkEnd w:id="26"/>
      <w:bookmarkEnd w:id="27"/>
      <w:bookmarkEnd w:id="28"/>
      <w:bookmarkEnd w:id="29"/>
      <w:bookmarkEnd w:id="30"/>
    </w:p>
    <w:p>
      <w:pPr>
        <w:pStyle w:val="12"/>
        <w:keepNext/>
        <w:keepLines/>
        <w:spacing w:beforeAutospacing="0" w:afterAutospacing="0" w:line="360" w:lineRule="auto"/>
        <w:ind w:firstLine="482" w:firstLineChars="200"/>
        <w:jc w:val="both"/>
        <w:rPr>
          <w:rFonts w:ascii="仿宋" w:hAnsi="仿宋" w:eastAsia="仿宋" w:cs="仿宋"/>
        </w:rPr>
      </w:pPr>
      <w:bookmarkStart w:id="31" w:name="_Toc16938519"/>
      <w:bookmarkStart w:id="32" w:name="_Toc20823275"/>
      <w:bookmarkStart w:id="33" w:name="_Toc513029203"/>
      <w:bookmarkStart w:id="34" w:name="_Toc120614214"/>
      <w:r>
        <w:rPr>
          <w:rFonts w:hint="eastAsia" w:ascii="仿宋" w:hAnsi="仿宋" w:eastAsia="仿宋" w:cs="仿宋"/>
          <w:b/>
          <w:color w:val="000000"/>
        </w:rPr>
        <w:t>一、总则</w:t>
      </w:r>
      <w:bookmarkEnd w:id="31"/>
      <w:bookmarkEnd w:id="32"/>
      <w:bookmarkEnd w:id="33"/>
      <w:bookmarkEnd w:id="34"/>
    </w:p>
    <w:p>
      <w:pPr>
        <w:pStyle w:val="12"/>
        <w:keepNext/>
        <w:keepLines/>
        <w:spacing w:beforeAutospacing="0" w:afterAutospacing="0" w:line="360" w:lineRule="auto"/>
        <w:ind w:firstLine="480" w:firstLineChars="200"/>
        <w:jc w:val="both"/>
        <w:rPr>
          <w:rFonts w:ascii="仿宋" w:hAnsi="仿宋" w:eastAsia="仿宋" w:cs="仿宋"/>
        </w:rPr>
      </w:pPr>
      <w:bookmarkStart w:id="35" w:name="_Toc16938520"/>
      <w:bookmarkStart w:id="36" w:name="_Toc458694821"/>
      <w:bookmarkStart w:id="37" w:name="_Toc513029204"/>
      <w:bookmarkStart w:id="38" w:name="_Toc20823276"/>
      <w:bookmarkStart w:id="39" w:name="_Hlt16619475"/>
      <w:r>
        <w:rPr>
          <w:rFonts w:hint="eastAsia" w:ascii="仿宋" w:hAnsi="仿宋" w:eastAsia="仿宋" w:cs="仿宋"/>
          <w:color w:val="000000"/>
        </w:rPr>
        <w:t>1</w:t>
      </w:r>
      <w:bookmarkEnd w:id="35"/>
      <w:r>
        <w:rPr>
          <w:rFonts w:hint="eastAsia" w:ascii="仿宋" w:hAnsi="仿宋" w:eastAsia="仿宋" w:cs="仿宋"/>
          <w:color w:val="000000"/>
        </w:rPr>
        <w:t>、招标方式</w:t>
      </w:r>
      <w:bookmarkEnd w:id="36"/>
      <w:bookmarkEnd w:id="37"/>
      <w:bookmarkEnd w:id="38"/>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1.1本次招标采取公开招标方式，本招标文件仅适用于招标公告中所述项目。</w:t>
      </w:r>
    </w:p>
    <w:p>
      <w:pPr>
        <w:pStyle w:val="12"/>
        <w:keepNext/>
        <w:keepLines/>
        <w:spacing w:beforeAutospacing="0" w:afterAutospacing="0" w:line="360" w:lineRule="auto"/>
        <w:ind w:firstLine="480" w:firstLineChars="200"/>
        <w:jc w:val="both"/>
        <w:rPr>
          <w:rFonts w:ascii="仿宋" w:hAnsi="仿宋" w:eastAsia="仿宋" w:cs="仿宋"/>
        </w:rPr>
      </w:pPr>
      <w:bookmarkStart w:id="40" w:name="_Toc16938521"/>
      <w:bookmarkStart w:id="41" w:name="_Toc20823277"/>
      <w:bookmarkStart w:id="42" w:name="_Toc513029205"/>
      <w:r>
        <w:rPr>
          <w:rFonts w:hint="eastAsia" w:ascii="仿宋" w:hAnsi="仿宋" w:eastAsia="仿宋" w:cs="仿宋"/>
          <w:color w:val="000000"/>
        </w:rPr>
        <w:t>2、合格的投标人</w:t>
      </w:r>
      <w:bookmarkEnd w:id="40"/>
      <w:bookmarkEnd w:id="41"/>
      <w:bookmarkEnd w:id="42"/>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2.1满足招标公告中供应商的资格要求的规定。</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2.2满足本文件实质性要求和条件的规定。</w:t>
      </w:r>
    </w:p>
    <w:p>
      <w:pPr>
        <w:pStyle w:val="12"/>
        <w:keepNext/>
        <w:keepLines/>
        <w:spacing w:beforeAutospacing="0" w:afterAutospacing="0" w:line="360" w:lineRule="auto"/>
        <w:ind w:firstLine="480" w:firstLineChars="200"/>
        <w:jc w:val="both"/>
        <w:rPr>
          <w:rFonts w:ascii="仿宋" w:hAnsi="仿宋" w:eastAsia="仿宋" w:cs="仿宋"/>
        </w:rPr>
      </w:pPr>
      <w:bookmarkStart w:id="43" w:name="_Toc20823278"/>
      <w:bookmarkStart w:id="44" w:name="_Toc16938522"/>
      <w:bookmarkStart w:id="45" w:name="_Toc513029206"/>
      <w:r>
        <w:rPr>
          <w:rFonts w:hint="eastAsia" w:ascii="仿宋" w:hAnsi="仿宋" w:eastAsia="仿宋" w:cs="仿宋"/>
          <w:color w:val="000000"/>
        </w:rPr>
        <w:t>3、适用法律</w:t>
      </w:r>
      <w:bookmarkEnd w:id="43"/>
      <w:bookmarkEnd w:id="44"/>
      <w:bookmarkEnd w:id="45"/>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3.1本次招标及由此产生的合同受中华人民共和国有关的法律法规制约和保护。</w:t>
      </w:r>
    </w:p>
    <w:p>
      <w:pPr>
        <w:pStyle w:val="12"/>
        <w:keepNext/>
        <w:keepLines/>
        <w:spacing w:beforeAutospacing="0" w:afterAutospacing="0" w:line="360" w:lineRule="auto"/>
        <w:ind w:firstLine="480" w:firstLineChars="200"/>
        <w:jc w:val="both"/>
        <w:rPr>
          <w:rFonts w:ascii="仿宋" w:hAnsi="仿宋" w:eastAsia="仿宋" w:cs="仿宋"/>
        </w:rPr>
      </w:pPr>
      <w:bookmarkStart w:id="46" w:name="_Toc513029207"/>
      <w:bookmarkStart w:id="47" w:name="_Toc16938523"/>
      <w:bookmarkStart w:id="48" w:name="_Toc20823279"/>
      <w:bookmarkStart w:id="49" w:name="_Toc462564067"/>
      <w:r>
        <w:rPr>
          <w:rFonts w:hint="eastAsia" w:ascii="仿宋" w:hAnsi="仿宋" w:eastAsia="仿宋" w:cs="仿宋"/>
          <w:color w:val="000000"/>
        </w:rPr>
        <w:t>4、投标费用</w:t>
      </w:r>
      <w:bookmarkEnd w:id="46"/>
      <w:bookmarkEnd w:id="47"/>
      <w:bookmarkEnd w:id="48"/>
      <w:bookmarkEnd w:id="49"/>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4.1投标人应自行承担所有与参加投标有关的费用，无论投标过程中的做法和结果如何，采购人在任何情况下均无义务和责任承担这些费用。</w:t>
      </w:r>
    </w:p>
    <w:p>
      <w:pPr>
        <w:pStyle w:val="12"/>
        <w:keepNext/>
        <w:keepLines/>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5、</w:t>
      </w:r>
      <w:r>
        <w:rPr>
          <w:rFonts w:hint="eastAsia" w:ascii="仿宋" w:hAnsi="仿宋" w:eastAsia="仿宋" w:cs="仿宋"/>
          <w:color w:val="000000"/>
        </w:rPr>
        <w:t>招标文件的约束力</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5.1投标人一旦参加本项目采购活动，即被认为接受了本招标文件的规定和约束。</w:t>
      </w:r>
    </w:p>
    <w:p>
      <w:pPr>
        <w:pStyle w:val="12"/>
        <w:keepNext/>
        <w:keepLines/>
        <w:spacing w:beforeAutospacing="0" w:afterAutospacing="0" w:line="360" w:lineRule="auto"/>
        <w:ind w:firstLine="482" w:firstLineChars="200"/>
        <w:jc w:val="both"/>
        <w:rPr>
          <w:rFonts w:ascii="仿宋" w:hAnsi="仿宋" w:eastAsia="仿宋" w:cs="仿宋"/>
        </w:rPr>
      </w:pPr>
      <w:bookmarkStart w:id="50" w:name="_Toc16938525"/>
      <w:bookmarkStart w:id="51" w:name="_Toc20823281"/>
      <w:bookmarkStart w:id="52" w:name="_Toc120614215"/>
      <w:bookmarkStart w:id="53" w:name="_Toc513029209"/>
      <w:r>
        <w:rPr>
          <w:rFonts w:hint="eastAsia" w:ascii="仿宋" w:hAnsi="仿宋" w:eastAsia="仿宋" w:cs="仿宋"/>
          <w:b/>
          <w:color w:val="000000"/>
        </w:rPr>
        <w:t>二、招标文件</w:t>
      </w:r>
      <w:bookmarkEnd w:id="50"/>
      <w:bookmarkEnd w:id="51"/>
      <w:bookmarkEnd w:id="52"/>
      <w:bookmarkEnd w:id="53"/>
    </w:p>
    <w:p>
      <w:pPr>
        <w:pStyle w:val="12"/>
        <w:keepNext/>
        <w:keepLines/>
        <w:spacing w:beforeAutospacing="0" w:afterAutospacing="0" w:line="360" w:lineRule="auto"/>
        <w:ind w:firstLine="480" w:firstLineChars="200"/>
        <w:jc w:val="both"/>
        <w:rPr>
          <w:rFonts w:ascii="仿宋" w:hAnsi="仿宋" w:eastAsia="仿宋" w:cs="仿宋"/>
        </w:rPr>
      </w:pPr>
      <w:bookmarkStart w:id="54" w:name="_Toc513029210"/>
      <w:bookmarkStart w:id="55" w:name="_Toc20823282"/>
      <w:bookmarkStart w:id="56" w:name="_Toc16938526"/>
      <w:r>
        <w:rPr>
          <w:rFonts w:hint="eastAsia" w:ascii="仿宋" w:hAnsi="仿宋" w:eastAsia="仿宋" w:cs="仿宋"/>
          <w:color w:val="000000"/>
        </w:rPr>
        <w:t>6、招标文件构成</w:t>
      </w:r>
      <w:bookmarkEnd w:id="54"/>
      <w:bookmarkEnd w:id="55"/>
      <w:bookmarkEnd w:id="56"/>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6.1 招标文件由以下部分组成：</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（1）招标公告</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（2）投标人须知</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（3）合同文本</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（4）采购需求</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（5）评标方法与评标标准</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（6）投标文件格式</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请仔细检查招标文件是否齐全，如有缺漏请立即与采购人联系解决。</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12"/>
        <w:keepNext/>
        <w:keepLines/>
        <w:spacing w:beforeAutospacing="0" w:afterAutospacing="0" w:line="360" w:lineRule="auto"/>
        <w:ind w:firstLine="480" w:firstLineChars="200"/>
        <w:jc w:val="both"/>
        <w:rPr>
          <w:rFonts w:ascii="仿宋" w:hAnsi="仿宋" w:eastAsia="仿宋" w:cs="仿宋"/>
        </w:rPr>
      </w:pPr>
      <w:bookmarkStart w:id="57" w:name="_Toc20823283"/>
      <w:bookmarkStart w:id="58" w:name="_Toc462564070"/>
      <w:bookmarkStart w:id="59" w:name="_Toc513029211"/>
      <w:bookmarkStart w:id="60" w:name="_Toc16938527"/>
      <w:r>
        <w:rPr>
          <w:rFonts w:hint="eastAsia" w:ascii="仿宋" w:hAnsi="仿宋" w:eastAsia="仿宋" w:cs="仿宋"/>
          <w:color w:val="000000"/>
        </w:rPr>
        <w:t>7、招标文件的澄清</w:t>
      </w:r>
      <w:bookmarkEnd w:id="57"/>
      <w:bookmarkEnd w:id="58"/>
      <w:bookmarkEnd w:id="59"/>
      <w:bookmarkEnd w:id="60"/>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7.1任何要求对招标文件进行澄清的投标人，应在投标截止期</w:t>
      </w:r>
      <w:r>
        <w:rPr>
          <w:rFonts w:hint="eastAsia" w:ascii="仿宋" w:hAnsi="仿宋" w:eastAsia="仿宋" w:cs="仿宋"/>
          <w:b/>
          <w:color w:val="000000"/>
        </w:rPr>
        <w:t>十日</w:t>
      </w:r>
      <w:r>
        <w:rPr>
          <w:rFonts w:hint="eastAsia" w:ascii="仿宋" w:hAnsi="仿宋" w:eastAsia="仿宋" w:cs="仿宋"/>
          <w:color w:val="000000"/>
        </w:rPr>
        <w:t>前按招标公告中的通讯地址，以书面形式通知采购人。</w:t>
      </w:r>
    </w:p>
    <w:p>
      <w:pPr>
        <w:pStyle w:val="12"/>
        <w:keepNext/>
        <w:keepLines/>
        <w:spacing w:beforeAutospacing="0" w:afterAutospacing="0" w:line="360" w:lineRule="auto"/>
        <w:ind w:firstLine="480" w:firstLineChars="200"/>
        <w:jc w:val="both"/>
        <w:rPr>
          <w:rFonts w:ascii="仿宋" w:hAnsi="仿宋" w:eastAsia="仿宋" w:cs="仿宋"/>
        </w:rPr>
      </w:pPr>
      <w:bookmarkStart w:id="61" w:name="_Toc16938528"/>
      <w:bookmarkStart w:id="62" w:name="_Toc462564071"/>
      <w:bookmarkStart w:id="63" w:name="_Toc20823284"/>
      <w:bookmarkStart w:id="64" w:name="_Toc513029212"/>
      <w:r>
        <w:rPr>
          <w:rFonts w:hint="eastAsia" w:ascii="仿宋" w:hAnsi="仿宋" w:eastAsia="仿宋" w:cs="仿宋"/>
          <w:color w:val="000000"/>
        </w:rPr>
        <w:t>8、招标文件的修改</w:t>
      </w:r>
      <w:bookmarkEnd w:id="61"/>
      <w:bookmarkEnd w:id="62"/>
      <w:bookmarkEnd w:id="63"/>
      <w:bookmarkEnd w:id="64"/>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8.1在投标截止时间前，采购人可以对招标文件进行修改。</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8.2采购人有权按照法定的要求推迟投标截止日期和开标日期。</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8.3招标文件的修改将在</w:t>
      </w:r>
      <w:r>
        <w:rPr>
          <w:rFonts w:hint="eastAsia" w:ascii="仿宋" w:hAnsi="仿宋" w:eastAsia="仿宋" w:cs="仿宋"/>
          <w:b/>
          <w:bCs/>
          <w:color w:val="000000"/>
          <w:u w:val="single"/>
        </w:rPr>
        <w:t>江苏政府采购网、盐城市政府采购网</w:t>
      </w:r>
      <w:r>
        <w:rPr>
          <w:rFonts w:hint="eastAsia" w:ascii="仿宋" w:hAnsi="仿宋" w:eastAsia="仿宋" w:cs="仿宋"/>
          <w:color w:val="000000"/>
        </w:rPr>
        <w:t>公布，补充文件将作为招标文件的组成部分，并对投标人具有约束力。</w:t>
      </w:r>
    </w:p>
    <w:p>
      <w:pPr>
        <w:pStyle w:val="12"/>
        <w:keepNext/>
        <w:keepLines/>
        <w:spacing w:beforeAutospacing="0" w:afterAutospacing="0" w:line="360" w:lineRule="auto"/>
        <w:ind w:firstLine="482" w:firstLineChars="200"/>
        <w:jc w:val="both"/>
        <w:rPr>
          <w:rFonts w:ascii="仿宋" w:hAnsi="仿宋" w:eastAsia="仿宋" w:cs="仿宋"/>
        </w:rPr>
      </w:pPr>
      <w:bookmarkStart w:id="65" w:name="_Toc462564072"/>
      <w:bookmarkStart w:id="66" w:name="_Toc120614216"/>
      <w:bookmarkStart w:id="67" w:name="_Toc20823285"/>
      <w:bookmarkStart w:id="68" w:name="_Toc513029213"/>
      <w:bookmarkStart w:id="69" w:name="_Toc16938529"/>
      <w:r>
        <w:rPr>
          <w:rFonts w:hint="eastAsia" w:ascii="仿宋" w:hAnsi="仿宋" w:eastAsia="仿宋" w:cs="仿宋"/>
          <w:b/>
          <w:color w:val="000000"/>
        </w:rPr>
        <w:t>三、投标文件的编制</w:t>
      </w:r>
      <w:bookmarkEnd w:id="65"/>
      <w:bookmarkEnd w:id="66"/>
      <w:bookmarkEnd w:id="67"/>
      <w:bookmarkEnd w:id="68"/>
      <w:bookmarkEnd w:id="69"/>
    </w:p>
    <w:p>
      <w:pPr>
        <w:pStyle w:val="12"/>
        <w:keepNext/>
        <w:keepLines/>
        <w:spacing w:beforeAutospacing="0" w:afterAutospacing="0" w:line="360" w:lineRule="auto"/>
        <w:ind w:firstLine="480" w:firstLineChars="200"/>
        <w:jc w:val="both"/>
        <w:rPr>
          <w:rFonts w:ascii="仿宋" w:hAnsi="仿宋" w:eastAsia="仿宋" w:cs="仿宋"/>
        </w:rPr>
      </w:pPr>
      <w:bookmarkStart w:id="70" w:name="_Toc20823286"/>
      <w:bookmarkStart w:id="71" w:name="_Toc513029214"/>
      <w:bookmarkStart w:id="72" w:name="_Toc16938530"/>
      <w:bookmarkStart w:id="73" w:name="_Toc462564073"/>
      <w:r>
        <w:rPr>
          <w:rFonts w:hint="eastAsia" w:ascii="仿宋" w:hAnsi="仿宋" w:eastAsia="仿宋" w:cs="仿宋"/>
          <w:color w:val="000000"/>
        </w:rPr>
        <w:t>9、投标文件的语言及度量衡单位</w:t>
      </w:r>
      <w:bookmarkEnd w:id="70"/>
      <w:bookmarkEnd w:id="71"/>
      <w:bookmarkEnd w:id="72"/>
      <w:bookmarkEnd w:id="73"/>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9.1投标人提交的投标文件以及投标人与采购人就有关投标的所有来往通知、函件和文件均应使用</w:t>
      </w:r>
      <w:r>
        <w:rPr>
          <w:rFonts w:hint="eastAsia" w:ascii="仿宋" w:hAnsi="仿宋" w:eastAsia="仿宋" w:cs="仿宋"/>
          <w:b/>
          <w:color w:val="000000"/>
        </w:rPr>
        <w:t>简体中文</w:t>
      </w:r>
      <w:r>
        <w:rPr>
          <w:rFonts w:hint="eastAsia" w:ascii="仿宋" w:hAnsi="仿宋" w:eastAsia="仿宋" w:cs="仿宋"/>
          <w:color w:val="000000"/>
        </w:rPr>
        <w:t>。</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9.2除技术性能另有规定外，投标文件所使用的度量衡单位，均须采用国家法定计量单位。</w:t>
      </w:r>
    </w:p>
    <w:p>
      <w:pPr>
        <w:pStyle w:val="12"/>
        <w:keepNext/>
        <w:keepLines/>
        <w:spacing w:beforeAutospacing="0" w:afterAutospacing="0" w:line="360" w:lineRule="auto"/>
        <w:ind w:firstLine="480" w:firstLineChars="200"/>
        <w:jc w:val="both"/>
        <w:rPr>
          <w:rFonts w:ascii="仿宋" w:hAnsi="仿宋" w:eastAsia="仿宋" w:cs="仿宋"/>
        </w:rPr>
      </w:pPr>
      <w:bookmarkStart w:id="74" w:name="_Toc16938531"/>
      <w:bookmarkStart w:id="75" w:name="_Toc20823287"/>
      <w:bookmarkStart w:id="76" w:name="_Toc513029215"/>
      <w:bookmarkStart w:id="77" w:name="_Toc462564074"/>
      <w:r>
        <w:rPr>
          <w:rFonts w:hint="eastAsia" w:ascii="仿宋" w:hAnsi="仿宋" w:eastAsia="仿宋" w:cs="仿宋"/>
          <w:color w:val="000000"/>
        </w:rPr>
        <w:t>10、投标文件构成</w:t>
      </w:r>
      <w:bookmarkEnd w:id="74"/>
      <w:bookmarkEnd w:id="75"/>
      <w:bookmarkEnd w:id="76"/>
      <w:bookmarkEnd w:id="77"/>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10.1投标人编写的投标文件应包括资格证明文件、符合性证明文件、投标分项报价表、技术要求响应及偏离表、商务要求响应及偏离表、其他证明文件、投标函、开标一览表等部分。</w:t>
      </w:r>
    </w:p>
    <w:p>
      <w:pPr>
        <w:pStyle w:val="12"/>
        <w:keepNext/>
        <w:keepLines/>
        <w:spacing w:beforeAutospacing="0" w:afterAutospacing="0" w:line="360" w:lineRule="auto"/>
        <w:ind w:firstLine="480" w:firstLineChars="200"/>
        <w:jc w:val="both"/>
        <w:rPr>
          <w:rFonts w:ascii="仿宋" w:hAnsi="仿宋" w:eastAsia="仿宋" w:cs="仿宋"/>
        </w:rPr>
      </w:pPr>
      <w:bookmarkStart w:id="78" w:name="_Toc49090507"/>
      <w:bookmarkStart w:id="79" w:name="_Toc513029216"/>
      <w:bookmarkStart w:id="80" w:name="_Toc14577357"/>
      <w:bookmarkStart w:id="81" w:name="_Toc14577354"/>
      <w:bookmarkStart w:id="82" w:name="_Toc49090509"/>
      <w:bookmarkStart w:id="83" w:name="_Toc513029219"/>
      <w:bookmarkStart w:id="84" w:name="_Hlt26668975"/>
      <w:bookmarkStart w:id="85" w:name="_Hlt26954838"/>
      <w:bookmarkStart w:id="86" w:name="_Hlt26670360"/>
      <w:r>
        <w:rPr>
          <w:rFonts w:hint="eastAsia" w:ascii="仿宋" w:hAnsi="仿宋" w:eastAsia="仿宋" w:cs="仿宋"/>
          <w:color w:val="000000"/>
        </w:rPr>
        <w:t>11、证明投标人及投标标的符合招标文件规定的文件</w:t>
      </w:r>
      <w:bookmarkEnd w:id="78"/>
      <w:bookmarkEnd w:id="79"/>
      <w:bookmarkEnd w:id="80"/>
      <w:bookmarkEnd w:id="81"/>
      <w:bookmarkEnd w:id="82"/>
      <w:bookmarkEnd w:id="83"/>
    </w:p>
    <w:p>
      <w:pPr>
        <w:pStyle w:val="12"/>
        <w:spacing w:beforeAutospacing="0" w:afterAutospacing="0" w:line="360" w:lineRule="auto"/>
        <w:ind w:firstLine="480" w:firstLineChars="200"/>
        <w:jc w:val="both"/>
        <w:rPr>
          <w:rFonts w:ascii="仿宋" w:hAnsi="仿宋" w:eastAsia="仿宋" w:cs="仿宋"/>
        </w:rPr>
      </w:pPr>
      <w:bookmarkStart w:id="87" w:name="_Toc14577355"/>
      <w:bookmarkStart w:id="88" w:name="_Toc49090508"/>
      <w:r>
        <w:rPr>
          <w:rFonts w:hint="eastAsia" w:ascii="仿宋" w:hAnsi="仿宋" w:eastAsia="仿宋" w:cs="仿宋"/>
          <w:color w:val="000000"/>
        </w:rPr>
        <w:t>11.1投标人应按照法律、法规、规章和规范性文件以及招标文件要求提交证明文件，证明其及投标标的符合招标文件规定。</w:t>
      </w:r>
      <w:bookmarkEnd w:id="87"/>
      <w:bookmarkEnd w:id="88"/>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11.2招标文件对证明文件无明确形式要求的，证明文件可以以文字资料、图纸和数据等形式提交。</w:t>
      </w:r>
    </w:p>
    <w:p>
      <w:pPr>
        <w:pStyle w:val="12"/>
        <w:keepNext/>
        <w:keepLines/>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12、投标分项报价</w:t>
      </w:r>
      <w:bookmarkStart w:id="89" w:name="_Hlt26670373"/>
      <w:r>
        <w:rPr>
          <w:rFonts w:hint="eastAsia" w:ascii="仿宋" w:hAnsi="仿宋" w:eastAsia="仿宋" w:cs="仿宋"/>
          <w:color w:val="000000"/>
        </w:rPr>
        <w:t>表</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12.1投</w:t>
      </w:r>
      <w:bookmarkStart w:id="90" w:name="_Hlt26954840"/>
      <w:r>
        <w:rPr>
          <w:rFonts w:hint="eastAsia" w:ascii="仿宋" w:hAnsi="仿宋" w:eastAsia="仿宋" w:cs="仿宋"/>
          <w:color w:val="000000"/>
        </w:rPr>
        <w:t>标人应按照招标文件规定格式填报投标分项报价表</w:t>
      </w:r>
      <w:bookmarkStart w:id="91" w:name="_Hlt26670399"/>
      <w:r>
        <w:rPr>
          <w:rFonts w:hint="eastAsia" w:ascii="仿宋" w:hAnsi="仿宋" w:eastAsia="仿宋" w:cs="仿宋"/>
          <w:color w:val="000000"/>
        </w:rPr>
        <w:t>。</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12.2投标货币。投标文件中的单价和总价无特殊规定的采用人民币报价，以元为单位标注。招标文件中另有规定的按规定执行。</w:t>
      </w:r>
    </w:p>
    <w:p>
      <w:pPr>
        <w:pStyle w:val="12"/>
        <w:keepNext/>
        <w:keepLines/>
        <w:spacing w:beforeAutospacing="0" w:afterAutospacing="0" w:line="360" w:lineRule="auto"/>
        <w:ind w:firstLine="480" w:firstLineChars="200"/>
        <w:jc w:val="both"/>
        <w:rPr>
          <w:rFonts w:ascii="仿宋" w:hAnsi="仿宋" w:eastAsia="仿宋" w:cs="仿宋"/>
        </w:rPr>
      </w:pPr>
      <w:bookmarkStart w:id="92" w:name="_Hlt26954846"/>
      <w:bookmarkStart w:id="93" w:name="_Hlt26954842"/>
      <w:bookmarkStart w:id="94" w:name="_Hlt26670403"/>
      <w:bookmarkStart w:id="95" w:name="_Hlt26670486"/>
      <w:bookmarkStart w:id="96" w:name="_Hlt26954731"/>
      <w:bookmarkStart w:id="97" w:name="_Hlt26670482"/>
      <w:bookmarkStart w:id="98" w:name="_Hlt26954848"/>
      <w:bookmarkStart w:id="99" w:name="_Hlt26670425"/>
      <w:bookmarkStart w:id="100" w:name="_Hlt26668983"/>
      <w:bookmarkStart w:id="101" w:name="_Hlt26954844"/>
      <w:r>
        <w:rPr>
          <w:rFonts w:hint="eastAsia" w:ascii="仿宋" w:hAnsi="仿宋" w:eastAsia="仿宋" w:cs="仿宋"/>
          <w:color w:val="000000"/>
        </w:rPr>
        <w:t>13、技术要求响应及偏离表、商务要求响应及偏离表</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13.1投标人需对招标文件中的技术要求与商务要求逐项作出响应或偏离，并说明原因。</w:t>
      </w:r>
    </w:p>
    <w:p>
      <w:pPr>
        <w:pStyle w:val="12"/>
        <w:tabs>
          <w:tab w:val="left" w:pos="1036"/>
        </w:tabs>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13.2投标人可在投标文件中提供认为需要的其他技术文件或说明。</w:t>
      </w:r>
    </w:p>
    <w:p>
      <w:pPr>
        <w:pStyle w:val="12"/>
        <w:keepNext/>
        <w:keepLines/>
        <w:spacing w:beforeAutospacing="0" w:afterAutospacing="0" w:line="360" w:lineRule="auto"/>
        <w:ind w:firstLine="480" w:firstLineChars="200"/>
        <w:jc w:val="both"/>
        <w:rPr>
          <w:rFonts w:ascii="仿宋" w:hAnsi="仿宋" w:eastAsia="仿宋" w:cs="仿宋"/>
        </w:rPr>
      </w:pPr>
      <w:bookmarkStart w:id="102" w:name="_Toc14577359"/>
      <w:bookmarkStart w:id="103" w:name="_Toc49090510"/>
      <w:r>
        <w:rPr>
          <w:rFonts w:hint="eastAsia" w:ascii="仿宋" w:hAnsi="仿宋" w:eastAsia="仿宋" w:cs="仿宋"/>
          <w:color w:val="000000"/>
        </w:rPr>
        <w:t>14、投标函和开标一览表</w:t>
      </w:r>
      <w:bookmarkEnd w:id="102"/>
      <w:bookmarkEnd w:id="103"/>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14.1投标人应按照招标文件中提供的格式完整、正确填写投标函、开标一览表。</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14.2对于采用货币报价的项目，开标一览表中的投标总报价应与投标分项报价表中的投标总报价一致，如不一致，不作为无效投标处理，但评标时按开标一览表中价格为准</w:t>
      </w:r>
      <w:r>
        <w:rPr>
          <w:rFonts w:hint="eastAsia" w:ascii="仿宋" w:hAnsi="仿宋" w:eastAsia="仿宋" w:cs="仿宋"/>
          <w:b/>
          <w:color w:val="000000"/>
        </w:rPr>
        <w:t>。</w:t>
      </w:r>
    </w:p>
    <w:p>
      <w:pPr>
        <w:pStyle w:val="12"/>
        <w:keepNext/>
        <w:keepLines/>
        <w:spacing w:beforeAutospacing="0" w:afterAutospacing="0" w:line="360" w:lineRule="auto"/>
        <w:ind w:firstLine="480" w:firstLineChars="200"/>
        <w:jc w:val="both"/>
        <w:rPr>
          <w:rFonts w:ascii="仿宋" w:hAnsi="仿宋" w:eastAsia="仿宋" w:cs="仿宋"/>
        </w:rPr>
      </w:pPr>
      <w:bookmarkStart w:id="104" w:name="_Toc14577360"/>
      <w:bookmarkStart w:id="105" w:name="_Toc49090511"/>
      <w:bookmarkStart w:id="106" w:name="_Hlt26670489"/>
      <w:bookmarkStart w:id="107" w:name="_Hlt26954850"/>
      <w:bookmarkStart w:id="108" w:name="_Hlt26954734"/>
      <w:r>
        <w:rPr>
          <w:rFonts w:hint="eastAsia" w:ascii="仿宋" w:hAnsi="仿宋" w:eastAsia="仿宋" w:cs="仿宋"/>
          <w:color w:val="000000"/>
        </w:rPr>
        <w:t>15、投标有效期</w:t>
      </w:r>
      <w:bookmarkEnd w:id="104"/>
      <w:bookmarkEnd w:id="105"/>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15.1投标有效期为采购人规定的开标之日后</w:t>
      </w:r>
      <w:r>
        <w:rPr>
          <w:rFonts w:hint="eastAsia" w:ascii="仿宋" w:hAnsi="仿宋" w:eastAsia="仿宋" w:cs="仿宋"/>
          <w:b/>
          <w:color w:val="000000"/>
          <w:u w:val="single"/>
        </w:rPr>
        <w:t>六十（60）天</w:t>
      </w:r>
      <w:r>
        <w:rPr>
          <w:rFonts w:hint="eastAsia" w:ascii="仿宋" w:hAnsi="仿宋" w:eastAsia="仿宋" w:cs="仿宋"/>
          <w:color w:val="000000"/>
        </w:rPr>
        <w:t>。投标有效期比规定短的将被视为未实质性响应招标文件而予以拒绝。</w:t>
      </w:r>
    </w:p>
    <w:p>
      <w:pPr>
        <w:pStyle w:val="12"/>
        <w:keepNext/>
        <w:keepLines/>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16、投标有效期的延长</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16.1在特殊情况下，采购人于原投标有效期满之前，可向投标人提出延长投标有效期的要求。这种要求与答复均应采用书面形式。投标人可以拒绝采购人的这一要求而放弃投标。同意延长投标有效期的投标人既不能要求也不允许修改其投标文件，同时受投标有效期约束的所有权利与义务均延长至新的有效期。</w:t>
      </w:r>
    </w:p>
    <w:p>
      <w:pPr>
        <w:pStyle w:val="12"/>
        <w:keepNext/>
        <w:keepLines/>
        <w:spacing w:beforeAutospacing="0" w:afterAutospacing="0" w:line="360" w:lineRule="auto"/>
        <w:ind w:firstLine="482" w:firstLineChars="200"/>
        <w:jc w:val="both"/>
        <w:rPr>
          <w:rFonts w:ascii="仿宋" w:hAnsi="仿宋" w:eastAsia="仿宋" w:cs="仿宋"/>
        </w:rPr>
      </w:pPr>
      <w:bookmarkStart w:id="109" w:name="_Toc120614217"/>
      <w:bookmarkStart w:id="110" w:name="_Toc513029224"/>
      <w:bookmarkStart w:id="111" w:name="_Toc16938540"/>
      <w:bookmarkStart w:id="112" w:name="_Toc20823296"/>
      <w:bookmarkStart w:id="113" w:name="_Hlt26954852"/>
      <w:bookmarkStart w:id="114" w:name="_Hlt26954739"/>
      <w:r>
        <w:rPr>
          <w:rFonts w:hint="eastAsia" w:ascii="仿宋" w:hAnsi="仿宋" w:eastAsia="仿宋" w:cs="仿宋"/>
          <w:b/>
          <w:color w:val="000000"/>
        </w:rPr>
        <w:t>四、投标文件的递交</w:t>
      </w:r>
      <w:bookmarkEnd w:id="109"/>
      <w:bookmarkEnd w:id="110"/>
      <w:bookmarkEnd w:id="111"/>
      <w:bookmarkEnd w:id="112"/>
    </w:p>
    <w:p>
      <w:pPr>
        <w:pStyle w:val="12"/>
        <w:keepNext/>
        <w:keepLines/>
        <w:spacing w:beforeAutospacing="0" w:afterAutospacing="0" w:line="360" w:lineRule="auto"/>
        <w:ind w:firstLine="480" w:firstLineChars="200"/>
        <w:jc w:val="both"/>
        <w:rPr>
          <w:rFonts w:ascii="仿宋" w:hAnsi="仿宋" w:eastAsia="仿宋" w:cs="仿宋"/>
        </w:rPr>
      </w:pPr>
      <w:bookmarkStart w:id="115" w:name="_Toc20823297"/>
      <w:bookmarkStart w:id="116" w:name="_Toc513029225"/>
      <w:bookmarkStart w:id="117" w:name="_Toc16938541"/>
      <w:bookmarkStart w:id="118" w:name="_Toc462564084"/>
      <w:r>
        <w:rPr>
          <w:rFonts w:hint="eastAsia" w:ascii="仿宋" w:hAnsi="仿宋" w:eastAsia="仿宋" w:cs="仿宋"/>
          <w:color w:val="000000"/>
        </w:rPr>
        <w:t>17、投标文件</w:t>
      </w:r>
      <w:bookmarkEnd w:id="115"/>
      <w:bookmarkEnd w:id="116"/>
      <w:bookmarkEnd w:id="117"/>
      <w:bookmarkEnd w:id="118"/>
      <w:r>
        <w:rPr>
          <w:rFonts w:hint="eastAsia" w:ascii="仿宋" w:hAnsi="仿宋" w:eastAsia="仿宋" w:cs="仿宋"/>
          <w:color w:val="000000"/>
        </w:rPr>
        <w:t>的递交</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17.1 投标文件的递交</w:t>
      </w:r>
    </w:p>
    <w:p>
      <w:pPr>
        <w:pStyle w:val="12"/>
        <w:spacing w:beforeAutospacing="0" w:afterAutospacing="0" w:line="360" w:lineRule="auto"/>
        <w:ind w:firstLine="480" w:firstLineChars="200"/>
        <w:jc w:val="both"/>
        <w:rPr>
          <w:rFonts w:hint="eastAsia" w:ascii="仿宋" w:hAnsi="仿宋" w:eastAsia="仿宋" w:cs="仿宋"/>
          <w:color w:val="000000"/>
          <w:lang w:eastAsia="zh-CN"/>
        </w:rPr>
      </w:pPr>
      <w:r>
        <w:rPr>
          <w:rFonts w:hint="eastAsia" w:ascii="仿宋" w:hAnsi="仿宋" w:eastAsia="仿宋" w:cs="仿宋"/>
          <w:color w:val="000000"/>
        </w:rPr>
        <w:t>投标人应当按照招标文件规定，在投标截止时间前制作并递交投标文件</w:t>
      </w:r>
      <w:r>
        <w:rPr>
          <w:rFonts w:hint="eastAsia" w:ascii="仿宋" w:hAnsi="仿宋" w:eastAsia="仿宋" w:cs="仿宋"/>
          <w:color w:val="000000"/>
          <w:lang w:eastAsia="zh-CN"/>
        </w:rPr>
        <w:t>。</w:t>
      </w:r>
    </w:p>
    <w:p>
      <w:pPr>
        <w:pStyle w:val="12"/>
        <w:spacing w:beforeAutospacing="0" w:afterAutospacing="0" w:line="360" w:lineRule="auto"/>
        <w:ind w:firstLine="480" w:firstLineChars="200"/>
        <w:jc w:val="both"/>
        <w:rPr>
          <w:rFonts w:hint="eastAsia" w:ascii="仿宋" w:hAnsi="仿宋" w:eastAsia="仿宋" w:cs="仿宋"/>
          <w:color w:val="000000"/>
          <w:lang w:val="en-US" w:eastAsia="zh-CN"/>
        </w:rPr>
      </w:pPr>
      <w:r>
        <w:rPr>
          <w:rFonts w:hint="eastAsia" w:ascii="仿宋" w:hAnsi="仿宋" w:eastAsia="仿宋" w:cs="仿宋"/>
          <w:color w:val="000000"/>
          <w:lang w:val="en-US" w:eastAsia="zh-CN"/>
        </w:rPr>
        <w:t>17.2投标文件的份数和签署</w:t>
      </w:r>
      <w:bookmarkStart w:id="119" w:name="_Toc513029226"/>
    </w:p>
    <w:p>
      <w:pPr>
        <w:pStyle w:val="12"/>
        <w:spacing w:beforeAutospacing="0" w:afterAutospacing="0" w:line="360" w:lineRule="auto"/>
        <w:ind w:firstLine="480" w:firstLineChars="200"/>
        <w:jc w:val="both"/>
        <w:rPr>
          <w:rFonts w:hint="eastAsia" w:ascii="仿宋" w:hAnsi="仿宋" w:eastAsia="仿宋" w:cs="仿宋"/>
          <w:color w:val="000000"/>
          <w:lang w:val="en-US" w:eastAsia="zh-CN"/>
        </w:rPr>
      </w:pPr>
      <w:r>
        <w:rPr>
          <w:rFonts w:hint="eastAsia" w:ascii="仿宋" w:hAnsi="仿宋" w:eastAsia="仿宋" w:cs="仿宋"/>
          <w:color w:val="000000"/>
          <w:lang w:val="en-US" w:eastAsia="zh-CN"/>
        </w:rPr>
        <w:t>17.2.1投标人应按本招标文件规定的格式和顺序编制、装订投标文件并标注页码，投标文件内容不完整、编排混乱导致投标文件被误读、漏读或者查找不到相关内容的，是投标人的责任。</w:t>
      </w:r>
    </w:p>
    <w:p>
      <w:pPr>
        <w:pStyle w:val="12"/>
        <w:spacing w:beforeAutospacing="0" w:afterAutospacing="0" w:line="360" w:lineRule="auto"/>
        <w:ind w:firstLine="480" w:firstLineChars="200"/>
        <w:jc w:val="both"/>
        <w:rPr>
          <w:rFonts w:hint="eastAsia" w:ascii="仿宋" w:hAnsi="仿宋" w:eastAsia="仿宋" w:cs="仿宋"/>
          <w:color w:val="000000"/>
          <w:lang w:val="en-US" w:eastAsia="zh-CN"/>
        </w:rPr>
      </w:pPr>
      <w:r>
        <w:rPr>
          <w:rFonts w:hint="eastAsia" w:ascii="仿宋" w:hAnsi="仿宋" w:eastAsia="仿宋" w:cs="仿宋"/>
          <w:color w:val="000000"/>
          <w:lang w:val="en-US" w:eastAsia="zh-CN"/>
        </w:rPr>
        <w:t>17.2.2投标人应将投标文件正本1份，副本4份（电子文件1套（为投标文件正本加盖公章的扫描件，格式应为PDF/DWG/JPG，存入光盘或U盘，电子版文件直接密封入投标文件封袋内无需单独密封））分别编制并单独装订成册，并编制目录，投标文件的封面应注明“正本”、“副本”字样。投标文件须采用胶装、热熔装订，活页装订的投标文件按无效投标文件处理。当副本和正本不一致时，以正本为准。</w:t>
      </w:r>
    </w:p>
    <w:p>
      <w:pPr>
        <w:pStyle w:val="12"/>
        <w:spacing w:beforeAutospacing="0" w:afterAutospacing="0" w:line="360" w:lineRule="auto"/>
        <w:ind w:firstLine="480" w:firstLineChars="200"/>
        <w:jc w:val="both"/>
        <w:rPr>
          <w:rFonts w:hint="eastAsia" w:ascii="仿宋" w:hAnsi="仿宋" w:eastAsia="仿宋" w:cs="仿宋"/>
          <w:color w:val="000000"/>
          <w:lang w:val="en-US" w:eastAsia="zh-CN"/>
        </w:rPr>
      </w:pPr>
      <w:r>
        <w:rPr>
          <w:rFonts w:hint="eastAsia" w:ascii="仿宋" w:hAnsi="仿宋" w:eastAsia="仿宋" w:cs="仿宋"/>
          <w:color w:val="000000"/>
          <w:lang w:val="en-US" w:eastAsia="zh-CN"/>
        </w:rPr>
        <w:t>17.2.3投标文件须由投标人在规定位置盖章并由法定代表人或法定代表人的授权委托人签署，投标人应写全称。</w:t>
      </w:r>
    </w:p>
    <w:p>
      <w:pPr>
        <w:pStyle w:val="12"/>
        <w:spacing w:beforeAutospacing="0" w:afterAutospacing="0" w:line="360" w:lineRule="auto"/>
        <w:ind w:firstLine="480" w:firstLineChars="200"/>
        <w:jc w:val="both"/>
        <w:rPr>
          <w:rFonts w:hint="eastAsia" w:ascii="仿宋" w:hAnsi="仿宋" w:eastAsia="仿宋" w:cs="仿宋"/>
          <w:color w:val="000000"/>
          <w:lang w:val="en-US" w:eastAsia="zh-CN"/>
        </w:rPr>
      </w:pPr>
      <w:r>
        <w:rPr>
          <w:rFonts w:hint="eastAsia" w:ascii="仿宋" w:hAnsi="仿宋" w:eastAsia="仿宋" w:cs="仿宋"/>
          <w:color w:val="000000"/>
          <w:lang w:val="en-US" w:eastAsia="zh-CN"/>
        </w:rPr>
        <w:t>17.2.4投标文件不得涂改，若有修改错漏处，须加盖单位公章或者法定代表人或授权委托人签字或盖章。投标文件因字迹潦草或表达不清所引起的后果由投标人负责。</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18、投标截止时间</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i/>
          <w:color w:val="000000"/>
          <w:u w:val="single"/>
        </w:rPr>
        <w:t>18.1投标人递交投标文件的时间不得迟于招标公告中规定的投标截止时间。</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投标人因非采购人的原因造成的投标文件递交不成功的按照本招标文件第二章第27.1.2条规定做无效投标处理。</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18.2采购人可以按照规定，通过修改招标文件酌情延长投标截止时间，在此情况下，投标人的所有权利和义务以及投标人受制的截止时间均应以延长后新的截止时间为准。</w:t>
      </w:r>
    </w:p>
    <w:p>
      <w:pPr>
        <w:pStyle w:val="12"/>
        <w:keepNext/>
        <w:keepLines/>
        <w:spacing w:beforeAutospacing="0" w:afterAutospacing="0" w:line="360" w:lineRule="auto"/>
        <w:ind w:firstLine="480" w:firstLineChars="200"/>
        <w:jc w:val="both"/>
        <w:rPr>
          <w:rFonts w:ascii="仿宋" w:hAnsi="仿宋" w:eastAsia="仿宋" w:cs="仿宋"/>
        </w:rPr>
      </w:pPr>
      <w:bookmarkStart w:id="120" w:name="_Toc16938543"/>
      <w:bookmarkStart w:id="121" w:name="_Toc20823299"/>
      <w:bookmarkStart w:id="122" w:name="_Toc513029227"/>
      <w:r>
        <w:rPr>
          <w:rFonts w:hint="eastAsia" w:ascii="仿宋" w:hAnsi="仿宋" w:eastAsia="仿宋" w:cs="仿宋"/>
          <w:color w:val="000000"/>
        </w:rPr>
        <w:t>19、投标文件</w:t>
      </w:r>
      <w:bookmarkEnd w:id="120"/>
      <w:bookmarkEnd w:id="121"/>
      <w:bookmarkEnd w:id="122"/>
      <w:r>
        <w:rPr>
          <w:rFonts w:hint="eastAsia" w:ascii="仿宋" w:hAnsi="仿宋" w:eastAsia="仿宋" w:cs="仿宋"/>
          <w:color w:val="000000"/>
        </w:rPr>
        <w:t>的拒收</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19.1采购人拒绝接收在其规定的投标截止时间后递交的任何投标文件。</w:t>
      </w:r>
    </w:p>
    <w:p>
      <w:pPr>
        <w:pStyle w:val="12"/>
        <w:keepNext/>
        <w:keepLines/>
        <w:spacing w:beforeAutospacing="0" w:afterAutospacing="0" w:line="360" w:lineRule="auto"/>
        <w:ind w:firstLine="480" w:firstLineChars="200"/>
        <w:jc w:val="both"/>
        <w:rPr>
          <w:rFonts w:ascii="仿宋" w:hAnsi="仿宋" w:eastAsia="仿宋" w:cs="仿宋"/>
        </w:rPr>
      </w:pPr>
      <w:bookmarkStart w:id="123" w:name="_Toc513029228"/>
      <w:bookmarkStart w:id="124" w:name="_Toc16938544"/>
      <w:bookmarkStart w:id="125" w:name="_Toc20823300"/>
      <w:r>
        <w:rPr>
          <w:rFonts w:hint="eastAsia" w:ascii="仿宋" w:hAnsi="仿宋" w:eastAsia="仿宋" w:cs="仿宋"/>
          <w:color w:val="000000"/>
        </w:rPr>
        <w:t>20、投标文件的撤回和修改</w:t>
      </w:r>
      <w:bookmarkEnd w:id="123"/>
      <w:bookmarkEnd w:id="124"/>
      <w:bookmarkEnd w:id="125"/>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20.1投标文件的撤回</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21.1.1投标文件的撤回</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投标人可在投标截止时间前，撤回投标文件。</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21.1.2投标人撤回投标文件，则认为其不再参与本项目投标活动。</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20.2 投标文件的修改</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20.2.1投标人可在投标截止时间前，对其投标文件进行修改。</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20.2.2在投标截止时间之后，投标人不得对其投标文件作任何修改。</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20.3在投标截止时间至招标文件中规定的投标有效期满之间的这段时间内，投标人不得撤回其投标。</w:t>
      </w:r>
    </w:p>
    <w:p>
      <w:pPr>
        <w:pStyle w:val="12"/>
        <w:keepNext/>
        <w:keepLines/>
        <w:spacing w:beforeAutospacing="0" w:afterAutospacing="0" w:line="360" w:lineRule="auto"/>
        <w:ind w:firstLine="482" w:firstLineChars="200"/>
        <w:jc w:val="both"/>
        <w:rPr>
          <w:rFonts w:ascii="仿宋" w:hAnsi="仿宋" w:eastAsia="仿宋" w:cs="仿宋"/>
        </w:rPr>
      </w:pPr>
      <w:bookmarkStart w:id="126" w:name="_Toc513029229"/>
      <w:bookmarkStart w:id="127" w:name="_Toc16938545"/>
      <w:bookmarkStart w:id="128" w:name="_Toc120614218"/>
      <w:bookmarkStart w:id="129" w:name="_Toc20823301"/>
      <w:r>
        <w:rPr>
          <w:rFonts w:hint="eastAsia" w:ascii="仿宋" w:hAnsi="仿宋" w:eastAsia="仿宋" w:cs="仿宋"/>
          <w:b/>
          <w:color w:val="000000"/>
        </w:rPr>
        <w:t>五、开标与评标</w:t>
      </w:r>
      <w:bookmarkEnd w:id="126"/>
      <w:bookmarkEnd w:id="127"/>
      <w:bookmarkEnd w:id="128"/>
      <w:bookmarkEnd w:id="129"/>
    </w:p>
    <w:p>
      <w:pPr>
        <w:pStyle w:val="12"/>
        <w:keepNext/>
        <w:keepLines/>
        <w:spacing w:beforeAutospacing="0" w:afterAutospacing="0" w:line="360" w:lineRule="auto"/>
        <w:ind w:firstLine="480" w:firstLineChars="200"/>
        <w:jc w:val="both"/>
        <w:rPr>
          <w:rFonts w:ascii="仿宋" w:hAnsi="仿宋" w:eastAsia="仿宋" w:cs="仿宋"/>
        </w:rPr>
      </w:pPr>
      <w:bookmarkStart w:id="130" w:name="_Toc20823302"/>
      <w:bookmarkStart w:id="131" w:name="_Toc16938546"/>
      <w:bookmarkStart w:id="132" w:name="_Toc513029230"/>
      <w:r>
        <w:rPr>
          <w:rFonts w:hint="eastAsia" w:ascii="仿宋" w:hAnsi="仿宋" w:eastAsia="仿宋" w:cs="仿宋"/>
          <w:color w:val="000000"/>
        </w:rPr>
        <w:t>21、开标</w:t>
      </w:r>
      <w:bookmarkEnd w:id="130"/>
      <w:bookmarkEnd w:id="131"/>
      <w:bookmarkEnd w:id="132"/>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21.1采购人将在招标公告中规定的时间和地点组织公开开标。投标人应当按照招标文件规定，参加开标活动。</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21.2开标仪式由采购人组织，并宣布各投标人名称和投标价格。</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21.3投标人如果对开标过程和开标记录有疑义，应当在开标时提出，如未提出的，视同认可开标结果。</w:t>
      </w:r>
    </w:p>
    <w:p>
      <w:pPr>
        <w:pStyle w:val="12"/>
        <w:keepNext/>
        <w:keepLines/>
        <w:spacing w:beforeAutospacing="0" w:afterAutospacing="0" w:line="360" w:lineRule="auto"/>
        <w:ind w:firstLine="480" w:firstLineChars="200"/>
        <w:jc w:val="both"/>
        <w:rPr>
          <w:rFonts w:ascii="仿宋" w:hAnsi="仿宋" w:eastAsia="仿宋" w:cs="仿宋"/>
        </w:rPr>
      </w:pPr>
      <w:bookmarkStart w:id="133" w:name="_Toc20823303"/>
      <w:bookmarkStart w:id="134" w:name="_Toc16938547"/>
      <w:bookmarkStart w:id="135" w:name="_Toc513029231"/>
      <w:r>
        <w:rPr>
          <w:rFonts w:hint="eastAsia" w:ascii="仿宋" w:hAnsi="仿宋" w:eastAsia="仿宋" w:cs="仿宋"/>
          <w:color w:val="000000"/>
        </w:rPr>
        <w:t>22、评标委员会</w:t>
      </w:r>
      <w:bookmarkEnd w:id="133"/>
      <w:bookmarkEnd w:id="134"/>
      <w:bookmarkEnd w:id="135"/>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22.1开标后，采购人将立即组织评标委员会（以下简称评委会）进行评标。</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22.2评委会由采购人代表和有关技术、经济等方面的专家组成，且人员构成符合政府采购有关规定。</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22.3评委会独立工作，负责评审所有投标文件并确定中标侯选人。</w:t>
      </w:r>
    </w:p>
    <w:p>
      <w:pPr>
        <w:pStyle w:val="12"/>
        <w:keepNext/>
        <w:keepLines/>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23、评标过程的保密与公正</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23.1凡是与审查、澄清、评价和比较投标的有关资料以及授标建议等，采购人、评委、采购代理机构均不得向投标人或与评标无关的其他人员透露。</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23.2在评标过程中，投标人不得以任何行为影响评标过程，否则其投标文件将被作为无效投标文件。</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23.3采购人和评标委员会不向未中标的投标人解释未中标原因，也不公布评标过程中的相关细节。</w:t>
      </w:r>
    </w:p>
    <w:p>
      <w:pPr>
        <w:pStyle w:val="12"/>
        <w:keepNext/>
        <w:keepLines/>
        <w:spacing w:beforeAutospacing="0" w:afterAutospacing="0" w:line="360" w:lineRule="auto"/>
        <w:ind w:firstLine="480" w:firstLineChars="200"/>
        <w:jc w:val="both"/>
        <w:rPr>
          <w:rFonts w:ascii="仿宋" w:hAnsi="仿宋" w:eastAsia="仿宋" w:cs="仿宋"/>
        </w:rPr>
      </w:pPr>
      <w:bookmarkStart w:id="136" w:name="_Toc20823304"/>
      <w:bookmarkStart w:id="137" w:name="_Toc16938548"/>
      <w:bookmarkStart w:id="138" w:name="_Toc513029232"/>
      <w:r>
        <w:rPr>
          <w:rFonts w:hint="eastAsia" w:ascii="仿宋" w:hAnsi="仿宋" w:eastAsia="仿宋" w:cs="仿宋"/>
          <w:color w:val="000000"/>
        </w:rPr>
        <w:t>24、投标文件的澄清</w:t>
      </w:r>
      <w:bookmarkEnd w:id="136"/>
      <w:bookmarkEnd w:id="137"/>
      <w:bookmarkEnd w:id="138"/>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24.1评标期间，评委会对投标文件中含义不明确、同类问题表述不一致或者有明显文字和计算错误的内容 ，有权要求投标人作出必要的澄清、说明或者补正。</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投标人的澄清、说明或者补正不得超出投标文件的范围或者改变投标文件的实质性内容。</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评标委员会并非对每个投标人都做澄清要求。</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24.2需要供应商进行澄清、说明和补正的，评委会将通</w:t>
      </w:r>
      <w:r>
        <w:rPr>
          <w:rFonts w:hint="eastAsia" w:ascii="仿宋" w:hAnsi="仿宋" w:eastAsia="仿宋" w:cs="仿宋"/>
        </w:rPr>
        <w:t>过书面形式向</w:t>
      </w:r>
      <w:r>
        <w:rPr>
          <w:rFonts w:hint="eastAsia" w:ascii="仿宋" w:hAnsi="仿宋" w:eastAsia="仿宋" w:cs="仿宋"/>
          <w:color w:val="000000"/>
        </w:rPr>
        <w:t>供应商发出“澄清要求函”，接到“澄清要求函”的投标人应当按照要求提交“澄清响应函”并加盖投标人公章。澄清、说明和补正的内容作为投标文件的补充部分。</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24.3接到评委会澄清、说明和补正要求的投标人如未按规定做出澄清、说明和补正，其风险由投标人自行承担。</w:t>
      </w:r>
    </w:p>
    <w:p>
      <w:pPr>
        <w:pStyle w:val="12"/>
        <w:keepNext/>
        <w:keepLines/>
        <w:spacing w:beforeAutospacing="0" w:afterAutospacing="0" w:line="360" w:lineRule="auto"/>
        <w:ind w:firstLine="480" w:firstLineChars="200"/>
        <w:jc w:val="both"/>
        <w:rPr>
          <w:rFonts w:ascii="仿宋" w:hAnsi="仿宋" w:eastAsia="仿宋" w:cs="仿宋"/>
        </w:rPr>
      </w:pPr>
      <w:bookmarkStart w:id="139" w:name="_Toc16938549"/>
      <w:bookmarkStart w:id="140" w:name="_Toc20823305"/>
      <w:bookmarkStart w:id="141" w:name="_Toc513029233"/>
      <w:r>
        <w:rPr>
          <w:rFonts w:hint="eastAsia" w:ascii="仿宋" w:hAnsi="仿宋" w:eastAsia="仿宋" w:cs="仿宋"/>
          <w:color w:val="000000"/>
        </w:rPr>
        <w:t>25、对投标文件的初审</w:t>
      </w:r>
      <w:bookmarkEnd w:id="139"/>
      <w:bookmarkEnd w:id="140"/>
      <w:bookmarkEnd w:id="141"/>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25.1投标文件初审分为资格审查和符合性审查。</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25.1.1资格审查：依据法律法规和招标文件的规定，由采购人对投标文件中的资格证明文件进行审查。资格审查的结论，采购人以书面形式向评委会进行反馈。</w:t>
      </w:r>
    </w:p>
    <w:p>
      <w:pPr>
        <w:pStyle w:val="12"/>
        <w:wordWrap w:val="0"/>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采购人在进行资格性审查的同时，将在“信用中国”网站（www.creditchina.gov.cn）查询投标人的信用记录，以确定投标人是否具备投标资格,查询结果留存并归档。</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接受联合体的项目，两个以上的自然人、法人或者其他组织组成一个联合体，以一个供应商的身份共同参加政府采购活动的,联合体成员存在不良信用记录的，视同联合体存在不良应用记录。</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25.1.2符合性审查：依据招标文件的规定，由评委会从投标文件的有效性、完整性和对招标文件的响应程度进行审查，以确定是否对招标文件的实质性要求作出响应。</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25.1.3未通过资格审查或符合性审查的投标人，采购人告知其未通过资格审查或符合性审查的原因，评标结束后，采购人将不再告知未通过资格审查和符合性审查的原因。</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25.2在详细评标之前，评委会将首先审查每份投标文件是否实质性响应了招标文件的要求。实质性响应的投标应该是与招标文件要求的全部条款、条件和规格相符，没有重大偏离或保留的投标。</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所谓重大偏离或保留是指与招标文件规定的实质性要求存在负偏离，或者在实质上与招标文件不一致，而且限制了合同中买方和采购人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25.3如果投标文件实质上没有响应招标文件的要求，评委会将予以拒绝，投标人不得通过修改或撤销不合要求的偏离或保留而使其投标成为实质性响应的投标。</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25.4评委会将对确定为实质性响应的投标进行进一步审核，确定其是否有计算上或累加上的算术错误，修正错误的原则如下：</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（1）投标文件中开标一览表内容与投标文件中相应内容不一致的，以开标一览表为准。</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（2）大写金额和小写金额不一致的，以大写金额为准。</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（3）单价金额小数点或者百分比有明显错位的，以开标一览表的总价为准，并修改单价。</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（4）总价金额与按单价汇总金额不一致的，以单价金额计算结果为准。</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同时出现两种以上错误的，按照前款规定的顺序修正。</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25.5评委会将按上述修正错误的方法调整投标文件中的投标报价，并告知投标人，调整后的价格应对投标人具有约束力。如果投标人不接受修正后的价格，则其投标将被拒绝。</w:t>
      </w:r>
    </w:p>
    <w:p>
      <w:pPr>
        <w:pStyle w:val="12"/>
        <w:spacing w:beforeAutospacing="0" w:afterAutospacing="0" w:line="360" w:lineRule="auto"/>
        <w:ind w:firstLine="480" w:firstLineChars="200"/>
        <w:jc w:val="both"/>
        <w:rPr>
          <w:rFonts w:ascii="仿宋" w:hAnsi="仿宋" w:eastAsia="仿宋" w:cs="仿宋"/>
        </w:rPr>
      </w:pPr>
      <w:bookmarkStart w:id="142" w:name="_Toc20823306"/>
      <w:bookmarkStart w:id="143" w:name="_Toc16938550"/>
      <w:bookmarkStart w:id="144" w:name="_Toc513029234"/>
      <w:r>
        <w:rPr>
          <w:rFonts w:hint="eastAsia" w:ascii="仿宋" w:hAnsi="仿宋" w:eastAsia="仿宋" w:cs="仿宋"/>
          <w:color w:val="000000"/>
        </w:rPr>
        <w:t>25.6投标人在开、评标全过程中应保持通讯畅通，及时查阅、答复相关信息，并安排专人与采购人及评标委员会联系。</w:t>
      </w:r>
      <w:bookmarkEnd w:id="142"/>
      <w:bookmarkEnd w:id="143"/>
      <w:bookmarkEnd w:id="144"/>
    </w:p>
    <w:p>
      <w:pPr>
        <w:pStyle w:val="12"/>
        <w:keepNext/>
        <w:keepLines/>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26、无效投标条款和废标条款</w:t>
      </w:r>
    </w:p>
    <w:p>
      <w:pPr>
        <w:pStyle w:val="12"/>
        <w:spacing w:beforeAutospacing="0" w:afterAutospacing="0" w:line="360" w:lineRule="auto"/>
        <w:ind w:firstLine="480" w:firstLineChars="200"/>
        <w:jc w:val="both"/>
        <w:rPr>
          <w:rFonts w:ascii="仿宋" w:hAnsi="仿宋" w:eastAsia="仿宋" w:cs="仿宋"/>
        </w:rPr>
      </w:pPr>
      <w:bookmarkStart w:id="145" w:name="_Toc513029235"/>
      <w:bookmarkStart w:id="146" w:name="_Toc16938551"/>
      <w:bookmarkStart w:id="147" w:name="_Toc20823307"/>
      <w:r>
        <w:rPr>
          <w:rFonts w:hint="eastAsia" w:ascii="仿宋" w:hAnsi="仿宋" w:eastAsia="仿宋" w:cs="仿宋"/>
          <w:color w:val="000000"/>
        </w:rPr>
        <w:t>26.1无效投标条款</w:t>
      </w:r>
      <w:bookmarkEnd w:id="145"/>
      <w:bookmarkEnd w:id="146"/>
      <w:bookmarkEnd w:id="147"/>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26.1.1投标人在招标文件规定的时间内未成功递交投标文件的。</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26.1.2投标人未按照招标文件要求递交投标文件的。</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26.1.3同一投标人提交两个（含两个）以上不同的投标报价的。</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26.1.4投标人不具备招标文件中规定资格要求的。</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26.1.5投标人的报价超过了采购预算或最高限价的。</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26.1.6未通过符合性审查的。</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26.1.7不符合招标文件中规定的实质性要求和条件的（</w:t>
      </w:r>
      <w:r>
        <w:rPr>
          <w:rFonts w:hint="eastAsia" w:ascii="仿宋" w:hAnsi="仿宋" w:eastAsia="仿宋" w:cs="仿宋"/>
          <w:i/>
          <w:color w:val="000000"/>
          <w:u w:val="single"/>
        </w:rPr>
        <w:t>本招标文件中斜体且有下划线部分为实质性要求和条件）。</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26.1.8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26.1.9投标文件含有采购人不能接受的附加条件的。</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26.1.10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26.1.11投标文件未按照招标文件要求加盖投标人公章的。</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27.1.12 组成联合体投标未提供联合体各方共同投标协议的。</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27.1.13在同一招标项目中，联合体成员以自己名义单独投标或者参加其他联合体投标的。</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27.1.14未按招标文件要求提供投标保证金的。</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27.1.15被授权人或项目负责人未按照本招标文件约定的要求提供养老保险缴费记录证明的。</w:t>
      </w:r>
    </w:p>
    <w:p>
      <w:pPr>
        <w:pStyle w:val="12"/>
        <w:spacing w:beforeAutospacing="0" w:afterAutospacing="0" w:line="360" w:lineRule="auto"/>
        <w:ind w:firstLine="480" w:firstLineChars="200"/>
        <w:jc w:val="both"/>
        <w:rPr>
          <w:rFonts w:hint="eastAsia" w:ascii="仿宋" w:hAnsi="仿宋" w:eastAsia="仿宋" w:cs="仿宋"/>
          <w:color w:val="000000"/>
        </w:rPr>
      </w:pPr>
      <w:r>
        <w:rPr>
          <w:rFonts w:hint="eastAsia" w:ascii="仿宋" w:hAnsi="仿宋" w:eastAsia="仿宋" w:cs="仿宋"/>
          <w:color w:val="000000"/>
        </w:rPr>
        <w:t>27.1.16未按招标文件规定的格式填写，未按投标文件编制要求编写，内容不全或关键字迹模糊、无法辨认的。</w:t>
      </w:r>
    </w:p>
    <w:p>
      <w:pPr>
        <w:pStyle w:val="12"/>
        <w:spacing w:beforeAutospacing="0" w:afterAutospacing="0" w:line="360" w:lineRule="auto"/>
        <w:ind w:firstLine="480" w:firstLineChars="200"/>
        <w:jc w:val="both"/>
        <w:rPr>
          <w:rFonts w:hint="default" w:ascii="仿宋" w:hAnsi="仿宋" w:eastAsia="仿宋" w:cs="仿宋"/>
          <w:color w:val="000000"/>
          <w:lang w:val="en-US" w:eastAsia="zh-CN"/>
        </w:rPr>
      </w:pPr>
      <w:r>
        <w:rPr>
          <w:rFonts w:hint="eastAsia" w:ascii="仿宋" w:hAnsi="仿宋" w:eastAsia="仿宋" w:cs="仿宋"/>
          <w:color w:val="000000"/>
          <w:lang w:val="en-US" w:eastAsia="zh-CN"/>
        </w:rPr>
        <w:t>27.1.17未提供“第四章 采购需求“本项目不接受因环境监测子站运维工作受到环保主管部门通报批评或处罚的供应商参与投标，投标文件中提供承诺函（加盖公章，格式自拟）””要求的承诺函的。</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27.1.1</w:t>
      </w:r>
      <w:r>
        <w:rPr>
          <w:rFonts w:hint="eastAsia" w:ascii="仿宋" w:hAnsi="仿宋" w:eastAsia="仿宋" w:cs="仿宋"/>
          <w:color w:val="000000"/>
          <w:lang w:val="en-US" w:eastAsia="zh-CN"/>
        </w:rPr>
        <w:t>8</w:t>
      </w:r>
      <w:r>
        <w:rPr>
          <w:rFonts w:hint="eastAsia" w:ascii="仿宋" w:hAnsi="仿宋" w:eastAsia="仿宋" w:cs="仿宋"/>
          <w:color w:val="000000"/>
        </w:rPr>
        <w:t>其他法律、法规及本招标文件规定的属无效投标的情形。</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26.2废标条款</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26.2.1符合专业条件的供应商或者对招标文件作实质响应的供应商不足三家的。26.2.2出现影响采购公正的违法、违规行为的。</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26.2.3因重大变故，采购任务取消的。</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26.2.4评标委员会认定招标文件存在歧义、重大缺陷导致评审工作无法进行。</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26.3 投标截止时间结束后参加投标的供应商不足三家的处理：</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26.3.1如出现投标截止时间结束后参加投标的供应商或者在评标期间对招标文件做出实质响应的供应商不足三家情况，按政府采购相关规定执行。</w:t>
      </w:r>
    </w:p>
    <w:p>
      <w:pPr>
        <w:pStyle w:val="12"/>
        <w:keepNext/>
        <w:keepLines/>
        <w:spacing w:beforeAutospacing="0" w:afterAutospacing="0" w:line="360" w:lineRule="auto"/>
        <w:ind w:firstLine="482" w:firstLineChars="200"/>
        <w:jc w:val="both"/>
        <w:rPr>
          <w:rFonts w:ascii="仿宋" w:hAnsi="仿宋" w:eastAsia="仿宋" w:cs="仿宋"/>
        </w:rPr>
      </w:pPr>
      <w:bookmarkStart w:id="148" w:name="_Toc120614219"/>
      <w:r>
        <w:rPr>
          <w:rFonts w:hint="eastAsia" w:ascii="仿宋" w:hAnsi="仿宋" w:eastAsia="仿宋" w:cs="仿宋"/>
          <w:b/>
          <w:color w:val="000000"/>
        </w:rPr>
        <w:t>六、定标</w:t>
      </w:r>
      <w:bookmarkEnd w:id="148"/>
    </w:p>
    <w:p>
      <w:pPr>
        <w:pStyle w:val="12"/>
        <w:keepNext/>
        <w:keepLines/>
        <w:spacing w:beforeAutospacing="0" w:afterAutospacing="0" w:line="360" w:lineRule="auto"/>
        <w:ind w:firstLine="480" w:firstLineChars="200"/>
        <w:jc w:val="both"/>
        <w:rPr>
          <w:rFonts w:ascii="仿宋" w:hAnsi="仿宋" w:eastAsia="仿宋" w:cs="仿宋"/>
        </w:rPr>
      </w:pPr>
      <w:bookmarkStart w:id="149" w:name="_Toc20823310"/>
      <w:bookmarkStart w:id="150" w:name="_Toc513029238"/>
      <w:bookmarkStart w:id="151" w:name="_Toc16938554"/>
      <w:r>
        <w:rPr>
          <w:rFonts w:hint="eastAsia" w:ascii="仿宋" w:hAnsi="仿宋" w:eastAsia="仿宋" w:cs="仿宋"/>
          <w:color w:val="000000"/>
        </w:rPr>
        <w:t>27、</w:t>
      </w:r>
      <w:bookmarkEnd w:id="149"/>
      <w:r>
        <w:rPr>
          <w:rFonts w:hint="eastAsia" w:ascii="仿宋" w:hAnsi="仿宋" w:eastAsia="仿宋" w:cs="仿宋"/>
          <w:color w:val="000000"/>
        </w:rPr>
        <w:t>确定</w:t>
      </w:r>
      <w:bookmarkEnd w:id="150"/>
      <w:bookmarkEnd w:id="151"/>
      <w:r>
        <w:rPr>
          <w:rFonts w:hint="eastAsia" w:ascii="仿宋" w:hAnsi="仿宋" w:eastAsia="仿宋" w:cs="仿宋"/>
          <w:color w:val="000000"/>
        </w:rPr>
        <w:t>中标单位</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 xml:space="preserve">27.1中标候选人的选取原则和数量见招标文件第五章规定。 </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27.2采购人应根据评委会推荐的中标候选人确定中标人。</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27.3采购人将在</w:t>
      </w:r>
      <w:r>
        <w:rPr>
          <w:rFonts w:hint="eastAsia" w:ascii="仿宋" w:hAnsi="仿宋" w:eastAsia="仿宋" w:cs="仿宋"/>
          <w:b/>
          <w:bCs/>
          <w:color w:val="000000"/>
          <w:u w:val="single"/>
        </w:rPr>
        <w:t>江苏政府采购网、盐城市政府采购网</w:t>
      </w:r>
      <w:r>
        <w:rPr>
          <w:rFonts w:hint="eastAsia" w:ascii="仿宋" w:hAnsi="仿宋" w:eastAsia="仿宋" w:cs="仿宋"/>
          <w:color w:val="000000"/>
        </w:rPr>
        <w:t>发布中标公告，公告期限为1个工作日。</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27.4若有充分证据证明，中标人出现下列情况之一的，一经查实，将被取消中标资格：</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27.4.1提供虚假材料谋取中标的。</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27.4.2向采购人、采购代理机构行贿或者提供其他不正当利益的。</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27.4.3属于本文件规定的无效条件，但在评标过程中又未被评委会发现的。</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27.4.4与采购人或者其他供应商恶意串通的。</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27.4.5采取不正当手段诋毁、排挤其他供应商的。</w:t>
      </w:r>
    </w:p>
    <w:p>
      <w:pPr>
        <w:pStyle w:val="12"/>
        <w:spacing w:beforeAutospacing="0" w:afterAutospacing="0" w:line="360" w:lineRule="auto"/>
        <w:ind w:firstLine="480" w:firstLineChars="200"/>
        <w:jc w:val="both"/>
        <w:rPr>
          <w:rFonts w:ascii="仿宋" w:hAnsi="仿宋" w:eastAsia="仿宋" w:cs="仿宋"/>
        </w:rPr>
      </w:pPr>
      <w:bookmarkStart w:id="152" w:name="_Toc200451960"/>
      <w:r>
        <w:rPr>
          <w:rFonts w:hint="eastAsia" w:ascii="仿宋" w:hAnsi="仿宋" w:eastAsia="仿宋" w:cs="仿宋"/>
          <w:color w:val="000000"/>
        </w:rPr>
        <w:t>27.5 有下列情形之一的，视为投标人串通投标，投标无效：</w:t>
      </w:r>
      <w:bookmarkEnd w:id="152"/>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27.5.1不同投标人的投标文件由同一单位或者个人编制。</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27.5.2不同投标人委托同一单位或者个人办理投标事宜。</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27.5.3不同投标人的投标文件载明的项目管理成员或者联系人员为同一人。</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27.5.4不同投标人的投标文件异常一致或者投标报价呈规律性差异。</w:t>
      </w:r>
    </w:p>
    <w:p>
      <w:pPr>
        <w:pStyle w:val="12"/>
        <w:keepNext/>
        <w:keepLines/>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28、质疑处理</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28.1提出质疑的供应商应当是参与所质疑项目采购活动的供应商。潜在供应商依法获取其可质疑的采购文件的，可以对采购文件提出质疑。</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28.2供应商认为采购文件、采购过程和采购结果使自己的权益受到损害的，可以在知道或应知其权益受到损害之日起七个工作日内，以书面形式根据下述28.4条款的规定向采购代理机构或采购人提出质疑。上述应知其权益受到损害之日，是指：</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28.2.1对可以质疑的采购文件提出质疑的，为收到采购文件之日或者采购文件公告期限届满之日；</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28.2.2对采购过程提出质疑的，为各采购程序环节结束之日；</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28.2.3对中标或者成交结果提出质疑的，为中标或者成交结果公告期限届满之日。</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供应商应当在法定质疑期内一次性提出针对同一采购程序环节的质疑。供应商如在法定期限内对同一采购程序环节提出多次质疑的，采购代理机构、采购人将只对供应商第一次质疑作出答复。</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28.3质疑函必须按照本招标文件中《质疑函范本》要求的格式和内容进行填写。供应商如组成联合体参加投标，则《质疑函范本》中要求签字、盖章、加盖公章之处，联合体各方均须按要求签字、盖章、加盖公章。</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28.4</w:t>
      </w:r>
      <w:r>
        <w:rPr>
          <w:rFonts w:hint="eastAsia" w:ascii="仿宋" w:hAnsi="仿宋" w:eastAsia="仿宋" w:cs="仿宋"/>
          <w:color w:val="000000" w:themeColor="text1"/>
          <w14:textFill>
            <w14:solidFill>
              <w14:schemeClr w14:val="tx1"/>
            </w14:solidFill>
          </w14:textFill>
        </w:rPr>
        <w:t>供应商（含潜在供应商）对采购方式、采购需求、供应商资格条件及审查结果、评标方法和评标标准、合同文本的询问、质疑请向采购人提出，由采购人负责答复。</w:t>
      </w:r>
      <w:r>
        <w:rPr>
          <w:rFonts w:hint="eastAsia" w:ascii="仿宋" w:hAnsi="仿宋" w:eastAsia="仿宋" w:cs="仿宋"/>
          <w:color w:val="000000"/>
        </w:rPr>
        <w:t>供应商对除上述事项以外其他事项的询问、质疑请向采购人提出，由采购人负责答复。</w:t>
      </w:r>
    </w:p>
    <w:p>
      <w:pPr>
        <w:tabs>
          <w:tab w:val="left" w:pos="1331"/>
        </w:tabs>
        <w:spacing w:line="360" w:lineRule="auto"/>
        <w:ind w:firstLine="480" w:firstLineChars="200"/>
        <w:jc w:val="left"/>
        <w:rPr>
          <w:rFonts w:ascii="仿宋" w:hAnsi="仿宋" w:eastAsia="仿宋" w:cs="仿宋"/>
          <w:color w:val="000000"/>
          <w:kern w:val="0"/>
          <w:sz w:val="24"/>
        </w:rPr>
      </w:pPr>
      <w:r>
        <w:rPr>
          <w:rFonts w:hint="eastAsia" w:ascii="仿宋" w:hAnsi="仿宋" w:eastAsia="仿宋" w:cs="仿宋"/>
          <w:color w:val="000000"/>
          <w:kern w:val="0"/>
          <w:sz w:val="24"/>
        </w:rPr>
        <w:t>采购代理机构及采购人只接收以纸质原件形式送达的质疑,采购人和采购代理机构不接受未填写快递运单的快件。</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28.5 以下情形的质疑不予受理</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28.5.1内容不符合《政府采购质疑和投诉办法》第十二条规定的质疑。</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28.5.2超出政府采购法定期限的质疑。</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28.5.3以传真、电子邮件等方式递交的非原件形式的质疑。</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28.5.4未参加投标活动的供应商或在投标活动中自身权益未受到损害的供应商所提出的质疑。</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28.5.5供应商组成联合体参加投标，联合体中任何一方或多方未按要求签字、盖章、加盖公章的质疑。</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28.6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pStyle w:val="12"/>
        <w:keepNext/>
        <w:keepLines/>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29、中标通知书</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29.l中标结果确定后，采购人将向中标人发出中标通知书。请中标人在中标结果公告届满之日起30日内,联系采购人领取中标通知书，因未及时领取而造成的不利后果由中标人自行承担。</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29.2中标通知书将是合同的一个组成部分。对采购人和中标人均具有法律效力。中标通知书发出后，采购人改变中标结果的，或者中标人放弃中标项目的，应当依法承担法律责任。</w:t>
      </w:r>
    </w:p>
    <w:p>
      <w:pPr>
        <w:pStyle w:val="12"/>
        <w:keepNext/>
        <w:keepLines/>
        <w:spacing w:beforeAutospacing="0" w:afterAutospacing="0" w:line="360" w:lineRule="auto"/>
        <w:ind w:firstLine="482" w:firstLineChars="200"/>
        <w:jc w:val="both"/>
        <w:rPr>
          <w:rFonts w:ascii="仿宋" w:hAnsi="仿宋" w:eastAsia="仿宋" w:cs="仿宋"/>
        </w:rPr>
      </w:pPr>
      <w:bookmarkStart w:id="153" w:name="_Toc20823308"/>
      <w:bookmarkStart w:id="154" w:name="_Toc120614220"/>
      <w:bookmarkStart w:id="155" w:name="_Toc16938552"/>
      <w:bookmarkStart w:id="156" w:name="_Toc513029236"/>
      <w:r>
        <w:rPr>
          <w:rFonts w:hint="eastAsia" w:ascii="仿宋" w:hAnsi="仿宋" w:eastAsia="仿宋" w:cs="仿宋"/>
          <w:b/>
          <w:color w:val="000000"/>
        </w:rPr>
        <w:t>七、授予合同</w:t>
      </w:r>
      <w:bookmarkEnd w:id="153"/>
      <w:bookmarkEnd w:id="154"/>
      <w:bookmarkEnd w:id="155"/>
      <w:bookmarkEnd w:id="156"/>
    </w:p>
    <w:p>
      <w:pPr>
        <w:pStyle w:val="12"/>
        <w:keepNext/>
        <w:keepLines/>
        <w:spacing w:beforeAutospacing="0" w:afterAutospacing="0" w:line="360" w:lineRule="auto"/>
        <w:ind w:firstLine="480" w:firstLineChars="200"/>
        <w:jc w:val="both"/>
        <w:rPr>
          <w:rFonts w:ascii="仿宋" w:hAnsi="仿宋" w:eastAsia="仿宋" w:cs="仿宋"/>
        </w:rPr>
      </w:pPr>
      <w:bookmarkStart w:id="157" w:name="_Toc20823309"/>
      <w:bookmarkStart w:id="158" w:name="_Toc513029237"/>
      <w:bookmarkStart w:id="159" w:name="_Toc16938553"/>
      <w:r>
        <w:rPr>
          <w:rFonts w:hint="eastAsia" w:ascii="仿宋" w:hAnsi="仿宋" w:eastAsia="仿宋" w:cs="仿宋"/>
          <w:color w:val="000000"/>
        </w:rPr>
        <w:t>30.签订合同</w:t>
      </w:r>
      <w:bookmarkEnd w:id="157"/>
      <w:bookmarkEnd w:id="158"/>
      <w:bookmarkEnd w:id="159"/>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30.l中标人应当在中标通知书发出之日起三十日内，按照招标文件确定的事项与采购人签订政府采购合同。</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30.2招标文件、中标人的投标文件及招标过程中有关澄清、承诺文件均应作为合同附件。</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30.3签订合同后，</w:t>
      </w:r>
      <w:r>
        <w:rPr>
          <w:rFonts w:hint="eastAsia" w:ascii="仿宋" w:hAnsi="仿宋" w:eastAsia="仿宋" w:cs="仿宋"/>
          <w:i/>
          <w:color w:val="000000"/>
          <w:u w:val="single"/>
        </w:rPr>
        <w:t>中标人不得将合同标的进行转包</w:t>
      </w:r>
      <w:r>
        <w:rPr>
          <w:rFonts w:hint="eastAsia" w:ascii="仿宋" w:hAnsi="仿宋" w:eastAsia="仿宋" w:cs="仿宋"/>
          <w:color w:val="000000"/>
        </w:rPr>
        <w:t>。未经采购人同意，中标人也不得采用分包的形式履行合同，否则采购人有权终止合同。转包或分包造成采购人损失的，中标人应承担相应赔偿责任。</w:t>
      </w:r>
    </w:p>
    <w:p>
      <w:pPr>
        <w:pStyle w:val="12"/>
        <w:keepNext/>
        <w:keepLines/>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31、服务（包含与服务相关的货物）的追加</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31.1政府采购合同履行中，采购人需追加与合同标的相同的服务（包含与服务相关的货物），在不改变合同其他条款的前提下，可以与中标人协商签订补充合同，但所有补充合同的采购金额不超过原合同金额10%。</w:t>
      </w:r>
    </w:p>
    <w:p>
      <w:pPr>
        <w:pStyle w:val="12"/>
        <w:keepNext/>
        <w:keepLines/>
        <w:spacing w:beforeAutospacing="0" w:afterAutospacing="0" w:line="360" w:lineRule="auto"/>
        <w:ind w:firstLine="480" w:firstLineChars="200"/>
        <w:jc w:val="both"/>
        <w:rPr>
          <w:rFonts w:ascii="仿宋" w:hAnsi="仿宋" w:eastAsia="仿宋" w:cs="仿宋"/>
        </w:rPr>
      </w:pPr>
      <w:bookmarkStart w:id="160" w:name="_Toc120614221"/>
      <w:bookmarkStart w:id="161" w:name="_Toc513029242"/>
      <w:bookmarkStart w:id="162" w:name="_Toc479757207"/>
      <w:bookmarkStart w:id="163" w:name="_Toc20823314"/>
      <w:bookmarkStart w:id="164" w:name="_Toc16938558"/>
      <w:r>
        <w:rPr>
          <w:rFonts w:hint="eastAsia" w:ascii="仿宋" w:hAnsi="仿宋" w:eastAsia="仿宋" w:cs="仿宋"/>
          <w:color w:val="000000"/>
        </w:rPr>
        <w:t>32、政府采购履约资金扶持政策</w:t>
      </w:r>
      <w:bookmarkEnd w:id="160"/>
      <w:bookmarkEnd w:id="161"/>
      <w:bookmarkEnd w:id="162"/>
      <w:bookmarkEnd w:id="163"/>
      <w:bookmarkEnd w:id="164"/>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根据《转发江苏省财政厅 中国人民银行南京分行&lt;关于深入推进政府采购线上合同信用融资工作的通知&gt;的通知》（盐财购〔2021〕20号）规定，中标供应商如有融资需求，可持政府采购合同在线向相关金融机构（具体信息详见盐城市政府采购网浮动窗口“政采贷”栏目）申请贷款，相关金融机构按照双方自愿的原则提供便捷、优惠的贷款服务；采购人应当依法按时在“苏采云”系统中录入并公开政府采购合同信息，勾选“融资贷款”选项，并在合同签订、验收付款、账号维护等环节提供必要便利，持续降低参与政府采购的中小企业融资成本。 </w:t>
      </w:r>
    </w:p>
    <w:p>
      <w:pPr>
        <w:pStyle w:val="12"/>
        <w:spacing w:beforeAutospacing="0" w:afterAutospacing="0" w:line="360" w:lineRule="auto"/>
        <w:ind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rPr>
          <w:rFonts w:hint="eastAsia" w:ascii="仿宋" w:hAnsi="仿宋" w:eastAsia="仿宋" w:cs="仿宋"/>
          <w:color w:val="000000"/>
          <w:sz w:val="28"/>
          <w:szCs w:val="28"/>
        </w:rPr>
      </w:pPr>
      <w:r>
        <w:rPr>
          <w:rFonts w:hint="eastAsia" w:ascii="仿宋" w:hAnsi="仿宋" w:eastAsia="仿宋" w:cs="仿宋"/>
          <w:color w:val="000000"/>
          <w:sz w:val="28"/>
          <w:szCs w:val="28"/>
        </w:rPr>
        <w:br w:type="page"/>
      </w:r>
    </w:p>
    <w:p>
      <w:pPr>
        <w:pStyle w:val="12"/>
        <w:spacing w:beforeAutospacing="0" w:afterAutospacing="0" w:line="360" w:lineRule="auto"/>
        <w:ind w:firstLine="880" w:firstLineChars="200"/>
        <w:jc w:val="center"/>
        <w:rPr>
          <w:rFonts w:ascii="仿宋" w:hAnsi="仿宋" w:eastAsia="仿宋" w:cs="仿宋"/>
        </w:rPr>
      </w:pPr>
      <w:bookmarkStart w:id="165" w:name="_Toc1702"/>
      <w:r>
        <w:rPr>
          <w:rFonts w:hint="eastAsia" w:ascii="仿宋" w:hAnsi="仿宋" w:eastAsia="仿宋" w:cs="仿宋"/>
          <w:color w:val="000000"/>
          <w:sz w:val="44"/>
          <w:szCs w:val="44"/>
        </w:rPr>
        <w:t>第三章  合同文本</w:t>
      </w:r>
      <w:bookmarkEnd w:id="165"/>
    </w:p>
    <w:p>
      <w:pPr>
        <w:pStyle w:val="12"/>
        <w:spacing w:beforeAutospacing="0" w:afterAutospacing="0" w:line="360" w:lineRule="auto"/>
        <w:ind w:firstLine="480"/>
        <w:jc w:val="both"/>
        <w:rPr>
          <w:rFonts w:ascii="仿宋" w:hAnsi="仿宋" w:eastAsia="仿宋" w:cs="仿宋"/>
        </w:rPr>
      </w:pPr>
      <w:bookmarkStart w:id="166" w:name="_Toc513029243"/>
      <w:bookmarkStart w:id="167" w:name="_Toc20823315"/>
      <w:bookmarkStart w:id="168" w:name="_Toc16938559"/>
      <w:r>
        <w:rPr>
          <w:rFonts w:hint="eastAsia" w:ascii="仿宋" w:hAnsi="仿宋" w:eastAsia="仿宋" w:cs="仿宋"/>
          <w:color w:val="000000"/>
        </w:rPr>
        <w:t>以下为中标后签定本项目合同的通用条款，中标人不得提出实质性的修改。</w:t>
      </w:r>
      <w:bookmarkEnd w:id="166"/>
      <w:bookmarkEnd w:id="167"/>
      <w:bookmarkEnd w:id="168"/>
    </w:p>
    <w:p>
      <w:pPr>
        <w:pStyle w:val="12"/>
        <w:widowControl/>
        <w:wordWrap w:val="0"/>
        <w:topLinePunct/>
        <w:spacing w:beforeAutospacing="0" w:afterAutospacing="0" w:line="360" w:lineRule="auto"/>
        <w:rPr>
          <w:rFonts w:ascii="仿宋" w:hAnsi="仿宋" w:eastAsia="仿宋" w:cs="仿宋"/>
        </w:rPr>
      </w:pPr>
      <w:r>
        <w:rPr>
          <w:rFonts w:hint="eastAsia" w:ascii="仿宋" w:hAnsi="仿宋" w:eastAsia="仿宋" w:cs="仿宋"/>
          <w:color w:val="000000"/>
        </w:rPr>
        <w:t>项目名称：                                       项目编号：</w:t>
      </w:r>
    </w:p>
    <w:p>
      <w:pPr>
        <w:pStyle w:val="12"/>
        <w:spacing w:before="120" w:beforeAutospacing="0" w:after="120" w:afterAutospacing="0" w:line="360" w:lineRule="auto"/>
        <w:jc w:val="both"/>
        <w:rPr>
          <w:rFonts w:ascii="仿宋" w:hAnsi="仿宋" w:eastAsia="仿宋" w:cs="仿宋"/>
        </w:rPr>
      </w:pPr>
      <w:r>
        <w:rPr>
          <w:rFonts w:hint="eastAsia" w:ascii="仿宋" w:hAnsi="仿宋" w:eastAsia="仿宋" w:cs="仿宋"/>
          <w:color w:val="000000"/>
        </w:rPr>
        <w:t>甲方：（买方）_________</w:t>
      </w:r>
    </w:p>
    <w:p>
      <w:pPr>
        <w:pStyle w:val="12"/>
        <w:spacing w:before="120" w:beforeAutospacing="0" w:after="120" w:afterAutospacing="0" w:line="360" w:lineRule="auto"/>
        <w:jc w:val="both"/>
        <w:rPr>
          <w:rFonts w:ascii="仿宋" w:hAnsi="仿宋" w:eastAsia="仿宋" w:cs="仿宋"/>
        </w:rPr>
      </w:pPr>
      <w:r>
        <w:rPr>
          <w:rFonts w:hint="eastAsia" w:ascii="仿宋" w:hAnsi="仿宋" w:eastAsia="仿宋" w:cs="仿宋"/>
          <w:color w:val="000000"/>
        </w:rPr>
        <w:t>乙方：（卖方）_________</w:t>
      </w:r>
    </w:p>
    <w:p>
      <w:pPr>
        <w:pStyle w:val="12"/>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 xml:space="preserve">   </w:t>
      </w:r>
      <w:r>
        <w:rPr>
          <w:rFonts w:hint="eastAsia" w:ascii="仿宋" w:hAnsi="仿宋" w:eastAsia="仿宋" w:cs="仿宋"/>
          <w:color w:val="000000"/>
        </w:rPr>
        <w:t>甲、乙双方根据</w:t>
      </w:r>
      <w:r>
        <w:rPr>
          <w:rFonts w:hint="eastAsia" w:ascii="仿宋" w:hAnsi="仿宋" w:eastAsia="仿宋" w:cs="仿宋"/>
          <w:b/>
          <w:bCs/>
          <w:color w:val="000000"/>
          <w:u w:val="single"/>
        </w:rPr>
        <w:t xml:space="preserve">              </w:t>
      </w:r>
      <w:r>
        <w:rPr>
          <w:rFonts w:hint="eastAsia" w:ascii="仿宋" w:hAnsi="仿宋" w:eastAsia="仿宋" w:cs="仿宋"/>
          <w:color w:val="000000"/>
        </w:rPr>
        <w:t>项目公开招标的结果，签署本合同。</w:t>
      </w:r>
    </w:p>
    <w:p>
      <w:pPr>
        <w:pStyle w:val="12"/>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一、合同内容</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1.1 标的名称：</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1.2 标的质量：</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1.3 标的数量（规模）：</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1.4 履行时间（期限）：</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1.5 履行地点：</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1.6 履行方式：</w:t>
      </w:r>
    </w:p>
    <w:p>
      <w:pPr>
        <w:pStyle w:val="12"/>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二、合同金额</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2.1本合同金额为（大写）：____________________________________（小写：_______________元）。</w:t>
      </w:r>
    </w:p>
    <w:p>
      <w:pPr>
        <w:pStyle w:val="12"/>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三、技术资料</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3.1乙方应按招标文件规定的时间向甲方提供服务（包含与服务相关的货物）的有关技术资料。</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四、知识产权</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4.1乙方应保证甲方在使用、接受本合同服务（包含与服务相关的货物）或其任何一部分时不受第三方提出侵犯其专利权、版权、商标权和工业设计权等知识产权的起诉。一旦出现侵权，由乙方负全部责任。</w:t>
      </w:r>
    </w:p>
    <w:p>
      <w:pPr>
        <w:pStyle w:val="12"/>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五、产权担保</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5.1乙方保证所交付的服务（包含与服务相关的货物）的所有权完全属于乙方且无任何抵押、查封等产权瑕疵。</w:t>
      </w:r>
    </w:p>
    <w:p>
      <w:pPr>
        <w:pStyle w:val="12"/>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六、履约保证金</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6.1乙方交纳人民币_________元作为本合同的履约保证金。</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（备注：本项目履约保证金为合同金额的</w:t>
      </w:r>
      <w:r>
        <w:rPr>
          <w:rFonts w:hint="eastAsia" w:ascii="仿宋" w:hAnsi="仿宋" w:eastAsia="仿宋" w:cs="仿宋"/>
          <w:u w:val="single"/>
        </w:rPr>
        <w:t>10%</w:t>
      </w:r>
      <w:r>
        <w:rPr>
          <w:rFonts w:hint="eastAsia" w:ascii="仿宋" w:hAnsi="仿宋" w:eastAsia="仿宋" w:cs="仿宋"/>
        </w:rPr>
        <w:t>。鼓励采购人对AA评级及以上政府采购供应商（需提供信用管理部门备案的第三方信用报告）免收履约保证金或降低履约保证金缴纳比例。依据《关于在全省政府采购领域推行电子履约保函（保险）的通知》，鼓励供应商自愿使用履约保函（保险）代替缴纳履约保证金）</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6.2合同履行结束后，甲方应及时退还交纳的履约保证金。</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6.3履约保证金的退还：</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6.3.1方式：无息退还至投标人缴纳履约保证金的账户。如为保函，在到期时自行失效。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6.3.2时间：验收合格且采购人收到发票后30日内。</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6.3.3条件：按合同要求全部履约完成并经采购人验收合格，且采购人收到中标人出具的发票。</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6.3.4不予退还情形：</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除不可抗力情况外，投标人出现下列情形之一的，其履约保证金，招标人将视情节决定不予退还或部分不予退还。</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（1）中标人无正当理由拒绝签订合同的，或者在签订合同时向采购人提出附加条件或者更改合同实质性内容要求的；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（2）中标人不履行与采购人订立的合同的；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（3）中标人所供货物或服务不符合招标文件规定要求的；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（4）中标人采取欺骗、弄虚作假方式投标的或与其它投标人串通投标的；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（5）中标人将合同内容转包、违法分包的；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（6）中标人故意捏造事实或伪造证明材料，进行虚假恶意投诉或反映的。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6.3.5逾期退还的违约责任：采购人逾期无故未退还履约保证金的，按中国人民银行同期贷款基准利率上浮20%后的利率支付超期资金占用费，但因供应商自身原因导致无法及时退还的除外。</w:t>
      </w:r>
    </w:p>
    <w:p>
      <w:pPr>
        <w:pStyle w:val="12"/>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七、合同转包或分包</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7.1乙方不得将合同标的转包给他人履行。</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7.2乙方不得将合同标的分包给他人履行。</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7.3乙方如有转包或未经甲方同意的分包行为，甲方有权解除合同。</w:t>
      </w:r>
    </w:p>
    <w:p>
      <w:pPr>
        <w:pStyle w:val="12"/>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八、合同款项支付</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8.1合同款项的支付方式及进度安排</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8.1.1付款方式：合同签订后预付合同款的</w:t>
      </w:r>
      <w:r>
        <w:rPr>
          <w:rFonts w:hint="eastAsia" w:ascii="仿宋" w:hAnsi="仿宋" w:eastAsia="仿宋" w:cs="仿宋"/>
          <w:color w:val="000000"/>
          <w:u w:val="single"/>
        </w:rPr>
        <w:t>10%</w:t>
      </w:r>
      <w:r>
        <w:rPr>
          <w:rFonts w:hint="eastAsia" w:ascii="仿宋" w:hAnsi="仿宋" w:eastAsia="仿宋" w:cs="仿宋"/>
          <w:color w:val="000000"/>
        </w:rPr>
        <w:t>,运维服务期间无任何问题后每半年凭发票支付年度运维费用的</w:t>
      </w:r>
      <w:r>
        <w:rPr>
          <w:rFonts w:hint="eastAsia" w:ascii="仿宋" w:hAnsi="仿宋" w:eastAsia="仿宋" w:cs="仿宋"/>
          <w:color w:val="000000"/>
          <w:u w:val="single"/>
        </w:rPr>
        <w:t>50%</w:t>
      </w:r>
      <w:r>
        <w:rPr>
          <w:rFonts w:hint="eastAsia" w:ascii="仿宋" w:hAnsi="仿宋" w:eastAsia="仿宋" w:cs="仿宋"/>
          <w:color w:val="000000"/>
        </w:rPr>
        <w:t>，含预付款。付款时，乙方提交等额税务发票，否则甲方有权拒绝付款。</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8.1.2甲方支付此项费用外不再承担其它任何费用。</w:t>
      </w:r>
    </w:p>
    <w:p>
      <w:pPr>
        <w:pStyle w:val="12"/>
        <w:spacing w:beforeAutospacing="0" w:afterAutospacing="0" w:line="360" w:lineRule="auto"/>
        <w:ind w:firstLine="480" w:firstLineChars="200"/>
        <w:jc w:val="both"/>
        <w:rPr>
          <w:rFonts w:ascii="仿宋" w:hAnsi="仿宋" w:eastAsia="仿宋" w:cs="仿宋"/>
          <w:color w:val="000000"/>
        </w:rPr>
      </w:pPr>
      <w:r>
        <w:rPr>
          <w:rFonts w:hint="eastAsia" w:ascii="仿宋" w:hAnsi="仿宋" w:eastAsia="仿宋" w:cs="仿宋"/>
          <w:color w:val="000000"/>
        </w:rPr>
        <w:t>8.1.3若遇国家或地方政府政策性调整，双方另行协商。</w:t>
      </w:r>
    </w:p>
    <w:p>
      <w:pPr>
        <w:pStyle w:val="12"/>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九、税费</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9.1本合同执行中相关的一切税费均由乙方负担。</w:t>
      </w:r>
    </w:p>
    <w:p>
      <w:pPr>
        <w:pStyle w:val="12"/>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十、项目验收</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10.1甲方依法组织履约验收工作。</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10.2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10.3对于实际使用人和甲方分离的项目，甲方邀请实际使用人参与验收。</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10.4如有必要，甲方邀请参加本项目的其他供应商或第三方专业机构及专家参与验收，相关意见将作为验收书的参考资料。</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10.5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10.6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pPr>
        <w:pStyle w:val="12"/>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十一、违约责任</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11.1甲方无正当理由拒绝接受乙方提供服务的，甲方向乙方偿付拒绝接受服务合同价款总值</w:t>
      </w:r>
      <w:r>
        <w:rPr>
          <w:rFonts w:hint="eastAsia" w:ascii="仿宋" w:hAnsi="仿宋" w:eastAsia="仿宋" w:cs="仿宋"/>
          <w:color w:val="000000"/>
          <w:u w:val="single"/>
        </w:rPr>
        <w:t xml:space="preserve">       </w:t>
      </w:r>
      <w:r>
        <w:rPr>
          <w:rFonts w:hint="eastAsia" w:ascii="仿宋" w:hAnsi="仿宋" w:eastAsia="仿宋" w:cs="仿宋"/>
          <w:color w:val="000000"/>
        </w:rPr>
        <w:t>的违约金。</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11.2甲方无故逾期验收和办理合同款项支付手续的,甲方应按逾期付款总额</w:t>
      </w:r>
      <w:r>
        <w:rPr>
          <w:rFonts w:hint="eastAsia" w:ascii="仿宋" w:hAnsi="仿宋" w:eastAsia="仿宋" w:cs="仿宋"/>
          <w:color w:val="000000"/>
          <w:u w:val="single"/>
        </w:rPr>
        <w:t xml:space="preserve">        </w:t>
      </w:r>
      <w:r>
        <w:rPr>
          <w:rFonts w:hint="eastAsia" w:ascii="仿宋" w:hAnsi="仿宋" w:eastAsia="仿宋" w:cs="仿宋"/>
          <w:color w:val="000000"/>
        </w:rPr>
        <w:t>每日向乙方支付违约金。</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11.3乙方逾期提供服务的，乙方应按逾期提供服务合同总额每日千分之六向甲方支付违约金，由甲方从待付合同款项中扣除。逾期超过约定日期10个工作日不能提供服务的，甲方可解除本合同。乙方因逾期提供服务或因其他违约行为导致甲方解除合同的，乙方应向甲方支付合同价款总额</w:t>
      </w:r>
      <w:r>
        <w:rPr>
          <w:rFonts w:hint="eastAsia" w:ascii="仿宋" w:hAnsi="仿宋" w:eastAsia="仿宋" w:cs="仿宋"/>
          <w:color w:val="000000"/>
          <w:u w:val="single"/>
        </w:rPr>
        <w:t xml:space="preserve">       </w:t>
      </w:r>
      <w:r>
        <w:rPr>
          <w:rFonts w:hint="eastAsia" w:ascii="仿宋" w:hAnsi="仿宋" w:eastAsia="仿宋" w:cs="仿宋"/>
          <w:color w:val="000000"/>
        </w:rPr>
        <w:t xml:space="preserve">的违约金，如造成甲方损失超过违约金的，超出部分由乙方继续承担赔偿责任。 </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11.4乙方所提供服务的标准不符合合同规定及招标文件规定标准的，甲方有权拒绝接受服务，并可单方面解除合同。</w:t>
      </w:r>
    </w:p>
    <w:p>
      <w:pPr>
        <w:pStyle w:val="12"/>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十二、不可抗力事件处理</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12.1在合同有效期内，任何一方因不可抗力事件导致不能履行合同，则合同履行期可延长，其延长期与不可抗力影响 期相同。</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12.2不可抗力事件发生后，应立即通知对方，并寄送有关权威机构出具的证明。</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12.3不可抗力事件延续120天以上，双方应通过友好协商，确定是否继续履行合同。</w:t>
      </w:r>
    </w:p>
    <w:p>
      <w:pPr>
        <w:pStyle w:val="12"/>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十三、解决争议的方法</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13.1双方在签订、履行合同中所发生的一切争议，应通过友好协商解决。如协商不成，由甲方住所地人民法院管辖。</w:t>
      </w:r>
    </w:p>
    <w:p>
      <w:pPr>
        <w:pStyle w:val="12"/>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十四、合同生效及其它</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14.1合同经双方法定代表人或授权委托代表人签字并加盖单位公章后生效。</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14.2本合同未尽事宜，遵照《民法典》、《政府采购法》有关条文执行。</w:t>
      </w:r>
    </w:p>
    <w:p>
      <w:pPr>
        <w:pStyle w:val="12"/>
        <w:spacing w:beforeAutospacing="0" w:afterAutospacing="0" w:line="360" w:lineRule="auto"/>
        <w:ind w:firstLine="480" w:firstLineChars="200"/>
        <w:jc w:val="both"/>
        <w:rPr>
          <w:rFonts w:hint="eastAsia" w:ascii="仿宋" w:hAnsi="仿宋" w:eastAsia="仿宋" w:cs="仿宋"/>
          <w:color w:val="000000"/>
        </w:rPr>
      </w:pPr>
      <w:r>
        <w:rPr>
          <w:rFonts w:hint="eastAsia" w:ascii="仿宋" w:hAnsi="仿宋" w:eastAsia="仿宋" w:cs="仿宋"/>
          <w:color w:val="000000"/>
        </w:rPr>
        <w:t>14.3 本合同正本一式两份，具有同等法律效力，甲方、乙方各执一份。</w:t>
      </w: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44"/>
        <w:gridCol w:w="4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4" w:type="dxa"/>
          </w:tcPr>
          <w:p>
            <w:pPr>
              <w:pStyle w:val="12"/>
              <w:spacing w:before="120" w:beforeAutospacing="0" w:after="120" w:afterAutospacing="0" w:line="360" w:lineRule="auto"/>
              <w:ind w:left="480" w:hanging="480"/>
              <w:jc w:val="both"/>
            </w:pPr>
            <w:r>
              <w:rPr>
                <w:rFonts w:hint="eastAsia" w:ascii="仿宋" w:hAnsi="仿宋" w:eastAsia="仿宋" w:cs="仿宋"/>
                <w:color w:val="000000"/>
              </w:rPr>
              <w:t>甲方：  </w:t>
            </w:r>
          </w:p>
        </w:tc>
        <w:tc>
          <w:tcPr>
            <w:tcW w:w="4238" w:type="dxa"/>
          </w:tcPr>
          <w:p>
            <w:pPr>
              <w:pStyle w:val="12"/>
              <w:spacing w:before="120" w:beforeAutospacing="0" w:after="120" w:afterAutospacing="0" w:line="360" w:lineRule="auto"/>
              <w:ind w:left="480" w:hanging="480"/>
              <w:jc w:val="both"/>
            </w:pPr>
            <w:r>
              <w:rPr>
                <w:rFonts w:hint="eastAsia" w:ascii="仿宋" w:hAnsi="仿宋" w:eastAsia="仿宋" w:cs="仿宋"/>
                <w:color w:val="000000"/>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4" w:type="dxa"/>
          </w:tcPr>
          <w:p>
            <w:pPr>
              <w:pStyle w:val="12"/>
              <w:spacing w:before="120" w:beforeAutospacing="0" w:after="120" w:afterAutospacing="0" w:line="360" w:lineRule="auto"/>
              <w:jc w:val="both"/>
            </w:pPr>
            <w:r>
              <w:rPr>
                <w:rFonts w:hint="eastAsia" w:ascii="仿宋" w:hAnsi="仿宋" w:eastAsia="仿宋" w:cs="仿宋"/>
                <w:color w:val="000000"/>
              </w:rPr>
              <w:t>地址：    </w:t>
            </w:r>
          </w:p>
        </w:tc>
        <w:tc>
          <w:tcPr>
            <w:tcW w:w="4238" w:type="dxa"/>
          </w:tcPr>
          <w:p>
            <w:pPr>
              <w:pStyle w:val="12"/>
              <w:spacing w:before="120" w:beforeAutospacing="0" w:after="120" w:afterAutospacing="0" w:line="360" w:lineRule="auto"/>
              <w:jc w:val="both"/>
            </w:pPr>
            <w:r>
              <w:rPr>
                <w:rFonts w:hint="eastAsia" w:ascii="仿宋" w:hAnsi="仿宋" w:eastAsia="仿宋" w:cs="仿宋"/>
                <w:color w:val="000000"/>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4" w:type="dxa"/>
          </w:tcPr>
          <w:p>
            <w:pPr>
              <w:pStyle w:val="12"/>
              <w:spacing w:before="120" w:beforeAutospacing="0" w:after="120" w:afterAutospacing="0" w:line="360" w:lineRule="auto"/>
              <w:jc w:val="both"/>
            </w:pPr>
            <w:r>
              <w:rPr>
                <w:rFonts w:hint="eastAsia" w:ascii="仿宋" w:hAnsi="仿宋" w:eastAsia="仿宋" w:cs="仿宋"/>
                <w:color w:val="000000"/>
              </w:rPr>
              <w:t>法定代表人或授权代表：       </w:t>
            </w:r>
          </w:p>
        </w:tc>
        <w:tc>
          <w:tcPr>
            <w:tcW w:w="4238" w:type="dxa"/>
          </w:tcPr>
          <w:p>
            <w:pPr>
              <w:pStyle w:val="12"/>
              <w:spacing w:before="120" w:beforeAutospacing="0" w:after="120" w:afterAutospacing="0" w:line="360" w:lineRule="auto"/>
              <w:jc w:val="both"/>
            </w:pPr>
            <w:r>
              <w:rPr>
                <w:rFonts w:hint="eastAsia" w:ascii="仿宋" w:hAnsi="仿宋" w:eastAsia="仿宋" w:cs="仿宋"/>
                <w:color w:val="000000"/>
              </w:rPr>
              <w:t>法定代表人或授权代表：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44" w:type="dxa"/>
          </w:tcPr>
          <w:p>
            <w:pPr>
              <w:pStyle w:val="12"/>
              <w:spacing w:before="120" w:beforeAutospacing="0" w:after="120" w:afterAutospacing="0" w:line="360" w:lineRule="auto"/>
              <w:jc w:val="both"/>
            </w:pPr>
            <w:r>
              <w:rPr>
                <w:rFonts w:hint="eastAsia" w:ascii="仿宋" w:hAnsi="仿宋" w:eastAsia="仿宋" w:cs="仿宋"/>
                <w:color w:val="000000"/>
              </w:rPr>
              <w:t>联系电话：                   </w:t>
            </w:r>
          </w:p>
        </w:tc>
        <w:tc>
          <w:tcPr>
            <w:tcW w:w="4238" w:type="dxa"/>
          </w:tcPr>
          <w:p>
            <w:pPr>
              <w:pStyle w:val="12"/>
              <w:spacing w:before="120" w:beforeAutospacing="0" w:after="120" w:afterAutospacing="0" w:line="360" w:lineRule="auto"/>
              <w:jc w:val="both"/>
            </w:pPr>
            <w:r>
              <w:rPr>
                <w:rFonts w:hint="eastAsia" w:ascii="仿宋" w:hAnsi="仿宋" w:eastAsia="仿宋" w:cs="仿宋"/>
                <w:color w:val="000000"/>
              </w:rPr>
              <w:t>联系电话：     </w:t>
            </w:r>
          </w:p>
        </w:tc>
        <w:bookmarkStart w:id="169" w:name="_Toc845"/>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782" w:type="dxa"/>
            <w:gridSpan w:val="2"/>
            <w:vAlign w:val="center"/>
          </w:tcPr>
          <w:p>
            <w:pPr>
              <w:pStyle w:val="12"/>
              <w:tabs>
                <w:tab w:val="left" w:pos="2228"/>
              </w:tabs>
              <w:spacing w:before="120" w:beforeAutospacing="0" w:after="120" w:afterAutospacing="0" w:line="360" w:lineRule="auto"/>
              <w:ind w:firstLine="240"/>
              <w:jc w:val="right"/>
              <w:rPr>
                <w:rFonts w:hint="default" w:ascii="仿宋" w:hAnsi="仿宋" w:eastAsia="仿宋" w:cs="仿宋"/>
                <w:color w:val="000000"/>
                <w:lang w:val="en-US" w:eastAsia="zh-CN"/>
              </w:rPr>
            </w:pPr>
            <w:bookmarkStart w:id="170" w:name="_Toc20823346"/>
            <w:bookmarkStart w:id="171" w:name="_Hlt16619350"/>
            <w:bookmarkStart w:id="172" w:name="_Toc479757211"/>
            <w:bookmarkStart w:id="173" w:name="_Toc120614244"/>
            <w:bookmarkStart w:id="174" w:name="_Toc462564139"/>
            <w:bookmarkStart w:id="175" w:name="_Toc16938590"/>
            <w:bookmarkStart w:id="176" w:name="_Hlt16619369"/>
            <w:r>
              <w:rPr>
                <w:rFonts w:hint="eastAsia" w:ascii="仿宋" w:hAnsi="仿宋" w:eastAsia="仿宋" w:cs="仿宋"/>
                <w:color w:val="000000"/>
                <w:lang w:val="en-US" w:eastAsia="zh-CN"/>
              </w:rPr>
              <w:t>签订日期：   年   月   日</w:t>
            </w:r>
          </w:p>
        </w:tc>
      </w:tr>
    </w:tbl>
    <w:p>
      <w:pPr>
        <w:pStyle w:val="12"/>
        <w:keepNext/>
        <w:spacing w:beforeAutospacing="0" w:afterAutospacing="0" w:line="360" w:lineRule="auto"/>
        <w:jc w:val="center"/>
        <w:outlineLvl w:val="0"/>
        <w:rPr>
          <w:rFonts w:ascii="仿宋" w:hAnsi="仿宋" w:eastAsia="仿宋" w:cs="仿宋"/>
          <w:color w:val="000000"/>
          <w:sz w:val="44"/>
          <w:szCs w:val="44"/>
        </w:rPr>
      </w:pPr>
      <w:r>
        <w:rPr>
          <w:rFonts w:hint="eastAsia" w:ascii="仿宋" w:hAnsi="仿宋" w:eastAsia="仿宋" w:cs="仿宋"/>
          <w:color w:val="000000"/>
          <w:sz w:val="44"/>
          <w:szCs w:val="44"/>
        </w:rPr>
        <w:br w:type="page"/>
      </w:r>
      <w:bookmarkEnd w:id="170"/>
      <w:bookmarkEnd w:id="171"/>
      <w:bookmarkEnd w:id="172"/>
      <w:bookmarkEnd w:id="173"/>
      <w:bookmarkEnd w:id="174"/>
      <w:bookmarkEnd w:id="175"/>
      <w:r>
        <w:rPr>
          <w:rFonts w:hint="eastAsia" w:ascii="仿宋" w:hAnsi="仿宋" w:eastAsia="仿宋" w:cs="仿宋"/>
          <w:color w:val="000000"/>
          <w:sz w:val="44"/>
          <w:szCs w:val="44"/>
        </w:rPr>
        <w:t>第四章  采购需求</w:t>
      </w:r>
      <w:bookmarkEnd w:id="169"/>
    </w:p>
    <w:p>
      <w:pPr>
        <w:pStyle w:val="4"/>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1、项目概况</w:t>
      </w:r>
    </w:p>
    <w:p>
      <w:pPr>
        <w:pageBreakBefore w:val="0"/>
        <w:kinsoku/>
        <w:wordWrap/>
        <w:overflowPunct/>
        <w:topLinePunct w:val="0"/>
        <w:bidi w:val="0"/>
        <w:adjustRightInd/>
        <w:snapToGrid/>
        <w:spacing w:beforeAutospacing="0" w:afterAutospacing="0" w:line="360" w:lineRule="auto"/>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为保证江苏大丰港经济开发区园区环境空气和水质自动监测系统高质量的运行，确保自动监测仪器的维护、管理工作高效规范，按照《HJ817-2018 环境空气颗粒物（PM10 和PM2.5） 连续自动监测系统运行和质控技术规范》、《HJ818-2018 环境空气气态污染物（SO2、NO2、O3、CO）连续自动监测系统运行和质控技术规范》、</w:t>
      </w:r>
      <w:r>
        <w:rPr>
          <w:rFonts w:hint="eastAsia" w:ascii="仿宋" w:hAnsi="仿宋" w:eastAsia="仿宋" w:cs="仿宋"/>
          <w:sz w:val="24"/>
          <w:szCs w:val="24"/>
          <w:shd w:val="clear" w:color="auto" w:fill="FFFFFF"/>
        </w:rPr>
        <w:t>《国家环境空气监测网环境空气挥发性有机物连续自动监测质量控制技术规定(试行)》、</w:t>
      </w:r>
      <w:r>
        <w:rPr>
          <w:rFonts w:hint="eastAsia" w:ascii="仿宋" w:hAnsi="仿宋" w:eastAsia="仿宋" w:cs="仿宋"/>
          <w:sz w:val="24"/>
          <w:szCs w:val="24"/>
        </w:rPr>
        <w:t>《江苏省环境水质（地表水）自动监测预警系统运行管理办法（试行）》、《江苏省水质自动监测质量管理暂行规定》</w:t>
      </w:r>
      <w:r>
        <w:rPr>
          <w:rFonts w:hint="eastAsia" w:ascii="仿宋" w:hAnsi="仿宋" w:eastAsia="仿宋" w:cs="仿宋"/>
          <w:sz w:val="24"/>
          <w:szCs w:val="24"/>
          <w:lang w:val="zh-CN"/>
        </w:rPr>
        <w:t>及《环境监测数据弄虚作假行为判定及处理办法》</w:t>
      </w:r>
      <w:r>
        <w:rPr>
          <w:rFonts w:hint="eastAsia" w:ascii="仿宋" w:hAnsi="仿宋" w:eastAsia="仿宋" w:cs="仿宋"/>
          <w:color w:val="000000"/>
          <w:sz w:val="24"/>
          <w:szCs w:val="24"/>
        </w:rPr>
        <w:t>的有关要求，完成对园区环境空气、地表水自动监测子站监测仪器、气象仪器、质控设备、数据采集与传输设备、辅助设备、防雷等基础设施的日常维护、质量控制、故障维修、年度检修、应急、站房管理与维护、数据审核等工作。</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bCs/>
          <w:sz w:val="24"/>
          <w:szCs w:val="24"/>
        </w:rPr>
      </w:pPr>
      <w:r>
        <w:rPr>
          <w:rFonts w:hint="eastAsia" w:ascii="仿宋" w:hAnsi="仿宋" w:eastAsia="仿宋" w:cs="仿宋"/>
          <w:b/>
          <w:bCs/>
          <w:sz w:val="24"/>
          <w:szCs w:val="24"/>
        </w:rPr>
        <w:t>★本项目不接受因环境监测子站运维工作受到环保主管部门通报批评或处罚的供应商参与投标，投标文件中提供承诺函（加盖公章，格式自拟）。</w:t>
      </w:r>
    </w:p>
    <w:p>
      <w:pPr>
        <w:pStyle w:val="4"/>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2、运维服务内容</w:t>
      </w:r>
    </w:p>
    <w:p>
      <w:pPr>
        <w:pStyle w:val="5"/>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2.1运维设备清单</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园区现有3套园区边界站，3套超级气站，8套恶臭监测站，53套微型空气站和4套水站。</w:t>
      </w: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
        <w:gridCol w:w="1535"/>
        <w:gridCol w:w="5973"/>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15" w:type="dxa"/>
          <w:trHeight w:val="737" w:hRule="atLeast"/>
          <w:jc w:val="center"/>
        </w:trPr>
        <w:tc>
          <w:tcPr>
            <w:tcW w:w="1535"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sz w:val="24"/>
                <w:szCs w:val="24"/>
              </w:rPr>
            </w:pPr>
            <w:r>
              <w:rPr>
                <w:rFonts w:hint="eastAsia" w:ascii="仿宋" w:hAnsi="仿宋" w:eastAsia="仿宋" w:cs="仿宋"/>
                <w:b/>
                <w:sz w:val="24"/>
                <w:szCs w:val="24"/>
                <w:lang w:bidi="zh-TW"/>
              </w:rPr>
              <w:t>产品</w:t>
            </w:r>
          </w:p>
        </w:tc>
        <w:tc>
          <w:tcPr>
            <w:tcW w:w="5973"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firstLine="482"/>
              <w:jc w:val="center"/>
              <w:textAlignment w:val="auto"/>
              <w:rPr>
                <w:rFonts w:hint="eastAsia" w:ascii="仿宋" w:hAnsi="仿宋" w:eastAsia="仿宋" w:cs="仿宋"/>
                <w:b/>
                <w:sz w:val="24"/>
                <w:szCs w:val="24"/>
              </w:rPr>
            </w:pPr>
            <w:r>
              <w:rPr>
                <w:rFonts w:hint="eastAsia" w:ascii="仿宋" w:hAnsi="仿宋" w:eastAsia="仿宋" w:cs="仿宋"/>
                <w:b/>
                <w:sz w:val="24"/>
                <w:szCs w:val="24"/>
                <w:lang w:bidi="zh-TW"/>
              </w:rPr>
              <w:t>监测项目</w:t>
            </w:r>
          </w:p>
        </w:tc>
        <w:tc>
          <w:tcPr>
            <w:tcW w:w="996"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jc w:val="center"/>
              <w:textAlignment w:val="auto"/>
              <w:rPr>
                <w:rFonts w:hint="eastAsia" w:ascii="仿宋" w:hAnsi="仿宋" w:eastAsia="仿宋" w:cs="仿宋"/>
                <w:b/>
                <w:sz w:val="24"/>
                <w:szCs w:val="24"/>
              </w:rPr>
            </w:pPr>
            <w:r>
              <w:rPr>
                <w:rFonts w:hint="eastAsia" w:ascii="仿宋" w:hAnsi="仿宋" w:eastAsia="仿宋" w:cs="仿宋"/>
                <w:b/>
                <w:sz w:val="24"/>
                <w:szCs w:val="24"/>
                <w:lang w:bidi="zh-TW"/>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1550" w:type="dxa"/>
            <w:gridSpan w:val="2"/>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园区边界站</w:t>
            </w:r>
          </w:p>
        </w:tc>
        <w:tc>
          <w:tcPr>
            <w:tcW w:w="5973"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硫化氢、二氧化硫、氨、氮氧化物、CS、甲烷非甲烷、气象五参数</w:t>
            </w:r>
          </w:p>
        </w:tc>
        <w:tc>
          <w:tcPr>
            <w:tcW w:w="996"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15" w:type="dxa"/>
          <w:trHeight w:val="737" w:hRule="atLeast"/>
          <w:jc w:val="center"/>
        </w:trPr>
        <w:tc>
          <w:tcPr>
            <w:tcW w:w="1535"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超级气站</w:t>
            </w:r>
          </w:p>
        </w:tc>
        <w:tc>
          <w:tcPr>
            <w:tcW w:w="5973"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GCMS、SO2、NOX、CO、O3、PM10、PM2.5、气象五参数</w:t>
            </w:r>
          </w:p>
        </w:tc>
        <w:tc>
          <w:tcPr>
            <w:tcW w:w="996"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15" w:type="dxa"/>
          <w:trHeight w:val="737" w:hRule="atLeast"/>
          <w:jc w:val="center"/>
        </w:trPr>
        <w:tc>
          <w:tcPr>
            <w:tcW w:w="1535"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恶臭在线监测系统</w:t>
            </w:r>
          </w:p>
        </w:tc>
        <w:tc>
          <w:tcPr>
            <w:tcW w:w="5973"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氨气、硫化氢、三甲胺、甲硫醇、甲硫醚、二甲二硫醚和二硫化碳、苯乙烯、臭气</w:t>
            </w:r>
          </w:p>
        </w:tc>
        <w:tc>
          <w:tcPr>
            <w:tcW w:w="996"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8套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15" w:type="dxa"/>
          <w:trHeight w:val="737" w:hRule="atLeast"/>
          <w:jc w:val="center"/>
        </w:trPr>
        <w:tc>
          <w:tcPr>
            <w:tcW w:w="1535"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微型空气站</w:t>
            </w:r>
          </w:p>
        </w:tc>
        <w:tc>
          <w:tcPr>
            <w:tcW w:w="5973"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SO2、NO2、PM2.5、PM10、气象五参数、TVOC</w:t>
            </w:r>
          </w:p>
        </w:tc>
        <w:tc>
          <w:tcPr>
            <w:tcW w:w="996"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15" w:type="dxa"/>
          <w:trHeight w:val="737" w:hRule="atLeast"/>
          <w:jc w:val="center"/>
        </w:trPr>
        <w:tc>
          <w:tcPr>
            <w:tcW w:w="1535"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微型空气站</w:t>
            </w:r>
          </w:p>
        </w:tc>
        <w:tc>
          <w:tcPr>
            <w:tcW w:w="5973"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SO2、NO2、CO、O3、PM2.5、PM10</w:t>
            </w:r>
          </w:p>
        </w:tc>
        <w:tc>
          <w:tcPr>
            <w:tcW w:w="996"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15" w:type="dxa"/>
          <w:trHeight w:val="737" w:hRule="atLeast"/>
          <w:jc w:val="center"/>
        </w:trPr>
        <w:tc>
          <w:tcPr>
            <w:tcW w:w="1535"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lang w:bidi="zh-TW"/>
              </w:rPr>
            </w:pPr>
            <w:r>
              <w:rPr>
                <w:rFonts w:hint="eastAsia" w:ascii="仿宋" w:hAnsi="仿宋" w:eastAsia="仿宋" w:cs="仿宋"/>
                <w:sz w:val="24"/>
                <w:szCs w:val="24"/>
              </w:rPr>
              <w:t>水质自动监测站</w:t>
            </w:r>
          </w:p>
        </w:tc>
        <w:tc>
          <w:tcPr>
            <w:tcW w:w="5973"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COD、流量、挥发酚、高锰酸盐指数、氨氮、总磷、总氮、常规五参数</w:t>
            </w:r>
          </w:p>
        </w:tc>
        <w:tc>
          <w:tcPr>
            <w:tcW w:w="996"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gridBefore w:val="1"/>
          <w:wBefore w:w="15" w:type="dxa"/>
          <w:trHeight w:val="737" w:hRule="atLeast"/>
          <w:jc w:val="center"/>
        </w:trPr>
        <w:tc>
          <w:tcPr>
            <w:tcW w:w="1535"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水质自动监测站</w:t>
            </w:r>
          </w:p>
        </w:tc>
        <w:tc>
          <w:tcPr>
            <w:tcW w:w="5973"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jc w:val="left"/>
              <w:textAlignment w:val="auto"/>
              <w:rPr>
                <w:rFonts w:hint="eastAsia" w:ascii="仿宋" w:hAnsi="仿宋" w:eastAsia="仿宋" w:cs="仿宋"/>
                <w:sz w:val="24"/>
                <w:szCs w:val="24"/>
              </w:rPr>
            </w:pPr>
            <w:r>
              <w:rPr>
                <w:rFonts w:hint="eastAsia" w:ascii="仿宋" w:hAnsi="仿宋" w:eastAsia="仿宋" w:cs="仿宋"/>
                <w:sz w:val="24"/>
                <w:szCs w:val="24"/>
              </w:rPr>
              <w:t>五参数、COD、氨氮、总磷、总氮</w:t>
            </w:r>
          </w:p>
        </w:tc>
        <w:tc>
          <w:tcPr>
            <w:tcW w:w="996" w:type="dxa"/>
            <w:shd w:val="clear" w:color="auto" w:fill="FFFFFF"/>
            <w:vAlign w:val="center"/>
          </w:tcPr>
          <w:p>
            <w:pPr>
              <w:pageBreakBefore w:val="0"/>
              <w:kinsoku/>
              <w:wordWrap/>
              <w:overflowPunct/>
              <w:topLinePunct w:val="0"/>
              <w:bidi w:val="0"/>
              <w:adjustRightInd/>
              <w:snapToGrid/>
              <w:spacing w:beforeAutospacing="0" w:afterAutospacing="0" w:line="360" w:lineRule="auto"/>
              <w:ind w:left="0" w:leftChars="0" w:right="0" w:rightChars="0"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2套</w:t>
            </w:r>
          </w:p>
        </w:tc>
      </w:tr>
    </w:tbl>
    <w:p>
      <w:pPr>
        <w:pStyle w:val="2"/>
        <w:pageBreakBefore w:val="0"/>
        <w:kinsoku/>
        <w:wordWrap/>
        <w:overflowPunct/>
        <w:topLinePunct w:val="0"/>
        <w:bidi w:val="0"/>
        <w:adjustRightInd/>
        <w:snapToGrid/>
        <w:spacing w:beforeAutospacing="0" w:after="0" w:afterAutospacing="0" w:line="360" w:lineRule="auto"/>
        <w:ind w:left="0" w:leftChars="0" w:right="0" w:rightChars="0"/>
        <w:textAlignment w:val="auto"/>
        <w:rPr>
          <w:rFonts w:hint="eastAsia" w:ascii="仿宋" w:hAnsi="仿宋" w:eastAsia="仿宋" w:cs="仿宋"/>
          <w:sz w:val="24"/>
          <w:szCs w:val="24"/>
        </w:rPr>
      </w:pPr>
    </w:p>
    <w:p>
      <w:pPr>
        <w:pStyle w:val="5"/>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2.2运维服务要求</w:t>
      </w:r>
    </w:p>
    <w:p>
      <w:pPr>
        <w:pageBreakBefore w:val="0"/>
        <w:kinsoku/>
        <w:wordWrap/>
        <w:overflowPunct/>
        <w:topLinePunct w:val="0"/>
        <w:bidi w:val="0"/>
        <w:adjustRightInd/>
        <w:snapToGrid/>
        <w:spacing w:beforeAutospacing="0" w:afterAutospacing="0" w:line="360" w:lineRule="auto"/>
        <w:ind w:left="0" w:leftChars="0" w:right="0" w:rightChars="0" w:firstLine="464"/>
        <w:textAlignment w:val="auto"/>
        <w:rPr>
          <w:rFonts w:hint="eastAsia" w:ascii="仿宋" w:hAnsi="仿宋" w:eastAsia="仿宋" w:cs="仿宋"/>
          <w:sz w:val="24"/>
          <w:szCs w:val="24"/>
        </w:rPr>
      </w:pPr>
      <w:r>
        <w:rPr>
          <w:rFonts w:hint="eastAsia" w:ascii="仿宋" w:hAnsi="仿宋" w:eastAsia="仿宋" w:cs="仿宋"/>
          <w:spacing w:val="-4"/>
          <w:sz w:val="24"/>
          <w:szCs w:val="24"/>
        </w:rPr>
        <w:t>供应商运维人员开展运维工作时须配备专用工具</w:t>
      </w:r>
      <w:r>
        <w:rPr>
          <w:rFonts w:hint="eastAsia" w:ascii="仿宋" w:hAnsi="仿宋" w:eastAsia="仿宋" w:cs="仿宋"/>
          <w:sz w:val="24"/>
          <w:szCs w:val="24"/>
        </w:rPr>
        <w:t>（</w:t>
      </w:r>
      <w:r>
        <w:rPr>
          <w:rFonts w:hint="eastAsia" w:ascii="仿宋" w:hAnsi="仿宋" w:eastAsia="仿宋" w:cs="仿宋"/>
          <w:spacing w:val="-3"/>
          <w:sz w:val="24"/>
          <w:szCs w:val="24"/>
        </w:rPr>
        <w:t>包括便携式电脑、万</w:t>
      </w:r>
      <w:r>
        <w:rPr>
          <w:rFonts w:hint="eastAsia" w:ascii="仿宋" w:hAnsi="仿宋" w:eastAsia="仿宋" w:cs="仿宋"/>
          <w:sz w:val="24"/>
          <w:szCs w:val="24"/>
        </w:rPr>
        <w:t>用表、远程数据查询系统等）和通讯调试工具（包括各种硬件接口线、改线工具、接口调试软件及常用零部件等）。</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拟派本项目技术人员、车辆最低配置要求：</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至少配备1名项目经理，7名运维人员，1名数据审核人员、7辆运维车辆。</w:t>
      </w:r>
    </w:p>
    <w:p>
      <w:pPr>
        <w:pStyle w:val="5"/>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2.3运维工作内容</w:t>
      </w:r>
    </w:p>
    <w:p>
      <w:pPr>
        <w:pStyle w:val="6"/>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2.3.1环境空气质量自动监测——标准空气站</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sz w:val="24"/>
          <w:szCs w:val="24"/>
        </w:rPr>
      </w:pPr>
      <w:r>
        <w:rPr>
          <w:rFonts w:hint="eastAsia" w:ascii="仿宋" w:hAnsi="仿宋" w:eastAsia="仿宋" w:cs="仿宋"/>
          <w:b/>
          <w:sz w:val="24"/>
          <w:szCs w:val="24"/>
        </w:rPr>
        <w:t>总体要求</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在委托运行管理及维修期间本着负责的精神，依照规范，科学管理，使各系统及仪表运行达到国家及行业颁布的技术标准和考核指标要求，既要及时维修故障，更要防范和减少故障，使各设备真正发挥其效能和作用，确保监测数据及时、科学和准确。</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sz w:val="24"/>
          <w:szCs w:val="24"/>
        </w:rPr>
      </w:pPr>
      <w:r>
        <w:rPr>
          <w:rFonts w:hint="eastAsia" w:ascii="仿宋" w:hAnsi="仿宋" w:eastAsia="仿宋" w:cs="仿宋"/>
          <w:b/>
          <w:sz w:val="24"/>
          <w:szCs w:val="24"/>
        </w:rPr>
        <w:t>运维工作一般要求</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（1）定期检查消防和安全设施。</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（2）每次维护后做好系统运行维护记录。</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b/>
          <w:bCs/>
          <w:sz w:val="24"/>
          <w:szCs w:val="24"/>
        </w:rPr>
      </w:pPr>
      <w:r>
        <w:rPr>
          <w:rFonts w:hint="eastAsia" w:ascii="仿宋" w:hAnsi="仿宋" w:eastAsia="仿宋" w:cs="仿宋"/>
          <w:sz w:val="24"/>
          <w:szCs w:val="24"/>
        </w:rPr>
        <w:t>（3）进行维护时，规范操作，注意安全，防止意外发生。</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bCs/>
          <w:sz w:val="24"/>
          <w:szCs w:val="24"/>
        </w:rPr>
      </w:pPr>
      <w:r>
        <w:rPr>
          <w:rFonts w:hint="eastAsia" w:ascii="仿宋" w:hAnsi="仿宋" w:eastAsia="仿宋" w:cs="仿宋"/>
          <w:b/>
          <w:bCs/>
          <w:sz w:val="24"/>
          <w:szCs w:val="24"/>
        </w:rPr>
        <w:t>日常巡检及维护</w:t>
      </w:r>
      <w:r>
        <w:rPr>
          <w:rFonts w:hint="eastAsia" w:ascii="仿宋" w:hAnsi="仿宋" w:eastAsia="仿宋" w:cs="仿宋"/>
          <w:b/>
          <w:bCs/>
          <w:w w:val="181"/>
          <w:sz w:val="24"/>
          <w:szCs w:val="24"/>
        </w:rPr>
        <w:t xml:space="preserve"> </w:t>
      </w:r>
    </w:p>
    <w:p>
      <w:pPr>
        <w:pageBreakBefore w:val="0"/>
        <w:kinsoku/>
        <w:wordWrap/>
        <w:overflowPunct/>
        <w:topLinePunct w:val="0"/>
        <w:bidi w:val="0"/>
        <w:adjustRightInd/>
        <w:snapToGrid/>
        <w:spacing w:beforeAutospacing="0" w:afterAutospacing="0" w:line="360" w:lineRule="auto"/>
        <w:ind w:left="0" w:leftChars="0" w:right="0" w:rightChars="0" w:firstLine="464"/>
        <w:textAlignment w:val="auto"/>
        <w:rPr>
          <w:rFonts w:hint="eastAsia" w:ascii="仿宋" w:hAnsi="仿宋" w:eastAsia="仿宋" w:cs="仿宋"/>
          <w:sz w:val="24"/>
          <w:szCs w:val="24"/>
        </w:rPr>
      </w:pPr>
      <w:r>
        <w:rPr>
          <w:rFonts w:hint="eastAsia" w:ascii="仿宋" w:hAnsi="仿宋" w:eastAsia="仿宋" w:cs="仿宋"/>
          <w:spacing w:val="-4"/>
          <w:sz w:val="24"/>
          <w:szCs w:val="24"/>
        </w:rPr>
        <w:t>（1）保持站房内部环境清洁，布置整齐，各仪器设备干净清洁，设备标识</w:t>
      </w:r>
      <w:r>
        <w:rPr>
          <w:rFonts w:hint="eastAsia" w:ascii="仿宋" w:hAnsi="仿宋" w:eastAsia="仿宋" w:cs="仿宋"/>
          <w:sz w:val="24"/>
          <w:szCs w:val="24"/>
        </w:rPr>
        <w:t>清楚。</w:t>
      </w:r>
      <w:r>
        <w:rPr>
          <w:rFonts w:hint="eastAsia" w:ascii="仿宋" w:hAnsi="仿宋" w:eastAsia="仿宋" w:cs="仿宋"/>
          <w:w w:val="181"/>
          <w:sz w:val="24"/>
          <w:szCs w:val="24"/>
        </w:rPr>
        <w:t xml:space="preserve"> </w:t>
      </w:r>
    </w:p>
    <w:p>
      <w:pPr>
        <w:pageBreakBefore w:val="0"/>
        <w:kinsoku/>
        <w:wordWrap/>
        <w:overflowPunct/>
        <w:topLinePunct w:val="0"/>
        <w:bidi w:val="0"/>
        <w:adjustRightInd/>
        <w:snapToGrid/>
        <w:spacing w:beforeAutospacing="0" w:afterAutospacing="0" w:line="360" w:lineRule="auto"/>
        <w:ind w:left="0" w:leftChars="0" w:right="0" w:rightChars="0" w:firstLine="464"/>
        <w:textAlignment w:val="auto"/>
        <w:rPr>
          <w:rFonts w:hint="eastAsia" w:ascii="仿宋" w:hAnsi="仿宋" w:eastAsia="仿宋" w:cs="仿宋"/>
          <w:sz w:val="24"/>
          <w:szCs w:val="24"/>
        </w:rPr>
      </w:pPr>
      <w:bookmarkStart w:id="177" w:name="（2）检查供电、电话通讯的情况，保证系统的正常运行。"/>
      <w:bookmarkEnd w:id="177"/>
      <w:r>
        <w:rPr>
          <w:rFonts w:hint="eastAsia" w:ascii="仿宋" w:hAnsi="仿宋" w:eastAsia="仿宋" w:cs="仿宋"/>
          <w:spacing w:val="-4"/>
          <w:sz w:val="24"/>
          <w:szCs w:val="24"/>
        </w:rPr>
        <w:t>（2）保证空调正常工作，仪器运行温度保持在</w:t>
      </w:r>
      <w:r>
        <w:rPr>
          <w:rFonts w:hint="eastAsia" w:ascii="仿宋" w:hAnsi="仿宋" w:eastAsia="仿宋" w:cs="仿宋"/>
          <w:sz w:val="24"/>
          <w:szCs w:val="24"/>
        </w:rPr>
        <w:t>25℃</w:t>
      </w:r>
      <w:r>
        <w:rPr>
          <w:rFonts w:hint="eastAsia" w:ascii="仿宋" w:hAnsi="仿宋" w:eastAsia="仿宋" w:cs="仿宋"/>
          <w:spacing w:val="-6"/>
          <w:sz w:val="24"/>
          <w:szCs w:val="24"/>
        </w:rPr>
        <w:t>左右，湿度保持在</w:t>
      </w:r>
      <w:r>
        <w:rPr>
          <w:rFonts w:hint="eastAsia" w:ascii="仿宋" w:hAnsi="仿宋" w:eastAsia="仿宋" w:cs="仿宋"/>
          <w:spacing w:val="-3"/>
          <w:sz w:val="24"/>
          <w:szCs w:val="24"/>
        </w:rPr>
        <w:t>80%RH</w:t>
      </w:r>
      <w:r>
        <w:rPr>
          <w:rFonts w:hint="eastAsia" w:ascii="仿宋" w:hAnsi="仿宋" w:eastAsia="仿宋" w:cs="仿宋"/>
          <w:sz w:val="24"/>
          <w:szCs w:val="24"/>
        </w:rPr>
        <w:t xml:space="preserve">以下，空调的过滤网每月至少清洗1次，在冬、夏季节应注意站房室内外温差，及时调节站房内控制温度或对采样总管采取适当的控制措施，防止出现冷凝现象。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（3）定期检查消防和安全设施。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（4）每次维护后做好系统运行维护记录。</w:t>
      </w:r>
    </w:p>
    <w:p>
      <w:pPr>
        <w:pageBreakBefore w:val="0"/>
        <w:kinsoku/>
        <w:wordWrap/>
        <w:overflowPunct/>
        <w:topLinePunct w:val="0"/>
        <w:bidi w:val="0"/>
        <w:adjustRightInd/>
        <w:snapToGrid/>
        <w:spacing w:beforeAutospacing="0" w:afterAutospacing="0" w:line="360" w:lineRule="auto"/>
        <w:ind w:left="0" w:leftChars="0" w:right="0" w:rightChars="0" w:firstLine="478"/>
        <w:textAlignment w:val="auto"/>
        <w:rPr>
          <w:rFonts w:hint="eastAsia" w:ascii="仿宋" w:hAnsi="仿宋" w:eastAsia="仿宋" w:cs="仿宋"/>
          <w:b/>
          <w:bCs/>
          <w:spacing w:val="-1"/>
          <w:sz w:val="24"/>
          <w:szCs w:val="24"/>
        </w:rPr>
      </w:pPr>
      <w:r>
        <w:rPr>
          <w:rFonts w:hint="eastAsia" w:ascii="仿宋" w:hAnsi="仿宋" w:eastAsia="仿宋" w:cs="仿宋"/>
          <w:b/>
          <w:bCs/>
          <w:spacing w:val="-1"/>
          <w:sz w:val="24"/>
          <w:szCs w:val="24"/>
        </w:rPr>
        <w:t>每周工作</w:t>
      </w:r>
    </w:p>
    <w:p>
      <w:pPr>
        <w:pageBreakBefore w:val="0"/>
        <w:kinsoku/>
        <w:wordWrap/>
        <w:overflowPunct/>
        <w:topLinePunct w:val="0"/>
        <w:autoSpaceDE w:val="0"/>
        <w:autoSpaceDN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（1）查看空气站设备是否齐备，无丢失和损坏；检查接地线路是否可靠，排风排气装置工作是否正常，标准气钢瓶阀门是否漏气，标准气的消耗情况。</w:t>
      </w:r>
    </w:p>
    <w:p>
      <w:pPr>
        <w:pageBreakBefore w:val="0"/>
        <w:kinsoku/>
        <w:wordWrap/>
        <w:overflowPunct/>
        <w:topLinePunct w:val="0"/>
        <w:autoSpaceDE w:val="0"/>
        <w:autoSpaceDN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（2）检查采样和排气管路是否有漏气或堵塞现象，各分析仪器采样流量是否正常。</w:t>
      </w:r>
    </w:p>
    <w:p>
      <w:pPr>
        <w:pageBreakBefore w:val="0"/>
        <w:kinsoku/>
        <w:wordWrap/>
        <w:overflowPunct/>
        <w:topLinePunct w:val="0"/>
        <w:autoSpaceDE w:val="0"/>
        <w:autoSpaceDN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（3）检查各分析仪器的运行状况和工作参数，判断是否正常，如有异常情况及时处理，保证仪器运行正常。</w:t>
      </w:r>
    </w:p>
    <w:p>
      <w:pPr>
        <w:pageBreakBefore w:val="0"/>
        <w:kinsoku/>
        <w:wordWrap/>
        <w:overflowPunct/>
        <w:topLinePunct w:val="0"/>
        <w:autoSpaceDE w:val="0"/>
        <w:autoSpaceDN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（4）对二氧化硫、一氧化碳、臭氧、氮氧化物分析仪进行零点、跨度检查，如果漂移超过国家相关规范要求，需要进行校准。进行1次自动和手工较零。对监测仪器的跨度进行单点标定每周至少一次。</w:t>
      </w:r>
    </w:p>
    <w:p>
      <w:pPr>
        <w:pageBreakBefore w:val="0"/>
        <w:kinsoku/>
        <w:wordWrap/>
        <w:overflowPunct/>
        <w:topLinePunct w:val="0"/>
        <w:autoSpaceDE w:val="0"/>
        <w:autoSpaceDN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（5）检查外部环境是否正常，有没有对测定结果或运行环境存在明显影响的污染源。</w:t>
      </w:r>
    </w:p>
    <w:p>
      <w:pPr>
        <w:pageBreakBefore w:val="0"/>
        <w:kinsoku/>
        <w:wordWrap/>
        <w:overflowPunct/>
        <w:topLinePunct w:val="0"/>
        <w:autoSpaceDE w:val="0"/>
        <w:autoSpaceDN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（6）检查电路系统和通讯系统，保证系统供电正常，电压稳定；检查空气站的通讯系统，保证空气站与远程监控中心的连接正常，数据传输正常。</w:t>
      </w:r>
    </w:p>
    <w:p>
      <w:pPr>
        <w:pageBreakBefore w:val="0"/>
        <w:kinsoku/>
        <w:wordWrap/>
        <w:overflowPunct/>
        <w:topLinePunct w:val="0"/>
        <w:autoSpaceDE w:val="0"/>
        <w:autoSpaceDN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（7）检查监测仪器的采样入口与采样支路管线结合部之间安装的过滤膜的污染情况，每周更换滤膜，每周检查监测仪器散热风扇污染情况，及时清洗。</w:t>
      </w:r>
    </w:p>
    <w:p>
      <w:pPr>
        <w:pageBreakBefore w:val="0"/>
        <w:kinsoku/>
        <w:wordWrap/>
        <w:overflowPunct/>
        <w:topLinePunct w:val="0"/>
        <w:autoSpaceDE w:val="0"/>
        <w:autoSpaceDN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（8）检查站房内温度（25</w:t>
      </w:r>
      <w:r>
        <w:rPr>
          <w:rFonts w:hint="eastAsia" w:ascii="仿宋" w:hAnsi="仿宋" w:eastAsia="仿宋" w:cs="仿宋"/>
          <w:color w:val="000000"/>
          <w:sz w:val="24"/>
          <w:szCs w:val="24"/>
          <w:vertAlign w:val="superscript"/>
        </w:rPr>
        <w:t>0</w:t>
      </w:r>
      <w:r>
        <w:rPr>
          <w:rFonts w:hint="eastAsia" w:ascii="仿宋" w:hAnsi="仿宋" w:eastAsia="仿宋" w:cs="仿宋"/>
          <w:color w:val="000000"/>
          <w:sz w:val="24"/>
          <w:szCs w:val="24"/>
        </w:rPr>
        <w:t>C±3</w:t>
      </w:r>
      <w:r>
        <w:rPr>
          <w:rFonts w:hint="eastAsia" w:ascii="仿宋" w:hAnsi="仿宋" w:eastAsia="仿宋" w:cs="仿宋"/>
          <w:color w:val="000000"/>
          <w:sz w:val="24"/>
          <w:szCs w:val="24"/>
          <w:vertAlign w:val="superscript"/>
        </w:rPr>
        <w:t>0</w:t>
      </w:r>
      <w:r>
        <w:rPr>
          <w:rFonts w:hint="eastAsia" w:ascii="仿宋" w:hAnsi="仿宋" w:eastAsia="仿宋" w:cs="仿宋"/>
          <w:color w:val="000000"/>
          <w:sz w:val="24"/>
          <w:szCs w:val="24"/>
        </w:rPr>
        <w:t>C)、湿度（≤80%）在冬、夏季节应注意空气站房室内外温差，若温差较大，应及时改变站房温度或对采样总管采取适当的控制措施，防止冷凝现象。</w:t>
      </w:r>
    </w:p>
    <w:p>
      <w:pPr>
        <w:pageBreakBefore w:val="0"/>
        <w:kinsoku/>
        <w:wordWrap/>
        <w:overflowPunct/>
        <w:topLinePunct w:val="0"/>
        <w:autoSpaceDE w:val="0"/>
        <w:autoSpaceDN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（9）应及时清除空气站房周围的杂草和积水，当周围树木生长超过规范规定的控制限时，应及时剪除对采样或监测光束有影响的树枝。</w:t>
      </w:r>
    </w:p>
    <w:p>
      <w:pPr>
        <w:pageBreakBefore w:val="0"/>
        <w:kinsoku/>
        <w:wordWrap/>
        <w:overflowPunct/>
        <w:topLinePunct w:val="0"/>
        <w:autoSpaceDE w:val="0"/>
        <w:autoSpaceDN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（10）应经常检查避雷设施是否可靠，空气站房屋是否有漏雨现象，气象杆和天线是否被刮坏，站房外围的其它设施是否有损坏或被水淹，如遇到以上问题应及时处理，保证系统能安全运行。</w:t>
      </w:r>
    </w:p>
    <w:p>
      <w:pPr>
        <w:pageBreakBefore w:val="0"/>
        <w:kinsoku/>
        <w:wordWrap/>
        <w:overflowPunct/>
        <w:topLinePunct w:val="0"/>
        <w:autoSpaceDE w:val="0"/>
        <w:autoSpaceDN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（11）检查站房的安全设施，做好防火防盗工作。</w:t>
      </w:r>
    </w:p>
    <w:p>
      <w:pPr>
        <w:pageBreakBefore w:val="0"/>
        <w:kinsoku/>
        <w:wordWrap/>
        <w:overflowPunct/>
        <w:topLinePunct w:val="0"/>
        <w:autoSpaceDE w:val="0"/>
        <w:autoSpaceDN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（12）每周对气象仪器的运行情况进行检查。</w:t>
      </w:r>
    </w:p>
    <w:p>
      <w:pPr>
        <w:pageBreakBefore w:val="0"/>
        <w:kinsoku/>
        <w:wordWrap/>
        <w:overflowPunct/>
        <w:topLinePunct w:val="0"/>
        <w:autoSpaceDE w:val="0"/>
        <w:autoSpaceDN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（13）每周对颗粒物的采样纸带或滤膜进行检查，如纸带即将用尽或滤膜负载超过50%，及时进行更换。</w:t>
      </w:r>
    </w:p>
    <w:p>
      <w:pPr>
        <w:pageBreakBefore w:val="0"/>
        <w:kinsoku/>
        <w:wordWrap/>
        <w:overflowPunct/>
        <w:topLinePunct w:val="0"/>
        <w:autoSpaceDE w:val="0"/>
        <w:autoSpaceDN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（14）每周对站房内外环境卫生进行检查，及时保洁。</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（15）按照系统说明书或作业指导书要求定期更换吸附管或捕集柱、阀膜、色谱柱等重要耗材。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（16）按照系统说明书或作业指导书要求做好周期性维护，及时清洁气动阀阀芯、散热风扇等重要部件，对检测器进行清理维护、维修、调谐后，应重新建立标准曲线。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（17）如运行维护涉及对气路上的关键硬件部分进行拆卸、打开，维护操作完成后，应按照系统说明书、作业指导书等要求对系统进行验漏。</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bCs/>
          <w:sz w:val="24"/>
          <w:szCs w:val="24"/>
        </w:rPr>
      </w:pPr>
      <w:r>
        <w:rPr>
          <w:rFonts w:hint="eastAsia" w:ascii="仿宋" w:hAnsi="仿宋" w:eastAsia="仿宋" w:cs="仿宋"/>
          <w:b/>
          <w:bCs/>
          <w:sz w:val="24"/>
          <w:szCs w:val="24"/>
        </w:rPr>
        <w:t>每月工作</w:t>
      </w:r>
      <w:r>
        <w:rPr>
          <w:rFonts w:hint="eastAsia" w:ascii="仿宋" w:hAnsi="仿宋" w:eastAsia="仿宋" w:cs="仿宋"/>
          <w:b/>
          <w:bCs/>
          <w:w w:val="181"/>
          <w:sz w:val="24"/>
          <w:szCs w:val="24"/>
        </w:rPr>
        <w:t xml:space="preserve">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（1）每月更换尘过滤膜2-3次，清洗防尘罩1-2次，及时更换干燥剂。 </w:t>
      </w:r>
    </w:p>
    <w:p>
      <w:pPr>
        <w:pageBreakBefore w:val="0"/>
        <w:kinsoku/>
        <w:wordWrap/>
        <w:overflowPunct/>
        <w:topLinePunct w:val="0"/>
        <w:bidi w:val="0"/>
        <w:adjustRightInd/>
        <w:snapToGrid/>
        <w:spacing w:beforeAutospacing="0" w:afterAutospacing="0" w:line="360" w:lineRule="auto"/>
        <w:ind w:left="0" w:leftChars="0" w:right="0" w:rightChars="0" w:firstLine="452"/>
        <w:textAlignment w:val="auto"/>
        <w:rPr>
          <w:rFonts w:hint="eastAsia" w:ascii="仿宋" w:hAnsi="仿宋" w:eastAsia="仿宋" w:cs="仿宋"/>
          <w:sz w:val="24"/>
          <w:szCs w:val="24"/>
        </w:rPr>
      </w:pPr>
      <w:r>
        <w:rPr>
          <w:rFonts w:hint="eastAsia" w:ascii="仿宋" w:hAnsi="仿宋" w:eastAsia="仿宋" w:cs="仿宋"/>
          <w:spacing w:val="-7"/>
          <w:sz w:val="24"/>
          <w:szCs w:val="24"/>
        </w:rPr>
        <w:t>（2）光电法监测仪器每月进行一次精密度测试。测尘仪每月进行流量校准。</w:t>
      </w:r>
      <w:r>
        <w:rPr>
          <w:rFonts w:hint="eastAsia" w:ascii="仿宋" w:hAnsi="仿宋" w:eastAsia="仿宋" w:cs="仿宋"/>
          <w:sz w:val="24"/>
          <w:szCs w:val="24"/>
        </w:rPr>
        <w:t xml:space="preserve">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（3）清洗PM10及PM2.5</w:t>
      </w:r>
      <w:r>
        <w:rPr>
          <w:rFonts w:hint="eastAsia" w:ascii="仿宋" w:hAnsi="仿宋" w:eastAsia="仿宋" w:cs="仿宋"/>
          <w:spacing w:val="-6"/>
          <w:sz w:val="24"/>
          <w:szCs w:val="24"/>
        </w:rPr>
        <w:t>切割器，检查</w:t>
      </w:r>
      <w:r>
        <w:rPr>
          <w:rFonts w:hint="eastAsia" w:ascii="仿宋" w:hAnsi="仿宋" w:eastAsia="仿宋" w:cs="仿宋"/>
          <w:sz w:val="24"/>
          <w:szCs w:val="24"/>
        </w:rPr>
        <w:t>β</w:t>
      </w:r>
      <w:r>
        <w:rPr>
          <w:rFonts w:hint="eastAsia" w:ascii="仿宋" w:hAnsi="仿宋" w:eastAsia="仿宋" w:cs="仿宋"/>
          <w:spacing w:val="-3"/>
          <w:sz w:val="24"/>
          <w:szCs w:val="24"/>
        </w:rPr>
        <w:t>法颗粒物分析仪仪器喷嘴、压环等</w:t>
      </w:r>
      <w:r>
        <w:rPr>
          <w:rFonts w:hint="eastAsia" w:ascii="仿宋" w:hAnsi="仿宋" w:eastAsia="仿宋" w:cs="仿宋"/>
          <w:spacing w:val="-5"/>
          <w:sz w:val="24"/>
          <w:szCs w:val="24"/>
        </w:rPr>
        <w:t xml:space="preserve">部件。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（4）检查PM10及PM2.5</w:t>
      </w:r>
      <w:r>
        <w:rPr>
          <w:rFonts w:hint="eastAsia" w:ascii="仿宋" w:hAnsi="仿宋" w:eastAsia="仿宋" w:cs="仿宋"/>
          <w:spacing w:val="-8"/>
          <w:sz w:val="24"/>
          <w:szCs w:val="24"/>
        </w:rPr>
        <w:t>监测仪、气态分析仪、动态气体校准仪流量，超过</w:t>
      </w:r>
      <w:r>
        <w:rPr>
          <w:rFonts w:hint="eastAsia" w:ascii="仿宋" w:hAnsi="仿宋" w:eastAsia="仿宋" w:cs="仿宋"/>
          <w:spacing w:val="-4"/>
          <w:sz w:val="24"/>
          <w:szCs w:val="24"/>
        </w:rPr>
        <w:t xml:space="preserve">国家相关规范要求，及时进行校准。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（5）对仪器显示数据和数据采集仪之间的一致性进行检查。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（6）每月进行一次采样流量检查。</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bCs/>
          <w:sz w:val="24"/>
          <w:szCs w:val="24"/>
        </w:rPr>
      </w:pPr>
      <w:r>
        <w:rPr>
          <w:rFonts w:hint="eastAsia" w:ascii="仿宋" w:hAnsi="仿宋" w:eastAsia="仿宋" w:cs="仿宋"/>
          <w:b/>
          <w:bCs/>
          <w:sz w:val="24"/>
          <w:szCs w:val="24"/>
        </w:rPr>
        <w:t>每半年工作</w:t>
      </w:r>
    </w:p>
    <w:p>
      <w:pPr>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（1）清洗采样总管。清洗或更换采样支管。</w:t>
      </w:r>
    </w:p>
    <w:p>
      <w:pPr>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（2）更换零气源活性炭。更换NO</w:t>
      </w:r>
      <w:r>
        <w:rPr>
          <w:rFonts w:hint="eastAsia" w:ascii="仿宋" w:hAnsi="仿宋" w:eastAsia="仿宋" w:cs="仿宋"/>
          <w:color w:val="000000"/>
          <w:kern w:val="0"/>
          <w:sz w:val="24"/>
          <w:szCs w:val="24"/>
          <w:vertAlign w:val="subscript"/>
        </w:rPr>
        <w:t>X</w:t>
      </w:r>
      <w:r>
        <w:rPr>
          <w:rFonts w:hint="eastAsia" w:ascii="仿宋" w:hAnsi="仿宋" w:eastAsia="仿宋" w:cs="仿宋"/>
          <w:color w:val="000000"/>
          <w:kern w:val="0"/>
          <w:sz w:val="24"/>
          <w:szCs w:val="24"/>
        </w:rPr>
        <w:t>仪辅助进气口活性炭和氧化剂。更换NO</w:t>
      </w:r>
      <w:r>
        <w:rPr>
          <w:rFonts w:hint="eastAsia" w:ascii="仿宋" w:hAnsi="仿宋" w:eastAsia="仿宋" w:cs="仿宋"/>
          <w:color w:val="000000"/>
          <w:kern w:val="0"/>
          <w:sz w:val="24"/>
          <w:szCs w:val="24"/>
          <w:vertAlign w:val="subscript"/>
        </w:rPr>
        <w:t>X</w:t>
      </w:r>
      <w:r>
        <w:rPr>
          <w:rFonts w:hint="eastAsia" w:ascii="仿宋" w:hAnsi="仿宋" w:eastAsia="仿宋" w:cs="仿宋"/>
          <w:color w:val="000000"/>
          <w:kern w:val="0"/>
          <w:sz w:val="24"/>
          <w:szCs w:val="24"/>
        </w:rPr>
        <w:t>仪泵前吸臭氧活性炭。</w:t>
      </w:r>
    </w:p>
    <w:p>
      <w:pPr>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（3）检查PM</w:t>
      </w:r>
      <w:r>
        <w:rPr>
          <w:rFonts w:hint="eastAsia" w:ascii="仿宋" w:hAnsi="仿宋" w:eastAsia="仿宋" w:cs="仿宋"/>
          <w:color w:val="000000"/>
          <w:kern w:val="0"/>
          <w:sz w:val="24"/>
          <w:szCs w:val="24"/>
          <w:vertAlign w:val="subscript"/>
        </w:rPr>
        <w:t>2.5</w:t>
      </w:r>
      <w:r>
        <w:rPr>
          <w:rFonts w:hint="eastAsia" w:ascii="仿宋" w:hAnsi="仿宋" w:eastAsia="仿宋" w:cs="仿宋"/>
          <w:color w:val="000000"/>
          <w:kern w:val="0"/>
          <w:sz w:val="24"/>
          <w:szCs w:val="24"/>
        </w:rPr>
        <w:t>、颗粒物（PM</w:t>
      </w:r>
      <w:r>
        <w:rPr>
          <w:rFonts w:hint="eastAsia" w:ascii="仿宋" w:hAnsi="仿宋" w:eastAsia="仿宋" w:cs="仿宋"/>
          <w:color w:val="000000"/>
          <w:kern w:val="0"/>
          <w:sz w:val="24"/>
          <w:szCs w:val="24"/>
          <w:vertAlign w:val="subscript"/>
        </w:rPr>
        <w:t>10</w:t>
      </w:r>
      <w:r>
        <w:rPr>
          <w:rFonts w:hint="eastAsia" w:ascii="仿宋" w:hAnsi="仿宋" w:eastAsia="仿宋" w:cs="仿宋"/>
          <w:color w:val="000000"/>
          <w:kern w:val="0"/>
          <w:sz w:val="24"/>
          <w:szCs w:val="24"/>
        </w:rPr>
        <w:t>）分析仪相对湿度、温度传感器和动态加热装置是否正常工作。</w:t>
      </w:r>
    </w:p>
    <w:p>
      <w:pPr>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120" w:firstLineChars="5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（4）对气态污染物监测仪进行多点校准，绘制校准曲线，检验相关系数、斜率和截距。</w:t>
      </w:r>
    </w:p>
    <w:p>
      <w:pPr>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120" w:firstLineChars="5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（5）动态气体校准仪流量进行20点检查，必要时校准。</w:t>
      </w:r>
    </w:p>
    <w:p>
      <w:pPr>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120" w:firstLineChars="5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（6）采用臭氧传递标准对空气站臭氧工作标准进行标准传递。</w:t>
      </w:r>
    </w:p>
    <w:p>
      <w:pPr>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120" w:firstLineChars="5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（7）更换零气源净化剂和氧化剂，对零气性能进行检查。</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rPr>
        <w:t>（8）对氮氧化物分析仪钼炉转化率进行检查。</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bCs/>
          <w:sz w:val="24"/>
          <w:szCs w:val="24"/>
        </w:rPr>
      </w:pPr>
      <w:r>
        <w:rPr>
          <w:rFonts w:hint="eastAsia" w:ascii="仿宋" w:hAnsi="仿宋" w:eastAsia="仿宋" w:cs="仿宋"/>
          <w:b/>
          <w:bCs/>
          <w:sz w:val="24"/>
          <w:szCs w:val="24"/>
        </w:rPr>
        <w:t>每年工作</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（1）对所有的仪器进行预防性维护，按说明书的要求更换备件，更换所有</w:t>
      </w:r>
      <w:r>
        <w:rPr>
          <w:rFonts w:hint="eastAsia" w:ascii="仿宋" w:hAnsi="仿宋" w:eastAsia="仿宋" w:cs="仿宋"/>
          <w:spacing w:val="-1"/>
          <w:sz w:val="24"/>
          <w:szCs w:val="24"/>
        </w:rPr>
        <w:t xml:space="preserve">泵组件。 </w:t>
      </w:r>
    </w:p>
    <w:p>
      <w:pPr>
        <w:pageBreakBefore w:val="0"/>
        <w:kinsoku/>
        <w:wordWrap/>
        <w:overflowPunct/>
        <w:topLinePunct w:val="0"/>
        <w:bidi w:val="0"/>
        <w:adjustRightInd/>
        <w:snapToGrid/>
        <w:spacing w:beforeAutospacing="0" w:afterAutospacing="0" w:line="360" w:lineRule="auto"/>
        <w:ind w:left="0" w:leftChars="0" w:right="0" w:rightChars="0" w:firstLine="476"/>
        <w:textAlignment w:val="auto"/>
        <w:rPr>
          <w:rFonts w:hint="eastAsia" w:ascii="仿宋" w:hAnsi="仿宋" w:eastAsia="仿宋" w:cs="仿宋"/>
          <w:sz w:val="24"/>
          <w:szCs w:val="24"/>
        </w:rPr>
      </w:pPr>
      <w:r>
        <w:rPr>
          <w:rFonts w:hint="eastAsia" w:ascii="仿宋" w:hAnsi="仿宋" w:eastAsia="仿宋" w:cs="仿宋"/>
          <w:spacing w:val="-1"/>
          <w:sz w:val="24"/>
          <w:szCs w:val="24"/>
        </w:rPr>
        <w:t>（2）零气发生器活性炭每年至少更换一次，动态校准器每年进行一次流量</w:t>
      </w:r>
      <w:r>
        <w:rPr>
          <w:rFonts w:hint="eastAsia" w:ascii="仿宋" w:hAnsi="仿宋" w:eastAsia="仿宋" w:cs="仿宋"/>
          <w:sz w:val="24"/>
          <w:szCs w:val="24"/>
        </w:rPr>
        <w:t xml:space="preserve">校准。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（3）每台仪器每年送质量控制室进行线性校准一次。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（4）所有进行的操作和质量保证工作，应记录在子站运行记录上。 </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bCs/>
          <w:sz w:val="24"/>
          <w:szCs w:val="24"/>
        </w:rPr>
      </w:pPr>
      <w:r>
        <w:rPr>
          <w:rFonts w:hint="eastAsia" w:ascii="仿宋" w:hAnsi="仿宋" w:eastAsia="仿宋" w:cs="仿宋"/>
          <w:b/>
          <w:bCs/>
          <w:sz w:val="24"/>
          <w:szCs w:val="24"/>
        </w:rPr>
        <w:t>建立维护档案</w:t>
      </w:r>
      <w:r>
        <w:rPr>
          <w:rFonts w:hint="eastAsia" w:ascii="仿宋" w:hAnsi="仿宋" w:eastAsia="仿宋" w:cs="仿宋"/>
          <w:b/>
          <w:bCs/>
          <w:w w:val="181"/>
          <w:sz w:val="24"/>
          <w:szCs w:val="24"/>
        </w:rPr>
        <w:t xml:space="preserve"> </w:t>
      </w:r>
    </w:p>
    <w:p>
      <w:pPr>
        <w:pageBreakBefore w:val="0"/>
        <w:kinsoku/>
        <w:wordWrap/>
        <w:overflowPunct/>
        <w:topLinePunct w:val="0"/>
        <w:bidi w:val="0"/>
        <w:adjustRightInd/>
        <w:snapToGrid/>
        <w:spacing w:beforeAutospacing="0" w:afterAutospacing="0" w:line="360" w:lineRule="auto"/>
        <w:ind w:left="0" w:leftChars="0" w:right="0" w:rightChars="0" w:firstLine="456"/>
        <w:textAlignment w:val="auto"/>
        <w:rPr>
          <w:rFonts w:hint="eastAsia" w:ascii="仿宋" w:hAnsi="仿宋" w:eastAsia="仿宋" w:cs="仿宋"/>
          <w:sz w:val="24"/>
          <w:szCs w:val="24"/>
        </w:rPr>
      </w:pPr>
      <w:r>
        <w:rPr>
          <w:rFonts w:hint="eastAsia" w:ascii="仿宋" w:hAnsi="仿宋" w:eastAsia="仿宋" w:cs="仿宋"/>
          <w:spacing w:val="-6"/>
          <w:sz w:val="24"/>
          <w:szCs w:val="24"/>
        </w:rPr>
        <w:t>将子站的运行过程和运行事件进行详细记录，并进行归档管理。日常运维中</w:t>
      </w:r>
      <w:r>
        <w:rPr>
          <w:rFonts w:hint="eastAsia" w:ascii="仿宋" w:hAnsi="仿宋" w:eastAsia="仿宋" w:cs="仿宋"/>
          <w:spacing w:val="-9"/>
          <w:sz w:val="24"/>
          <w:szCs w:val="24"/>
        </w:rPr>
        <w:t>使用的相关记录表格，应当使用统一样式表格。日常运维中使用运行管理相关记</w:t>
      </w:r>
      <w:r>
        <w:rPr>
          <w:rFonts w:hint="eastAsia" w:ascii="仿宋" w:hAnsi="仿宋" w:eastAsia="仿宋" w:cs="仿宋"/>
          <w:sz w:val="24"/>
          <w:szCs w:val="24"/>
        </w:rPr>
        <w:t xml:space="preserve">录至少应包括：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监测站运行维护记录表；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颗粒监测仪校准检查记录；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监测站主要消耗材料使用登记表；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空气自动监测系统仪器设备维修记录表；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空气自动监测系统备品备件管理记录表； </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 xml:space="preserve">空气自动监测系统仪器资料保管清单。 </w:t>
      </w:r>
    </w:p>
    <w:p>
      <w:pPr>
        <w:pStyle w:val="6"/>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2.3.2环境空气质量自动监测——超级站</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bCs/>
          <w:sz w:val="24"/>
          <w:szCs w:val="24"/>
        </w:rPr>
      </w:pPr>
      <w:r>
        <w:rPr>
          <w:rFonts w:hint="eastAsia" w:ascii="仿宋" w:hAnsi="仿宋" w:eastAsia="仿宋" w:cs="仿宋"/>
          <w:b/>
          <w:bCs/>
          <w:sz w:val="24"/>
          <w:szCs w:val="24"/>
        </w:rPr>
        <w:t>每天工作</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远程连接到仪器现场端进行检查，包括：</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（1）系统状态检查</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检查系统是否有报警等异常提示，以及富集/解析模块、分析模块的温度、气压、时间、流量、电压等重要参数是否正常。系统状态检查可通过远程或者现场检查的方式完成。</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（2）基线检查</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按照厂家说明书或作业指导书要求检查图谱基线（质谱应使用TIC 图）是否存在异常漂移和波动，特别是水分对基线的影响。如存在异常漂移和波动，应及时标识或剔除异常数据或对受影响的化合物进行重积分。</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（3）保留时间漂移</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根据保留时间前、中、后各段经常检出且浓度较高的特征VOCs组分检查保留时间漂移是否超出0.5min，如超出要求应重新设置保留时间积分窗。重点关注漂移是否影响监测组分的自动积分，如有影响，应进行重积分。</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（4）质谱检测器内标响应检查</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对质谱内标化合物特征离子丰度进行检查，质谱内标定量离子峰面积变化应在校准曲线绘制时离子峰面积的 50%~150%范围内。如系统具备氟利昂11、12、113等天然源组分的检测能力，可将其作为天然内标系统定量稳定性，具体检查方法与合格标准应根据系统作业指导书执行。</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（5）数据标识与重积分</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日审核结束后，应对异常数据进行无效标识或剔除，并对需要进行重积分的谱图和色谱峰进行重积分。</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关键物种检出率：常检出物种（乙烷、丙烷、正丁烷、乙烯、丙烯、乙炔、苯、甲苯、间对二甲苯）应100%检出。</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物种比值：甲苯/苯＞1，乙烷/乙烯＞1，丙烷/丙烯＞1。</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物种相关性：观察同源组分相关性（如正丁烷、异丁烷），偏差较大需进行仪器核查。</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（6）根据项目具体要求开展维护工作。</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bCs/>
          <w:sz w:val="24"/>
          <w:szCs w:val="24"/>
        </w:rPr>
      </w:pPr>
      <w:r>
        <w:rPr>
          <w:rFonts w:hint="eastAsia" w:ascii="仿宋" w:hAnsi="仿宋" w:eastAsia="仿宋" w:cs="仿宋"/>
          <w:b/>
          <w:bCs/>
          <w:sz w:val="24"/>
          <w:szCs w:val="24"/>
        </w:rPr>
        <w:t>每日工作</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0时核查中间点浓度（2ppb），当日12点前完成数据审核。</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bCs/>
          <w:sz w:val="24"/>
          <w:szCs w:val="24"/>
        </w:rPr>
      </w:pPr>
      <w:r>
        <w:rPr>
          <w:rFonts w:hint="eastAsia" w:ascii="仿宋" w:hAnsi="仿宋" w:eastAsia="仿宋" w:cs="仿宋"/>
          <w:b/>
          <w:bCs/>
          <w:sz w:val="24"/>
          <w:szCs w:val="24"/>
        </w:rPr>
        <w:t>每周工作</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现场巡检并根据要求做好现场检查工作，并做好相关记录，具体内容包括：</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（1）查看仪器及配套设备是否齐备，无丢失和损坏；钢瓶阀门是否漏气，记录钢瓶压力。</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（2）检查冷阱制冷状态，按要求进行预防性维护。</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（3）根据每日的外标情况进行判断，如果30%所测量因子浓度偏差达到30%，应当月进行多点工作曲线的标定。</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（4）富集模块硬件检查</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检查采样管路是否存在冷凝水(特别是夏季室内外温差较大情况)，更换采样滤膜(孔径应≤5um)，检查采样管状况。如采样管经常存在冷凝水，应适当对采样管进行加热，推荐加热温度设置为30~50℃℃且不低于室外环境空气温度。</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（5）色谱与检测器硬件检查</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检查载气净化装置(含除烃、除氧、除水装置等)并及时更换。检查氢气发生器运行情况(如水量等)和H2除水情况(检查干燥管)。</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sz w:val="24"/>
          <w:szCs w:val="24"/>
        </w:rPr>
      </w:pPr>
      <w:r>
        <w:rPr>
          <w:rFonts w:hint="eastAsia" w:ascii="仿宋" w:hAnsi="仿宋" w:eastAsia="仿宋" w:cs="仿宋"/>
          <w:b/>
          <w:sz w:val="24"/>
          <w:szCs w:val="24"/>
        </w:rPr>
        <w:t>每季度工作</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（1）每季度应当进行GCMS调谐，并留存调谐报告。</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2）每季度内至少进行一次多点线性检查，多点线性检查和要求：至少6点不同浓度（参考浓度，含零点，0.4ppb、0.8ppb、1.2ppb、2ppb、4ppb）的标气开展对仪器的线性测试，以确定VOCs各组分定量的准确性，VOCs因子至少80%物种标准曲线的相关系数应满足r≥0.99且2ppb浓度偏差应小于30%。</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（3）冷凝器的清洁工作，并作好维护记录。</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bCs/>
          <w:sz w:val="24"/>
          <w:szCs w:val="24"/>
        </w:rPr>
      </w:pPr>
      <w:r>
        <w:rPr>
          <w:rFonts w:hint="eastAsia" w:ascii="仿宋" w:hAnsi="仿宋" w:eastAsia="仿宋" w:cs="仿宋"/>
          <w:b/>
          <w:bCs/>
          <w:sz w:val="24"/>
          <w:szCs w:val="24"/>
        </w:rPr>
        <w:t>每年工作</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仪器预防性维修维护和仪器性能指标的更新或测试，具体包括：</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（1）按照仪器说明书要求，开展仪器的关键部件的更换或清洗，并对仪器内部管路进行清洁或更换，使得仪器性能处于一个良好的水平。</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2）开展预防性维护后或者仪器维修后，需更对仪器的检出限（连续通标准曲线最低浓度点7次开展测定）、校准曲线、准确度和精密度等指标进行重新测定，检出限应满足90%目标化合物≤0.1ppb，准确度和精密度检查，90%目标化合物的准确度≤20%，精密度应≤10%。</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（3）每年至少进行一次离子源清洗工作。</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bCs/>
          <w:sz w:val="24"/>
          <w:szCs w:val="24"/>
        </w:rPr>
      </w:pPr>
      <w:r>
        <w:rPr>
          <w:rFonts w:hint="eastAsia" w:ascii="仿宋" w:hAnsi="仿宋" w:eastAsia="仿宋" w:cs="仿宋"/>
          <w:b/>
          <w:bCs/>
          <w:sz w:val="24"/>
          <w:szCs w:val="24"/>
        </w:rPr>
        <w:t>其他维护内容</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按照系统说明书或作业指导书要求定期更换吸附管或捕集柱、阀膜、色谱柱、质谱离子源等重要耗材。按照系统说明书或作业指导书要求做好周期性维护，及时清洁气动阀阀芯、散热风扇、火焰离子化检测器、质谱离子源等重要部件，并定期对质谱进行调谐，对检测器进行清理维护、维修、调谐后，应重新建立标准曲线。</w:t>
      </w:r>
    </w:p>
    <w:p>
      <w:pPr>
        <w:pStyle w:val="6"/>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2.3.3环境空气质量自动监测——恶臭监测站</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（1）运行维护操作包括基于运行维护管理平台的周监控、月巡检，每季度抽取不少于5%站点的现场检查，以及设备年度维护等。</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（2）周监控：每周在运行维护管理平台检查设备在线率、报警情况等。</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（3）月巡检：每月在运行维护管理平台巡检网络设备运行状况不少于一次，具体内容包括设备运行状态、异常率、运行负荷、质控合格情况等。</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（4）季检查：每季度抽取不少于5%站点进行现场检查，检查内容包括质量浓度准确性、平行性、设备安装状况、周边环境、设备运行状况等。</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（5）年度更换：进行气路清理、粒径与数浓度、温度、湿度、流量检查等工作。</w:t>
      </w:r>
    </w:p>
    <w:p>
      <w:pPr>
        <w:pStyle w:val="6"/>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2.3.4环境空气质量自动监测——微型站</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（1）运行维护操作包括基于运行维护管理平台的周监控、月巡检，每季度抽取不少于5%站点的现场检查，以及设备年度维护等。</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（2）周监控：每周在运行维护管理平台检查设备在线率、报警情况等。</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（3）月巡检：每月在运行维护管理平台巡检网络设备运行状况不少于一次，具体内容包括设备运行状态、异常率、运行负荷、质控合格情况等。</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（4）季检查：每季度抽取不少于5%站点进行现场检查，检查内容包括质量浓度准确性、平行性、设备安装状况、周边环境、设备运行状况等。</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（5）年度更换：进行气路清理、粒径与数浓度、温度、湿度、流量检查等工作。</w:t>
      </w:r>
    </w:p>
    <w:p>
      <w:pPr>
        <w:pStyle w:val="6"/>
        <w:pageBreakBefore w:val="0"/>
        <w:kinsoku/>
        <w:wordWrap/>
        <w:overflowPunct/>
        <w:topLinePunct w:val="0"/>
        <w:bidi w:val="0"/>
        <w:adjustRightInd/>
        <w:snapToGrid/>
        <w:spacing w:beforeAutospacing="0" w:afterAutospacing="0" w:line="360" w:lineRule="auto"/>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2.3.5水质自动监测站</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bCs/>
          <w:sz w:val="24"/>
          <w:szCs w:val="24"/>
        </w:rPr>
      </w:pPr>
      <w:r>
        <w:rPr>
          <w:rFonts w:hint="eastAsia" w:ascii="仿宋" w:hAnsi="仿宋" w:eastAsia="仿宋" w:cs="仿宋"/>
          <w:b/>
          <w:bCs/>
          <w:sz w:val="24"/>
          <w:szCs w:val="24"/>
        </w:rPr>
        <w:t>总体维护要求</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1）每天对水质自动站整个系统进行维护检查，通过宏观检查各仪器运行的状况。每周在现场观察系统运行一个完整的周期，检查整个系统运行状况。通过每日监控、每周巡查，确保仪器设备和系统处于正常的运行状况。</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2）每日检查数据是否及时上传并正常发布，发现数据断网及时恢复。每天通过管理平台完成对前一日各监测点位原始小时值的审核，并向用户提交小时值审核结果、日均值审核结果；数据审核报送工作完全按照省生态环境厅统一时限考核要求完成，对于未能按时在规定时间内完成审核的数据，按省生态环境厅统一要求，以正式文件形式向委托单位报送书面审核结果及未能按时完成审核的原因。同时每月1日16 时前将上月所有审核结果报送至用户。</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bCs/>
          <w:sz w:val="24"/>
          <w:szCs w:val="24"/>
        </w:rPr>
      </w:pPr>
      <w:r>
        <w:rPr>
          <w:rFonts w:hint="eastAsia" w:ascii="仿宋" w:hAnsi="仿宋" w:eastAsia="仿宋" w:cs="仿宋"/>
          <w:b/>
          <w:bCs/>
          <w:sz w:val="24"/>
          <w:szCs w:val="24"/>
        </w:rPr>
        <w:t>运行维护内容及要求</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bCs/>
          <w:sz w:val="24"/>
          <w:szCs w:val="24"/>
        </w:rPr>
      </w:pPr>
      <w:r>
        <w:rPr>
          <w:rFonts w:hint="eastAsia" w:ascii="仿宋" w:hAnsi="仿宋" w:eastAsia="仿宋" w:cs="仿宋"/>
          <w:b/>
          <w:bCs/>
          <w:sz w:val="24"/>
          <w:szCs w:val="24"/>
        </w:rPr>
        <w:t>每周工作内容</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（1）检查水质自动监测站电路系统是否正常，接地线路是否可靠，检查采样和排液管路是否有漏液或堵塞现象，排水排气装置工作是否正常。</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（2）检查采配水单元是否正常，如采水浮筒固定情况，自吸泵运行情况等；定期清洗采配水系统，包括采水头、吊桶、泵体、沉砂池、过滤头、水样杯、阀门、管路等，对于无法清洗干净的须及时更换。</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（3）检查工控机运行状态，检查上传至平台数据和现场数据的一致性，检查仪器与系统的通讯线路是否正常。</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（4）查看水质自动分析仪器及辅助设备的运行状态和主要技术参数，判断运行是否正常。检查有无漏液，进样管路、试剂管路中是否有气泡存在，如有及时将气泡排出。</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（5）检查空调及保温措施，检查水泵及空压机固定情况，避免仪器振动。检查不间断电源（UPS）除藻装置、纯水机等外部保障设施运行状态，并及时更换耗材。</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（6）检查试剂使用状况，定期添加、更换试剂。</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（7）检查防雷设施是否可靠，站房是否有漏水现象，站房外围的其他设施是否有损坏，如遇到以上问题及时处理，保证水质自动监测站系统安全运行。在封冻期来临前做好采水管路和站房保温等维护工作。</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（8）做好废液收集并按相关规定做好处置工作。</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（9）保持水质自动监测站站房及各仪器干净整洁，及时关闭门窗，避免日光直射各类分析仪器。</w:t>
      </w:r>
    </w:p>
    <w:p>
      <w:pPr>
        <w:pageBreakBefore w:val="0"/>
        <w:kinsoku/>
        <w:wordWrap/>
        <w:overflowPunct/>
        <w:topLinePunct w:val="0"/>
        <w:bidi w:val="0"/>
        <w:adjustRightInd/>
        <w:snapToGrid/>
        <w:spacing w:beforeAutospacing="0" w:afterAutospacing="0" w:line="360" w:lineRule="auto"/>
        <w:ind w:left="0" w:leftChars="0" w:right="0" w:rightChars="0" w:firstLine="482"/>
        <w:textAlignment w:val="auto"/>
        <w:rPr>
          <w:rFonts w:hint="eastAsia" w:ascii="仿宋" w:hAnsi="仿宋" w:eastAsia="仿宋" w:cs="仿宋"/>
          <w:b/>
          <w:bCs/>
          <w:sz w:val="24"/>
          <w:szCs w:val="24"/>
        </w:rPr>
      </w:pPr>
      <w:r>
        <w:rPr>
          <w:rFonts w:hint="eastAsia" w:ascii="仿宋" w:hAnsi="仿宋" w:eastAsia="仿宋" w:cs="仿宋"/>
          <w:b/>
          <w:bCs/>
          <w:sz w:val="24"/>
          <w:szCs w:val="24"/>
        </w:rPr>
        <w:t>每月工作内容</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（1）站房:保证站房空调及取暖设施运行正常，定期对空调进行全面的清洗。</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2）分析单元:应依据断面水质状况、水质自动监测站环境条件和分析仪器的要求，制定易耗品（如泵管、滤膜、活性碳及干燥剂等）的更换周期，做到定期更换；对使用期限有规定的备品备件，必须严格按使用规定期限予以更换。水质自动监测站仪器所用试剂的更换周期应根据试剂稳定性和保质期确定，室内温度较高时应缩短更换周期，试剂的更换周期不得超过30天。根据水质自动监测站运行的环境状况，在规定的时间对仪器设备进行预防性检修。每月至少进行一次多点线性核查，在自动分析仪器当前量程范围内均匀选择5个浓度标准溶液（须包括空白）。</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3）采配水单元：定期检查采水、配水单元是否正常运行，清洗采水头。对于潜水泵，应定期清洗泵体、载体。取水管路应检查是否出现弯折现象，是否畅通，并清理采水头周边杂物，泥沙含量大或藻类密集的断面应视情况进行人工清洗。每月至少清洗一次采配水单元的取水管路、五参数池、沉淀池、过滤芯、配水管路和采样杯等部件。</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4）控制单元及通讯单元：定期对工控机进行断电重启，查看工控机是否可以自动启动，并运行操作系统、加载现场监控软件，查看串口通讯是否正常。定期对网络通讯设备进行断电重启，查看启动后是否通讯正常。每月检查开机过程中硬件自检过程是否有异常数据传输和报警。每月对工控机进行杀毒，防止病毒损坏软件。</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5）辅助设备：定期检查稳压电源及UPS的输出是否符合技术要求，突发异常情况须及时排查处理。每月至少检查一次空气压缩机气泵和清水增压泵的工作状况，并对空气过滤器放水。定期更换纯水机滤芯。定期检查摄像头是否破损，视频设备功能是否正常，包括摄像、视频存储、云台控制等。</w:t>
      </w:r>
    </w:p>
    <w:p>
      <w:pPr>
        <w:pageBreakBefore w:val="0"/>
        <w:kinsoku/>
        <w:wordWrap/>
        <w:overflowPunct/>
        <w:topLinePunct w:val="0"/>
        <w:bidi w:val="0"/>
        <w:adjustRightInd/>
        <w:snapToGrid/>
        <w:spacing w:beforeAutospacing="0" w:afterAutospacing="0" w:line="360" w:lineRule="auto"/>
        <w:ind w:left="0" w:leftChars="0" w:right="0" w:rightChars="0" w:firstLine="480"/>
        <w:textAlignment w:val="auto"/>
        <w:rPr>
          <w:rFonts w:hint="eastAsia" w:ascii="仿宋" w:hAnsi="仿宋" w:eastAsia="仿宋" w:cs="仿宋"/>
          <w:sz w:val="24"/>
          <w:szCs w:val="24"/>
        </w:rPr>
      </w:pPr>
      <w:r>
        <w:rPr>
          <w:rFonts w:hint="eastAsia" w:ascii="仿宋" w:hAnsi="仿宋" w:eastAsia="仿宋" w:cs="仿宋"/>
          <w:sz w:val="24"/>
          <w:szCs w:val="24"/>
        </w:rPr>
        <w:t>（6）其它：每月对水质自动监测站监测数据进行一次备份，备份数据单独存储；每月对备用仪器进行一次校准和标样核查。</w:t>
      </w:r>
    </w:p>
    <w:p>
      <w:pPr>
        <w:pageBreakBefore w:val="0"/>
        <w:kinsoku/>
        <w:wordWrap/>
        <w:overflowPunct/>
        <w:topLinePunct w:val="0"/>
        <w:bidi w:val="0"/>
        <w:adjustRightInd/>
        <w:snapToGrid/>
        <w:spacing w:beforeAutospacing="0" w:afterAutospacing="0" w:line="360" w:lineRule="auto"/>
        <w:ind w:left="0" w:leftChars="0" w:right="0" w:rightChars="0" w:firstLine="480" w:firstLineChars="200"/>
        <w:jc w:val="left"/>
        <w:textAlignment w:val="auto"/>
        <w:rPr>
          <w:rFonts w:hint="eastAsia" w:ascii="仿宋" w:hAnsi="仿宋" w:eastAsia="仿宋" w:cs="仿宋"/>
          <w:sz w:val="24"/>
          <w:szCs w:val="24"/>
        </w:rPr>
        <w:sectPr>
          <w:pgSz w:w="11906" w:h="16838"/>
          <w:pgMar w:top="1440" w:right="1417" w:bottom="1417" w:left="1440" w:header="851" w:footer="567"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12"/>
        <w:keepNext/>
        <w:spacing w:beforeAutospacing="0" w:afterAutospacing="0"/>
        <w:jc w:val="center"/>
        <w:outlineLvl w:val="0"/>
        <w:rPr>
          <w:rFonts w:ascii="仿宋" w:hAnsi="仿宋" w:eastAsia="仿宋" w:cs="仿宋"/>
        </w:rPr>
      </w:pPr>
      <w:bookmarkStart w:id="178" w:name="_Toc15537"/>
      <w:bookmarkStart w:id="179" w:name="_Toc120614281"/>
      <w:r>
        <w:rPr>
          <w:rFonts w:hint="eastAsia" w:ascii="仿宋" w:hAnsi="仿宋" w:eastAsia="仿宋" w:cs="仿宋"/>
          <w:color w:val="000000"/>
          <w:sz w:val="44"/>
          <w:szCs w:val="44"/>
        </w:rPr>
        <w:t xml:space="preserve">第五章  </w:t>
      </w:r>
      <w:r>
        <w:rPr>
          <w:rFonts w:hint="eastAsia" w:ascii="仿宋" w:hAnsi="仿宋" w:eastAsia="仿宋" w:cs="仿宋"/>
          <w:b/>
          <w:color w:val="000000"/>
          <w:sz w:val="44"/>
          <w:szCs w:val="44"/>
        </w:rPr>
        <w:t>评标方法与评标标准</w:t>
      </w:r>
      <w:bookmarkEnd w:id="178"/>
    </w:p>
    <w:p>
      <w:pPr>
        <w:pStyle w:val="12"/>
        <w:spacing w:beforeAutospacing="0" w:afterAutospacing="0"/>
        <w:jc w:val="both"/>
        <w:rPr>
          <w:rFonts w:ascii="仿宋" w:hAnsi="仿宋" w:eastAsia="仿宋" w:cs="仿宋"/>
        </w:rPr>
      </w:pPr>
      <w:r>
        <w:rPr>
          <w:rFonts w:hint="eastAsia" w:ascii="仿宋" w:hAnsi="仿宋" w:eastAsia="仿宋" w:cs="仿宋"/>
        </w:rPr>
        <w:t> </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本项目采用</w:t>
      </w:r>
      <w:r>
        <w:rPr>
          <w:rFonts w:hint="eastAsia" w:ascii="仿宋" w:hAnsi="仿宋" w:eastAsia="仿宋" w:cs="仿宋"/>
          <w:color w:val="000000"/>
          <w:u w:val="single"/>
        </w:rPr>
        <w:t>综合评分法</w:t>
      </w:r>
      <w:r>
        <w:rPr>
          <w:rFonts w:hint="eastAsia" w:ascii="仿宋" w:hAnsi="仿宋" w:eastAsia="仿宋" w:cs="仿宋"/>
          <w:color w:val="000000"/>
        </w:rPr>
        <w:t>，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pPr>
        <w:pStyle w:val="12"/>
        <w:spacing w:beforeAutospacing="0" w:afterAutospacing="0" w:line="360" w:lineRule="auto"/>
        <w:ind w:firstLine="482" w:firstLineChars="200"/>
        <w:rPr>
          <w:rFonts w:ascii="仿宋" w:hAnsi="仿宋" w:eastAsia="仿宋" w:cs="仿宋"/>
        </w:rPr>
      </w:pPr>
      <w:r>
        <w:rPr>
          <w:rFonts w:hint="eastAsia" w:ascii="仿宋" w:hAnsi="仿宋" w:eastAsia="仿宋" w:cs="仿宋"/>
          <w:b/>
          <w:color w:val="000000"/>
        </w:rPr>
        <w:t>一、政府采购政策功能落实</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1、小微型企业价格扣除</w:t>
      </w:r>
    </w:p>
    <w:p>
      <w:pPr>
        <w:pStyle w:val="12"/>
        <w:spacing w:beforeAutospacing="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（1）本项目对小型和微型企业提供的服务给予</w:t>
      </w:r>
      <w:r>
        <w:rPr>
          <w:rFonts w:hint="eastAsia" w:ascii="仿宋" w:hAnsi="仿宋" w:eastAsia="仿宋" w:cs="仿宋"/>
          <w:color w:val="000000"/>
          <w:u w:val="single"/>
        </w:rPr>
        <w:t>20%</w:t>
      </w:r>
      <w:r>
        <w:rPr>
          <w:rFonts w:hint="eastAsia" w:ascii="仿宋" w:hAnsi="仿宋" w:eastAsia="仿宋" w:cs="仿宋"/>
          <w:color w:val="000000"/>
        </w:rPr>
        <w:t>的扣除价格，用扣除后的价格参与评审。</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（2）供应商需按照采购文件的要求提供相应的《小微企业声明函》。</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（3）企业标准请参照《关于印发中小企业划型标准规定的通知》（工信部联企业[2011]300号）文件规定自行填写。</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2、残疾人福利单位价格扣除</w:t>
      </w:r>
    </w:p>
    <w:p>
      <w:pPr>
        <w:pStyle w:val="12"/>
        <w:spacing w:beforeAutospacing="0" w:afterAutospacing="0" w:line="360" w:lineRule="auto"/>
        <w:ind w:firstLine="480" w:firstLineChars="200"/>
        <w:rPr>
          <w:rFonts w:ascii="仿宋" w:hAnsi="仿宋" w:eastAsia="仿宋" w:cs="仿宋"/>
          <w:color w:val="000000"/>
          <w:u w:val="single"/>
        </w:rPr>
      </w:pPr>
      <w:r>
        <w:rPr>
          <w:rFonts w:hint="eastAsia" w:ascii="仿宋" w:hAnsi="仿宋" w:eastAsia="仿宋" w:cs="仿宋"/>
          <w:color w:val="000000"/>
        </w:rPr>
        <w:t>（1）本项目对残疾人福利性单位视同小型、微型企业，给予</w:t>
      </w:r>
      <w:r>
        <w:rPr>
          <w:rFonts w:hint="eastAsia" w:ascii="仿宋" w:hAnsi="仿宋" w:eastAsia="仿宋" w:cs="仿宋"/>
          <w:color w:val="000000"/>
          <w:u w:val="single"/>
        </w:rPr>
        <w:t>20%</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（2）残疾人福利单位需按照采购文件的要求提供《残疾人福利性单位声明函》。</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（3）残疾人福利单位标准请参照《关于促进残疾人就业政府采购政策的通知》（财库〔2017〕141号）。</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3、监狱和戒毒企业价格扣除</w:t>
      </w:r>
    </w:p>
    <w:p>
      <w:pPr>
        <w:pStyle w:val="12"/>
        <w:spacing w:beforeAutospacing="0" w:afterAutospacing="0" w:line="360" w:lineRule="auto"/>
        <w:ind w:firstLine="480" w:firstLineChars="200"/>
        <w:rPr>
          <w:rFonts w:ascii="仿宋" w:hAnsi="仿宋" w:eastAsia="仿宋" w:cs="仿宋"/>
          <w:color w:val="000000"/>
          <w:u w:val="single"/>
        </w:rPr>
      </w:pPr>
      <w:r>
        <w:rPr>
          <w:rFonts w:hint="eastAsia" w:ascii="仿宋" w:hAnsi="仿宋" w:eastAsia="仿宋" w:cs="仿宋"/>
          <w:color w:val="000000"/>
        </w:rPr>
        <w:t>（1）本项目对监狱和戒毒企业（简称监狱企业）视同小型、微型企业，给予</w:t>
      </w:r>
      <w:r>
        <w:rPr>
          <w:rFonts w:hint="eastAsia" w:ascii="仿宋" w:hAnsi="仿宋" w:eastAsia="仿宋" w:cs="仿宋"/>
          <w:color w:val="000000"/>
          <w:u w:val="single"/>
        </w:rPr>
        <w:t>20%</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（2）监狱企业参加政府采购活动时，需提供由省级以上监狱管理局、戒毒管理局(含新疆生产建设兵团)出具的属于监狱企业的证明文件。供应商如不提供上述证明文件，价格将不做相应扣除。</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（3）监狱企业标准请参照《关于政府采购支持监狱企业发展有关问题的通知》（财库[2014]68号）。</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4、残疾人福利单位、监狱企业属于小型、微型企业的，不重复享受政策。</w:t>
      </w:r>
    </w:p>
    <w:p>
      <w:pPr>
        <w:pStyle w:val="12"/>
        <w:spacing w:beforeAutospacing="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仿宋" w:hAnsi="仿宋" w:eastAsia="仿宋" w:cs="仿宋"/>
          <w:color w:val="000000"/>
          <w:u w:val="single"/>
        </w:rPr>
        <w:t>6%</w:t>
      </w:r>
      <w:r>
        <w:rPr>
          <w:rFonts w:hint="eastAsia" w:ascii="仿宋" w:hAnsi="仿宋" w:eastAsia="仿宋" w:cs="仿宋"/>
          <w:color w:val="000000"/>
        </w:rPr>
        <w:t>的价格扣除，用扣除后的价格参与评审。</w:t>
      </w:r>
    </w:p>
    <w:p>
      <w:pPr>
        <w:pStyle w:val="12"/>
        <w:spacing w:beforeAutospacing="0" w:afterAutospacing="0" w:line="360" w:lineRule="auto"/>
        <w:ind w:firstLine="480" w:firstLineChars="200"/>
        <w:rPr>
          <w:rFonts w:ascii="仿宋" w:hAnsi="仿宋" w:eastAsia="仿宋" w:cs="仿宋"/>
          <w:color w:val="000000"/>
          <w:u w:val="single"/>
        </w:rPr>
      </w:pPr>
      <w:r>
        <w:rPr>
          <w:rFonts w:hint="eastAsia" w:ascii="仿宋" w:hAnsi="仿宋" w:eastAsia="仿宋" w:cs="仿宋"/>
          <w:color w:val="000000"/>
        </w:rPr>
        <w:t>6、联合体各方均为小型、微型企业（残疾人福利单位、监狱企业）的，联合体享受</w:t>
      </w:r>
      <w:r>
        <w:rPr>
          <w:rFonts w:hint="eastAsia" w:ascii="仿宋" w:hAnsi="仿宋" w:eastAsia="仿宋" w:cs="仿宋"/>
          <w:color w:val="000000"/>
          <w:u w:val="single"/>
        </w:rPr>
        <w:t>20%。</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w:t>
      </w:r>
      <w:r>
        <w:rPr>
          <w:rFonts w:hint="eastAsia" w:ascii="仿宋" w:hAnsi="仿宋" w:eastAsia="仿宋" w:cs="仿宋"/>
          <w:b/>
          <w:i/>
          <w:kern w:val="0"/>
          <w:sz w:val="24"/>
        </w:rPr>
        <w:t>如属政府强制采购产品未提供认证证书的或认证证书提供不全的将视为未实质性响应采购要求</w:t>
      </w:r>
      <w:r>
        <w:rPr>
          <w:rFonts w:hint="eastAsia" w:ascii="仿宋" w:hAnsi="仿宋" w:eastAsia="仿宋" w:cs="仿宋"/>
          <w:i/>
          <w:kern w:val="0"/>
          <w:sz w:val="24"/>
        </w:rPr>
        <w:t>。</w:t>
      </w:r>
      <w:r>
        <w:rPr>
          <w:rFonts w:hint="eastAsia" w:ascii="仿宋" w:hAnsi="仿宋" w:eastAsia="仿宋" w:cs="仿宋"/>
          <w:kern w:val="0"/>
          <w:sz w:val="24"/>
        </w:rPr>
        <w:t>其他条件相同情况下，应当优先采购节能产品、环境标志产品。</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8、供应商对于投标产品的商品包装、快递包装应按照《关于印发《商品包装政府采购需求标准（试行）》、《快递包装政府采购需求标准（试行）》的通知》（财办库〔2020〕123号）执行。</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9、本文件中若涉及到数据中心采购，应按照《&lt;绿色数据中心政府采购需求标准（试行）&gt;的通知》（财库〔2023〕7号）执行。</w:t>
      </w:r>
    </w:p>
    <w:p>
      <w:pPr>
        <w:pStyle w:val="12"/>
        <w:spacing w:beforeAutospacing="0" w:afterAutospacing="0" w:line="360" w:lineRule="auto"/>
        <w:ind w:firstLine="482" w:firstLineChars="200"/>
        <w:rPr>
          <w:rFonts w:ascii="仿宋" w:hAnsi="仿宋" w:eastAsia="仿宋" w:cs="仿宋"/>
        </w:rPr>
      </w:pPr>
      <w:r>
        <w:rPr>
          <w:rFonts w:hint="eastAsia" w:ascii="仿宋" w:hAnsi="仿宋" w:eastAsia="仿宋" w:cs="仿宋"/>
          <w:b/>
          <w:color w:val="000000"/>
        </w:rPr>
        <w:t>二、评标方法与评标标准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仿宋" w:hAnsi="仿宋" w:eastAsia="仿宋" w:cs="仿宋"/>
          <w:sz w:val="24"/>
        </w:rPr>
      </w:pPr>
      <w:r>
        <w:rPr>
          <w:rFonts w:hint="eastAsia" w:ascii="仿宋" w:hAnsi="仿宋" w:eastAsia="仿宋" w:cs="仿宋"/>
          <w:sz w:val="24"/>
        </w:rPr>
        <w:t>分值构成与评分标准</w:t>
      </w:r>
    </w:p>
    <w:tbl>
      <w:tblPr>
        <w:tblStyle w:val="14"/>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408"/>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jc w:val="center"/>
        </w:trPr>
        <w:tc>
          <w:tcPr>
            <w:tcW w:w="1344" w:type="dxa"/>
            <w:shd w:val="clear" w:color="auto" w:fill="E7E6E6" w:themeFill="background2"/>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评分项目</w:t>
            </w:r>
          </w:p>
        </w:tc>
        <w:tc>
          <w:tcPr>
            <w:tcW w:w="1408" w:type="dxa"/>
            <w:shd w:val="clear" w:color="auto" w:fill="E7E6E6" w:themeFill="background2"/>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满分100分</w:t>
            </w:r>
          </w:p>
        </w:tc>
        <w:tc>
          <w:tcPr>
            <w:tcW w:w="6567" w:type="dxa"/>
            <w:shd w:val="clear" w:color="auto" w:fill="E7E6E6" w:themeFill="background2"/>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报价部分</w:t>
            </w:r>
          </w:p>
        </w:tc>
        <w:tc>
          <w:tcPr>
            <w:tcW w:w="1408" w:type="dxa"/>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6567"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投标报价得分＝（评标基准价÷投标报价）×10</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注解：</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1.评标基准价为满足招标文件要求且投标价格最低的有效投标报价；</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2.得分数值保留两位小数。</w:t>
            </w:r>
          </w:p>
          <w:p>
            <w:pPr>
              <w:keepNext w:val="0"/>
              <w:keepLines w:val="0"/>
              <w:pageBreakBefore w:val="0"/>
              <w:widowControl/>
              <w:kinsoku/>
              <w:wordWrap/>
              <w:overflowPunct/>
              <w:topLinePunct w:val="0"/>
              <w:bidi w:val="0"/>
              <w:adjustRightInd/>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b/>
                <w:bCs/>
                <w:color w:val="000000"/>
                <w:kern w:val="0"/>
                <w:sz w:val="24"/>
                <w:szCs w:val="24"/>
              </w:rPr>
              <w:t>对小型和微型企业产品或者服务的价格给予20%的扣除，用扣除后的价格参与评审（因落实政府采购政策进行价格调整的，以调整后的价格计算评标基准价和投标报价），如有虚假，将按照《中华人民共和国政府采购法》第七十七条依法承担相应责任。</w:t>
            </w:r>
          </w:p>
          <w:p>
            <w:pPr>
              <w:keepNext w:val="0"/>
              <w:keepLines w:val="0"/>
              <w:pageBreakBefore w:val="0"/>
              <w:widowControl/>
              <w:kinsoku/>
              <w:wordWrap/>
              <w:overflowPunct/>
              <w:topLinePunct w:val="0"/>
              <w:bidi w:val="0"/>
              <w:adjustRightInd/>
              <w:snapToGrid/>
              <w:spacing w:line="360" w:lineRule="auto"/>
              <w:jc w:val="left"/>
              <w:textAlignment w:val="auto"/>
              <w:rPr>
                <w:rFonts w:hint="eastAsia" w:ascii="仿宋" w:hAnsi="仿宋" w:eastAsia="仿宋" w:cs="仿宋"/>
                <w:kern w:val="0"/>
                <w:sz w:val="24"/>
                <w:szCs w:val="24"/>
              </w:rPr>
            </w:pPr>
            <w:r>
              <w:rPr>
                <w:rFonts w:hint="eastAsia" w:ascii="仿宋" w:hAnsi="仿宋" w:eastAsia="仿宋" w:cs="仿宋"/>
                <w:b/>
                <w:bCs/>
                <w:color w:val="000000"/>
                <w:kern w:val="0"/>
                <w:sz w:val="24"/>
                <w:szCs w:val="24"/>
              </w:rPr>
              <w:t>依据财政部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类似业绩</w:t>
            </w:r>
          </w:p>
        </w:tc>
        <w:tc>
          <w:tcPr>
            <w:tcW w:w="1408" w:type="dxa"/>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6567"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spacing w:val="-10"/>
                <w:sz w:val="24"/>
                <w:szCs w:val="24"/>
              </w:rPr>
              <w:t>1.投标人自</w:t>
            </w:r>
            <w:r>
              <w:rPr>
                <w:rFonts w:hint="eastAsia" w:ascii="仿宋" w:hAnsi="仿宋" w:eastAsia="仿宋" w:cs="仿宋"/>
                <w:sz w:val="24"/>
                <w:szCs w:val="24"/>
              </w:rPr>
              <w:t>2021年1月1日（</w:t>
            </w:r>
            <w:r>
              <w:rPr>
                <w:rFonts w:hint="eastAsia" w:ascii="仿宋" w:hAnsi="仿宋" w:eastAsia="仿宋" w:cs="仿宋"/>
                <w:spacing w:val="-3"/>
                <w:sz w:val="24"/>
                <w:szCs w:val="24"/>
              </w:rPr>
              <w:t>含</w:t>
            </w:r>
            <w:r>
              <w:rPr>
                <w:rFonts w:hint="eastAsia" w:ascii="仿宋" w:hAnsi="仿宋" w:eastAsia="仿宋" w:cs="仿宋"/>
                <w:spacing w:val="-22"/>
                <w:sz w:val="24"/>
                <w:szCs w:val="24"/>
              </w:rPr>
              <w:t>）</w:t>
            </w:r>
            <w:r>
              <w:rPr>
                <w:rFonts w:hint="eastAsia" w:ascii="仿宋" w:hAnsi="仿宋" w:eastAsia="仿宋" w:cs="仿宋"/>
                <w:spacing w:val="-5"/>
                <w:sz w:val="24"/>
                <w:szCs w:val="24"/>
              </w:rPr>
              <w:t>以来承担过环境空气自动监测站的运维项目</w:t>
            </w:r>
            <w:r>
              <w:rPr>
                <w:rFonts w:hint="eastAsia" w:ascii="仿宋" w:hAnsi="仿宋" w:eastAsia="仿宋" w:cs="仿宋"/>
                <w:sz w:val="24"/>
                <w:szCs w:val="24"/>
              </w:rPr>
              <w:t>（</w:t>
            </w:r>
            <w:r>
              <w:rPr>
                <w:rFonts w:hint="eastAsia" w:ascii="仿宋" w:hAnsi="仿宋" w:eastAsia="仿宋" w:cs="仿宋"/>
                <w:spacing w:val="-2"/>
                <w:sz w:val="24"/>
                <w:szCs w:val="24"/>
              </w:rPr>
              <w:t>运维因子至少包括</w:t>
            </w:r>
            <w:r>
              <w:rPr>
                <w:rFonts w:hint="eastAsia" w:ascii="仿宋" w:hAnsi="仿宋" w:eastAsia="仿宋" w:cs="仿宋"/>
                <w:sz w:val="24"/>
                <w:szCs w:val="24"/>
              </w:rPr>
              <w:t>GCMS或PAMS）</w:t>
            </w:r>
            <w:r>
              <w:rPr>
                <w:rFonts w:hint="eastAsia" w:ascii="仿宋" w:hAnsi="仿宋" w:eastAsia="仿宋" w:cs="仿宋"/>
                <w:kern w:val="0"/>
                <w:sz w:val="24"/>
                <w:szCs w:val="24"/>
              </w:rPr>
              <w:t>，每提供一份业绩材料得1分，最高得5分。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2.投标人自2021年1月1日（含）以来承担过地表水自动监测站的运维项目（运维因子至少包括：水质五参数，高猛酸盐，氨氮，总磷，总氮）的，</w:t>
            </w:r>
            <w:r>
              <w:rPr>
                <w:rFonts w:hint="eastAsia" w:ascii="仿宋" w:hAnsi="仿宋" w:eastAsia="仿宋" w:cs="仿宋"/>
                <w:sz w:val="24"/>
                <w:szCs w:val="24"/>
              </w:rPr>
              <w:t>每提供一份业绩材料得1分，最高得3分。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sz w:val="24"/>
                <w:szCs w:val="24"/>
              </w:rPr>
              <w:t>投标文件中提供中标通知书</w:t>
            </w:r>
            <w:r>
              <w:rPr>
                <w:rFonts w:hint="eastAsia" w:ascii="仿宋" w:hAnsi="仿宋" w:eastAsia="仿宋" w:cs="仿宋"/>
                <w:spacing w:val="-4"/>
                <w:sz w:val="24"/>
                <w:szCs w:val="24"/>
              </w:rPr>
              <w:t>、</w:t>
            </w:r>
            <w:r>
              <w:rPr>
                <w:rFonts w:hint="eastAsia" w:ascii="仿宋" w:hAnsi="仿宋" w:eastAsia="仿宋" w:cs="仿宋"/>
                <w:sz w:val="24"/>
                <w:szCs w:val="24"/>
              </w:rPr>
              <w:t>合同</w:t>
            </w:r>
            <w:r>
              <w:rPr>
                <w:rFonts w:hint="eastAsia" w:ascii="仿宋" w:hAnsi="仿宋" w:eastAsia="仿宋" w:cs="仿宋"/>
                <w:spacing w:val="-4"/>
                <w:sz w:val="24"/>
                <w:szCs w:val="24"/>
              </w:rPr>
              <w:t>、中标公告网页截图原件</w:t>
            </w:r>
            <w:r>
              <w:rPr>
                <w:rFonts w:hint="eastAsia" w:ascii="仿宋" w:hAnsi="仿宋" w:eastAsia="仿宋" w:cs="仿宋"/>
                <w:sz w:val="24"/>
                <w:szCs w:val="24"/>
              </w:rPr>
              <w:t>彩色扫描件，提供资料不全或未按要求提供均不得分</w:t>
            </w:r>
            <w:r>
              <w:rPr>
                <w:rFonts w:hint="eastAsia" w:ascii="仿宋" w:hAnsi="仿宋" w:eastAsia="仿宋" w:cs="仿宋"/>
                <w:kern w:val="0"/>
                <w:sz w:val="24"/>
                <w:szCs w:val="24"/>
              </w:rPr>
              <w:t>，日期以合同的签订时间为准。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综合实力</w:t>
            </w:r>
          </w:p>
        </w:tc>
        <w:tc>
          <w:tcPr>
            <w:tcW w:w="1408" w:type="dxa"/>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6567"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color w:val="000000"/>
                <w:kern w:val="0"/>
                <w:sz w:val="24"/>
                <w:szCs w:val="24"/>
              </w:rPr>
            </w:pPr>
            <w:r>
              <w:rPr>
                <w:rFonts w:hint="eastAsia" w:ascii="仿宋" w:hAnsi="仿宋" w:eastAsia="仿宋" w:cs="仿宋"/>
                <w:kern w:val="0"/>
                <w:sz w:val="24"/>
                <w:szCs w:val="24"/>
              </w:rPr>
              <w:t>1.投标人具有质量管理体系认证证书、环境管理体系认证证书、</w:t>
            </w:r>
            <w:r>
              <w:rPr>
                <w:rFonts w:hint="eastAsia" w:ascii="仿宋" w:hAnsi="仿宋" w:eastAsia="仿宋" w:cs="仿宋"/>
                <w:spacing w:val="-10"/>
                <w:sz w:val="24"/>
                <w:szCs w:val="24"/>
              </w:rPr>
              <w:t>职业健康安全管理体系认证</w:t>
            </w:r>
            <w:r>
              <w:rPr>
                <w:rFonts w:hint="eastAsia" w:ascii="仿宋" w:hAnsi="仿宋" w:eastAsia="仿宋" w:cs="仿宋"/>
                <w:kern w:val="0"/>
                <w:sz w:val="24"/>
                <w:szCs w:val="24"/>
              </w:rPr>
              <w:t>证书、</w:t>
            </w:r>
            <w:r>
              <w:rPr>
                <w:rFonts w:hint="eastAsia" w:ascii="仿宋" w:hAnsi="仿宋" w:eastAsia="仿宋" w:cs="仿宋"/>
                <w:spacing w:val="-7"/>
                <w:sz w:val="24"/>
                <w:szCs w:val="24"/>
              </w:rPr>
              <w:t>信息安全管理体系认证证书的，</w:t>
            </w:r>
            <w:r>
              <w:rPr>
                <w:rFonts w:hint="eastAsia" w:ascii="仿宋" w:hAnsi="仿宋" w:eastAsia="仿宋" w:cs="仿宋"/>
                <w:kern w:val="0"/>
                <w:sz w:val="24"/>
                <w:szCs w:val="24"/>
              </w:rPr>
              <w:t>每有1个体系认证证书得0.5分，最多得2分</w:t>
            </w:r>
            <w:r>
              <w:rPr>
                <w:rFonts w:hint="eastAsia" w:ascii="仿宋" w:hAnsi="仿宋" w:eastAsia="仿宋" w:cs="仿宋"/>
                <w:color w:val="000000"/>
                <w:kern w:val="0"/>
                <w:sz w:val="24"/>
                <w:szCs w:val="24"/>
              </w:rPr>
              <w:t>（证书取得日期在招标公告发布之前，</w:t>
            </w:r>
            <w:r>
              <w:rPr>
                <w:rFonts w:hint="eastAsia" w:ascii="仿宋" w:hAnsi="仿宋" w:eastAsia="仿宋" w:cs="仿宋"/>
                <w:color w:val="000000" w:themeColor="text1"/>
                <w:sz w:val="24"/>
                <w:szCs w:val="24"/>
                <w14:textFill>
                  <w14:solidFill>
                    <w14:schemeClr w14:val="tx1"/>
                  </w14:solidFill>
                </w14:textFill>
              </w:rPr>
              <w:t>投标文件中提供证书及中国认监委网站（http://www.cnca.gov.cn/）查询截图并加盖投标人公章彩色扫描件，</w:t>
            </w:r>
            <w:r>
              <w:rPr>
                <w:rFonts w:hint="eastAsia" w:ascii="仿宋" w:hAnsi="仿宋" w:eastAsia="仿宋" w:cs="仿宋"/>
                <w:kern w:val="0"/>
                <w:sz w:val="24"/>
                <w:szCs w:val="24"/>
              </w:rPr>
              <w:t>未提供或提供不全者不得分</w:t>
            </w:r>
            <w:r>
              <w:rPr>
                <w:rFonts w:hint="eastAsia" w:ascii="仿宋" w:hAnsi="仿宋" w:eastAsia="仿宋" w:cs="仿宋"/>
                <w:color w:val="000000"/>
                <w:kern w:val="0"/>
                <w:sz w:val="24"/>
                <w:szCs w:val="24"/>
              </w:rPr>
              <w:t>）。</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仿宋" w:hAnsi="仿宋" w:eastAsia="仿宋" w:cs="仿宋"/>
                <w:color w:val="000000" w:themeColor="text1"/>
                <w:kern w:val="1"/>
                <w:sz w:val="24"/>
                <w:szCs w:val="24"/>
                <w14:textFill>
                  <w14:solidFill>
                    <w14:schemeClr w14:val="tx1"/>
                  </w14:solidFill>
                </w14:textFill>
              </w:rPr>
            </w:pPr>
            <w:r>
              <w:rPr>
                <w:rStyle w:val="19"/>
                <w:rFonts w:hint="eastAsia" w:ascii="仿宋" w:hAnsi="仿宋" w:eastAsia="仿宋" w:cs="仿宋"/>
                <w:color w:val="000000" w:themeColor="text1"/>
                <w:sz w:val="24"/>
                <w:szCs w:val="24"/>
                <w14:textFill>
                  <w14:solidFill>
                    <w14:schemeClr w14:val="tx1"/>
                  </w14:solidFill>
                </w14:textFill>
              </w:rPr>
              <w:t>2.</w:t>
            </w:r>
            <w:r>
              <w:rPr>
                <w:rStyle w:val="19"/>
                <w:rFonts w:hint="eastAsia" w:ascii="仿宋" w:hAnsi="仿宋" w:eastAsia="仿宋" w:cs="仿宋"/>
                <w:color w:val="000000" w:themeColor="text1"/>
                <w:sz w:val="24"/>
                <w:szCs w:val="24"/>
                <w:lang w:val="zh-CN"/>
                <w14:textFill>
                  <w14:solidFill>
                    <w14:schemeClr w14:val="tx1"/>
                  </w14:solidFill>
                </w14:textFill>
              </w:rPr>
              <w:t>投标人具有</w:t>
            </w:r>
            <w:r>
              <w:rPr>
                <w:rStyle w:val="19"/>
                <w:rFonts w:hint="eastAsia" w:ascii="仿宋" w:hAnsi="仿宋" w:eastAsia="仿宋" w:cs="仿宋"/>
                <w:color w:val="000000" w:themeColor="text1"/>
                <w:sz w:val="24"/>
                <w:szCs w:val="24"/>
                <w14:textFill>
                  <w14:solidFill>
                    <w14:schemeClr w14:val="tx1"/>
                  </w14:solidFill>
                </w14:textFill>
              </w:rPr>
              <w:t>ITSS</w:t>
            </w:r>
            <w:r>
              <w:rPr>
                <w:rStyle w:val="19"/>
                <w:rFonts w:hint="eastAsia" w:ascii="仿宋" w:hAnsi="仿宋" w:eastAsia="仿宋" w:cs="仿宋"/>
                <w:color w:val="000000" w:themeColor="text1"/>
                <w:sz w:val="24"/>
                <w:szCs w:val="24"/>
                <w:lang w:val="zh-CN"/>
                <w14:textFill>
                  <w14:solidFill>
                    <w14:schemeClr w14:val="tx1"/>
                  </w14:solidFill>
                </w14:textFill>
              </w:rPr>
              <w:t>信息技术服务标准符合性证书的得</w:t>
            </w:r>
            <w:r>
              <w:rPr>
                <w:rStyle w:val="19"/>
                <w:rFonts w:hint="eastAsia" w:ascii="仿宋" w:hAnsi="仿宋" w:eastAsia="仿宋" w:cs="仿宋"/>
                <w:color w:val="000000" w:themeColor="text1"/>
                <w:sz w:val="24"/>
                <w:szCs w:val="24"/>
                <w14:textFill>
                  <w14:solidFill>
                    <w14:schemeClr w14:val="tx1"/>
                  </w14:solidFill>
                </w14:textFill>
              </w:rPr>
              <w:t>1</w:t>
            </w:r>
            <w:r>
              <w:rPr>
                <w:rStyle w:val="19"/>
                <w:rFonts w:hint="eastAsia" w:ascii="仿宋" w:hAnsi="仿宋" w:eastAsia="仿宋" w:cs="仿宋"/>
                <w:color w:val="000000" w:themeColor="text1"/>
                <w:sz w:val="24"/>
                <w:szCs w:val="24"/>
                <w:lang w:val="zh-CN"/>
                <w14:textFill>
                  <w14:solidFill>
                    <w14:schemeClr w14:val="tx1"/>
                  </w14:solidFill>
                </w14:textFill>
              </w:rPr>
              <w:t>分</w:t>
            </w:r>
            <w:r>
              <w:rPr>
                <w:rStyle w:val="19"/>
                <w:rFonts w:hint="eastAsia" w:ascii="仿宋" w:hAnsi="仿宋" w:eastAsia="仿宋" w:cs="仿宋"/>
                <w:color w:val="000000" w:themeColor="text1"/>
                <w:sz w:val="24"/>
                <w:szCs w:val="24"/>
                <w14:textFill>
                  <w14:solidFill>
                    <w14:schemeClr w14:val="tx1"/>
                  </w14:solidFill>
                </w14:textFill>
              </w:rPr>
              <w:t>（</w:t>
            </w:r>
            <w:r>
              <w:rPr>
                <w:rStyle w:val="19"/>
                <w:rFonts w:hint="eastAsia" w:ascii="仿宋" w:hAnsi="仿宋" w:eastAsia="仿宋" w:cs="仿宋"/>
                <w:color w:val="000000" w:themeColor="text1"/>
                <w:sz w:val="24"/>
                <w:szCs w:val="24"/>
                <w:lang w:val="zh-CN"/>
                <w14:textFill>
                  <w14:solidFill>
                    <w14:schemeClr w14:val="tx1"/>
                  </w14:solidFill>
                </w14:textFill>
              </w:rPr>
              <w:t>证书取得日期在本项目招标公告发布之前</w:t>
            </w:r>
            <w:r>
              <w:rPr>
                <w:rStyle w:val="19"/>
                <w:rFonts w:hint="eastAsia" w:ascii="仿宋" w:hAnsi="仿宋" w:eastAsia="仿宋" w:cs="仿宋"/>
                <w:color w:val="000000" w:themeColor="text1"/>
                <w:sz w:val="24"/>
                <w:szCs w:val="24"/>
                <w14:textFill>
                  <w14:solidFill>
                    <w14:schemeClr w14:val="tx1"/>
                  </w14:solidFill>
                </w14:textFill>
              </w:rPr>
              <w:t>，</w:t>
            </w:r>
            <w:r>
              <w:rPr>
                <w:rStyle w:val="19"/>
                <w:rFonts w:hint="eastAsia" w:ascii="仿宋" w:hAnsi="仿宋" w:eastAsia="仿宋" w:cs="仿宋"/>
                <w:color w:val="000000" w:themeColor="text1"/>
                <w:sz w:val="24"/>
                <w:szCs w:val="24"/>
                <w:lang w:val="zh-CN"/>
                <w14:textFill>
                  <w14:solidFill>
                    <w14:schemeClr w14:val="tx1"/>
                  </w14:solidFill>
                </w14:textFill>
              </w:rPr>
              <w:t>投标文件中提供证书及</w:t>
            </w:r>
            <w:r>
              <w:rPr>
                <w:rFonts w:hint="eastAsia" w:ascii="仿宋" w:hAnsi="仿宋" w:eastAsia="仿宋" w:cs="仿宋"/>
                <w:color w:val="000000" w:themeColor="text1"/>
                <w:kern w:val="1"/>
                <w:sz w:val="24"/>
                <w:szCs w:val="24"/>
                <w14:textFill>
                  <w14:solidFill>
                    <w14:schemeClr w14:val="tx1"/>
                  </w14:solidFill>
                </w14:textFill>
              </w:rPr>
              <w:t>ITSS</w:t>
            </w:r>
            <w:r>
              <w:rPr>
                <w:rFonts w:hint="eastAsia" w:ascii="仿宋" w:hAnsi="仿宋" w:eastAsia="仿宋" w:cs="仿宋"/>
                <w:color w:val="000000" w:themeColor="text1"/>
                <w:kern w:val="1"/>
                <w:sz w:val="24"/>
                <w:szCs w:val="24"/>
                <w:lang w:val="zh-CN"/>
                <w14:textFill>
                  <w14:solidFill>
                    <w14:schemeClr w14:val="tx1"/>
                  </w14:solidFill>
                </w14:textFill>
              </w:rPr>
              <w:t>中国电子工业标准化技术协会信息技术服务分会</w:t>
            </w:r>
            <w:r>
              <w:rPr>
                <w:rStyle w:val="19"/>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1"/>
                <w:sz w:val="24"/>
                <w:szCs w:val="24"/>
                <w14:textFill>
                  <w14:solidFill>
                    <w14:schemeClr w14:val="tx1"/>
                  </w14:solidFill>
                </w14:textFill>
              </w:rPr>
              <w:t>https://itss.cn/</w:t>
            </w:r>
            <w:r>
              <w:rPr>
                <w:rStyle w:val="19"/>
                <w:rFonts w:hint="eastAsia" w:ascii="仿宋" w:hAnsi="仿宋" w:eastAsia="仿宋" w:cs="仿宋"/>
                <w:color w:val="000000" w:themeColor="text1"/>
                <w:sz w:val="24"/>
                <w:szCs w:val="24"/>
                <w14:textFill>
                  <w14:solidFill>
                    <w14:schemeClr w14:val="tx1"/>
                  </w14:solidFill>
                </w14:textFill>
              </w:rPr>
              <w:t>）</w:t>
            </w:r>
            <w:r>
              <w:rPr>
                <w:rStyle w:val="19"/>
                <w:rFonts w:hint="eastAsia" w:ascii="仿宋" w:hAnsi="仿宋" w:eastAsia="仿宋" w:cs="仿宋"/>
                <w:color w:val="000000" w:themeColor="text1"/>
                <w:sz w:val="24"/>
                <w:szCs w:val="24"/>
                <w:lang w:val="zh-CN"/>
                <w14:textFill>
                  <w14:solidFill>
                    <w14:schemeClr w14:val="tx1"/>
                  </w14:solidFill>
                </w14:textFill>
              </w:rPr>
              <w:t>查询截图并加盖投标人公章彩色扫描件</w:t>
            </w:r>
            <w:r>
              <w:rPr>
                <w:rStyle w:val="19"/>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kern w:val="0"/>
                <w:sz w:val="24"/>
                <w:szCs w:val="24"/>
              </w:rPr>
              <w:t>未提供或提供不全者不得分</w:t>
            </w:r>
            <w:r>
              <w:rPr>
                <w:rStyle w:val="19"/>
                <w:rFonts w:hint="eastAsia" w:ascii="仿宋" w:hAnsi="仿宋" w:eastAsia="仿宋" w:cs="仿宋"/>
                <w:color w:val="000000" w:themeColor="text1"/>
                <w:sz w:val="24"/>
                <w:szCs w:val="24"/>
                <w14:textFill>
                  <w14:solidFill>
                    <w14:schemeClr w14:val="tx1"/>
                  </w14:solidFill>
                </w14:textFill>
              </w:rPr>
              <w:t>）</w:t>
            </w:r>
            <w:r>
              <w:rPr>
                <w:rStyle w:val="19"/>
                <w:rFonts w:hint="eastAsia" w:ascii="仿宋" w:hAnsi="仿宋" w:eastAsia="仿宋" w:cs="仿宋"/>
                <w:color w:val="000000" w:themeColor="text1"/>
                <w:sz w:val="24"/>
                <w:szCs w:val="24"/>
                <w:lang w:val="zh-CN"/>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3.投标人具有高新技术企业证书的，投标文件中提供证书原件彩色扫描件得1分，未提供或提供不全者不得分。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vMerge w:val="restart"/>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项目实施方 案</w:t>
            </w:r>
          </w:p>
        </w:tc>
        <w:tc>
          <w:tcPr>
            <w:tcW w:w="1408" w:type="dxa"/>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w:t>
            </w:r>
          </w:p>
        </w:tc>
        <w:tc>
          <w:tcPr>
            <w:tcW w:w="6567"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根据投标人提供的对本项目的理解和日常运行维护方案（至少包括运维计划、日常维护巡检内容、故障维修措施）的合理性、逻辑性、完整性及可操作性进行评分。 </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对项目整体认识全面、到位，方案科学合理、逻辑性强、服务内容完整、可操作性行强的得20-14分；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对项目认识良好，方案较全面、较详细合理、可操作性较强的得13-7</w:t>
            </w:r>
            <w:r>
              <w:rPr>
                <w:rFonts w:hint="eastAsia" w:ascii="仿宋" w:hAnsi="仿宋" w:eastAsia="仿宋" w:cs="仿宋"/>
                <w:spacing w:val="-2"/>
                <w:sz w:val="24"/>
                <w:szCs w:val="24"/>
              </w:rPr>
              <w:t>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对项目认识一般，方案不够全面，逻辑性、可操作性一般或较差的得6-1分。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sz w:val="24"/>
                <w:szCs w:val="24"/>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vMerge w:val="continue"/>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p>
        </w:tc>
        <w:tc>
          <w:tcPr>
            <w:tcW w:w="1408" w:type="dxa"/>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6567" w:type="dxa"/>
            <w:vAlign w:val="center"/>
          </w:tcPr>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根据</w:t>
            </w:r>
            <w:r>
              <w:rPr>
                <w:rStyle w:val="19"/>
                <w:rFonts w:hint="eastAsia" w:ascii="仿宋" w:hAnsi="仿宋" w:eastAsia="仿宋" w:cs="仿宋"/>
                <w:color w:val="000000" w:themeColor="text1"/>
                <w:sz w:val="24"/>
                <w:szCs w:val="24"/>
                <w14:textFill>
                  <w14:solidFill>
                    <w14:schemeClr w14:val="tx1"/>
                  </w14:solidFill>
                </w14:textFill>
              </w:rPr>
              <w:t>投标</w:t>
            </w:r>
            <w:r>
              <w:rPr>
                <w:rFonts w:hint="eastAsia" w:ascii="仿宋" w:hAnsi="仿宋" w:eastAsia="仿宋" w:cs="仿宋"/>
                <w:sz w:val="24"/>
                <w:szCs w:val="24"/>
              </w:rPr>
              <w:t>人提供的针对本项目的质控方案（至少包括质量保证控制计划、质量保证控制措施、质量控制具体内容）的科学性、合理性、针对性及可操作性进行评分。</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方案科学全面、详细合理、针对性及可操作性强的得15-10分；</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方案较全面、较详细合理、针对性及可操作性较强的得9-5分；</w:t>
            </w:r>
          </w:p>
          <w:p>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方案针对性及可操作性一般或较差的得4-1分；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sz w:val="24"/>
                <w:szCs w:val="24"/>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vMerge w:val="continue"/>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p>
        </w:tc>
        <w:tc>
          <w:tcPr>
            <w:tcW w:w="1408" w:type="dxa"/>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6567"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根据投标人提供的针对本项目的运行管理制度、安全保障措施等</w:t>
            </w:r>
            <w:r>
              <w:rPr>
                <w:rFonts w:hint="eastAsia" w:ascii="仿宋" w:hAnsi="仿宋" w:eastAsia="仿宋" w:cs="仿宋"/>
                <w:sz w:val="24"/>
                <w:szCs w:val="24"/>
              </w:rPr>
              <w:t>全面性、针对性进行评分。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方案完善合理、针对性强的得10-7分； </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方案较完善合理、针对性较强的得6-3分； </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方案不全面、针对性一般或较差的得2-1分。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sz w:val="24"/>
                <w:szCs w:val="24"/>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vMerge w:val="continue"/>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p>
        </w:tc>
        <w:tc>
          <w:tcPr>
            <w:tcW w:w="1408" w:type="dxa"/>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6567"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pacing w:val="-5"/>
                <w:sz w:val="24"/>
                <w:szCs w:val="24"/>
              </w:rPr>
              <w:t>根据投标人提供的针对本项目的应急预案</w:t>
            </w:r>
            <w:r>
              <w:rPr>
                <w:rFonts w:hint="eastAsia" w:ascii="仿宋" w:hAnsi="仿宋" w:eastAsia="仿宋" w:cs="仿宋"/>
                <w:spacing w:val="-3"/>
                <w:sz w:val="24"/>
                <w:szCs w:val="24"/>
              </w:rPr>
              <w:t>（</w:t>
            </w:r>
            <w:r>
              <w:rPr>
                <w:rFonts w:hint="eastAsia" w:ascii="仿宋" w:hAnsi="仿宋" w:eastAsia="仿宋" w:cs="仿宋"/>
                <w:spacing w:val="-6"/>
                <w:sz w:val="24"/>
                <w:szCs w:val="24"/>
              </w:rPr>
              <w:t>至少包含应急分类与处置</w:t>
            </w:r>
            <w:r>
              <w:rPr>
                <w:rFonts w:hint="eastAsia" w:ascii="仿宋" w:hAnsi="仿宋" w:eastAsia="仿宋" w:cs="仿宋"/>
                <w:sz w:val="24"/>
                <w:szCs w:val="24"/>
              </w:rPr>
              <w:t>）的全面性及可操作性进行评分。对运营期间如出现严重影响系统运行和数据质量的重大问题时，是否具备有效的措施，并制定了数据</w:t>
            </w:r>
            <w:r>
              <w:rPr>
                <w:rFonts w:hint="eastAsia" w:ascii="仿宋" w:hAnsi="仿宋" w:eastAsia="仿宋" w:cs="仿宋"/>
                <w:spacing w:val="-3"/>
                <w:sz w:val="24"/>
                <w:szCs w:val="24"/>
              </w:rPr>
              <w:t xml:space="preserve">监控制度和处理处置方法。 </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制度健全完善，可操作性强的得 10-7 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制度基本完善，可操作性较强的得6-3分； </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制度不够完善，可操作性一般或较差的得2-1分。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vMerge w:val="continue"/>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p>
        </w:tc>
        <w:tc>
          <w:tcPr>
            <w:tcW w:w="1408" w:type="dxa"/>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6567"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根据投标人提供的针对本项目的交接方案，对内容的合理性及可操作性进行评分。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内容合理，切实可行，针对性强的得8-6分；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内容较为合理，基本可行的得5-3分；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pacing w:val="-5"/>
                <w:sz w:val="24"/>
                <w:szCs w:val="24"/>
              </w:rPr>
            </w:pPr>
            <w:r>
              <w:rPr>
                <w:rFonts w:hint="eastAsia" w:ascii="仿宋" w:hAnsi="仿宋" w:eastAsia="仿宋" w:cs="仿宋"/>
                <w:kern w:val="0"/>
                <w:sz w:val="24"/>
                <w:szCs w:val="24"/>
              </w:rPr>
              <w:t>内容较差或未提供相关内容的得2-1分。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vMerge w:val="restart"/>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sz w:val="24"/>
                <w:szCs w:val="24"/>
              </w:rPr>
              <w:t>配置保障</w:t>
            </w:r>
          </w:p>
        </w:tc>
        <w:tc>
          <w:tcPr>
            <w:tcW w:w="1408" w:type="dxa"/>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6567"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pacing w:val="-9"/>
                <w:sz w:val="24"/>
                <w:szCs w:val="24"/>
              </w:rPr>
            </w:pPr>
            <w:r>
              <w:rPr>
                <w:rFonts w:hint="eastAsia" w:ascii="仿宋" w:hAnsi="仿宋" w:eastAsia="仿宋" w:cs="仿宋"/>
                <w:spacing w:val="-1"/>
                <w:sz w:val="24"/>
                <w:szCs w:val="24"/>
              </w:rPr>
              <w:t>1.</w:t>
            </w:r>
            <w:r>
              <w:rPr>
                <w:rFonts w:hint="eastAsia" w:ascii="仿宋" w:hAnsi="仿宋" w:eastAsia="仿宋" w:cs="仿宋"/>
                <w:sz w:val="24"/>
                <w:szCs w:val="24"/>
              </w:rPr>
              <w:t>投标人项目经理具有环境类高级工程师证书，同时具有中国环境监测总站颁发的</w:t>
            </w:r>
            <w:r>
              <w:rPr>
                <w:rStyle w:val="19"/>
                <w:rFonts w:hint="eastAsia" w:ascii="仿宋" w:hAnsi="仿宋" w:eastAsia="仿宋" w:cs="仿宋"/>
                <w:color w:val="000000"/>
                <w:sz w:val="24"/>
                <w:szCs w:val="24"/>
              </w:rPr>
              <w:t>《</w:t>
            </w:r>
            <w:r>
              <w:rPr>
                <w:rFonts w:hint="eastAsia" w:ascii="仿宋" w:hAnsi="仿宋" w:eastAsia="仿宋" w:cs="仿宋"/>
                <w:sz w:val="24"/>
                <w:szCs w:val="24"/>
              </w:rPr>
              <w:t>环境空气质量自动监测运维技术与质控要求培训合格证书</w:t>
            </w:r>
            <w:r>
              <w:rPr>
                <w:rStyle w:val="19"/>
                <w:rFonts w:hint="eastAsia" w:ascii="仿宋" w:hAnsi="仿宋" w:eastAsia="仿宋" w:cs="仿宋"/>
                <w:color w:val="000000"/>
                <w:sz w:val="24"/>
                <w:szCs w:val="24"/>
              </w:rPr>
              <w:t>》</w:t>
            </w:r>
            <w:r>
              <w:rPr>
                <w:rStyle w:val="19"/>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sz w:val="24"/>
                <w:szCs w:val="24"/>
              </w:rPr>
              <w:t>《大气中挥发性有机物监测技术培训合格证书》</w:t>
            </w:r>
            <w:r>
              <w:rPr>
                <w:rStyle w:val="19"/>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sz w:val="24"/>
                <w:szCs w:val="24"/>
              </w:rPr>
              <w:t>《国家地表水环境质量自动监测技术与运维管理培训合格证书》的，得3分。</w:t>
            </w:r>
          </w:p>
          <w:p>
            <w:pPr>
              <w:keepNext w:val="0"/>
              <w:keepLines w:val="0"/>
              <w:pageBreakBefore w:val="0"/>
              <w:kinsoku/>
              <w:wordWrap/>
              <w:overflowPunct/>
              <w:topLinePunct w:val="0"/>
              <w:bidi w:val="0"/>
              <w:adjustRightInd/>
              <w:snapToGrid/>
              <w:spacing w:line="360" w:lineRule="auto"/>
              <w:textAlignment w:val="auto"/>
              <w:rPr>
                <w:rStyle w:val="19"/>
                <w:rFonts w:hint="eastAsia" w:ascii="仿宋" w:hAnsi="仿宋" w:eastAsia="仿宋" w:cs="仿宋"/>
                <w:spacing w:val="-9"/>
                <w:sz w:val="24"/>
                <w:szCs w:val="24"/>
              </w:rPr>
            </w:pPr>
            <w:r>
              <w:rPr>
                <w:rFonts w:hint="eastAsia" w:ascii="仿宋" w:hAnsi="仿宋" w:eastAsia="仿宋" w:cs="仿宋"/>
                <w:sz w:val="24"/>
                <w:szCs w:val="24"/>
              </w:rPr>
              <w:t>2.投标人为本项目配备的运维人员中</w:t>
            </w:r>
            <w:r>
              <w:rPr>
                <w:rStyle w:val="19"/>
                <w:rFonts w:hint="eastAsia" w:ascii="仿宋" w:hAnsi="仿宋" w:eastAsia="仿宋" w:cs="仿宋"/>
                <w:color w:val="000000" w:themeColor="text1"/>
                <w:sz w:val="24"/>
                <w:szCs w:val="24"/>
                <w14:textFill>
                  <w14:solidFill>
                    <w14:schemeClr w14:val="tx1"/>
                  </w14:solidFill>
                </w14:textFill>
              </w:rPr>
              <w:t>具有环境类中级及以上工程师证书，同时具有中国环境监测总站颁发的</w:t>
            </w:r>
            <w:r>
              <w:rPr>
                <w:rFonts w:hint="eastAsia" w:ascii="仿宋" w:hAnsi="仿宋" w:eastAsia="仿宋" w:cs="仿宋"/>
                <w:sz w:val="24"/>
                <w:szCs w:val="24"/>
              </w:rPr>
              <w:t>《环境空气质量自动监测运维技术与质控要求培训合格证书》</w:t>
            </w:r>
            <w:r>
              <w:rPr>
                <w:rStyle w:val="19"/>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sz w:val="24"/>
                <w:szCs w:val="24"/>
              </w:rPr>
              <w:t>《大气中挥发性有机物监测技术培训合格证书》</w:t>
            </w:r>
            <w:r>
              <w:rPr>
                <w:rStyle w:val="19"/>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sz w:val="24"/>
                <w:szCs w:val="24"/>
              </w:rPr>
              <w:t>《国家地表水环境质量自动监测技术与运维管理培训合格证书》</w:t>
            </w:r>
            <w:r>
              <w:rPr>
                <w:rStyle w:val="19"/>
                <w:rFonts w:hint="eastAsia" w:ascii="仿宋" w:hAnsi="仿宋" w:eastAsia="仿宋" w:cs="仿宋"/>
                <w:color w:val="000000" w:themeColor="text1"/>
                <w:sz w:val="24"/>
                <w:szCs w:val="24"/>
                <w14:textFill>
                  <w14:solidFill>
                    <w14:schemeClr w14:val="tx1"/>
                  </w14:solidFill>
                </w14:textFill>
              </w:rPr>
              <w:t>的，每提供一人得1.5分，本项最高得6分。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pacing w:val="-9"/>
                <w:sz w:val="24"/>
                <w:szCs w:val="24"/>
              </w:rPr>
            </w:pPr>
            <w:r>
              <w:rPr>
                <w:rStyle w:val="19"/>
                <w:rFonts w:hint="eastAsia" w:ascii="仿宋" w:hAnsi="仿宋" w:eastAsia="仿宋" w:cs="仿宋"/>
                <w:color w:val="000000" w:themeColor="text1"/>
                <w:sz w:val="24"/>
                <w:szCs w:val="24"/>
                <w14:textFill>
                  <w14:solidFill>
                    <w14:schemeClr w14:val="tx1"/>
                  </w14:solidFill>
                </w14:textFill>
              </w:rPr>
              <w:t>3.投标人数据审核人员具有环境类中级及以上工程师证书，同时具有中国环境监测总站颁发的</w:t>
            </w:r>
            <w:r>
              <w:rPr>
                <w:rFonts w:hint="eastAsia" w:ascii="仿宋" w:hAnsi="仿宋" w:eastAsia="仿宋" w:cs="仿宋"/>
                <w:sz w:val="24"/>
                <w:szCs w:val="24"/>
              </w:rPr>
              <w:t>《环境空气质量自动监测运维技术与质控要求培训合格证书》</w:t>
            </w:r>
            <w:r>
              <w:rPr>
                <w:rStyle w:val="19"/>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sz w:val="24"/>
                <w:szCs w:val="24"/>
              </w:rPr>
              <w:t>《大气中挥发性有机物监测技术培训合格证书》</w:t>
            </w:r>
            <w:r>
              <w:rPr>
                <w:rStyle w:val="19"/>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sz w:val="24"/>
                <w:szCs w:val="24"/>
              </w:rPr>
              <w:t>《国家地表水环境质量自动监测技术与运维管理培训合格证书》</w:t>
            </w:r>
            <w:r>
              <w:rPr>
                <w:rStyle w:val="19"/>
                <w:rFonts w:hint="eastAsia" w:ascii="仿宋" w:hAnsi="仿宋" w:eastAsia="仿宋" w:cs="仿宋"/>
                <w:color w:val="000000" w:themeColor="text1"/>
                <w:sz w:val="24"/>
                <w:szCs w:val="24"/>
                <w14:textFill>
                  <w14:solidFill>
                    <w14:schemeClr w14:val="tx1"/>
                  </w14:solidFill>
                </w14:textFill>
              </w:rPr>
              <w:t>、省级及以上环保主管机构颁发的《环境空气质量监测预报及重污染天气预警技术培训合格证书》的，每提供一人得2分，本项最高得2分。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注：</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1.文件中提供相应人员的证书以及开标前半年内在本单位缴纳社保的证明材料原件彩色扫描件，未提供或提供不全者不得分。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2.以上人员不重复计分。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vMerge w:val="continue"/>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p>
        </w:tc>
        <w:tc>
          <w:tcPr>
            <w:tcW w:w="1408" w:type="dxa"/>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6567"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1.投标人应提供必要的质量控制设备用于开展气站运维工作，至少包括流量计、</w:t>
            </w:r>
            <w:r>
              <w:rPr>
                <w:rFonts w:hint="eastAsia" w:ascii="仿宋" w:hAnsi="仿宋" w:eastAsia="仿宋" w:cs="仿宋"/>
                <w:sz w:val="24"/>
                <w:szCs w:val="24"/>
              </w:rPr>
              <w:t>温湿度计、气压表、风向风速仪</w:t>
            </w:r>
            <w:r>
              <w:rPr>
                <w:rFonts w:hint="eastAsia" w:ascii="仿宋" w:hAnsi="仿宋" w:eastAsia="仿宋" w:cs="仿宋"/>
                <w:snapToGrid w:val="0"/>
                <w:sz w:val="24"/>
                <w:szCs w:val="24"/>
              </w:rPr>
              <w:t>，投标文件发中提供质控设备有效期内鉴定报告、采购合同及发票原件彩色扫描件，得1.5分，未提供或提供不全的不得分。</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kern w:val="0"/>
                <w:sz w:val="24"/>
                <w:szCs w:val="24"/>
              </w:rPr>
              <w:t>2.投标人应提供1套便携式水质五参数（</w:t>
            </w:r>
            <w:r>
              <w:rPr>
                <w:rFonts w:hint="eastAsia" w:ascii="仿宋" w:hAnsi="仿宋" w:eastAsia="仿宋" w:cs="仿宋"/>
                <w:bCs/>
                <w:kern w:val="0"/>
                <w:sz w:val="24"/>
                <w:szCs w:val="24"/>
              </w:rPr>
              <w:t>水温、pH值、溶解氧、电导率和浊度</w:t>
            </w:r>
            <w:r>
              <w:rPr>
                <w:rFonts w:hint="eastAsia" w:ascii="仿宋" w:hAnsi="仿宋" w:eastAsia="仿宋" w:cs="仿宋"/>
                <w:kern w:val="0"/>
                <w:sz w:val="24"/>
                <w:szCs w:val="24"/>
              </w:rPr>
              <w:t>）监测设备用于开展水站运维工作</w:t>
            </w:r>
            <w:r>
              <w:rPr>
                <w:rFonts w:hint="eastAsia" w:ascii="仿宋" w:hAnsi="仿宋" w:eastAsia="仿宋" w:cs="仿宋"/>
                <w:color w:val="000000"/>
                <w:kern w:val="0"/>
                <w:sz w:val="24"/>
                <w:szCs w:val="24"/>
              </w:rPr>
              <w:t>，投标文件中提供有效期内的鉴定报告、采购合同及发票</w:t>
            </w:r>
            <w:r>
              <w:rPr>
                <w:rFonts w:hint="eastAsia" w:ascii="仿宋" w:hAnsi="仿宋" w:eastAsia="仿宋" w:cs="仿宋"/>
                <w:kern w:val="0"/>
                <w:sz w:val="24"/>
                <w:szCs w:val="24"/>
              </w:rPr>
              <w:t>的原件彩色扫描件，得1.5分，未提供或提供不全的不得分。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44"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诚信投标</w:t>
            </w:r>
          </w:p>
        </w:tc>
        <w:tc>
          <w:tcPr>
            <w:tcW w:w="1408" w:type="dxa"/>
            <w:vAlign w:val="center"/>
          </w:tcPr>
          <w:p>
            <w:pPr>
              <w:keepNext w:val="0"/>
              <w:keepLines w:val="0"/>
              <w:pageBreakBefore w:val="0"/>
              <w:kinsoku/>
              <w:wordWrap/>
              <w:overflowPunct/>
              <w:topLinePunct w:val="0"/>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6567" w:type="dxa"/>
            <w:vAlign w:val="center"/>
          </w:tcPr>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投标人提交签署并盖章《盐城市大丰区政府招标采购供应商承诺书》原件的得1分；没有提供的不得分。</w:t>
            </w:r>
          </w:p>
        </w:tc>
      </w:tr>
    </w:tbl>
    <w:p>
      <w:pPr>
        <w:rPr>
          <w:rFonts w:ascii="仿宋" w:hAnsi="仿宋" w:eastAsia="仿宋"/>
          <w:b/>
          <w:bCs/>
          <w:szCs w:val="21"/>
        </w:rPr>
      </w:pPr>
    </w:p>
    <w:p>
      <w:pPr>
        <w:rPr>
          <w:rFonts w:ascii="仿宋" w:hAnsi="仿宋" w:eastAsia="仿宋" w:cs="仿宋"/>
        </w:rPr>
      </w:pPr>
      <w:r>
        <w:rPr>
          <w:rFonts w:ascii="仿宋" w:hAnsi="仿宋" w:eastAsia="仿宋" w:cs="仿宋"/>
        </w:rPr>
        <w:br w:type="page"/>
      </w:r>
    </w:p>
    <w:p>
      <w:pPr>
        <w:pStyle w:val="12"/>
        <w:spacing w:beforeAutospacing="0" w:afterAutospacing="0"/>
        <w:jc w:val="both"/>
        <w:rPr>
          <w:rFonts w:ascii="仿宋" w:hAnsi="仿宋" w:eastAsia="仿宋" w:cs="仿宋"/>
        </w:rPr>
      </w:pPr>
    </w:p>
    <w:p>
      <w:pPr>
        <w:pStyle w:val="12"/>
        <w:keepNext/>
        <w:spacing w:beforeAutospacing="0" w:afterAutospacing="0"/>
        <w:jc w:val="center"/>
        <w:outlineLvl w:val="0"/>
        <w:rPr>
          <w:rFonts w:ascii="仿宋" w:hAnsi="仿宋" w:eastAsia="仿宋" w:cs="仿宋"/>
          <w:color w:val="000000"/>
          <w:sz w:val="44"/>
          <w:szCs w:val="44"/>
        </w:rPr>
      </w:pPr>
      <w:bookmarkStart w:id="180" w:name="_Toc30570"/>
      <w:r>
        <w:rPr>
          <w:rFonts w:hint="eastAsia" w:ascii="仿宋" w:hAnsi="仿宋" w:eastAsia="仿宋" w:cs="仿宋"/>
          <w:color w:val="000000"/>
          <w:sz w:val="44"/>
          <w:szCs w:val="44"/>
        </w:rPr>
        <w:t>第六章  投标文件格式</w:t>
      </w:r>
      <w:bookmarkEnd w:id="180"/>
      <w:r>
        <w:rPr>
          <w:rFonts w:hint="eastAsia" w:ascii="仿宋" w:hAnsi="仿宋" w:eastAsia="仿宋" w:cs="仿宋"/>
          <w:color w:val="000000"/>
          <w:sz w:val="44"/>
          <w:szCs w:val="44"/>
        </w:rPr>
        <w:t xml:space="preserve"> </w:t>
      </w:r>
    </w:p>
    <w:p>
      <w:pPr>
        <w:pStyle w:val="12"/>
        <w:keepNext/>
        <w:spacing w:beforeAutospacing="0" w:afterAutospacing="0"/>
        <w:jc w:val="center"/>
        <w:rPr>
          <w:rFonts w:ascii="仿宋" w:hAnsi="仿宋" w:eastAsia="仿宋" w:cs="仿宋"/>
          <w:color w:val="000000"/>
          <w:sz w:val="44"/>
          <w:szCs w:val="44"/>
        </w:rPr>
      </w:pPr>
    </w:p>
    <w:p>
      <w:pPr>
        <w:pStyle w:val="12"/>
        <w:keepNext/>
        <w:spacing w:beforeAutospacing="0" w:afterAutospacing="0"/>
        <w:jc w:val="center"/>
        <w:rPr>
          <w:rFonts w:ascii="仿宋" w:hAnsi="仿宋" w:eastAsia="仿宋" w:cs="仿宋"/>
          <w:color w:val="000000"/>
          <w:sz w:val="44"/>
          <w:szCs w:val="44"/>
        </w:rPr>
      </w:pPr>
    </w:p>
    <w:p>
      <w:pPr>
        <w:pStyle w:val="12"/>
        <w:keepNext/>
        <w:spacing w:beforeAutospacing="0" w:afterAutospacing="0"/>
        <w:jc w:val="center"/>
        <w:rPr>
          <w:rFonts w:ascii="仿宋" w:hAnsi="仿宋" w:eastAsia="仿宋" w:cs="仿宋"/>
          <w:color w:val="000000"/>
          <w:sz w:val="44"/>
          <w:szCs w:val="44"/>
        </w:rPr>
      </w:pPr>
    </w:p>
    <w:p>
      <w:pPr>
        <w:pStyle w:val="12"/>
        <w:keepNext/>
        <w:spacing w:beforeAutospacing="0" w:afterAutospacing="0"/>
        <w:jc w:val="center"/>
        <w:rPr>
          <w:rFonts w:ascii="仿宋" w:hAnsi="仿宋" w:eastAsia="仿宋" w:cs="仿宋"/>
          <w:color w:val="000000"/>
          <w:sz w:val="44"/>
          <w:szCs w:val="44"/>
        </w:rPr>
      </w:pPr>
    </w:p>
    <w:p>
      <w:pPr>
        <w:pStyle w:val="12"/>
        <w:keepNext/>
        <w:spacing w:beforeAutospacing="0" w:afterAutospacing="0"/>
        <w:jc w:val="center"/>
        <w:rPr>
          <w:rFonts w:ascii="仿宋" w:hAnsi="仿宋" w:eastAsia="仿宋" w:cs="仿宋"/>
          <w:color w:val="000000"/>
          <w:sz w:val="44"/>
          <w:szCs w:val="44"/>
        </w:rPr>
      </w:pPr>
    </w:p>
    <w:p>
      <w:pPr>
        <w:pStyle w:val="12"/>
        <w:keepNext/>
        <w:spacing w:beforeAutospacing="0" w:afterAutospacing="0"/>
        <w:jc w:val="center"/>
        <w:rPr>
          <w:rFonts w:ascii="仿宋" w:hAnsi="仿宋" w:eastAsia="仿宋" w:cs="仿宋"/>
          <w:color w:val="000000"/>
          <w:sz w:val="44"/>
          <w:szCs w:val="44"/>
        </w:rPr>
      </w:pPr>
    </w:p>
    <w:p>
      <w:pPr>
        <w:pStyle w:val="12"/>
        <w:spacing w:beforeAutospacing="0" w:afterAutospacing="0"/>
        <w:jc w:val="center"/>
        <w:rPr>
          <w:rFonts w:ascii="仿宋" w:hAnsi="仿宋" w:eastAsia="仿宋" w:cs="仿宋"/>
        </w:rPr>
      </w:pPr>
      <w:bookmarkStart w:id="181" w:name="_Hlt26671244"/>
      <w:bookmarkEnd w:id="181"/>
      <w:bookmarkStart w:id="182" w:name="_Toc26554094"/>
      <w:bookmarkEnd w:id="182"/>
      <w:bookmarkStart w:id="183" w:name="_Hlt26955039"/>
      <w:bookmarkEnd w:id="183"/>
      <w:bookmarkStart w:id="184" w:name="_Toc49090576"/>
      <w:bookmarkStart w:id="185" w:name="_Toc120614282"/>
      <w:r>
        <w:rPr>
          <w:rFonts w:hint="eastAsia" w:ascii="仿宋" w:hAnsi="仿宋" w:eastAsia="仿宋" w:cs="仿宋"/>
          <w:b/>
          <w:color w:val="000000"/>
          <w:sz w:val="72"/>
          <w:szCs w:val="72"/>
        </w:rPr>
        <w:t>投  标  文  件</w:t>
      </w:r>
    </w:p>
    <w:p>
      <w:pPr>
        <w:pStyle w:val="12"/>
        <w:spacing w:beforeAutospacing="0" w:afterAutospacing="0"/>
        <w:jc w:val="center"/>
        <w:rPr>
          <w:rFonts w:ascii="仿宋" w:hAnsi="仿宋" w:eastAsia="仿宋" w:cs="仿宋"/>
        </w:rPr>
      </w:pPr>
      <w:r>
        <w:rPr>
          <w:rFonts w:hint="eastAsia" w:ascii="仿宋" w:hAnsi="仿宋" w:eastAsia="仿宋" w:cs="仿宋"/>
        </w:rPr>
        <w:t> </w:t>
      </w:r>
    </w:p>
    <w:p>
      <w:pPr>
        <w:pStyle w:val="12"/>
        <w:spacing w:beforeAutospacing="0" w:afterAutospacing="0"/>
        <w:jc w:val="center"/>
        <w:rPr>
          <w:rFonts w:ascii="仿宋" w:hAnsi="仿宋" w:eastAsia="仿宋" w:cs="仿宋"/>
        </w:rPr>
      </w:pPr>
      <w:r>
        <w:rPr>
          <w:rFonts w:hint="eastAsia" w:ascii="仿宋" w:hAnsi="仿宋" w:eastAsia="仿宋" w:cs="仿宋"/>
        </w:rPr>
        <w:t> </w:t>
      </w:r>
    </w:p>
    <w:p>
      <w:pPr>
        <w:pStyle w:val="12"/>
        <w:spacing w:beforeAutospacing="0" w:afterAutospacing="0"/>
        <w:jc w:val="center"/>
        <w:rPr>
          <w:rFonts w:ascii="仿宋" w:hAnsi="仿宋" w:eastAsia="仿宋" w:cs="仿宋"/>
        </w:rPr>
      </w:pPr>
      <w:r>
        <w:rPr>
          <w:rFonts w:hint="eastAsia" w:ascii="仿宋" w:hAnsi="仿宋" w:eastAsia="仿宋" w:cs="仿宋"/>
        </w:rPr>
        <w:t> </w:t>
      </w:r>
    </w:p>
    <w:p>
      <w:pPr>
        <w:pStyle w:val="12"/>
        <w:spacing w:beforeAutospacing="0" w:afterAutospacing="0"/>
        <w:jc w:val="center"/>
        <w:rPr>
          <w:rFonts w:ascii="仿宋" w:hAnsi="仿宋" w:eastAsia="仿宋" w:cs="仿宋"/>
        </w:rPr>
      </w:pPr>
      <w:r>
        <w:rPr>
          <w:rFonts w:hint="eastAsia" w:ascii="仿宋" w:hAnsi="仿宋" w:eastAsia="仿宋" w:cs="仿宋"/>
        </w:rPr>
        <w:t> </w:t>
      </w:r>
    </w:p>
    <w:p>
      <w:pPr>
        <w:pStyle w:val="12"/>
        <w:spacing w:beforeAutospacing="0" w:afterAutospacing="0"/>
        <w:jc w:val="center"/>
        <w:rPr>
          <w:rFonts w:ascii="仿宋" w:hAnsi="仿宋" w:eastAsia="仿宋" w:cs="仿宋"/>
        </w:rPr>
      </w:pPr>
      <w:r>
        <w:rPr>
          <w:rFonts w:hint="eastAsia" w:ascii="仿宋" w:hAnsi="仿宋" w:eastAsia="仿宋" w:cs="仿宋"/>
        </w:rPr>
        <w:t> </w:t>
      </w:r>
    </w:p>
    <w:p>
      <w:pPr>
        <w:pStyle w:val="12"/>
        <w:spacing w:beforeAutospacing="0" w:afterAutospacing="0"/>
        <w:ind w:firstLine="1084"/>
        <w:jc w:val="both"/>
        <w:rPr>
          <w:rFonts w:ascii="仿宋" w:hAnsi="仿宋" w:eastAsia="仿宋" w:cs="仿宋"/>
        </w:rPr>
      </w:pPr>
      <w:r>
        <w:rPr>
          <w:rFonts w:hint="eastAsia" w:ascii="仿宋" w:hAnsi="仿宋" w:eastAsia="仿宋" w:cs="仿宋"/>
          <w:b/>
          <w:color w:val="000000"/>
          <w:sz w:val="36"/>
          <w:szCs w:val="36"/>
        </w:rPr>
        <w:t>项目 名 称：</w:t>
      </w:r>
      <w:r>
        <w:rPr>
          <w:rFonts w:hint="eastAsia" w:ascii="仿宋" w:hAnsi="仿宋" w:eastAsia="仿宋" w:cs="仿宋"/>
          <w:b/>
          <w:color w:val="000000"/>
          <w:sz w:val="36"/>
          <w:szCs w:val="36"/>
          <w:u w:val="single"/>
        </w:rPr>
        <w:t xml:space="preserve">               </w:t>
      </w:r>
    </w:p>
    <w:p>
      <w:pPr>
        <w:pStyle w:val="12"/>
        <w:spacing w:beforeAutospacing="0" w:afterAutospacing="0"/>
        <w:ind w:firstLine="1084"/>
        <w:jc w:val="both"/>
        <w:rPr>
          <w:rFonts w:ascii="仿宋" w:hAnsi="仿宋" w:eastAsia="仿宋" w:cs="仿宋"/>
        </w:rPr>
      </w:pPr>
      <w:r>
        <w:rPr>
          <w:rFonts w:hint="eastAsia" w:ascii="仿宋" w:hAnsi="仿宋" w:eastAsia="仿宋" w:cs="仿宋"/>
          <w:b/>
          <w:color w:val="000000"/>
          <w:sz w:val="36"/>
          <w:szCs w:val="36"/>
        </w:rPr>
        <w:t>项目 编 号：</w:t>
      </w:r>
      <w:r>
        <w:rPr>
          <w:rFonts w:hint="eastAsia" w:ascii="仿宋" w:hAnsi="仿宋" w:eastAsia="仿宋" w:cs="仿宋"/>
          <w:b/>
          <w:color w:val="000000"/>
          <w:sz w:val="36"/>
          <w:szCs w:val="36"/>
          <w:u w:val="single"/>
        </w:rPr>
        <w:t xml:space="preserve">               </w:t>
      </w:r>
    </w:p>
    <w:p>
      <w:pPr>
        <w:pStyle w:val="12"/>
        <w:spacing w:beforeAutospacing="0" w:afterAutospacing="0"/>
        <w:jc w:val="both"/>
        <w:rPr>
          <w:rFonts w:ascii="仿宋" w:hAnsi="仿宋" w:eastAsia="仿宋" w:cs="仿宋"/>
        </w:rPr>
      </w:pPr>
      <w:r>
        <w:rPr>
          <w:rFonts w:hint="eastAsia" w:ascii="仿宋" w:hAnsi="仿宋" w:eastAsia="仿宋" w:cs="仿宋"/>
          <w:b/>
          <w:color w:val="000000"/>
          <w:sz w:val="36"/>
          <w:szCs w:val="36"/>
        </w:rPr>
        <w:t>       投标人名称 ：</w:t>
      </w:r>
      <w:r>
        <w:rPr>
          <w:rFonts w:hint="eastAsia" w:ascii="仿宋" w:hAnsi="仿宋" w:eastAsia="仿宋" w:cs="仿宋"/>
          <w:b/>
          <w:color w:val="000000"/>
          <w:sz w:val="36"/>
          <w:szCs w:val="36"/>
          <w:u w:val="single"/>
        </w:rPr>
        <w:t xml:space="preserve">（加盖投标人公章）        </w:t>
      </w:r>
    </w:p>
    <w:p>
      <w:pPr>
        <w:pStyle w:val="12"/>
        <w:spacing w:beforeAutospacing="0" w:afterAutospacing="0"/>
        <w:jc w:val="both"/>
        <w:rPr>
          <w:rFonts w:ascii="仿宋" w:hAnsi="仿宋" w:eastAsia="仿宋" w:cs="仿宋"/>
        </w:rPr>
      </w:pPr>
      <w:r>
        <w:rPr>
          <w:rFonts w:hint="eastAsia" w:ascii="仿宋" w:hAnsi="仿宋" w:eastAsia="仿宋" w:cs="仿宋"/>
          <w:b/>
          <w:color w:val="000000"/>
          <w:sz w:val="36"/>
          <w:szCs w:val="36"/>
        </w:rPr>
        <w:t>       日   期 ：</w:t>
      </w:r>
      <w:r>
        <w:rPr>
          <w:rFonts w:hint="eastAsia" w:ascii="仿宋" w:hAnsi="仿宋" w:eastAsia="仿宋" w:cs="仿宋"/>
          <w:b/>
          <w:color w:val="000000"/>
          <w:sz w:val="36"/>
          <w:szCs w:val="36"/>
          <w:u w:val="single"/>
        </w:rPr>
        <w:t>                     </w:t>
      </w:r>
    </w:p>
    <w:p>
      <w:pPr>
        <w:pStyle w:val="12"/>
        <w:spacing w:beforeAutospacing="0" w:afterAutospacing="0" w:line="0" w:lineRule="atLeast"/>
        <w:jc w:val="center"/>
        <w:rPr>
          <w:rFonts w:ascii="仿宋" w:hAnsi="仿宋" w:eastAsia="仿宋" w:cs="仿宋"/>
        </w:rPr>
      </w:pPr>
      <w:r>
        <w:rPr>
          <w:rFonts w:hint="eastAsia" w:ascii="仿宋" w:hAnsi="仿宋" w:eastAsia="仿宋" w:cs="仿宋"/>
        </w:rPr>
        <w:t> </w:t>
      </w:r>
    </w:p>
    <w:p>
      <w:pPr>
        <w:pStyle w:val="12"/>
        <w:spacing w:beforeAutospacing="0" w:afterAutospacing="0" w:line="0" w:lineRule="atLeast"/>
        <w:jc w:val="both"/>
        <w:rPr>
          <w:rFonts w:ascii="仿宋" w:hAnsi="仿宋" w:eastAsia="仿宋" w:cs="仿宋"/>
        </w:rPr>
      </w:pPr>
      <w:r>
        <w:rPr>
          <w:rFonts w:hint="eastAsia" w:ascii="仿宋" w:hAnsi="仿宋" w:eastAsia="仿宋" w:cs="仿宋"/>
        </w:rPr>
        <w:t> </w:t>
      </w:r>
    </w:p>
    <w:p>
      <w:pPr>
        <w:pStyle w:val="12"/>
        <w:spacing w:beforeAutospacing="0" w:afterAutospacing="0" w:line="0" w:lineRule="atLeast"/>
        <w:jc w:val="center"/>
        <w:rPr>
          <w:rFonts w:ascii="仿宋" w:hAnsi="仿宋" w:eastAsia="仿宋" w:cs="仿宋"/>
          <w:b/>
          <w:color w:val="000000"/>
          <w:sz w:val="36"/>
          <w:szCs w:val="36"/>
          <w:u w:val="single"/>
        </w:rPr>
      </w:pPr>
    </w:p>
    <w:p>
      <w:pPr>
        <w:rPr>
          <w:rFonts w:ascii="仿宋" w:hAnsi="仿宋" w:eastAsia="仿宋" w:cs="仿宋"/>
          <w:b/>
          <w:color w:val="000000"/>
          <w:sz w:val="36"/>
          <w:szCs w:val="36"/>
          <w:u w:val="single"/>
        </w:rPr>
      </w:pPr>
      <w:r>
        <w:rPr>
          <w:rFonts w:hint="eastAsia" w:ascii="仿宋" w:hAnsi="仿宋" w:eastAsia="仿宋" w:cs="仿宋"/>
          <w:b/>
          <w:color w:val="000000"/>
          <w:sz w:val="36"/>
          <w:szCs w:val="36"/>
          <w:u w:val="single"/>
        </w:rPr>
        <w:br w:type="page"/>
      </w:r>
    </w:p>
    <w:p>
      <w:pPr>
        <w:pStyle w:val="12"/>
        <w:spacing w:beforeAutospacing="0" w:afterAutospacing="0" w:line="0" w:lineRule="atLeast"/>
        <w:jc w:val="center"/>
        <w:rPr>
          <w:rFonts w:ascii="仿宋" w:hAnsi="仿宋" w:eastAsia="仿宋" w:cs="仿宋"/>
        </w:rPr>
      </w:pPr>
      <w:r>
        <w:rPr>
          <w:rFonts w:hint="eastAsia" w:ascii="仿宋" w:hAnsi="仿宋" w:eastAsia="仿宋" w:cs="仿宋"/>
          <w:b/>
          <w:color w:val="000000"/>
          <w:sz w:val="32"/>
          <w:szCs w:val="32"/>
        </w:rPr>
        <w:t>投标文件目录</w:t>
      </w:r>
    </w:p>
    <w:p>
      <w:pPr>
        <w:pStyle w:val="12"/>
        <w:spacing w:beforeAutospacing="0" w:afterAutospacing="0" w:line="0" w:lineRule="atLeast"/>
        <w:jc w:val="center"/>
        <w:rPr>
          <w:rFonts w:ascii="仿宋" w:hAnsi="仿宋" w:eastAsia="仿宋" w:cs="仿宋"/>
        </w:rPr>
      </w:pPr>
      <w:r>
        <w:rPr>
          <w:rFonts w:hint="eastAsia" w:ascii="仿宋" w:hAnsi="仿宋" w:eastAsia="仿宋" w:cs="仿宋"/>
        </w:rPr>
        <w:t>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003"/>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序号</w:t>
            </w:r>
          </w:p>
        </w:tc>
        <w:tc>
          <w:tcPr>
            <w:tcW w:w="7003" w:type="dxa"/>
            <w:vAlign w:val="center"/>
          </w:tcPr>
          <w:p>
            <w:pPr>
              <w:pStyle w:val="12"/>
              <w:spacing w:beforeAutospacing="0" w:afterAutospacing="0" w:line="360" w:lineRule="auto"/>
              <w:jc w:val="center"/>
              <w:rPr>
                <w:rFonts w:ascii="仿宋" w:hAnsi="仿宋" w:eastAsia="仿宋" w:cs="仿宋"/>
                <w:i/>
                <w:color w:val="000000"/>
                <w:sz w:val="21"/>
                <w:szCs w:val="21"/>
                <w:u w:val="single"/>
              </w:rPr>
            </w:pPr>
            <w:r>
              <w:rPr>
                <w:rFonts w:hint="eastAsia" w:ascii="仿宋" w:hAnsi="仿宋" w:eastAsia="仿宋" w:cs="仿宋"/>
                <w:i/>
                <w:color w:val="000000"/>
                <w:sz w:val="21"/>
                <w:szCs w:val="21"/>
                <w:u w:val="single"/>
              </w:rPr>
              <w:t>投标文件内容</w:t>
            </w:r>
          </w:p>
        </w:tc>
        <w:tc>
          <w:tcPr>
            <w:tcW w:w="797"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1</w:t>
            </w:r>
          </w:p>
        </w:tc>
        <w:tc>
          <w:tcPr>
            <w:tcW w:w="7003" w:type="dxa"/>
            <w:vAlign w:val="center"/>
          </w:tcPr>
          <w:p>
            <w:pPr>
              <w:pStyle w:val="12"/>
              <w:spacing w:beforeAutospacing="0" w:afterAutospacing="0" w:line="360" w:lineRule="auto"/>
              <w:jc w:val="both"/>
              <w:rPr>
                <w:rFonts w:ascii="仿宋" w:hAnsi="仿宋" w:eastAsia="仿宋" w:cs="仿宋"/>
                <w:i/>
                <w:color w:val="000000"/>
                <w:sz w:val="21"/>
                <w:szCs w:val="21"/>
                <w:u w:val="single"/>
              </w:rPr>
            </w:pPr>
            <w:r>
              <w:rPr>
                <w:rFonts w:hint="eastAsia" w:ascii="仿宋" w:hAnsi="仿宋" w:eastAsia="仿宋" w:cs="仿宋"/>
                <w:i/>
                <w:color w:val="000000"/>
                <w:sz w:val="21"/>
                <w:szCs w:val="21"/>
                <w:u w:val="single"/>
              </w:rPr>
              <w:t>开标一览表</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2</w:t>
            </w:r>
          </w:p>
        </w:tc>
        <w:tc>
          <w:tcPr>
            <w:tcW w:w="7003" w:type="dxa"/>
            <w:vAlign w:val="center"/>
          </w:tcPr>
          <w:p>
            <w:pPr>
              <w:pStyle w:val="12"/>
              <w:spacing w:beforeAutospacing="0" w:afterAutospacing="0" w:line="360" w:lineRule="auto"/>
              <w:jc w:val="both"/>
              <w:rPr>
                <w:rFonts w:ascii="仿宋" w:hAnsi="仿宋" w:eastAsia="仿宋" w:cs="仿宋"/>
                <w:sz w:val="21"/>
                <w:szCs w:val="21"/>
              </w:rPr>
            </w:pPr>
            <w:r>
              <w:rPr>
                <w:rFonts w:hint="eastAsia" w:ascii="仿宋" w:hAnsi="仿宋" w:eastAsia="仿宋" w:cs="仿宋"/>
                <w:i/>
                <w:color w:val="000000"/>
                <w:sz w:val="21"/>
                <w:szCs w:val="21"/>
                <w:u w:val="single"/>
              </w:rPr>
              <w:t>法人或者其他组织的营业执照等证明文件，自然人的身份证明</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3</w:t>
            </w:r>
          </w:p>
        </w:tc>
        <w:tc>
          <w:tcPr>
            <w:tcW w:w="7003" w:type="dxa"/>
            <w:vAlign w:val="center"/>
          </w:tcPr>
          <w:p>
            <w:pPr>
              <w:spacing w:line="360" w:lineRule="auto"/>
              <w:rPr>
                <w:rFonts w:ascii="仿宋" w:hAnsi="仿宋" w:eastAsia="仿宋" w:cs="仿宋"/>
                <w:szCs w:val="21"/>
              </w:rPr>
            </w:pPr>
            <w:r>
              <w:rPr>
                <w:rFonts w:hint="eastAsia" w:ascii="仿宋" w:hAnsi="仿宋" w:eastAsia="仿宋" w:cs="仿宋"/>
                <w:i/>
                <w:color w:val="000000"/>
                <w:kern w:val="0"/>
                <w:szCs w:val="21"/>
                <w:u w:val="single"/>
              </w:rPr>
              <w:t>上一年度的财务状况报表（至少提供资产负债表、利润表、现金流量表，投标人成立不满一年无需提供）</w:t>
            </w:r>
          </w:p>
        </w:tc>
        <w:tc>
          <w:tcPr>
            <w:tcW w:w="797" w:type="dxa"/>
            <w:vAlign w:val="center"/>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4</w:t>
            </w:r>
          </w:p>
        </w:tc>
        <w:tc>
          <w:tcPr>
            <w:tcW w:w="7003" w:type="dxa"/>
            <w:vAlign w:val="center"/>
          </w:tcPr>
          <w:p>
            <w:pPr>
              <w:pStyle w:val="12"/>
              <w:spacing w:beforeAutospacing="0" w:afterAutospacing="0" w:line="360" w:lineRule="auto"/>
              <w:jc w:val="both"/>
              <w:rPr>
                <w:rFonts w:ascii="仿宋" w:hAnsi="仿宋" w:eastAsia="仿宋" w:cs="仿宋"/>
                <w:sz w:val="21"/>
                <w:szCs w:val="21"/>
              </w:rPr>
            </w:pPr>
            <w:r>
              <w:rPr>
                <w:rFonts w:hint="eastAsia" w:ascii="仿宋" w:hAnsi="仿宋" w:eastAsia="仿宋" w:cs="仿宋"/>
                <w:i/>
                <w:color w:val="000000"/>
                <w:sz w:val="21"/>
                <w:szCs w:val="21"/>
                <w:u w:val="single"/>
              </w:rPr>
              <w:t>具备履行合同所必需的设备和专业技术能力的书面声明</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5</w:t>
            </w:r>
          </w:p>
        </w:tc>
        <w:tc>
          <w:tcPr>
            <w:tcW w:w="7003" w:type="dxa"/>
            <w:vAlign w:val="center"/>
          </w:tcPr>
          <w:p>
            <w:pPr>
              <w:pStyle w:val="12"/>
              <w:spacing w:beforeAutospacing="0" w:afterAutospacing="0" w:line="360" w:lineRule="auto"/>
              <w:jc w:val="both"/>
              <w:rPr>
                <w:rFonts w:ascii="仿宋" w:hAnsi="仿宋" w:eastAsia="仿宋" w:cs="仿宋"/>
                <w:sz w:val="21"/>
                <w:szCs w:val="21"/>
              </w:rPr>
            </w:pPr>
            <w:r>
              <w:rPr>
                <w:rFonts w:hint="eastAsia" w:ascii="仿宋" w:hAnsi="仿宋" w:eastAsia="仿宋" w:cs="仿宋"/>
                <w:i/>
                <w:color w:val="000000"/>
                <w:sz w:val="21"/>
                <w:szCs w:val="21"/>
                <w:u w:val="single"/>
              </w:rPr>
              <w:t>依法缴纳税收和社会保障资金的相关材料（提供提交投标文件截止时间前一年内至少一个月依法缴纳税收及缴纳社会保障资金的证明材料。投标人依法享受缓缴、免缴税收、社会保障资金的提供证明材料）</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6</w:t>
            </w:r>
          </w:p>
        </w:tc>
        <w:tc>
          <w:tcPr>
            <w:tcW w:w="7003" w:type="dxa"/>
            <w:vAlign w:val="center"/>
          </w:tcPr>
          <w:p>
            <w:pPr>
              <w:pStyle w:val="12"/>
              <w:spacing w:beforeAutospacing="0" w:afterAutospacing="0" w:line="360" w:lineRule="auto"/>
              <w:jc w:val="both"/>
              <w:rPr>
                <w:rFonts w:ascii="仿宋" w:hAnsi="仿宋" w:eastAsia="仿宋" w:cs="仿宋"/>
                <w:sz w:val="21"/>
                <w:szCs w:val="21"/>
              </w:rPr>
            </w:pPr>
            <w:r>
              <w:rPr>
                <w:rFonts w:hint="eastAsia" w:ascii="仿宋" w:hAnsi="仿宋" w:eastAsia="仿宋" w:cs="仿宋"/>
                <w:i/>
                <w:color w:val="000000"/>
                <w:sz w:val="21"/>
                <w:szCs w:val="21"/>
                <w:u w:val="single"/>
              </w:rPr>
              <w:t>参加政府采购活动前 3 年内在经营活动中没有重大违法记录的书面声明</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7</w:t>
            </w:r>
          </w:p>
        </w:tc>
        <w:tc>
          <w:tcPr>
            <w:tcW w:w="7003" w:type="dxa"/>
            <w:vAlign w:val="center"/>
          </w:tcPr>
          <w:p>
            <w:pPr>
              <w:pStyle w:val="12"/>
              <w:spacing w:beforeAutospacing="0" w:afterAutospacing="0" w:line="360" w:lineRule="auto"/>
              <w:jc w:val="both"/>
              <w:rPr>
                <w:rFonts w:ascii="仿宋" w:hAnsi="仿宋" w:eastAsia="仿宋" w:cs="仿宋"/>
                <w:sz w:val="21"/>
                <w:szCs w:val="21"/>
              </w:rPr>
            </w:pPr>
            <w:r>
              <w:rPr>
                <w:rFonts w:hint="eastAsia" w:ascii="仿宋" w:hAnsi="仿宋" w:eastAsia="仿宋" w:cs="仿宋"/>
                <w:i/>
                <w:color w:val="000000"/>
                <w:sz w:val="21"/>
                <w:szCs w:val="21"/>
                <w:u w:val="single"/>
              </w:rPr>
              <w:t>特定资格要求的证明文件（如果本项目设置特定资格要求，则需要提供）</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8</w:t>
            </w:r>
          </w:p>
        </w:tc>
        <w:tc>
          <w:tcPr>
            <w:tcW w:w="7003" w:type="dxa"/>
            <w:vAlign w:val="center"/>
          </w:tcPr>
          <w:p>
            <w:pPr>
              <w:pStyle w:val="12"/>
              <w:spacing w:beforeAutospacing="0" w:afterAutospacing="0" w:line="360" w:lineRule="auto"/>
              <w:jc w:val="both"/>
              <w:rPr>
                <w:rFonts w:ascii="仿宋" w:hAnsi="仿宋" w:eastAsia="仿宋" w:cs="仿宋"/>
                <w:sz w:val="21"/>
                <w:szCs w:val="21"/>
              </w:rPr>
            </w:pPr>
            <w:r>
              <w:rPr>
                <w:rFonts w:hint="eastAsia" w:ascii="仿宋" w:hAnsi="仿宋" w:eastAsia="仿宋" w:cs="仿宋"/>
                <w:i/>
                <w:color w:val="000000"/>
                <w:sz w:val="21"/>
                <w:szCs w:val="21"/>
                <w:u w:val="single"/>
              </w:rPr>
              <w:t>法人授权书,</w:t>
            </w:r>
            <w:r>
              <w:rPr>
                <w:rFonts w:hint="eastAsia" w:ascii="仿宋" w:hAnsi="仿宋" w:eastAsia="仿宋" w:cs="仿宋"/>
                <w:i/>
                <w:sz w:val="21"/>
                <w:szCs w:val="21"/>
                <w:u w:val="single"/>
              </w:rPr>
              <w:t>含被授权人的身份证正反面复印件、投标人为被授权人缴纳的社会养老保险证明（带二维码）等附件</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9</w:t>
            </w:r>
          </w:p>
        </w:tc>
        <w:tc>
          <w:tcPr>
            <w:tcW w:w="7003" w:type="dxa"/>
            <w:vAlign w:val="center"/>
          </w:tcPr>
          <w:p>
            <w:pPr>
              <w:pStyle w:val="12"/>
              <w:spacing w:beforeAutospacing="0" w:afterAutospacing="0" w:line="360" w:lineRule="auto"/>
              <w:jc w:val="both"/>
              <w:rPr>
                <w:rFonts w:ascii="仿宋" w:hAnsi="仿宋" w:eastAsia="仿宋" w:cs="仿宋"/>
                <w:sz w:val="21"/>
                <w:szCs w:val="21"/>
              </w:rPr>
            </w:pPr>
            <w:r>
              <w:rPr>
                <w:rFonts w:hint="eastAsia" w:ascii="仿宋" w:hAnsi="仿宋" w:eastAsia="仿宋" w:cs="仿宋"/>
                <w:i/>
                <w:color w:val="000000"/>
                <w:sz w:val="21"/>
                <w:szCs w:val="21"/>
                <w:u w:val="single"/>
              </w:rPr>
              <w:t>投标函</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10</w:t>
            </w:r>
          </w:p>
        </w:tc>
        <w:tc>
          <w:tcPr>
            <w:tcW w:w="7003" w:type="dxa"/>
            <w:vAlign w:val="center"/>
          </w:tcPr>
          <w:p>
            <w:pPr>
              <w:pStyle w:val="12"/>
              <w:spacing w:beforeAutospacing="0" w:afterAutospacing="0" w:line="360" w:lineRule="auto"/>
              <w:jc w:val="both"/>
              <w:rPr>
                <w:rFonts w:ascii="仿宋" w:hAnsi="仿宋" w:eastAsia="仿宋" w:cs="仿宋"/>
                <w:color w:val="000000"/>
                <w:sz w:val="21"/>
                <w:szCs w:val="21"/>
              </w:rPr>
            </w:pPr>
            <w:r>
              <w:rPr>
                <w:rFonts w:hint="eastAsia" w:ascii="仿宋" w:hAnsi="仿宋" w:eastAsia="仿宋" w:cs="仿宋"/>
                <w:color w:val="000000"/>
                <w:sz w:val="21"/>
                <w:szCs w:val="21"/>
              </w:rPr>
              <w:t>评分索引表</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11</w:t>
            </w:r>
          </w:p>
        </w:tc>
        <w:tc>
          <w:tcPr>
            <w:tcW w:w="7003" w:type="dxa"/>
            <w:vAlign w:val="center"/>
          </w:tcPr>
          <w:p>
            <w:pPr>
              <w:pStyle w:val="12"/>
              <w:spacing w:beforeAutospacing="0" w:afterAutospacing="0" w:line="360" w:lineRule="auto"/>
              <w:jc w:val="both"/>
              <w:rPr>
                <w:rFonts w:ascii="仿宋" w:hAnsi="仿宋" w:eastAsia="仿宋" w:cs="仿宋"/>
                <w:sz w:val="21"/>
                <w:szCs w:val="21"/>
              </w:rPr>
            </w:pPr>
            <w:r>
              <w:rPr>
                <w:rFonts w:hint="eastAsia" w:ascii="仿宋" w:hAnsi="仿宋" w:eastAsia="仿宋" w:cs="仿宋"/>
                <w:color w:val="000000"/>
                <w:sz w:val="21"/>
                <w:szCs w:val="21"/>
              </w:rPr>
              <w:t>小微企业声明函（如有）</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12</w:t>
            </w:r>
          </w:p>
        </w:tc>
        <w:tc>
          <w:tcPr>
            <w:tcW w:w="7003" w:type="dxa"/>
            <w:vAlign w:val="center"/>
          </w:tcPr>
          <w:p>
            <w:pPr>
              <w:pStyle w:val="12"/>
              <w:spacing w:beforeAutospacing="0" w:afterAutospacing="0" w:line="360" w:lineRule="auto"/>
              <w:jc w:val="both"/>
              <w:rPr>
                <w:rFonts w:ascii="仿宋" w:hAnsi="仿宋" w:eastAsia="仿宋" w:cs="仿宋"/>
                <w:sz w:val="21"/>
                <w:szCs w:val="21"/>
              </w:rPr>
            </w:pPr>
            <w:r>
              <w:rPr>
                <w:rFonts w:hint="eastAsia" w:ascii="仿宋" w:hAnsi="仿宋" w:eastAsia="仿宋" w:cs="仿宋"/>
                <w:color w:val="000000"/>
                <w:sz w:val="21"/>
                <w:szCs w:val="21"/>
              </w:rPr>
              <w:t>残疾人福利性单位声明函（如有）</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13</w:t>
            </w:r>
          </w:p>
        </w:tc>
        <w:tc>
          <w:tcPr>
            <w:tcW w:w="7003" w:type="dxa"/>
            <w:vAlign w:val="center"/>
          </w:tcPr>
          <w:p>
            <w:pPr>
              <w:pStyle w:val="12"/>
              <w:spacing w:beforeAutospacing="0" w:afterAutospacing="0" w:line="360" w:lineRule="auto"/>
              <w:jc w:val="both"/>
              <w:rPr>
                <w:rFonts w:ascii="仿宋" w:hAnsi="仿宋" w:eastAsia="仿宋" w:cs="仿宋"/>
                <w:sz w:val="21"/>
                <w:szCs w:val="21"/>
              </w:rPr>
            </w:pPr>
            <w:r>
              <w:rPr>
                <w:rFonts w:hint="eastAsia" w:ascii="仿宋" w:hAnsi="仿宋" w:eastAsia="仿宋" w:cs="仿宋"/>
                <w:color w:val="000000"/>
                <w:sz w:val="21"/>
                <w:szCs w:val="21"/>
              </w:rPr>
              <w:t>联合体协议（如有）</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14</w:t>
            </w:r>
          </w:p>
        </w:tc>
        <w:tc>
          <w:tcPr>
            <w:tcW w:w="7003" w:type="dxa"/>
            <w:vAlign w:val="center"/>
          </w:tcPr>
          <w:p>
            <w:pPr>
              <w:pStyle w:val="12"/>
              <w:spacing w:beforeAutospacing="0" w:afterAutospacing="0" w:line="360" w:lineRule="auto"/>
              <w:jc w:val="both"/>
              <w:rPr>
                <w:rFonts w:ascii="仿宋" w:hAnsi="仿宋" w:eastAsia="仿宋" w:cs="仿宋"/>
                <w:sz w:val="21"/>
                <w:szCs w:val="21"/>
              </w:rPr>
            </w:pPr>
            <w:r>
              <w:rPr>
                <w:rFonts w:hint="eastAsia" w:ascii="仿宋" w:hAnsi="仿宋" w:eastAsia="仿宋" w:cs="仿宋"/>
                <w:color w:val="000000"/>
                <w:sz w:val="21"/>
                <w:szCs w:val="21"/>
              </w:rPr>
              <w:t>投标分项报价表</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15</w:t>
            </w:r>
          </w:p>
        </w:tc>
        <w:tc>
          <w:tcPr>
            <w:tcW w:w="7003" w:type="dxa"/>
            <w:vAlign w:val="center"/>
          </w:tcPr>
          <w:p>
            <w:pPr>
              <w:pStyle w:val="12"/>
              <w:spacing w:beforeAutospacing="0" w:afterAutospacing="0" w:line="360" w:lineRule="auto"/>
              <w:jc w:val="both"/>
              <w:rPr>
                <w:rFonts w:ascii="仿宋" w:hAnsi="仿宋" w:eastAsia="仿宋" w:cs="仿宋"/>
                <w:sz w:val="21"/>
                <w:szCs w:val="21"/>
              </w:rPr>
            </w:pPr>
            <w:r>
              <w:rPr>
                <w:rFonts w:hint="eastAsia" w:ascii="仿宋" w:hAnsi="仿宋" w:eastAsia="仿宋" w:cs="仿宋"/>
                <w:color w:val="000000"/>
                <w:sz w:val="21"/>
                <w:szCs w:val="21"/>
              </w:rPr>
              <w:t>技术要求响应及偏离表</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16</w:t>
            </w:r>
          </w:p>
        </w:tc>
        <w:tc>
          <w:tcPr>
            <w:tcW w:w="7003" w:type="dxa"/>
            <w:vAlign w:val="center"/>
          </w:tcPr>
          <w:p>
            <w:pPr>
              <w:pStyle w:val="12"/>
              <w:spacing w:beforeAutospacing="0" w:afterAutospacing="0" w:line="360" w:lineRule="auto"/>
              <w:jc w:val="both"/>
              <w:rPr>
                <w:rFonts w:ascii="仿宋" w:hAnsi="仿宋" w:eastAsia="仿宋" w:cs="仿宋"/>
                <w:sz w:val="21"/>
                <w:szCs w:val="21"/>
              </w:rPr>
            </w:pPr>
            <w:r>
              <w:rPr>
                <w:rFonts w:hint="eastAsia" w:ascii="仿宋" w:hAnsi="仿宋" w:eastAsia="仿宋" w:cs="仿宋"/>
                <w:color w:val="000000"/>
                <w:sz w:val="21"/>
                <w:szCs w:val="21"/>
              </w:rPr>
              <w:t>商务要求响应及偏离表</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22" w:type="dxa"/>
            <w:vAlign w:val="center"/>
          </w:tcPr>
          <w:p>
            <w:pPr>
              <w:widowControl/>
              <w:spacing w:line="360" w:lineRule="auto"/>
              <w:jc w:val="center"/>
              <w:rPr>
                <w:rFonts w:ascii="仿宋" w:hAnsi="仿宋" w:eastAsia="仿宋" w:cs="仿宋"/>
                <w:szCs w:val="21"/>
              </w:rPr>
            </w:pPr>
            <w:r>
              <w:rPr>
                <w:rFonts w:hint="eastAsia" w:ascii="仿宋" w:hAnsi="仿宋" w:eastAsia="仿宋" w:cs="仿宋"/>
                <w:szCs w:val="21"/>
              </w:rPr>
              <w:t>17</w:t>
            </w:r>
          </w:p>
        </w:tc>
        <w:tc>
          <w:tcPr>
            <w:tcW w:w="7003" w:type="dxa"/>
            <w:vAlign w:val="center"/>
          </w:tcPr>
          <w:p>
            <w:pPr>
              <w:widowControl/>
              <w:spacing w:line="360" w:lineRule="auto"/>
              <w:rPr>
                <w:rFonts w:ascii="仿宋" w:hAnsi="仿宋" w:eastAsia="仿宋" w:cs="仿宋"/>
                <w:szCs w:val="21"/>
              </w:rPr>
            </w:pPr>
            <w:r>
              <w:rPr>
                <w:rFonts w:hint="eastAsia" w:ascii="仿宋" w:hAnsi="仿宋" w:eastAsia="仿宋" w:cs="仿宋"/>
                <w:color w:val="000000"/>
                <w:kern w:val="0"/>
                <w:szCs w:val="21"/>
              </w:rPr>
              <w:t>技术方案、服务承诺、培训承诺等</w:t>
            </w:r>
          </w:p>
        </w:tc>
        <w:tc>
          <w:tcPr>
            <w:tcW w:w="797" w:type="dxa"/>
            <w:vAlign w:val="center"/>
          </w:tcPr>
          <w:p>
            <w:pPr>
              <w:widowControl/>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18</w:t>
            </w:r>
          </w:p>
        </w:tc>
        <w:tc>
          <w:tcPr>
            <w:tcW w:w="7003" w:type="dxa"/>
            <w:vAlign w:val="center"/>
          </w:tcPr>
          <w:p>
            <w:pPr>
              <w:pStyle w:val="12"/>
              <w:spacing w:beforeAutospacing="0" w:afterAutospacing="0" w:line="360" w:lineRule="auto"/>
              <w:jc w:val="both"/>
              <w:rPr>
                <w:rFonts w:ascii="仿宋" w:hAnsi="仿宋" w:eastAsia="仿宋" w:cs="仿宋"/>
                <w:sz w:val="21"/>
                <w:szCs w:val="21"/>
              </w:rPr>
            </w:pPr>
            <w:r>
              <w:rPr>
                <w:rFonts w:hint="eastAsia" w:ascii="仿宋" w:hAnsi="仿宋" w:eastAsia="仿宋" w:cs="仿宋"/>
                <w:color w:val="000000"/>
                <w:sz w:val="21"/>
                <w:szCs w:val="21"/>
              </w:rPr>
              <w:t>盐城市大丰区政府采购事前信用承诺书</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dxa"/>
            <w:vAlign w:val="center"/>
          </w:tcPr>
          <w:p>
            <w:pPr>
              <w:pStyle w:val="12"/>
              <w:spacing w:beforeAutospacing="0" w:afterAutospacing="0" w:line="360" w:lineRule="auto"/>
              <w:jc w:val="center"/>
              <w:rPr>
                <w:rFonts w:ascii="仿宋" w:hAnsi="仿宋" w:eastAsia="仿宋" w:cs="仿宋"/>
                <w:sz w:val="21"/>
                <w:szCs w:val="21"/>
              </w:rPr>
            </w:pPr>
            <w:r>
              <w:rPr>
                <w:rFonts w:hint="eastAsia" w:ascii="仿宋" w:hAnsi="仿宋" w:eastAsia="仿宋" w:cs="仿宋"/>
                <w:sz w:val="21"/>
                <w:szCs w:val="21"/>
              </w:rPr>
              <w:t>···</w:t>
            </w:r>
          </w:p>
        </w:tc>
        <w:tc>
          <w:tcPr>
            <w:tcW w:w="7003" w:type="dxa"/>
            <w:vAlign w:val="center"/>
          </w:tcPr>
          <w:p>
            <w:pPr>
              <w:pStyle w:val="12"/>
              <w:spacing w:beforeAutospacing="0" w:afterAutospacing="0" w:line="360" w:lineRule="auto"/>
              <w:jc w:val="both"/>
              <w:rPr>
                <w:rFonts w:ascii="仿宋" w:hAnsi="仿宋" w:eastAsia="仿宋" w:cs="仿宋"/>
                <w:color w:val="000000"/>
                <w:sz w:val="21"/>
                <w:szCs w:val="21"/>
              </w:rPr>
            </w:pPr>
            <w:r>
              <w:rPr>
                <w:rFonts w:hint="eastAsia" w:ascii="仿宋" w:hAnsi="仿宋" w:eastAsia="仿宋" w:cs="仿宋"/>
                <w:sz w:val="21"/>
                <w:szCs w:val="21"/>
              </w:rPr>
              <w:t>投标人认为需提供的其他资料</w:t>
            </w:r>
          </w:p>
        </w:tc>
        <w:tc>
          <w:tcPr>
            <w:tcW w:w="797" w:type="dxa"/>
            <w:vAlign w:val="center"/>
          </w:tcPr>
          <w:p>
            <w:pPr>
              <w:pStyle w:val="12"/>
              <w:spacing w:beforeAutospacing="0" w:afterAutospacing="0" w:line="360" w:lineRule="auto"/>
              <w:jc w:val="center"/>
              <w:rPr>
                <w:rFonts w:ascii="仿宋" w:hAnsi="仿宋" w:eastAsia="仿宋" w:cs="仿宋"/>
                <w:sz w:val="21"/>
                <w:szCs w:val="21"/>
              </w:rPr>
            </w:pPr>
          </w:p>
        </w:tc>
      </w:tr>
    </w:tbl>
    <w:p>
      <w:pPr>
        <w:pStyle w:val="12"/>
        <w:spacing w:beforeAutospacing="0" w:afterAutospacing="0" w:line="0" w:lineRule="atLeast"/>
        <w:ind w:firstLine="480"/>
        <w:jc w:val="both"/>
        <w:rPr>
          <w:rFonts w:ascii="仿宋" w:hAnsi="仿宋" w:eastAsia="仿宋" w:cs="仿宋"/>
          <w:color w:val="000000"/>
        </w:rPr>
      </w:pPr>
    </w:p>
    <w:p>
      <w:pPr>
        <w:pStyle w:val="12"/>
        <w:spacing w:beforeAutospacing="0" w:afterAutospacing="0" w:line="0" w:lineRule="atLeast"/>
        <w:rPr>
          <w:rFonts w:ascii="仿宋" w:hAnsi="仿宋" w:eastAsia="仿宋" w:cs="仿宋"/>
          <w:b/>
          <w:bCs/>
          <w:color w:val="000000"/>
          <w:sz w:val="21"/>
          <w:szCs w:val="21"/>
        </w:rPr>
      </w:pPr>
      <w:r>
        <w:rPr>
          <w:rFonts w:hint="eastAsia" w:ascii="仿宋" w:hAnsi="仿宋" w:eastAsia="仿宋" w:cs="仿宋"/>
          <w:b/>
          <w:bCs/>
          <w:color w:val="000000"/>
          <w:sz w:val="21"/>
          <w:szCs w:val="21"/>
        </w:rPr>
        <w:t>注：投标人递交的投标文件无相应格式的，均须加盖投标人公章。</w:t>
      </w:r>
    </w:p>
    <w:p>
      <w:pPr>
        <w:pStyle w:val="12"/>
        <w:spacing w:beforeAutospacing="0" w:afterAutospacing="0" w:line="0" w:lineRule="atLeast"/>
        <w:ind w:firstLine="480"/>
        <w:jc w:val="both"/>
        <w:rPr>
          <w:rFonts w:ascii="仿宋" w:hAnsi="仿宋" w:eastAsia="仿宋" w:cs="仿宋"/>
          <w:color w:val="000000"/>
        </w:rPr>
      </w:pPr>
    </w:p>
    <w:p>
      <w:pPr>
        <w:rPr>
          <w:rFonts w:ascii="仿宋" w:hAnsi="仿宋" w:eastAsia="仿宋" w:cs="仿宋"/>
        </w:rPr>
      </w:pPr>
      <w:r>
        <w:rPr>
          <w:rFonts w:hint="eastAsia" w:ascii="仿宋" w:hAnsi="仿宋" w:eastAsia="仿宋" w:cs="仿宋"/>
        </w:rPr>
        <w:br w:type="page"/>
      </w:r>
    </w:p>
    <w:p>
      <w:pPr>
        <w:rPr>
          <w:rFonts w:ascii="仿宋" w:hAnsi="仿宋" w:eastAsia="仿宋" w:cs="仿宋"/>
        </w:rPr>
      </w:pPr>
    </w:p>
    <w:p>
      <w:pPr>
        <w:pStyle w:val="12"/>
        <w:spacing w:beforeAutospacing="0" w:afterAutospacing="0" w:line="360" w:lineRule="auto"/>
        <w:jc w:val="center"/>
        <w:rPr>
          <w:rFonts w:ascii="仿宋" w:hAnsi="仿宋" w:eastAsia="仿宋" w:cs="仿宋"/>
        </w:rPr>
      </w:pPr>
      <w:r>
        <w:rPr>
          <w:rFonts w:hint="eastAsia" w:ascii="仿宋" w:hAnsi="仿宋" w:eastAsia="仿宋" w:cs="仿宋"/>
          <w:b/>
          <w:i/>
          <w:sz w:val="32"/>
          <w:szCs w:val="32"/>
          <w:u w:val="single"/>
        </w:rPr>
        <w:t>开标一览表</w:t>
      </w:r>
    </w:p>
    <w:p>
      <w:pPr>
        <w:pStyle w:val="12"/>
        <w:spacing w:beforeAutospacing="0" w:afterAutospacing="0" w:line="360" w:lineRule="auto"/>
        <w:jc w:val="both"/>
        <w:rPr>
          <w:rFonts w:ascii="仿宋" w:hAnsi="仿宋" w:eastAsia="仿宋" w:cs="仿宋"/>
        </w:rPr>
      </w:pPr>
      <w:r>
        <w:rPr>
          <w:rFonts w:hint="eastAsia" w:ascii="仿宋" w:hAnsi="仿宋" w:eastAsia="仿宋" w:cs="仿宋"/>
        </w:rPr>
        <w:t>项目名称：</w:t>
      </w:r>
      <w:r>
        <w:rPr>
          <w:rFonts w:hint="eastAsia" w:ascii="仿宋" w:hAnsi="仿宋" w:eastAsia="仿宋" w:cs="仿宋"/>
          <w:u w:val="single"/>
        </w:rPr>
        <w:t xml:space="preserve">                 </w:t>
      </w:r>
    </w:p>
    <w:tbl>
      <w:tblPr>
        <w:tblStyle w:val="13"/>
        <w:tblW w:w="891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CellSpacing w:w="0" w:type="dxa"/>
          <w:jc w:val="center"/>
        </w:trPr>
        <w:tc>
          <w:tcPr>
            <w:tcW w:w="8912" w:type="dxa"/>
            <w:shd w:val="clear" w:color="auto" w:fill="auto"/>
            <w:vAlign w:val="center"/>
          </w:tcPr>
          <w:p>
            <w:pPr>
              <w:pStyle w:val="12"/>
              <w:spacing w:beforeAutospacing="0" w:afterAutospacing="0" w:line="360" w:lineRule="auto"/>
              <w:jc w:val="both"/>
              <w:rPr>
                <w:rFonts w:ascii="仿宋" w:hAnsi="仿宋" w:eastAsia="仿宋" w:cs="仿宋"/>
              </w:rPr>
            </w:pPr>
            <w:r>
              <w:rPr>
                <w:rFonts w:hint="eastAsia" w:ascii="仿宋" w:hAnsi="仿宋" w:eastAsia="仿宋" w:cs="仿宋"/>
              </w:rPr>
              <w:t>投标总报价：（大写）</w:t>
            </w:r>
            <w:r>
              <w:rPr>
                <w:rFonts w:hint="eastAsia" w:ascii="仿宋" w:hAnsi="仿宋" w:eastAsia="仿宋" w:cs="仿宋"/>
                <w:u w:val="single"/>
              </w:rPr>
              <w:t xml:space="preserve">           </w:t>
            </w:r>
            <w:r>
              <w:rPr>
                <w:rFonts w:hint="eastAsia" w:ascii="仿宋" w:hAnsi="仿宋" w:eastAsia="仿宋" w:cs="仿宋"/>
              </w:rPr>
              <w:t>小写</w:t>
            </w:r>
            <w:r>
              <w:rPr>
                <w:rFonts w:hint="eastAsia" w:ascii="仿宋" w:hAnsi="仿宋" w:eastAsia="仿宋" w:cs="仿宋"/>
                <w:u w:val="single"/>
              </w:rPr>
              <w:t xml:space="preserve">            </w:t>
            </w:r>
            <w:r>
              <w:rPr>
                <w:rFonts w:hint="eastAsia" w:ascii="仿宋" w:hAnsi="仿宋" w:eastAsia="仿宋" w:cs="仿宋"/>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CellSpacing w:w="0" w:type="dxa"/>
          <w:jc w:val="center"/>
        </w:trPr>
        <w:tc>
          <w:tcPr>
            <w:tcW w:w="8912" w:type="dxa"/>
            <w:shd w:val="clear" w:color="auto" w:fill="auto"/>
            <w:vAlign w:val="center"/>
          </w:tcPr>
          <w:p>
            <w:pPr>
              <w:pStyle w:val="12"/>
              <w:spacing w:beforeAutospacing="0" w:afterAutospacing="0" w:line="360" w:lineRule="auto"/>
              <w:rPr>
                <w:rFonts w:ascii="仿宋" w:hAnsi="仿宋" w:eastAsia="仿宋" w:cs="仿宋"/>
              </w:rPr>
            </w:pPr>
            <w:r>
              <w:rPr>
                <w:rFonts w:hint="eastAsia" w:ascii="仿宋" w:hAnsi="仿宋" w:eastAsia="仿宋" w:cs="仿宋"/>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CellSpacing w:w="0" w:type="dxa"/>
          <w:jc w:val="center"/>
        </w:trPr>
        <w:tc>
          <w:tcPr>
            <w:tcW w:w="8912" w:type="dxa"/>
            <w:shd w:val="clear" w:color="auto" w:fill="auto"/>
            <w:vAlign w:val="center"/>
          </w:tcPr>
          <w:p>
            <w:pPr>
              <w:pStyle w:val="12"/>
              <w:spacing w:beforeAutospacing="0" w:afterAutospacing="0" w:line="360" w:lineRule="auto"/>
              <w:rPr>
                <w:rFonts w:ascii="仿宋" w:hAnsi="仿宋" w:eastAsia="仿宋" w:cs="仿宋"/>
              </w:rPr>
            </w:pPr>
            <w:r>
              <w:rPr>
                <w:rFonts w:hint="eastAsia" w:ascii="仿宋" w:hAnsi="仿宋" w:eastAsia="仿宋" w:cs="仿宋"/>
              </w:rPr>
              <w:t>是否提供《企业类型声明函》：</w:t>
            </w:r>
            <w:r>
              <w:rPr>
                <w:rFonts w:hint="eastAsia" w:ascii="仿宋" w:hAnsi="仿宋" w:eastAsia="仿宋" w:cs="仿宋"/>
                <w:b/>
                <w:bCs/>
                <w:u w:val="single"/>
              </w:rPr>
              <w:t xml:space="preserve">       </w:t>
            </w:r>
            <w:r>
              <w:rPr>
                <w:rFonts w:hint="eastAsia" w:ascii="仿宋" w:hAnsi="仿宋" w:eastAsia="仿宋" w:cs="仿宋"/>
              </w:rPr>
              <w:t>（是/否），页码</w:t>
            </w:r>
            <w:r>
              <w:rPr>
                <w:rFonts w:hint="eastAsia" w:ascii="仿宋" w:hAnsi="仿宋" w:eastAsia="仿宋" w:cs="仿宋"/>
                <w:b/>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CellSpacing w:w="0" w:type="dxa"/>
          <w:jc w:val="center"/>
        </w:trPr>
        <w:tc>
          <w:tcPr>
            <w:tcW w:w="8912" w:type="dxa"/>
            <w:shd w:val="clear" w:color="auto" w:fill="auto"/>
            <w:vAlign w:val="center"/>
          </w:tcPr>
          <w:p>
            <w:pPr>
              <w:pStyle w:val="12"/>
              <w:spacing w:beforeAutospacing="0" w:afterAutospacing="0" w:line="360" w:lineRule="auto"/>
              <w:rPr>
                <w:rFonts w:ascii="仿宋" w:hAnsi="仿宋" w:eastAsia="仿宋" w:cs="仿宋"/>
              </w:rPr>
            </w:pPr>
            <w:r>
              <w:rPr>
                <w:rFonts w:hint="eastAsia" w:ascii="仿宋" w:hAnsi="仿宋" w:eastAsia="仿宋" w:cs="仿宋"/>
              </w:rPr>
              <w:t>项目负责人：</w:t>
            </w:r>
          </w:p>
        </w:tc>
      </w:tr>
    </w:tbl>
    <w:p>
      <w:pPr>
        <w:pStyle w:val="12"/>
        <w:spacing w:beforeAutospacing="0" w:afterAutospacing="0" w:line="360" w:lineRule="auto"/>
        <w:jc w:val="both"/>
        <w:rPr>
          <w:rFonts w:ascii="仿宋" w:hAnsi="仿宋" w:eastAsia="仿宋" w:cs="仿宋"/>
        </w:rPr>
      </w:pPr>
      <w:r>
        <w:rPr>
          <w:rFonts w:hint="eastAsia" w:ascii="仿宋" w:hAnsi="仿宋" w:eastAsia="仿宋" w:cs="仿宋"/>
        </w:rPr>
        <w:t> </w:t>
      </w:r>
    </w:p>
    <w:p>
      <w:pPr>
        <w:pStyle w:val="12"/>
        <w:spacing w:beforeAutospacing="0" w:afterAutospacing="0" w:line="360" w:lineRule="auto"/>
        <w:ind w:right="2100" w:rightChars="1000"/>
        <w:jc w:val="right"/>
        <w:rPr>
          <w:rFonts w:ascii="仿宋" w:hAnsi="仿宋" w:eastAsia="仿宋" w:cs="仿宋"/>
        </w:rPr>
      </w:pPr>
    </w:p>
    <w:p>
      <w:pPr>
        <w:pStyle w:val="12"/>
        <w:spacing w:beforeAutospacing="0" w:afterAutospacing="0" w:line="360" w:lineRule="auto"/>
        <w:ind w:right="2100" w:rightChars="1000"/>
        <w:jc w:val="right"/>
        <w:rPr>
          <w:rFonts w:ascii="仿宋" w:hAnsi="仿宋" w:eastAsia="仿宋" w:cs="仿宋"/>
        </w:rPr>
      </w:pPr>
      <w:r>
        <w:rPr>
          <w:rFonts w:hint="eastAsia" w:ascii="仿宋" w:hAnsi="仿宋" w:eastAsia="仿宋" w:cs="仿宋"/>
        </w:rPr>
        <w:t>法定代表人或被授权人（签字）：</w:t>
      </w:r>
    </w:p>
    <w:p>
      <w:pPr>
        <w:pStyle w:val="12"/>
        <w:wordWrap w:val="0"/>
        <w:spacing w:beforeAutospacing="0" w:afterAutospacing="0" w:line="360" w:lineRule="auto"/>
        <w:ind w:right="2100" w:rightChars="1000"/>
        <w:jc w:val="right"/>
        <w:rPr>
          <w:rFonts w:ascii="仿宋" w:hAnsi="仿宋" w:eastAsia="仿宋" w:cs="仿宋"/>
        </w:rPr>
      </w:pPr>
      <w:r>
        <w:rPr>
          <w:rFonts w:hint="eastAsia" w:ascii="仿宋" w:hAnsi="仿宋" w:eastAsia="仿宋" w:cs="仿宋"/>
        </w:rPr>
        <w:t>单位名称（加盖投标人公章）：</w:t>
      </w:r>
    </w:p>
    <w:p>
      <w:pPr>
        <w:pStyle w:val="12"/>
        <w:spacing w:beforeAutospacing="0" w:afterAutospacing="0" w:line="360" w:lineRule="auto"/>
        <w:ind w:right="840" w:rightChars="400"/>
        <w:jc w:val="righ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pPr>
        <w:pStyle w:val="12"/>
        <w:spacing w:beforeAutospacing="0" w:afterAutospacing="0" w:line="360" w:lineRule="auto"/>
        <w:ind w:firstLine="480"/>
        <w:jc w:val="both"/>
        <w:rPr>
          <w:rFonts w:ascii="仿宋" w:hAnsi="仿宋" w:eastAsia="仿宋" w:cs="仿宋"/>
        </w:rPr>
      </w:pPr>
      <w:r>
        <w:rPr>
          <w:rFonts w:hint="eastAsia" w:ascii="仿宋" w:hAnsi="仿宋" w:eastAsia="仿宋" w:cs="仿宋"/>
        </w:rPr>
        <w:t> </w:t>
      </w:r>
    </w:p>
    <w:p>
      <w:pPr>
        <w:rPr>
          <w:rFonts w:ascii="仿宋" w:hAnsi="仿宋" w:eastAsia="仿宋" w:cs="仿宋"/>
        </w:rPr>
      </w:pPr>
      <w:r>
        <w:rPr>
          <w:rFonts w:hint="eastAsia" w:ascii="仿宋" w:hAnsi="仿宋" w:eastAsia="仿宋" w:cs="仿宋"/>
        </w:rPr>
        <w:br w:type="page"/>
      </w:r>
    </w:p>
    <w:p>
      <w:pPr>
        <w:pStyle w:val="12"/>
        <w:spacing w:beforeAutospacing="0" w:afterAutospacing="0"/>
        <w:jc w:val="both"/>
        <w:rPr>
          <w:rFonts w:ascii="仿宋" w:hAnsi="仿宋" w:eastAsia="仿宋" w:cs="仿宋"/>
        </w:rPr>
      </w:pPr>
      <w:r>
        <w:rPr>
          <w:rFonts w:hint="eastAsia" w:ascii="仿宋" w:hAnsi="仿宋" w:eastAsia="仿宋" w:cs="仿宋"/>
        </w:rPr>
        <w:t> </w:t>
      </w:r>
    </w:p>
    <w:p>
      <w:pPr>
        <w:pStyle w:val="12"/>
        <w:spacing w:beforeAutospacing="0" w:afterAutospacing="0"/>
        <w:jc w:val="both"/>
        <w:rPr>
          <w:rFonts w:ascii="仿宋" w:hAnsi="仿宋" w:eastAsia="仿宋" w:cs="仿宋"/>
        </w:rPr>
      </w:pPr>
      <w:r>
        <w:rPr>
          <w:rFonts w:hint="eastAsia" w:ascii="仿宋" w:hAnsi="仿宋" w:eastAsia="仿宋" w:cs="仿宋"/>
        </w:rPr>
        <w:t> </w:t>
      </w:r>
    </w:p>
    <w:p>
      <w:pPr>
        <w:pStyle w:val="12"/>
        <w:spacing w:beforeAutospacing="0" w:afterAutospacing="0"/>
        <w:jc w:val="center"/>
        <w:rPr>
          <w:rFonts w:ascii="仿宋" w:hAnsi="仿宋" w:eastAsia="仿宋" w:cs="仿宋"/>
          <w:i/>
          <w:color w:val="000000"/>
          <w:sz w:val="32"/>
          <w:szCs w:val="32"/>
          <w:u w:val="single"/>
        </w:rPr>
      </w:pPr>
      <w:r>
        <w:rPr>
          <w:rFonts w:hint="eastAsia" w:ascii="仿宋" w:hAnsi="仿宋" w:eastAsia="仿宋" w:cs="仿宋"/>
          <w:i/>
          <w:color w:val="000000"/>
          <w:sz w:val="32"/>
          <w:szCs w:val="32"/>
          <w:u w:val="single"/>
        </w:rPr>
        <w:t>具备履行合同所必需的设备和专业技术能力的</w:t>
      </w:r>
    </w:p>
    <w:p>
      <w:pPr>
        <w:pStyle w:val="12"/>
        <w:spacing w:beforeAutospacing="0" w:afterAutospacing="0"/>
        <w:jc w:val="center"/>
        <w:rPr>
          <w:rFonts w:ascii="仿宋" w:hAnsi="仿宋" w:eastAsia="仿宋" w:cs="仿宋"/>
        </w:rPr>
      </w:pPr>
      <w:r>
        <w:rPr>
          <w:rFonts w:hint="eastAsia" w:ascii="仿宋" w:hAnsi="仿宋" w:eastAsia="仿宋" w:cs="仿宋"/>
          <w:i/>
          <w:color w:val="000000"/>
          <w:sz w:val="32"/>
          <w:szCs w:val="32"/>
          <w:u w:val="single"/>
        </w:rPr>
        <w:t>书面声明</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我单位郑重声明：我单位具备履行本项采购合同所必需的设备和专业技术能力，为履行本项采购合同我公司具备如下主要设备和主要专业技术能力：</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主要设备有：</w:t>
      </w:r>
      <w:r>
        <w:rPr>
          <w:rFonts w:hint="eastAsia" w:ascii="仿宋" w:hAnsi="仿宋" w:eastAsia="仿宋" w:cs="仿宋"/>
          <w:u w:val="single"/>
        </w:rPr>
        <w:t xml:space="preserve">       </w:t>
      </w:r>
      <w:r>
        <w:rPr>
          <w:rFonts w:hint="eastAsia" w:ascii="仿宋" w:hAnsi="仿宋" w:eastAsia="仿宋" w:cs="仿宋"/>
        </w:rPr>
        <w:t>。</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主要专业技术能力有：</w:t>
      </w:r>
      <w:r>
        <w:rPr>
          <w:rFonts w:hint="eastAsia" w:ascii="仿宋" w:hAnsi="仿宋" w:eastAsia="仿宋" w:cs="仿宋"/>
          <w:u w:val="single"/>
        </w:rPr>
        <w:t xml:space="preserve">        </w:t>
      </w:r>
      <w:r>
        <w:rPr>
          <w:rFonts w:hint="eastAsia" w:ascii="仿宋" w:hAnsi="仿宋" w:eastAsia="仿宋" w:cs="仿宋"/>
        </w:rPr>
        <w:t>。</w:t>
      </w:r>
    </w:p>
    <w:p>
      <w:pPr>
        <w:pStyle w:val="12"/>
        <w:spacing w:beforeAutospacing="0" w:afterAutospacing="0" w:line="360" w:lineRule="auto"/>
        <w:ind w:firstLine="480" w:firstLineChars="200"/>
        <w:jc w:val="both"/>
        <w:rPr>
          <w:rFonts w:ascii="仿宋" w:hAnsi="仿宋" w:eastAsia="仿宋" w:cs="仿宋"/>
        </w:rPr>
      </w:pPr>
    </w:p>
    <w:p>
      <w:pPr>
        <w:pStyle w:val="12"/>
        <w:spacing w:beforeAutospacing="0" w:afterAutospacing="0" w:line="360" w:lineRule="auto"/>
        <w:ind w:right="2100" w:rightChars="1000"/>
        <w:jc w:val="right"/>
        <w:rPr>
          <w:rFonts w:ascii="仿宋" w:hAnsi="仿宋" w:eastAsia="仿宋" w:cs="仿宋"/>
        </w:rPr>
      </w:pPr>
      <w:r>
        <w:rPr>
          <w:rFonts w:hint="eastAsia" w:ascii="仿宋" w:hAnsi="仿宋" w:eastAsia="仿宋" w:cs="仿宋"/>
        </w:rPr>
        <w:t>法定代表人或被授权人（签字）：</w:t>
      </w:r>
    </w:p>
    <w:p>
      <w:pPr>
        <w:pStyle w:val="12"/>
        <w:wordWrap w:val="0"/>
        <w:spacing w:beforeAutospacing="0" w:afterAutospacing="0" w:line="360" w:lineRule="auto"/>
        <w:ind w:right="2100" w:rightChars="1000"/>
        <w:jc w:val="right"/>
        <w:rPr>
          <w:rFonts w:ascii="仿宋" w:hAnsi="仿宋" w:eastAsia="仿宋" w:cs="仿宋"/>
        </w:rPr>
      </w:pPr>
      <w:r>
        <w:rPr>
          <w:rFonts w:hint="eastAsia" w:ascii="仿宋" w:hAnsi="仿宋" w:eastAsia="仿宋" w:cs="仿宋"/>
        </w:rPr>
        <w:t>单位名称（加盖投标人公章）：</w:t>
      </w:r>
    </w:p>
    <w:p>
      <w:pPr>
        <w:pStyle w:val="12"/>
        <w:spacing w:beforeAutospacing="0" w:afterAutospacing="0" w:line="360" w:lineRule="auto"/>
        <w:ind w:right="1260" w:rightChars="600"/>
        <w:jc w:val="righ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pPr>
        <w:rPr>
          <w:rFonts w:ascii="仿宋" w:hAnsi="仿宋" w:eastAsia="仿宋" w:cs="仿宋"/>
        </w:rPr>
      </w:pPr>
      <w:r>
        <w:rPr>
          <w:rFonts w:hint="eastAsia" w:ascii="仿宋" w:hAnsi="仿宋" w:eastAsia="仿宋" w:cs="仿宋"/>
        </w:rPr>
        <w:br w:type="page"/>
      </w:r>
    </w:p>
    <w:p>
      <w:pPr>
        <w:pStyle w:val="12"/>
        <w:spacing w:beforeAutospacing="0" w:afterAutospacing="0" w:line="360" w:lineRule="auto"/>
        <w:ind w:right="1260" w:rightChars="600"/>
        <w:jc w:val="right"/>
        <w:rPr>
          <w:rFonts w:ascii="仿宋" w:hAnsi="仿宋" w:eastAsia="仿宋" w:cs="仿宋"/>
        </w:rPr>
      </w:pPr>
    </w:p>
    <w:p>
      <w:pPr>
        <w:pStyle w:val="12"/>
        <w:spacing w:beforeAutospacing="0" w:afterAutospacing="0" w:line="360" w:lineRule="auto"/>
        <w:ind w:firstLine="640" w:firstLineChars="200"/>
        <w:jc w:val="center"/>
        <w:rPr>
          <w:rFonts w:ascii="仿宋" w:hAnsi="仿宋" w:eastAsia="仿宋" w:cs="仿宋"/>
        </w:rPr>
      </w:pPr>
      <w:r>
        <w:rPr>
          <w:rFonts w:hint="eastAsia" w:ascii="仿宋" w:hAnsi="仿宋" w:eastAsia="仿宋" w:cs="仿宋"/>
          <w:i/>
          <w:color w:val="000000"/>
          <w:sz w:val="32"/>
          <w:szCs w:val="32"/>
          <w:u w:val="single"/>
        </w:rPr>
        <w:t>参加政府采购活动前 3 年内在经营活动中没有重大违法记录的书面声明</w:t>
      </w:r>
    </w:p>
    <w:p>
      <w:pPr>
        <w:pStyle w:val="12"/>
        <w:spacing w:beforeAutospacing="0" w:afterAutospacing="0" w:line="360" w:lineRule="auto"/>
        <w:ind w:firstLine="883" w:firstLineChars="200"/>
        <w:jc w:val="both"/>
        <w:rPr>
          <w:rFonts w:ascii="仿宋" w:hAnsi="仿宋" w:eastAsia="仿宋" w:cs="仿宋"/>
        </w:rPr>
      </w:pPr>
      <w:r>
        <w:rPr>
          <w:rFonts w:hint="eastAsia" w:ascii="仿宋" w:hAnsi="仿宋" w:eastAsia="仿宋" w:cs="仿宋"/>
          <w:b/>
          <w:color w:val="000000"/>
          <w:sz w:val="44"/>
          <w:szCs w:val="44"/>
        </w:rPr>
        <w:t> </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我单位郑重声明：参加本次政府采购活动前 3 年内，我单位在经营活动中没有因违法经营受到刑事处罚或者责令停产停业、吊销许可证或者执照、较大数额罚款等行政处罚。</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 </w:t>
      </w:r>
    </w:p>
    <w:p>
      <w:pPr>
        <w:pStyle w:val="12"/>
        <w:spacing w:beforeAutospacing="0" w:afterAutospacing="0" w:line="360" w:lineRule="auto"/>
        <w:ind w:right="2100" w:rightChars="1000" w:firstLine="480" w:firstLineChars="200"/>
        <w:jc w:val="right"/>
        <w:rPr>
          <w:rFonts w:ascii="仿宋" w:hAnsi="仿宋" w:eastAsia="仿宋" w:cs="仿宋"/>
        </w:rPr>
      </w:pPr>
      <w:r>
        <w:rPr>
          <w:rFonts w:hint="eastAsia" w:ascii="仿宋" w:hAnsi="仿宋" w:eastAsia="仿宋" w:cs="仿宋"/>
        </w:rPr>
        <w:t> 法定代表人或被授权人（签字）：</w:t>
      </w:r>
    </w:p>
    <w:p>
      <w:pPr>
        <w:pStyle w:val="12"/>
        <w:wordWrap w:val="0"/>
        <w:spacing w:beforeAutospacing="0" w:afterAutospacing="0" w:line="360" w:lineRule="auto"/>
        <w:ind w:right="2100" w:rightChars="1000" w:firstLine="480" w:firstLineChars="200"/>
        <w:jc w:val="right"/>
        <w:rPr>
          <w:rFonts w:ascii="仿宋" w:hAnsi="仿宋" w:eastAsia="仿宋" w:cs="仿宋"/>
        </w:rPr>
      </w:pPr>
      <w:r>
        <w:rPr>
          <w:rFonts w:hint="eastAsia" w:ascii="仿宋" w:hAnsi="仿宋" w:eastAsia="仿宋" w:cs="仿宋"/>
        </w:rPr>
        <w:t>单位名称（加盖投标人公章）：</w:t>
      </w:r>
    </w:p>
    <w:p>
      <w:pPr>
        <w:pStyle w:val="12"/>
        <w:spacing w:beforeAutospacing="0" w:afterAutospacing="0" w:line="360" w:lineRule="auto"/>
        <w:ind w:right="2100" w:rightChars="1000" w:firstLine="480" w:firstLineChars="200"/>
        <w:jc w:val="righ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pPr>
        <w:pStyle w:val="12"/>
        <w:spacing w:beforeAutospacing="0" w:afterAutospacing="0" w:line="360" w:lineRule="auto"/>
        <w:ind w:firstLine="480" w:firstLineChars="200"/>
        <w:jc w:val="both"/>
        <w:rPr>
          <w:rFonts w:ascii="楷体" w:hAnsi="楷体" w:eastAsia="楷体" w:cs="楷体"/>
        </w:rPr>
      </w:pPr>
    </w:p>
    <w:p>
      <w:pPr>
        <w:pStyle w:val="12"/>
        <w:spacing w:beforeAutospacing="0" w:afterAutospacing="0"/>
        <w:jc w:val="center"/>
        <w:rPr>
          <w:rFonts w:ascii="仿宋" w:hAnsi="仿宋" w:eastAsia="仿宋" w:cs="仿宋"/>
          <w:i/>
          <w:color w:val="000000"/>
          <w:sz w:val="32"/>
          <w:szCs w:val="32"/>
          <w:u w:val="single"/>
        </w:rPr>
      </w:pPr>
    </w:p>
    <w:p>
      <w:pPr>
        <w:rPr>
          <w:rFonts w:ascii="仿宋" w:hAnsi="仿宋" w:eastAsia="仿宋" w:cs="仿宋"/>
          <w:i/>
          <w:color w:val="000000"/>
          <w:sz w:val="32"/>
          <w:szCs w:val="32"/>
          <w:u w:val="single"/>
        </w:rPr>
      </w:pPr>
      <w:r>
        <w:rPr>
          <w:rFonts w:hint="eastAsia" w:ascii="仿宋" w:hAnsi="仿宋" w:eastAsia="仿宋" w:cs="仿宋"/>
          <w:i/>
          <w:color w:val="000000"/>
          <w:sz w:val="32"/>
          <w:szCs w:val="32"/>
          <w:u w:val="single"/>
        </w:rPr>
        <w:br w:type="page"/>
      </w:r>
    </w:p>
    <w:p>
      <w:pPr>
        <w:pStyle w:val="12"/>
        <w:spacing w:beforeAutospacing="0" w:afterAutospacing="0"/>
        <w:jc w:val="center"/>
        <w:rPr>
          <w:rFonts w:ascii="仿宋" w:hAnsi="仿宋" w:eastAsia="仿宋" w:cs="仿宋"/>
        </w:rPr>
      </w:pPr>
      <w:r>
        <w:rPr>
          <w:rFonts w:hint="eastAsia" w:ascii="仿宋" w:hAnsi="仿宋" w:eastAsia="仿宋" w:cs="仿宋"/>
          <w:i/>
          <w:color w:val="000000"/>
          <w:sz w:val="32"/>
          <w:szCs w:val="32"/>
          <w:u w:val="single"/>
        </w:rPr>
        <w:t>法人授权书</w:t>
      </w:r>
    </w:p>
    <w:p>
      <w:pPr>
        <w:pStyle w:val="12"/>
        <w:tabs>
          <w:tab w:val="left" w:pos="360"/>
        </w:tabs>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本授权书声明：____________（投标人名称）授权________________（被授权人的姓名）为我方就</w:t>
      </w:r>
      <w:r>
        <w:rPr>
          <w:rFonts w:hint="eastAsia" w:ascii="仿宋" w:hAnsi="仿宋" w:eastAsia="仿宋" w:cs="仿宋"/>
          <w:color w:val="000000"/>
          <w:u w:val="single"/>
        </w:rPr>
        <w:t xml:space="preserve">               </w:t>
      </w:r>
      <w:r>
        <w:rPr>
          <w:rFonts w:hint="eastAsia" w:ascii="仿宋" w:hAnsi="仿宋" w:eastAsia="仿宋" w:cs="仿宋"/>
          <w:color w:val="000000"/>
        </w:rPr>
        <w:t>号项目采购活动的合法代理人，以本单位名义全权处理一切与该项目采购有关的事务。</w:t>
      </w:r>
    </w:p>
    <w:p>
      <w:pPr>
        <w:pStyle w:val="12"/>
        <w:tabs>
          <w:tab w:val="left" w:pos="360"/>
        </w:tabs>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本授权书于______年____月____日起生效，特此声明。</w:t>
      </w:r>
    </w:p>
    <w:p>
      <w:pPr>
        <w:pStyle w:val="12"/>
        <w:tabs>
          <w:tab w:val="left" w:pos="360"/>
        </w:tabs>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被授权人身份证号码：</w:t>
      </w:r>
      <w:r>
        <w:rPr>
          <w:rFonts w:hint="eastAsia" w:ascii="仿宋" w:hAnsi="仿宋" w:eastAsia="仿宋" w:cs="仿宋"/>
          <w:color w:val="000000"/>
          <w:u w:val="single"/>
        </w:rPr>
        <w:t xml:space="preserve">                              </w:t>
      </w:r>
    </w:p>
    <w:p>
      <w:pPr>
        <w:pStyle w:val="12"/>
        <w:tabs>
          <w:tab w:val="left" w:pos="360"/>
        </w:tabs>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被授权人联系电话：（手机）</w:t>
      </w:r>
      <w:r>
        <w:rPr>
          <w:rFonts w:hint="eastAsia" w:ascii="仿宋" w:hAnsi="仿宋" w:eastAsia="仿宋" w:cs="仿宋"/>
          <w:color w:val="000000"/>
          <w:u w:val="single"/>
        </w:rPr>
        <w:t xml:space="preserve">                          </w:t>
      </w:r>
    </w:p>
    <w:p>
      <w:pPr>
        <w:pStyle w:val="12"/>
        <w:tabs>
          <w:tab w:val="left" w:pos="360"/>
        </w:tabs>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授权单位名称：</w:t>
      </w:r>
      <w:r>
        <w:rPr>
          <w:rFonts w:hint="eastAsia" w:ascii="仿宋" w:hAnsi="仿宋" w:eastAsia="仿宋" w:cs="仿宋"/>
          <w:color w:val="000000"/>
          <w:u w:val="single"/>
        </w:rPr>
        <w:t>（加盖投标人公章）</w:t>
      </w:r>
    </w:p>
    <w:p>
      <w:pPr>
        <w:pStyle w:val="12"/>
        <w:tabs>
          <w:tab w:val="left" w:pos="360"/>
        </w:tabs>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单位地址：</w:t>
      </w:r>
      <w:r>
        <w:rPr>
          <w:rFonts w:hint="eastAsia" w:ascii="仿宋" w:hAnsi="仿宋" w:eastAsia="仿宋" w:cs="仿宋"/>
          <w:color w:val="000000"/>
          <w:u w:val="single"/>
        </w:rPr>
        <w:t xml:space="preserve">                                         </w:t>
      </w:r>
    </w:p>
    <w:p>
      <w:pPr>
        <w:pStyle w:val="12"/>
        <w:tabs>
          <w:tab w:val="left" w:pos="360"/>
        </w:tabs>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日期：</w:t>
      </w:r>
      <w:bookmarkStart w:id="186" w:name="_Hlt26955070"/>
      <w:bookmarkStart w:id="187" w:name="_Hlt26671380"/>
      <w:bookmarkStart w:id="188" w:name="_格式3__银行出具的资信证明"/>
      <w:r>
        <w:rPr>
          <w:rFonts w:hint="eastAsia" w:ascii="仿宋" w:hAnsi="仿宋" w:eastAsia="仿宋" w:cs="仿宋"/>
          <w:color w:val="000000"/>
          <w:u w:val="single"/>
        </w:rPr>
        <w:t xml:space="preserve">                                         </w:t>
      </w:r>
    </w:p>
    <w:p>
      <w:pPr>
        <w:pStyle w:val="12"/>
        <w:spacing w:beforeAutospacing="0" w:afterAutospacing="0"/>
        <w:ind w:firstLine="420"/>
        <w:jc w:val="both"/>
        <w:rPr>
          <w:rFonts w:ascii="仿宋" w:hAnsi="仿宋" w:eastAsia="仿宋" w:cs="仿宋"/>
        </w:rPr>
      </w:pPr>
      <w:r>
        <w:rPr>
          <w:rFonts w:hint="eastAsia" w:ascii="仿宋" w:hAnsi="仿宋" w:eastAsia="仿宋" w:cs="仿宋"/>
        </w:rPr>
        <w:t> </w:t>
      </w:r>
    </w:p>
    <w:p>
      <w:pPr>
        <w:pStyle w:val="12"/>
        <w:spacing w:beforeAutospacing="0" w:afterAutospacing="0"/>
        <w:jc w:val="both"/>
        <w:rPr>
          <w:rFonts w:ascii="仿宋" w:hAnsi="仿宋" w:eastAsia="仿宋" w:cs="仿宋"/>
        </w:rPr>
      </w:pPr>
      <w:r>
        <w:rPr>
          <w:rFonts w:hint="eastAsia" w:ascii="仿宋" w:hAnsi="仿宋" w:eastAsia="仿宋" w:cs="仿宋"/>
        </w:rPr>
        <w:t> </w:t>
      </w:r>
    </w:p>
    <w:p>
      <w:pPr>
        <w:pStyle w:val="12"/>
        <w:spacing w:beforeAutospacing="0" w:afterAutospacing="0" w:line="0" w:lineRule="atLeast"/>
        <w:jc w:val="both"/>
        <w:rPr>
          <w:rFonts w:ascii="仿宋" w:hAnsi="仿宋" w:eastAsia="仿宋" w:cs="仿宋"/>
        </w:rPr>
      </w:pPr>
      <w:r>
        <w:rPr>
          <w:rFonts w:hint="eastAsia" w:ascii="仿宋" w:hAnsi="仿宋" w:eastAsia="仿宋" w:cs="仿宋"/>
        </w:rPr>
        <w:t> </w:t>
      </w: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2"/>
            <w:tcBorders>
              <w:bottom w:val="single" w:color="auto" w:sz="4" w:space="0"/>
            </w:tcBorders>
          </w:tcPr>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1、被授权人的身份证正反面复印件。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1" w:hRule="atLeast"/>
          <w:jc w:val="center"/>
        </w:trPr>
        <w:tc>
          <w:tcPr>
            <w:tcW w:w="4261" w:type="dxa"/>
            <w:tcBorders>
              <w:top w:val="single" w:color="auto" w:sz="4" w:space="0"/>
              <w:left w:val="single" w:color="auto" w:sz="4" w:space="0"/>
              <w:bottom w:val="single" w:color="auto" w:sz="4" w:space="0"/>
              <w:right w:val="single" w:color="auto" w:sz="4" w:space="0"/>
            </w:tcBorders>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b/>
                <w:bCs/>
              </w:rPr>
              <w:t>复印件</w:t>
            </w:r>
          </w:p>
        </w:tc>
        <w:tc>
          <w:tcPr>
            <w:tcW w:w="4261" w:type="dxa"/>
            <w:tcBorders>
              <w:top w:val="single" w:color="auto" w:sz="4" w:space="0"/>
              <w:left w:val="single" w:color="auto" w:sz="4" w:space="0"/>
              <w:bottom w:val="single" w:color="auto" w:sz="4" w:space="0"/>
              <w:right w:val="single" w:color="auto" w:sz="4" w:space="0"/>
            </w:tcBorders>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b/>
                <w:bCs/>
              </w:rPr>
              <w:t>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2"/>
            <w:tcBorders>
              <w:top w:val="single" w:color="auto" w:sz="4" w:space="0"/>
            </w:tcBorders>
          </w:tcPr>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2、投标人为被授权人缴纳的养老保险缴费记录证明（带二维码），可另附页提供。</w:t>
            </w:r>
          </w:p>
        </w:tc>
      </w:tr>
    </w:tbl>
    <w:p>
      <w:pPr>
        <w:pStyle w:val="12"/>
        <w:spacing w:beforeAutospacing="0" w:afterAutospacing="0" w:line="0" w:lineRule="atLeast"/>
        <w:jc w:val="both"/>
        <w:rPr>
          <w:rFonts w:ascii="仿宋" w:hAnsi="仿宋" w:eastAsia="仿宋" w:cs="仿宋"/>
        </w:rPr>
      </w:pPr>
    </w:p>
    <w:p>
      <w:pPr>
        <w:rPr>
          <w:rFonts w:ascii="仿宋" w:hAnsi="仿宋" w:eastAsia="仿宋" w:cs="仿宋"/>
          <w:b/>
          <w:color w:val="000000"/>
        </w:rPr>
      </w:pPr>
      <w:r>
        <w:rPr>
          <w:rFonts w:hint="eastAsia" w:ascii="仿宋" w:hAnsi="仿宋" w:eastAsia="仿宋" w:cs="仿宋"/>
          <w:b/>
          <w:color w:val="000000"/>
        </w:rPr>
        <w:br w:type="page"/>
      </w:r>
    </w:p>
    <w:p>
      <w:pPr>
        <w:pStyle w:val="12"/>
        <w:keepNext/>
        <w:keepLines/>
        <w:spacing w:before="260" w:beforeAutospacing="0" w:after="260" w:afterAutospacing="0" w:line="415" w:lineRule="auto"/>
        <w:ind w:firstLine="3390"/>
        <w:jc w:val="both"/>
        <w:rPr>
          <w:rFonts w:ascii="仿宋" w:hAnsi="仿宋" w:eastAsia="仿宋" w:cs="仿宋"/>
          <w:b/>
          <w:i/>
          <w:iCs/>
          <w:color w:val="000000"/>
          <w:sz w:val="32"/>
          <w:szCs w:val="32"/>
          <w:u w:val="single"/>
        </w:rPr>
      </w:pPr>
      <w:r>
        <w:rPr>
          <w:rFonts w:hint="eastAsia" w:ascii="仿宋" w:hAnsi="仿宋" w:eastAsia="仿宋" w:cs="仿宋"/>
          <w:b/>
          <w:i/>
          <w:iCs/>
          <w:color w:val="000000"/>
          <w:sz w:val="32"/>
          <w:szCs w:val="32"/>
          <w:u w:val="single"/>
        </w:rPr>
        <w:t>投标函</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致：</w:t>
      </w:r>
      <w:r>
        <w:rPr>
          <w:rFonts w:hint="eastAsia" w:ascii="仿宋" w:hAnsi="仿宋" w:eastAsia="仿宋" w:cs="仿宋"/>
          <w:color w:val="000000"/>
          <w:u w:val="single"/>
        </w:rPr>
        <w:t xml:space="preserve">     （采购人）    </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根据贵方的</w:t>
      </w:r>
      <w:r>
        <w:rPr>
          <w:rFonts w:hint="eastAsia" w:ascii="仿宋" w:hAnsi="仿宋" w:eastAsia="仿宋" w:cs="仿宋"/>
          <w:color w:val="000000"/>
          <w:u w:val="single"/>
        </w:rPr>
        <w:t xml:space="preserve">   （项目名称）   </w:t>
      </w:r>
      <w:r>
        <w:rPr>
          <w:rFonts w:hint="eastAsia" w:ascii="仿宋" w:hAnsi="仿宋" w:eastAsia="仿宋" w:cs="仿宋"/>
          <w:color w:val="000000"/>
        </w:rPr>
        <w:t>招标文件，正式授权下述签字人______(姓名)代表我方______________（投标人的名称），全权处理本次项目投标的有关事宜。</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据此函，__________签字人兹宣布同意如下：</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1.按招标文件规定的各项要求，向买方提供所需服务（包含与服务相关的货物）。</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2.我们完全理解贵方不一定将合同授予最低报价的投标人。</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3.我们已详细审核全部招标文件及其有效补充文件，我们知道必须放弃提出含糊不清或误解问题的权利。</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4.我们同意从规定的开标日期起遵循本投标文件，并在规定的投标有效期期满之前均具有约束力。</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5.同意向贵方提供贵方可能另外要求的与投标有关的任何证据或资料，并保证我方已提供和将要提供的文件是真实的、准确的。</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6.一旦我方中标,我方将根据招标文件的规定，严格履行合同的责任和义务,并保证在招标文件规定的时间完成项目，交付买方验收、使用。</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7.与本投标有关的正式通讯地址为：</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地          址：</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邮          编：</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电          话：</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传          真：</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投标人开户行：</w:t>
      </w:r>
    </w:p>
    <w:p>
      <w:pPr>
        <w:pStyle w:val="12"/>
        <w:spacing w:beforeAutospacing="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 xml:space="preserve">账          号： </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rPr>
        <w:t>法定代表人或被授权人（签字）：</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rPr>
        <w:t>单位名称（加盖投标人公章）：</w:t>
      </w:r>
    </w:p>
    <w:p>
      <w:pPr>
        <w:pStyle w:val="12"/>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日           期：________年____月____日</w:t>
      </w:r>
    </w:p>
    <w:p>
      <w:pPr>
        <w:pStyle w:val="12"/>
        <w:spacing w:beforeAutospacing="0" w:afterAutospacing="0" w:line="360" w:lineRule="auto"/>
        <w:ind w:firstLine="240"/>
        <w:jc w:val="center"/>
        <w:rPr>
          <w:rFonts w:ascii="仿宋" w:hAnsi="仿宋" w:eastAsia="仿宋" w:cs="仿宋"/>
        </w:rPr>
      </w:pPr>
      <w:r>
        <w:rPr>
          <w:rFonts w:hint="eastAsia" w:ascii="仿宋" w:hAnsi="仿宋" w:eastAsia="仿宋" w:cs="仿宋"/>
        </w:rPr>
        <w:t> </w:t>
      </w:r>
    </w:p>
    <w:p>
      <w:pPr>
        <w:jc w:val="center"/>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b/>
          <w:bCs/>
          <w:sz w:val="32"/>
          <w:szCs w:val="32"/>
        </w:rPr>
        <w:t>评分索引表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7"/>
        <w:gridCol w:w="4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47" w:type="dxa"/>
            <w:vAlign w:val="center"/>
          </w:tcPr>
          <w:p>
            <w:pPr>
              <w:pStyle w:val="2"/>
              <w:spacing w:after="0"/>
              <w:ind w:left="0" w:leftChars="0" w:right="0" w:rightChars="0"/>
              <w:jc w:val="center"/>
              <w:rPr>
                <w:rFonts w:ascii="仿宋" w:hAnsi="仿宋" w:eastAsia="仿宋" w:cs="仿宋"/>
                <w:sz w:val="24"/>
              </w:rPr>
            </w:pPr>
            <w:r>
              <w:rPr>
                <w:rFonts w:hint="eastAsia" w:ascii="仿宋" w:hAnsi="仿宋" w:eastAsia="仿宋" w:cs="仿宋"/>
                <w:b/>
                <w:sz w:val="24"/>
                <w:szCs w:val="28"/>
              </w:rPr>
              <w:t>评分项目</w:t>
            </w:r>
          </w:p>
        </w:tc>
        <w:tc>
          <w:tcPr>
            <w:tcW w:w="4124" w:type="dxa"/>
            <w:vAlign w:val="center"/>
          </w:tcPr>
          <w:p>
            <w:pPr>
              <w:pStyle w:val="2"/>
              <w:spacing w:after="0"/>
              <w:ind w:left="0" w:leftChars="0" w:right="0" w:rightChars="0"/>
              <w:jc w:val="center"/>
              <w:rPr>
                <w:rFonts w:ascii="仿宋" w:hAnsi="仿宋" w:eastAsia="仿宋" w:cs="仿宋"/>
                <w:sz w:val="24"/>
              </w:rPr>
            </w:pPr>
            <w:r>
              <w:rPr>
                <w:rFonts w:hint="eastAsia" w:ascii="仿宋" w:hAnsi="仿宋" w:eastAsia="仿宋" w:cs="仿宋"/>
                <w:b/>
                <w:kern w:val="0"/>
                <w:sz w:val="24"/>
                <w:lang w:bidi="en-US"/>
              </w:rPr>
              <w:t>在响应文件中的页码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47" w:type="dxa"/>
            <w:vAlign w:val="center"/>
          </w:tcPr>
          <w:p>
            <w:pPr>
              <w:pStyle w:val="2"/>
              <w:spacing w:after="0"/>
              <w:ind w:left="0" w:leftChars="0" w:right="0" w:rightChars="0"/>
              <w:jc w:val="center"/>
              <w:rPr>
                <w:rFonts w:ascii="仿宋" w:hAnsi="仿宋" w:eastAsia="仿宋" w:cs="仿宋"/>
                <w:sz w:val="24"/>
              </w:rPr>
            </w:pPr>
          </w:p>
        </w:tc>
        <w:tc>
          <w:tcPr>
            <w:tcW w:w="4124" w:type="dxa"/>
            <w:vAlign w:val="center"/>
          </w:tcPr>
          <w:p>
            <w:pPr>
              <w:pStyle w:val="2"/>
              <w:spacing w:after="0"/>
              <w:ind w:left="0" w:leftChars="0" w:right="0" w:rightChars="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47" w:type="dxa"/>
            <w:vAlign w:val="center"/>
          </w:tcPr>
          <w:p>
            <w:pPr>
              <w:pStyle w:val="2"/>
              <w:spacing w:after="0"/>
              <w:ind w:left="0" w:leftChars="0" w:right="0" w:rightChars="0"/>
              <w:jc w:val="center"/>
              <w:rPr>
                <w:rFonts w:ascii="仿宋" w:hAnsi="仿宋" w:eastAsia="仿宋" w:cs="仿宋"/>
                <w:sz w:val="24"/>
              </w:rPr>
            </w:pPr>
          </w:p>
        </w:tc>
        <w:tc>
          <w:tcPr>
            <w:tcW w:w="4124" w:type="dxa"/>
            <w:vAlign w:val="center"/>
          </w:tcPr>
          <w:p>
            <w:pPr>
              <w:pStyle w:val="2"/>
              <w:spacing w:after="0"/>
              <w:ind w:left="0" w:leftChars="0" w:right="0" w:rightChars="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47" w:type="dxa"/>
            <w:vAlign w:val="center"/>
          </w:tcPr>
          <w:p>
            <w:pPr>
              <w:pStyle w:val="2"/>
              <w:spacing w:after="0"/>
              <w:ind w:left="0" w:leftChars="0" w:right="0" w:rightChars="0"/>
              <w:jc w:val="center"/>
              <w:rPr>
                <w:rFonts w:ascii="仿宋" w:hAnsi="仿宋" w:eastAsia="仿宋" w:cs="仿宋"/>
                <w:sz w:val="24"/>
              </w:rPr>
            </w:pPr>
          </w:p>
        </w:tc>
        <w:tc>
          <w:tcPr>
            <w:tcW w:w="4124" w:type="dxa"/>
            <w:vAlign w:val="center"/>
          </w:tcPr>
          <w:p>
            <w:pPr>
              <w:pStyle w:val="2"/>
              <w:spacing w:after="0"/>
              <w:ind w:left="0" w:leftChars="0" w:right="0" w:rightChars="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47" w:type="dxa"/>
            <w:vAlign w:val="center"/>
          </w:tcPr>
          <w:p>
            <w:pPr>
              <w:pStyle w:val="2"/>
              <w:spacing w:after="0"/>
              <w:ind w:left="0" w:leftChars="0" w:right="0" w:rightChars="0"/>
              <w:jc w:val="center"/>
              <w:rPr>
                <w:rFonts w:ascii="仿宋" w:hAnsi="仿宋" w:eastAsia="仿宋" w:cs="仿宋"/>
                <w:sz w:val="24"/>
              </w:rPr>
            </w:pPr>
          </w:p>
        </w:tc>
        <w:tc>
          <w:tcPr>
            <w:tcW w:w="4124" w:type="dxa"/>
            <w:vAlign w:val="center"/>
          </w:tcPr>
          <w:p>
            <w:pPr>
              <w:pStyle w:val="2"/>
              <w:spacing w:after="0"/>
              <w:ind w:left="0" w:leftChars="0" w:right="0" w:rightChars="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847" w:type="dxa"/>
            <w:vAlign w:val="center"/>
          </w:tcPr>
          <w:p>
            <w:pPr>
              <w:pStyle w:val="2"/>
              <w:spacing w:after="0"/>
              <w:ind w:left="0" w:leftChars="0" w:right="0" w:rightChars="0"/>
              <w:jc w:val="center"/>
              <w:rPr>
                <w:rFonts w:ascii="仿宋" w:hAnsi="仿宋" w:eastAsia="仿宋" w:cs="仿宋"/>
                <w:sz w:val="24"/>
              </w:rPr>
            </w:pPr>
          </w:p>
        </w:tc>
        <w:tc>
          <w:tcPr>
            <w:tcW w:w="4124" w:type="dxa"/>
            <w:vAlign w:val="center"/>
          </w:tcPr>
          <w:p>
            <w:pPr>
              <w:pStyle w:val="2"/>
              <w:spacing w:after="0"/>
              <w:ind w:left="0" w:leftChars="0" w:right="0" w:rightChars="0"/>
              <w:jc w:val="center"/>
              <w:rPr>
                <w:rFonts w:ascii="仿宋" w:hAnsi="仿宋" w:eastAsia="仿宋" w:cs="仿宋"/>
                <w:sz w:val="24"/>
              </w:rPr>
            </w:pPr>
          </w:p>
        </w:tc>
      </w:tr>
    </w:tbl>
    <w:p>
      <w:pPr>
        <w:pStyle w:val="12"/>
        <w:spacing w:beforeAutospacing="0" w:afterAutospacing="0" w:line="360" w:lineRule="auto"/>
        <w:jc w:val="both"/>
        <w:rPr>
          <w:rFonts w:ascii="仿宋" w:hAnsi="仿宋" w:eastAsia="仿宋" w:cs="仿宋"/>
        </w:rPr>
      </w:pPr>
      <w:r>
        <w:rPr>
          <w:rFonts w:hint="eastAsia" w:ascii="仿宋" w:hAnsi="仿宋" w:eastAsia="仿宋" w:cs="仿宋"/>
        </w:rPr>
        <w:t>注：行数不够，可自行添加。</w:t>
      </w:r>
    </w:p>
    <w:p>
      <w:pPr>
        <w:pStyle w:val="2"/>
        <w:ind w:left="1470" w:right="1470"/>
        <w:rPr>
          <w:rFonts w:ascii="仿宋" w:hAnsi="仿宋" w:eastAsia="仿宋" w:cs="仿宋"/>
          <w:sz w:val="24"/>
        </w:rPr>
      </w:pPr>
    </w:p>
    <w:p>
      <w:pPr>
        <w:pStyle w:val="2"/>
        <w:ind w:left="1470" w:right="1470"/>
        <w:rPr>
          <w:rFonts w:ascii="仿宋" w:hAnsi="仿宋" w:eastAsia="仿宋" w:cs="仿宋"/>
          <w:sz w:val="24"/>
        </w:rPr>
      </w:pPr>
    </w:p>
    <w:p>
      <w:pPr>
        <w:pStyle w:val="2"/>
        <w:ind w:left="1470" w:right="1470"/>
        <w:rPr>
          <w:rFonts w:ascii="仿宋" w:hAnsi="仿宋" w:eastAsia="仿宋" w:cs="仿宋"/>
          <w:sz w:val="24"/>
        </w:rPr>
      </w:pPr>
    </w:p>
    <w:p>
      <w:pPr>
        <w:pStyle w:val="12"/>
        <w:spacing w:beforeAutospacing="0" w:afterAutospacing="0" w:line="360" w:lineRule="auto"/>
        <w:ind w:firstLine="360"/>
        <w:jc w:val="center"/>
        <w:rPr>
          <w:rFonts w:ascii="仿宋" w:hAnsi="仿宋" w:eastAsia="仿宋" w:cs="仿宋"/>
        </w:rPr>
      </w:pPr>
      <w:r>
        <w:rPr>
          <w:rFonts w:hint="eastAsia" w:ascii="仿宋" w:hAnsi="仿宋" w:eastAsia="仿宋" w:cs="仿宋"/>
          <w:color w:val="000000"/>
        </w:rPr>
        <w:t>企业名称（加盖投标人公章）：</w:t>
      </w:r>
    </w:p>
    <w:p>
      <w:pPr>
        <w:pStyle w:val="12"/>
        <w:spacing w:beforeAutospacing="0" w:afterAutospacing="0" w:line="360" w:lineRule="auto"/>
        <w:ind w:firstLine="5400"/>
        <w:jc w:val="both"/>
        <w:rPr>
          <w:rFonts w:ascii="仿宋" w:hAnsi="仿宋" w:eastAsia="仿宋" w:cs="仿宋"/>
        </w:rPr>
      </w:pPr>
      <w:r>
        <w:rPr>
          <w:rFonts w:hint="eastAsia" w:ascii="仿宋" w:hAnsi="仿宋" w:eastAsia="仿宋" w:cs="仿宋"/>
          <w:color w:val="000000"/>
        </w:rPr>
        <w:t>日  期：</w:t>
      </w:r>
    </w:p>
    <w:p>
      <w:pPr>
        <w:pStyle w:val="2"/>
        <w:ind w:left="1470" w:right="1470"/>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br w:type="page"/>
      </w:r>
    </w:p>
    <w:p>
      <w:pPr>
        <w:pStyle w:val="12"/>
        <w:spacing w:beforeAutospacing="0" w:afterAutospacing="0" w:line="0" w:lineRule="atLeast"/>
        <w:jc w:val="center"/>
        <w:rPr>
          <w:rFonts w:ascii="仿宋" w:hAnsi="仿宋" w:eastAsia="仿宋" w:cs="仿宋"/>
        </w:rPr>
      </w:pPr>
      <w:r>
        <w:rPr>
          <w:rFonts w:hint="eastAsia" w:ascii="仿宋" w:hAnsi="仿宋" w:eastAsia="仿宋" w:cs="仿宋"/>
          <w:b/>
          <w:color w:val="000000"/>
          <w:sz w:val="32"/>
          <w:szCs w:val="32"/>
        </w:rPr>
        <w:t>小微企业声明函（服务）</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本公司（联合体）郑重声明，根据《政府采购促进中小企业发展管理办法》(财库[2020]46号)的规定，本公司（联合体）参加</w:t>
      </w:r>
      <w:r>
        <w:rPr>
          <w:rFonts w:hint="eastAsia" w:ascii="仿宋" w:hAnsi="仿宋" w:eastAsia="仿宋" w:cs="仿宋"/>
          <w:color w:val="000000"/>
          <w:u w:val="single"/>
        </w:rPr>
        <w:t xml:space="preserve"> （采购人） </w:t>
      </w:r>
      <w:r>
        <w:rPr>
          <w:rFonts w:hint="eastAsia" w:ascii="仿宋" w:hAnsi="仿宋" w:eastAsia="仿宋" w:cs="仿宋"/>
          <w:color w:val="000000"/>
        </w:rPr>
        <w:t>组织的</w:t>
      </w:r>
      <w:r>
        <w:rPr>
          <w:rFonts w:hint="eastAsia" w:ascii="仿宋" w:hAnsi="仿宋" w:eastAsia="仿宋" w:cs="仿宋"/>
          <w:color w:val="000000"/>
          <w:u w:val="single"/>
        </w:rPr>
        <w:t>（项目名称）</w:t>
      </w:r>
      <w:r>
        <w:rPr>
          <w:rFonts w:hint="eastAsia" w:ascii="仿宋" w:hAnsi="仿宋" w:eastAsia="仿宋" w:cs="仿宋"/>
          <w:color w:val="000000"/>
        </w:rPr>
        <w:t>的采购活动，服务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w:t>
      </w:r>
      <w:r>
        <w:rPr>
          <w:rFonts w:hint="eastAsia" w:ascii="仿宋" w:hAnsi="仿宋" w:eastAsia="仿宋" w:cs="仿宋"/>
          <w:color w:val="000000"/>
          <w:u w:val="single"/>
        </w:rPr>
        <w:t>（标的名称）</w:t>
      </w:r>
      <w:r>
        <w:rPr>
          <w:rFonts w:hint="eastAsia" w:ascii="仿宋" w:hAnsi="仿宋" w:eastAsia="仿宋" w:cs="仿宋"/>
          <w:i/>
          <w:color w:val="000000"/>
        </w:rPr>
        <w:t>，</w:t>
      </w:r>
      <w:r>
        <w:rPr>
          <w:rFonts w:hint="eastAsia" w:ascii="仿宋" w:hAnsi="仿宋" w:eastAsia="仿宋" w:cs="仿宋"/>
          <w:color w:val="000000"/>
        </w:rPr>
        <w:t>属于</w:t>
      </w:r>
      <w:r>
        <w:rPr>
          <w:rFonts w:hint="eastAsia" w:ascii="仿宋" w:hAnsi="仿宋" w:eastAsia="仿宋" w:cs="仿宋"/>
          <w:color w:val="000000"/>
          <w:u w:val="single"/>
        </w:rPr>
        <w:t xml:space="preserve">       </w:t>
      </w:r>
      <w:r>
        <w:rPr>
          <w:rFonts w:hint="eastAsia" w:ascii="仿宋" w:hAnsi="仿宋" w:eastAsia="仿宋" w:cs="仿宋"/>
          <w:color w:val="000000"/>
        </w:rPr>
        <w:t>行业；承接企业为</w:t>
      </w:r>
      <w:r>
        <w:rPr>
          <w:rFonts w:hint="eastAsia" w:ascii="仿宋" w:hAnsi="仿宋" w:eastAsia="仿宋" w:cs="仿宋"/>
          <w:color w:val="000000"/>
          <w:u w:val="single"/>
        </w:rPr>
        <w:t>（企业名称）</w:t>
      </w:r>
      <w:r>
        <w:rPr>
          <w:rFonts w:hint="eastAsia" w:ascii="仿宋" w:hAnsi="仿宋" w:eastAsia="仿宋" w:cs="仿宋"/>
          <w:color w:val="000000"/>
        </w:rPr>
        <w:t>，从业人员</w:t>
      </w:r>
      <w:r>
        <w:rPr>
          <w:rFonts w:hint="eastAsia" w:ascii="仿宋" w:hAnsi="仿宋" w:eastAsia="仿宋" w:cs="仿宋"/>
          <w:color w:val="000000"/>
          <w:u w:val="single"/>
        </w:rPr>
        <w:t xml:space="preserve">      </w:t>
      </w:r>
      <w:r>
        <w:rPr>
          <w:rFonts w:hint="eastAsia" w:ascii="仿宋" w:hAnsi="仿宋" w:eastAsia="仿宋" w:cs="仿宋"/>
          <w:color w:val="000000"/>
        </w:rPr>
        <w:t>人，营业收入为</w:t>
      </w:r>
      <w:r>
        <w:rPr>
          <w:rFonts w:hint="eastAsia" w:ascii="仿宋" w:hAnsi="仿宋" w:eastAsia="仿宋" w:cs="仿宋"/>
          <w:color w:val="000000"/>
          <w:u w:val="single"/>
        </w:rPr>
        <w:t xml:space="preserve">     </w:t>
      </w:r>
      <w:r>
        <w:rPr>
          <w:rFonts w:hint="eastAsia" w:ascii="仿宋" w:hAnsi="仿宋" w:eastAsia="仿宋" w:cs="仿宋"/>
          <w:color w:val="000000"/>
        </w:rPr>
        <w:t>万元，资产总额为</w:t>
      </w:r>
      <w:r>
        <w:rPr>
          <w:rFonts w:hint="eastAsia" w:ascii="仿宋" w:hAnsi="仿宋" w:eastAsia="仿宋" w:cs="仿宋"/>
          <w:color w:val="000000"/>
          <w:u w:val="single"/>
        </w:rPr>
        <w:t xml:space="preserve">      </w:t>
      </w:r>
      <w:r>
        <w:rPr>
          <w:rFonts w:hint="eastAsia" w:ascii="仿宋" w:hAnsi="仿宋" w:eastAsia="仿宋" w:cs="仿宋"/>
          <w:color w:val="000000"/>
        </w:rPr>
        <w:t>万元</w:t>
      </w:r>
      <w:r>
        <w:rPr>
          <w:rFonts w:hint="eastAsia" w:ascii="仿宋" w:hAnsi="仿宋" w:eastAsia="仿宋" w:cs="仿宋"/>
          <w:color w:val="000000"/>
          <w:vertAlign w:val="superscript"/>
        </w:rPr>
        <w:t>1</w:t>
      </w:r>
      <w:r>
        <w:rPr>
          <w:rFonts w:hint="eastAsia" w:ascii="仿宋" w:hAnsi="仿宋" w:eastAsia="仿宋" w:cs="仿宋"/>
          <w:color w:val="000000"/>
        </w:rPr>
        <w:t>，属于</w:t>
      </w:r>
      <w:r>
        <w:rPr>
          <w:rFonts w:hint="eastAsia" w:ascii="仿宋" w:hAnsi="仿宋" w:eastAsia="仿宋" w:cs="仿宋"/>
          <w:color w:val="000000"/>
          <w:u w:val="single"/>
        </w:rPr>
        <w:t>（小型企业、微型企业）；</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w:t>
      </w:r>
      <w:r>
        <w:rPr>
          <w:rFonts w:hint="eastAsia" w:ascii="仿宋" w:hAnsi="仿宋" w:eastAsia="仿宋" w:cs="仿宋"/>
          <w:color w:val="000000"/>
          <w:u w:val="single"/>
        </w:rPr>
        <w:t>（标的名称）</w:t>
      </w:r>
      <w:r>
        <w:rPr>
          <w:rFonts w:hint="eastAsia" w:ascii="仿宋" w:hAnsi="仿宋" w:eastAsia="仿宋" w:cs="仿宋"/>
          <w:i/>
          <w:color w:val="000000"/>
        </w:rPr>
        <w:t>，</w:t>
      </w:r>
      <w:r>
        <w:rPr>
          <w:rFonts w:hint="eastAsia" w:ascii="仿宋" w:hAnsi="仿宋" w:eastAsia="仿宋" w:cs="仿宋"/>
          <w:color w:val="000000"/>
        </w:rPr>
        <w:t>属于</w:t>
      </w:r>
      <w:r>
        <w:rPr>
          <w:rFonts w:hint="eastAsia" w:ascii="仿宋" w:hAnsi="仿宋" w:eastAsia="仿宋" w:cs="仿宋"/>
          <w:color w:val="000000"/>
          <w:u w:val="single"/>
        </w:rPr>
        <w:t xml:space="preserve">       </w:t>
      </w:r>
      <w:r>
        <w:rPr>
          <w:rFonts w:hint="eastAsia" w:ascii="仿宋" w:hAnsi="仿宋" w:eastAsia="仿宋" w:cs="仿宋"/>
          <w:color w:val="000000"/>
        </w:rPr>
        <w:t>行业；承接企业为</w:t>
      </w:r>
      <w:r>
        <w:rPr>
          <w:rFonts w:hint="eastAsia" w:ascii="仿宋" w:hAnsi="仿宋" w:eastAsia="仿宋" w:cs="仿宋"/>
          <w:color w:val="000000"/>
          <w:u w:val="single"/>
        </w:rPr>
        <w:t>（企业名称）</w:t>
      </w:r>
      <w:r>
        <w:rPr>
          <w:rFonts w:hint="eastAsia" w:ascii="仿宋" w:hAnsi="仿宋" w:eastAsia="仿宋" w:cs="仿宋"/>
          <w:color w:val="000000"/>
        </w:rPr>
        <w:t>，从业人员</w:t>
      </w:r>
      <w:r>
        <w:rPr>
          <w:rFonts w:hint="eastAsia" w:ascii="仿宋" w:hAnsi="仿宋" w:eastAsia="仿宋" w:cs="仿宋"/>
          <w:color w:val="000000"/>
          <w:u w:val="single"/>
        </w:rPr>
        <w:t xml:space="preserve">      </w:t>
      </w:r>
      <w:r>
        <w:rPr>
          <w:rFonts w:hint="eastAsia" w:ascii="仿宋" w:hAnsi="仿宋" w:eastAsia="仿宋" w:cs="仿宋"/>
          <w:color w:val="000000"/>
        </w:rPr>
        <w:t>人，营业收入为</w:t>
      </w:r>
      <w:r>
        <w:rPr>
          <w:rFonts w:hint="eastAsia" w:ascii="仿宋" w:hAnsi="仿宋" w:eastAsia="仿宋" w:cs="仿宋"/>
          <w:color w:val="000000"/>
          <w:u w:val="single"/>
        </w:rPr>
        <w:t xml:space="preserve">     </w:t>
      </w:r>
      <w:r>
        <w:rPr>
          <w:rFonts w:hint="eastAsia" w:ascii="仿宋" w:hAnsi="仿宋" w:eastAsia="仿宋" w:cs="仿宋"/>
          <w:color w:val="000000"/>
        </w:rPr>
        <w:t>万元，资产总额为</w:t>
      </w:r>
      <w:r>
        <w:rPr>
          <w:rFonts w:hint="eastAsia" w:ascii="仿宋" w:hAnsi="仿宋" w:eastAsia="仿宋" w:cs="仿宋"/>
          <w:color w:val="000000"/>
          <w:u w:val="single"/>
        </w:rPr>
        <w:t xml:space="preserve">      </w:t>
      </w:r>
      <w:r>
        <w:rPr>
          <w:rFonts w:hint="eastAsia" w:ascii="仿宋" w:hAnsi="仿宋" w:eastAsia="仿宋" w:cs="仿宋"/>
          <w:color w:val="000000"/>
        </w:rPr>
        <w:t>万元</w:t>
      </w:r>
      <w:r>
        <w:rPr>
          <w:rFonts w:hint="eastAsia" w:ascii="仿宋" w:hAnsi="仿宋" w:eastAsia="仿宋" w:cs="仿宋"/>
          <w:color w:val="000000"/>
          <w:vertAlign w:val="superscript"/>
        </w:rPr>
        <w:t>1</w:t>
      </w:r>
      <w:r>
        <w:rPr>
          <w:rFonts w:hint="eastAsia" w:ascii="仿宋" w:hAnsi="仿宋" w:eastAsia="仿宋" w:cs="仿宋"/>
          <w:color w:val="000000"/>
        </w:rPr>
        <w:t>，属于</w:t>
      </w:r>
      <w:r>
        <w:rPr>
          <w:rFonts w:hint="eastAsia" w:ascii="仿宋" w:hAnsi="仿宋" w:eastAsia="仿宋" w:cs="仿宋"/>
          <w:color w:val="000000"/>
          <w:u w:val="single"/>
        </w:rPr>
        <w:t>（小型企业、微型企业）；</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以上企业，不属于大企业的分支机构，不存在控股股东为大企业的情形，也不存在与大企业的负责人为同一人的情形。</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本企业对上述声明内容的真实性负责。如有虚假，将依法承担相应责任</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 </w:t>
      </w:r>
    </w:p>
    <w:p>
      <w:pPr>
        <w:pStyle w:val="12"/>
        <w:spacing w:beforeAutospacing="0" w:afterAutospacing="0" w:line="360" w:lineRule="auto"/>
        <w:ind w:firstLine="360"/>
        <w:jc w:val="center"/>
        <w:rPr>
          <w:rFonts w:ascii="仿宋" w:hAnsi="仿宋" w:eastAsia="仿宋" w:cs="仿宋"/>
        </w:rPr>
      </w:pPr>
      <w:r>
        <w:rPr>
          <w:rFonts w:hint="eastAsia" w:ascii="仿宋" w:hAnsi="仿宋" w:eastAsia="仿宋" w:cs="仿宋"/>
          <w:color w:val="000000"/>
        </w:rPr>
        <w:t>企业名称（加盖投标人公章）：</w:t>
      </w:r>
    </w:p>
    <w:p>
      <w:pPr>
        <w:pStyle w:val="12"/>
        <w:spacing w:beforeAutospacing="0" w:afterAutospacing="0" w:line="360" w:lineRule="auto"/>
        <w:ind w:firstLine="5400"/>
        <w:jc w:val="both"/>
        <w:rPr>
          <w:rFonts w:ascii="仿宋" w:hAnsi="仿宋" w:eastAsia="仿宋" w:cs="仿宋"/>
        </w:rPr>
      </w:pPr>
      <w:r>
        <w:rPr>
          <w:rFonts w:hint="eastAsia" w:ascii="仿宋" w:hAnsi="仿宋" w:eastAsia="仿宋" w:cs="仿宋"/>
          <w:color w:val="000000"/>
        </w:rPr>
        <w:t>日  期：</w:t>
      </w:r>
    </w:p>
    <w:p>
      <w:pPr>
        <w:pStyle w:val="12"/>
        <w:spacing w:beforeAutospacing="0" w:afterAutospacing="0" w:line="0" w:lineRule="atLeast"/>
        <w:ind w:firstLine="240"/>
        <w:jc w:val="both"/>
        <w:rPr>
          <w:rFonts w:ascii="仿宋" w:hAnsi="仿宋" w:eastAsia="仿宋" w:cs="仿宋"/>
        </w:rPr>
      </w:pPr>
      <w:r>
        <w:rPr>
          <w:rFonts w:hint="eastAsia" w:ascii="仿宋" w:hAnsi="仿宋" w:eastAsia="仿宋" w:cs="仿宋"/>
        </w:rPr>
        <w:t> </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备注1：从业人员、营业收入、资产总额填报上一年度数据，无上一年度数据的新成立企业可不填报。</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备注2：供应商如不提供此声明函，价格将不做相应扣除。</w:t>
      </w:r>
    </w:p>
    <w:p>
      <w:pPr>
        <w:pStyle w:val="12"/>
        <w:spacing w:beforeAutospacing="0" w:afterAutospacing="0" w:line="360" w:lineRule="auto"/>
        <w:ind w:firstLine="643" w:firstLineChars="200"/>
        <w:jc w:val="center"/>
        <w:rPr>
          <w:rFonts w:ascii="仿宋" w:hAnsi="仿宋" w:eastAsia="仿宋" w:cs="仿宋"/>
        </w:rPr>
      </w:pPr>
      <w:r>
        <w:rPr>
          <w:rFonts w:hint="eastAsia" w:ascii="仿宋" w:hAnsi="仿宋" w:eastAsia="仿宋" w:cs="仿宋"/>
          <w:b/>
          <w:color w:val="000000"/>
          <w:sz w:val="32"/>
          <w:szCs w:val="32"/>
        </w:rPr>
        <w:br w:type="page"/>
      </w:r>
      <w:r>
        <w:rPr>
          <w:rFonts w:hint="eastAsia" w:ascii="仿宋" w:hAnsi="仿宋" w:eastAsia="仿宋" w:cs="仿宋"/>
          <w:b/>
          <w:color w:val="000000"/>
          <w:sz w:val="32"/>
          <w:szCs w:val="32"/>
        </w:rPr>
        <w:t> 残疾人福利性单位声明函</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000000"/>
          <w:u w:val="single"/>
        </w:rPr>
        <w:t>_（采购人）_</w:t>
      </w:r>
      <w:r>
        <w:rPr>
          <w:rFonts w:hint="eastAsia" w:ascii="仿宋" w:hAnsi="仿宋" w:eastAsia="仿宋" w:cs="仿宋"/>
          <w:color w:val="000000"/>
        </w:rPr>
        <w:t>组织的</w:t>
      </w:r>
      <w:r>
        <w:rPr>
          <w:rFonts w:hint="eastAsia" w:ascii="仿宋" w:hAnsi="仿宋" w:eastAsia="仿宋" w:cs="仿宋"/>
          <w:color w:val="000000"/>
          <w:u w:val="single"/>
        </w:rPr>
        <w:t>（项目名称）</w:t>
      </w:r>
      <w:r>
        <w:rPr>
          <w:rFonts w:hint="eastAsia" w:ascii="仿宋" w:hAnsi="仿宋" w:eastAsia="仿宋" w:cs="仿宋"/>
          <w:color w:val="000000"/>
        </w:rPr>
        <w:t>采购活动由本单位提供服务。</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本单位对上述声明的真实性负责。如有虚假，将依法承担相应责任。</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 </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（备注：1、供应商如不提供此声明函，价格将不做相应扣除。2、中标人为残疾人福利单位的，此声明函将随中标结果同时公告，接受社会监督）</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 </w:t>
      </w:r>
    </w:p>
    <w:p>
      <w:pPr>
        <w:pStyle w:val="12"/>
        <w:tabs>
          <w:tab w:val="left" w:pos="4864"/>
        </w:tabs>
        <w:spacing w:beforeAutospacing="0" w:afterAutospacing="0" w:line="360" w:lineRule="auto"/>
        <w:ind w:firstLine="600" w:firstLineChars="200"/>
        <w:jc w:val="center"/>
        <w:rPr>
          <w:rFonts w:ascii="仿宋" w:hAnsi="仿宋" w:eastAsia="仿宋" w:cs="仿宋"/>
        </w:rPr>
      </w:pPr>
      <w:r>
        <w:rPr>
          <w:rFonts w:hint="eastAsia" w:ascii="仿宋" w:hAnsi="仿宋" w:eastAsia="仿宋" w:cs="仿宋"/>
          <w:color w:val="000000"/>
          <w:sz w:val="30"/>
          <w:szCs w:val="30"/>
        </w:rPr>
        <w:t xml:space="preserve">             </w:t>
      </w:r>
      <w:r>
        <w:rPr>
          <w:rFonts w:hint="eastAsia" w:ascii="仿宋" w:hAnsi="仿宋" w:eastAsia="仿宋" w:cs="仿宋"/>
          <w:color w:val="000000"/>
        </w:rPr>
        <w:t>          供应商全称（加盖投标人公章）：</w:t>
      </w:r>
    </w:p>
    <w:p>
      <w:pPr>
        <w:pStyle w:val="12"/>
        <w:tabs>
          <w:tab w:val="left" w:pos="4864"/>
        </w:tabs>
        <w:spacing w:beforeAutospacing="0" w:afterAutospacing="0" w:line="360" w:lineRule="auto"/>
        <w:ind w:firstLine="480" w:firstLineChars="200"/>
        <w:jc w:val="center"/>
        <w:rPr>
          <w:rFonts w:ascii="仿宋" w:hAnsi="仿宋" w:eastAsia="仿宋" w:cs="仿宋"/>
        </w:rPr>
      </w:pPr>
      <w:r>
        <w:rPr>
          <w:rFonts w:hint="eastAsia" w:ascii="仿宋" w:hAnsi="仿宋" w:eastAsia="仿宋" w:cs="仿宋"/>
          <w:color w:val="000000"/>
        </w:rPr>
        <w:t>        日  期：</w:t>
      </w:r>
    </w:p>
    <w:p>
      <w:pPr>
        <w:pStyle w:val="12"/>
        <w:spacing w:beforeAutospacing="0" w:afterAutospacing="0" w:line="360" w:lineRule="auto"/>
        <w:ind w:firstLine="480" w:firstLineChars="200"/>
        <w:jc w:val="center"/>
        <w:rPr>
          <w:rFonts w:ascii="仿宋" w:hAnsi="仿宋" w:eastAsia="仿宋" w:cs="仿宋"/>
        </w:rPr>
      </w:pPr>
      <w:r>
        <w:rPr>
          <w:rFonts w:hint="eastAsia" w:ascii="仿宋" w:hAnsi="仿宋" w:eastAsia="仿宋" w:cs="仿宋"/>
        </w:rPr>
        <w:t> </w:t>
      </w:r>
    </w:p>
    <w:p>
      <w:pPr>
        <w:pStyle w:val="12"/>
        <w:spacing w:beforeAutospacing="0" w:afterAutospacing="0" w:line="0" w:lineRule="atLeast"/>
        <w:jc w:val="center"/>
        <w:rPr>
          <w:rFonts w:ascii="仿宋" w:hAnsi="仿宋" w:eastAsia="仿宋" w:cs="仿宋"/>
        </w:rPr>
      </w:pPr>
      <w:r>
        <w:rPr>
          <w:rFonts w:hint="eastAsia" w:ascii="仿宋" w:hAnsi="仿宋" w:eastAsia="仿宋" w:cs="仿宋"/>
        </w:rPr>
        <w:t> </w:t>
      </w:r>
    </w:p>
    <w:p>
      <w:pPr>
        <w:pStyle w:val="12"/>
        <w:spacing w:beforeAutospacing="0" w:afterAutospacing="0" w:line="0" w:lineRule="atLeast"/>
        <w:jc w:val="center"/>
        <w:rPr>
          <w:rFonts w:ascii="仿宋" w:hAnsi="仿宋" w:eastAsia="仿宋" w:cs="仿宋"/>
        </w:rPr>
      </w:pPr>
      <w:r>
        <w:rPr>
          <w:rFonts w:hint="eastAsia" w:ascii="仿宋" w:hAnsi="仿宋" w:eastAsia="仿宋" w:cs="仿宋"/>
        </w:rPr>
        <w:t> </w:t>
      </w:r>
    </w:p>
    <w:p>
      <w:pPr>
        <w:pStyle w:val="12"/>
        <w:spacing w:beforeAutospacing="0" w:afterAutospacing="0" w:line="0" w:lineRule="atLeast"/>
        <w:jc w:val="center"/>
        <w:rPr>
          <w:rFonts w:ascii="仿宋" w:hAnsi="仿宋" w:eastAsia="仿宋" w:cs="仿宋"/>
        </w:rPr>
      </w:pPr>
      <w:r>
        <w:rPr>
          <w:rFonts w:hint="eastAsia" w:ascii="仿宋" w:hAnsi="仿宋" w:eastAsia="仿宋" w:cs="仿宋"/>
        </w:rPr>
        <w:t> </w:t>
      </w:r>
    </w:p>
    <w:p>
      <w:pPr>
        <w:pStyle w:val="12"/>
        <w:spacing w:beforeAutospacing="0" w:afterAutospacing="0" w:line="0" w:lineRule="atLeast"/>
        <w:jc w:val="center"/>
        <w:rPr>
          <w:rFonts w:ascii="仿宋" w:hAnsi="仿宋" w:eastAsia="仿宋" w:cs="仿宋"/>
        </w:rPr>
      </w:pPr>
      <w:r>
        <w:rPr>
          <w:rFonts w:hint="eastAsia" w:ascii="仿宋" w:hAnsi="仿宋" w:eastAsia="仿宋" w:cs="仿宋"/>
        </w:rPr>
        <w:t> </w:t>
      </w:r>
    </w:p>
    <w:p>
      <w:pPr>
        <w:pStyle w:val="12"/>
        <w:spacing w:beforeAutospacing="0" w:afterAutospacing="0" w:line="0" w:lineRule="atLeast"/>
        <w:jc w:val="center"/>
        <w:rPr>
          <w:rFonts w:ascii="仿宋" w:hAnsi="仿宋" w:eastAsia="仿宋" w:cs="仿宋"/>
        </w:rPr>
      </w:pPr>
      <w:r>
        <w:rPr>
          <w:rFonts w:hint="eastAsia" w:ascii="仿宋" w:hAnsi="仿宋" w:eastAsia="仿宋" w:cs="仿宋"/>
        </w:rPr>
        <w:t> </w:t>
      </w:r>
    </w:p>
    <w:p>
      <w:pPr>
        <w:pStyle w:val="12"/>
        <w:spacing w:beforeAutospacing="0" w:afterAutospacing="0" w:line="0" w:lineRule="atLeast"/>
        <w:jc w:val="center"/>
        <w:rPr>
          <w:rFonts w:ascii="仿宋" w:hAnsi="仿宋" w:eastAsia="仿宋" w:cs="仿宋"/>
        </w:rPr>
      </w:pPr>
      <w:r>
        <w:rPr>
          <w:rFonts w:hint="eastAsia" w:ascii="仿宋" w:hAnsi="仿宋" w:eastAsia="仿宋" w:cs="仿宋"/>
        </w:rPr>
        <w:t> </w:t>
      </w:r>
    </w:p>
    <w:p>
      <w:pPr>
        <w:pStyle w:val="12"/>
        <w:spacing w:beforeAutospacing="0" w:afterAutospacing="0" w:line="0" w:lineRule="atLeast"/>
        <w:jc w:val="center"/>
        <w:rPr>
          <w:rFonts w:ascii="仿宋" w:hAnsi="仿宋" w:eastAsia="仿宋" w:cs="仿宋"/>
        </w:rPr>
      </w:pPr>
    </w:p>
    <w:p>
      <w:pPr>
        <w:pStyle w:val="12"/>
        <w:spacing w:beforeAutospacing="0" w:afterAutospacing="0" w:line="0" w:lineRule="atLeast"/>
        <w:jc w:val="center"/>
        <w:rPr>
          <w:rFonts w:ascii="仿宋" w:hAnsi="仿宋" w:eastAsia="仿宋" w:cs="仿宋"/>
        </w:rPr>
      </w:pPr>
      <w:r>
        <w:rPr>
          <w:rFonts w:hint="eastAsia" w:ascii="仿宋" w:hAnsi="仿宋" w:eastAsia="仿宋" w:cs="仿宋"/>
        </w:rPr>
        <w:t> </w:t>
      </w:r>
    </w:p>
    <w:p>
      <w:pPr>
        <w:pStyle w:val="12"/>
        <w:spacing w:beforeAutospacing="0" w:afterAutospacing="0" w:line="0" w:lineRule="atLeast"/>
        <w:jc w:val="center"/>
        <w:rPr>
          <w:rFonts w:ascii="仿宋" w:hAnsi="仿宋" w:eastAsia="仿宋" w:cs="仿宋"/>
        </w:rPr>
      </w:pPr>
      <w:r>
        <w:rPr>
          <w:rFonts w:hint="eastAsia" w:ascii="仿宋" w:hAnsi="仿宋" w:eastAsia="仿宋" w:cs="仿宋"/>
        </w:rPr>
        <w:t> </w:t>
      </w:r>
    </w:p>
    <w:p>
      <w:pPr>
        <w:pStyle w:val="12"/>
        <w:spacing w:beforeAutospacing="0" w:afterAutospacing="0" w:line="0" w:lineRule="atLeast"/>
        <w:jc w:val="center"/>
        <w:rPr>
          <w:rFonts w:ascii="仿宋" w:hAnsi="仿宋" w:eastAsia="仿宋" w:cs="仿宋"/>
        </w:rPr>
      </w:pPr>
      <w:r>
        <w:rPr>
          <w:rFonts w:hint="eastAsia" w:ascii="仿宋" w:hAnsi="仿宋" w:eastAsia="仿宋" w:cs="仿宋"/>
        </w:rPr>
        <w:t> </w:t>
      </w:r>
    </w:p>
    <w:p>
      <w:pPr>
        <w:pStyle w:val="12"/>
        <w:spacing w:beforeAutospacing="0" w:afterAutospacing="0" w:line="0" w:lineRule="atLeast"/>
        <w:jc w:val="center"/>
        <w:rPr>
          <w:rFonts w:ascii="仿宋" w:hAnsi="仿宋" w:eastAsia="仿宋" w:cs="仿宋"/>
        </w:rPr>
      </w:pPr>
      <w:r>
        <w:rPr>
          <w:rFonts w:hint="eastAsia" w:ascii="仿宋" w:hAnsi="仿宋" w:eastAsia="仿宋" w:cs="仿宋"/>
        </w:rPr>
        <w:t> </w:t>
      </w:r>
    </w:p>
    <w:p>
      <w:pPr>
        <w:rPr>
          <w:rFonts w:ascii="仿宋" w:hAnsi="仿宋" w:eastAsia="仿宋" w:cs="仿宋"/>
        </w:rPr>
      </w:pPr>
      <w:r>
        <w:rPr>
          <w:rFonts w:hint="eastAsia" w:ascii="仿宋" w:hAnsi="仿宋" w:eastAsia="仿宋" w:cs="仿宋"/>
        </w:rPr>
        <w:br w:type="page"/>
      </w:r>
    </w:p>
    <w:p>
      <w:pPr>
        <w:pStyle w:val="12"/>
        <w:spacing w:beforeAutospacing="0" w:afterAutospacing="0" w:line="360" w:lineRule="auto"/>
        <w:ind w:firstLine="643" w:firstLineChars="200"/>
        <w:jc w:val="center"/>
        <w:rPr>
          <w:rFonts w:ascii="仿宋" w:hAnsi="仿宋" w:eastAsia="仿宋" w:cs="仿宋"/>
        </w:rPr>
      </w:pPr>
      <w:r>
        <w:rPr>
          <w:rFonts w:hint="eastAsia" w:ascii="仿宋" w:hAnsi="仿宋" w:eastAsia="仿宋" w:cs="仿宋"/>
          <w:b/>
          <w:color w:val="000000"/>
          <w:sz w:val="32"/>
          <w:szCs w:val="32"/>
        </w:rPr>
        <w:t>联合体协议（参考格式）</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u w:val="single"/>
        </w:rPr>
        <w:t>（联合体中各供应商全称）</w:t>
      </w:r>
      <w:r>
        <w:rPr>
          <w:rFonts w:hint="eastAsia" w:ascii="仿宋" w:hAnsi="仿宋" w:eastAsia="仿宋" w:cs="仿宋"/>
          <w:color w:val="000000"/>
        </w:rPr>
        <w:t>在此达成以下协议：</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1、我们</w:t>
      </w:r>
      <w:r>
        <w:rPr>
          <w:rFonts w:hint="eastAsia" w:ascii="仿宋" w:hAnsi="仿宋" w:eastAsia="仿宋" w:cs="仿宋"/>
          <w:color w:val="000000"/>
          <w:u w:val="single"/>
        </w:rPr>
        <w:t xml:space="preserve"> （供应商1），（供应商2） ，……</w:t>
      </w:r>
      <w:r>
        <w:rPr>
          <w:rFonts w:hint="eastAsia" w:ascii="仿宋" w:hAnsi="仿宋" w:eastAsia="仿宋" w:cs="仿宋"/>
          <w:color w:val="000000"/>
        </w:rPr>
        <w:t>自愿组成联合体，参加</w:t>
      </w:r>
      <w:r>
        <w:rPr>
          <w:rFonts w:hint="eastAsia" w:ascii="仿宋" w:hAnsi="仿宋" w:eastAsia="仿宋" w:cs="仿宋"/>
          <w:color w:val="000000"/>
          <w:u w:val="single"/>
        </w:rPr>
        <w:t xml:space="preserve"> （采购人） </w:t>
      </w:r>
      <w:r>
        <w:rPr>
          <w:rFonts w:hint="eastAsia" w:ascii="仿宋" w:hAnsi="仿宋" w:eastAsia="仿宋" w:cs="仿宋"/>
          <w:color w:val="000000"/>
        </w:rPr>
        <w:t xml:space="preserve">组织的 </w:t>
      </w:r>
      <w:r>
        <w:rPr>
          <w:rFonts w:hint="eastAsia" w:ascii="仿宋" w:hAnsi="仿宋" w:eastAsia="仿宋" w:cs="仿宋"/>
          <w:color w:val="000000"/>
          <w:u w:val="single"/>
        </w:rPr>
        <w:t>（项目全称）</w:t>
      </w:r>
      <w:r>
        <w:rPr>
          <w:rFonts w:hint="eastAsia" w:ascii="仿宋" w:hAnsi="仿宋" w:eastAsia="仿宋" w:cs="仿宋"/>
          <w:color w:val="000000"/>
        </w:rPr>
        <w:t>项目的政府采购活动，我联合体指定</w:t>
      </w:r>
      <w:r>
        <w:rPr>
          <w:rFonts w:hint="eastAsia" w:ascii="仿宋" w:hAnsi="仿宋" w:eastAsia="仿宋" w:cs="仿宋"/>
          <w:color w:val="000000"/>
          <w:u w:val="single"/>
        </w:rPr>
        <w:t>（供应商*）</w:t>
      </w:r>
      <w:r>
        <w:rPr>
          <w:rFonts w:hint="eastAsia" w:ascii="仿宋" w:hAnsi="仿宋" w:eastAsia="仿宋" w:cs="仿宋"/>
          <w:color w:val="000000"/>
        </w:rPr>
        <w:t>为牵头单位（牵头单位必须为联合体成员）。</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3、其中</w:t>
      </w:r>
      <w:r>
        <w:rPr>
          <w:rFonts w:hint="eastAsia" w:ascii="仿宋" w:hAnsi="仿宋" w:eastAsia="仿宋" w:cs="仿宋"/>
          <w:color w:val="000000"/>
          <w:u w:val="single"/>
        </w:rPr>
        <w:t xml:space="preserve">      </w:t>
      </w:r>
      <w:r>
        <w:rPr>
          <w:rFonts w:hint="eastAsia" w:ascii="仿宋" w:hAnsi="仿宋" w:eastAsia="仿宋" w:cs="仿宋"/>
          <w:color w:val="000000"/>
        </w:rPr>
        <w:t>（小型、微型企业/残疾人福利性单位/监狱企业全称）为</w:t>
      </w:r>
      <w:r>
        <w:rPr>
          <w:rFonts w:hint="eastAsia" w:ascii="仿宋" w:hAnsi="仿宋" w:eastAsia="仿宋" w:cs="仿宋"/>
          <w:color w:val="000000"/>
          <w:u w:val="single"/>
        </w:rPr>
        <w:t xml:space="preserve">    </w:t>
      </w:r>
      <w:r>
        <w:rPr>
          <w:rFonts w:hint="eastAsia" w:ascii="仿宋" w:hAnsi="仿宋" w:eastAsia="仿宋" w:cs="仿宋"/>
          <w:color w:val="000000"/>
        </w:rPr>
        <w:t>（小型、微型企业/残疾人福利性单位/监狱企业）企业，且我们约定该公司/单位所承担的合同金额将占本项目合同总金额的</w:t>
      </w:r>
      <w:r>
        <w:rPr>
          <w:rFonts w:hint="eastAsia" w:ascii="仿宋" w:hAnsi="仿宋" w:eastAsia="仿宋" w:cs="仿宋"/>
          <w:color w:val="000000"/>
          <w:u w:val="single"/>
        </w:rPr>
        <w:t xml:space="preserve">  </w:t>
      </w:r>
      <w:r>
        <w:rPr>
          <w:rFonts w:hint="eastAsia" w:ascii="仿宋" w:hAnsi="仿宋" w:eastAsia="仿宋" w:cs="仿宋"/>
          <w:color w:val="000000"/>
        </w:rPr>
        <w:t>%。</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 </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备注：本招标文件中要求加盖投标人签章的地方，仅需加盖牵头单位的投标人签章。</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                               </w:t>
      </w:r>
    </w:p>
    <w:p>
      <w:pPr>
        <w:pStyle w:val="12"/>
        <w:spacing w:beforeAutospacing="0" w:afterAutospacing="0" w:line="360" w:lineRule="auto"/>
        <w:ind w:firstLine="480" w:firstLineChars="200"/>
        <w:jc w:val="right"/>
        <w:rPr>
          <w:rFonts w:ascii="仿宋" w:hAnsi="仿宋" w:eastAsia="仿宋" w:cs="仿宋"/>
        </w:rPr>
      </w:pPr>
      <w:r>
        <w:rPr>
          <w:rFonts w:hint="eastAsia" w:ascii="仿宋" w:hAnsi="仿宋" w:eastAsia="仿宋" w:cs="仿宋"/>
          <w:color w:val="000000"/>
        </w:rPr>
        <w:t xml:space="preserve">联合体中各供应商全称（公章）：     </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color w:val="000000"/>
        </w:rPr>
        <w:t>                                                          日期：</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 </w:t>
      </w:r>
    </w:p>
    <w:p>
      <w:pPr>
        <w:pStyle w:val="12"/>
        <w:spacing w:beforeAutospacing="0" w:afterAutospacing="0" w:line="0" w:lineRule="atLeast"/>
        <w:jc w:val="both"/>
        <w:rPr>
          <w:rFonts w:ascii="仿宋" w:hAnsi="仿宋" w:eastAsia="仿宋" w:cs="仿宋"/>
        </w:rPr>
      </w:pPr>
      <w:r>
        <w:rPr>
          <w:rFonts w:hint="eastAsia" w:ascii="仿宋" w:hAnsi="仿宋" w:eastAsia="仿宋" w:cs="仿宋"/>
        </w:rPr>
        <w:t> </w:t>
      </w:r>
    </w:p>
    <w:p>
      <w:pPr>
        <w:pStyle w:val="12"/>
        <w:spacing w:beforeAutospacing="0" w:afterAutospacing="0" w:line="0" w:lineRule="atLeast"/>
        <w:jc w:val="both"/>
        <w:rPr>
          <w:rFonts w:ascii="仿宋" w:hAnsi="仿宋" w:eastAsia="仿宋" w:cs="仿宋"/>
        </w:rPr>
      </w:pPr>
      <w:r>
        <w:rPr>
          <w:rFonts w:hint="eastAsia" w:ascii="仿宋" w:hAnsi="仿宋" w:eastAsia="仿宋" w:cs="仿宋"/>
        </w:rPr>
        <w:t> </w:t>
      </w:r>
    </w:p>
    <w:p>
      <w:pPr>
        <w:pStyle w:val="12"/>
        <w:spacing w:beforeAutospacing="0" w:afterAutospacing="0" w:line="0" w:lineRule="atLeast"/>
        <w:jc w:val="both"/>
        <w:rPr>
          <w:rFonts w:ascii="仿宋" w:hAnsi="仿宋" w:eastAsia="仿宋" w:cs="仿宋"/>
        </w:rPr>
      </w:pPr>
      <w:r>
        <w:rPr>
          <w:rFonts w:hint="eastAsia" w:ascii="仿宋" w:hAnsi="仿宋" w:eastAsia="仿宋" w:cs="仿宋"/>
        </w:rPr>
        <w:t> </w:t>
      </w:r>
    </w:p>
    <w:p>
      <w:pPr>
        <w:pStyle w:val="12"/>
        <w:spacing w:beforeAutospacing="0" w:afterAutospacing="0" w:line="0" w:lineRule="atLeast"/>
        <w:jc w:val="both"/>
        <w:rPr>
          <w:rFonts w:ascii="仿宋" w:hAnsi="仿宋" w:eastAsia="仿宋" w:cs="仿宋"/>
        </w:rPr>
      </w:pPr>
      <w:r>
        <w:rPr>
          <w:rFonts w:hint="eastAsia" w:ascii="仿宋" w:hAnsi="仿宋" w:eastAsia="仿宋" w:cs="仿宋"/>
        </w:rPr>
        <w:t> </w:t>
      </w:r>
    </w:p>
    <w:p>
      <w:pPr>
        <w:pStyle w:val="12"/>
        <w:spacing w:beforeAutospacing="0" w:afterAutospacing="0" w:line="0" w:lineRule="atLeast"/>
        <w:jc w:val="both"/>
        <w:rPr>
          <w:rFonts w:ascii="仿宋" w:hAnsi="仿宋" w:eastAsia="仿宋" w:cs="仿宋"/>
        </w:rPr>
      </w:pPr>
      <w:r>
        <w:rPr>
          <w:rFonts w:hint="eastAsia" w:ascii="仿宋" w:hAnsi="仿宋" w:eastAsia="仿宋" w:cs="仿宋"/>
        </w:rPr>
        <w:t> </w:t>
      </w:r>
    </w:p>
    <w:p>
      <w:pPr>
        <w:pStyle w:val="12"/>
        <w:spacing w:beforeAutospacing="0" w:afterAutospacing="0" w:line="0" w:lineRule="atLeast"/>
        <w:jc w:val="both"/>
        <w:rPr>
          <w:rFonts w:ascii="仿宋" w:hAnsi="仿宋" w:eastAsia="仿宋" w:cs="仿宋"/>
        </w:rPr>
      </w:pPr>
    </w:p>
    <w:p>
      <w:pPr>
        <w:pStyle w:val="12"/>
        <w:spacing w:beforeAutospacing="0" w:afterAutospacing="0" w:line="0" w:lineRule="atLeast"/>
        <w:jc w:val="both"/>
        <w:rPr>
          <w:rFonts w:ascii="仿宋" w:hAnsi="仿宋" w:eastAsia="仿宋" w:cs="仿宋"/>
        </w:rPr>
      </w:pPr>
    </w:p>
    <w:p>
      <w:pPr>
        <w:pStyle w:val="12"/>
        <w:spacing w:beforeAutospacing="0" w:afterAutospacing="0" w:line="0" w:lineRule="atLeast"/>
        <w:jc w:val="both"/>
        <w:rPr>
          <w:rFonts w:ascii="仿宋" w:hAnsi="仿宋" w:eastAsia="仿宋" w:cs="仿宋"/>
        </w:rPr>
      </w:pPr>
    </w:p>
    <w:p>
      <w:pPr>
        <w:pStyle w:val="12"/>
        <w:spacing w:beforeAutospacing="0" w:afterAutospacing="0" w:line="0" w:lineRule="atLeast"/>
        <w:jc w:val="both"/>
        <w:rPr>
          <w:rFonts w:ascii="仿宋" w:hAnsi="仿宋" w:eastAsia="仿宋" w:cs="仿宋"/>
        </w:rPr>
      </w:pPr>
      <w:r>
        <w:rPr>
          <w:rFonts w:hint="eastAsia" w:ascii="仿宋" w:hAnsi="仿宋" w:eastAsia="仿宋" w:cs="仿宋"/>
        </w:rPr>
        <w:t> </w:t>
      </w:r>
    </w:p>
    <w:p>
      <w:pPr>
        <w:pStyle w:val="12"/>
        <w:spacing w:beforeAutospacing="0" w:afterAutospacing="0"/>
        <w:jc w:val="both"/>
        <w:rPr>
          <w:rFonts w:ascii="仿宋" w:hAnsi="仿宋" w:eastAsia="仿宋" w:cs="仿宋"/>
        </w:rPr>
      </w:pPr>
      <w:r>
        <w:rPr>
          <w:rFonts w:hint="eastAsia" w:ascii="仿宋" w:hAnsi="仿宋" w:eastAsia="仿宋" w:cs="仿宋"/>
        </w:rPr>
        <w:t> </w:t>
      </w:r>
    </w:p>
    <w:p>
      <w:pPr>
        <w:rPr>
          <w:rFonts w:ascii="仿宋" w:hAnsi="仿宋" w:eastAsia="仿宋" w:cs="仿宋"/>
        </w:rPr>
      </w:pPr>
      <w:r>
        <w:rPr>
          <w:rFonts w:hint="eastAsia" w:ascii="仿宋" w:hAnsi="仿宋" w:eastAsia="仿宋" w:cs="仿宋"/>
        </w:rPr>
        <w:br w:type="page"/>
      </w:r>
    </w:p>
    <w:p>
      <w:pPr>
        <w:pStyle w:val="12"/>
        <w:spacing w:beforeAutospacing="0" w:afterAutospacing="0"/>
        <w:jc w:val="both"/>
        <w:rPr>
          <w:rFonts w:ascii="仿宋" w:hAnsi="仿宋" w:eastAsia="仿宋" w:cs="仿宋"/>
        </w:rPr>
      </w:pPr>
    </w:p>
    <w:p>
      <w:pPr>
        <w:pStyle w:val="12"/>
        <w:spacing w:beforeAutospacing="0" w:afterAutospacing="0"/>
        <w:jc w:val="center"/>
        <w:rPr>
          <w:rFonts w:ascii="仿宋" w:hAnsi="仿宋" w:eastAsia="仿宋" w:cs="仿宋"/>
        </w:rPr>
      </w:pPr>
      <w:r>
        <w:rPr>
          <w:rFonts w:hint="eastAsia" w:ascii="仿宋" w:hAnsi="仿宋" w:eastAsia="仿宋" w:cs="仿宋"/>
          <w:b/>
          <w:color w:val="000000"/>
          <w:sz w:val="32"/>
          <w:szCs w:val="32"/>
        </w:rPr>
        <w:t>投标分项报价表</w:t>
      </w:r>
    </w:p>
    <w:tbl>
      <w:tblPr>
        <w:tblStyle w:val="13"/>
        <w:tblW w:w="850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3370"/>
        <w:gridCol w:w="1046"/>
        <w:gridCol w:w="1432"/>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CellSpacing w:w="0" w:type="dxa"/>
          <w:jc w:val="center"/>
        </w:trPr>
        <w:tc>
          <w:tcPr>
            <w:tcW w:w="872" w:type="dxa"/>
            <w:shd w:val="clear" w:color="auto" w:fill="auto"/>
            <w:vAlign w:val="center"/>
          </w:tcPr>
          <w:p>
            <w:pPr>
              <w:spacing w:line="360" w:lineRule="auto"/>
              <w:rPr>
                <w:rFonts w:ascii="仿宋" w:hAnsi="仿宋" w:eastAsia="仿宋" w:cs="仿宋"/>
                <w:sz w:val="24"/>
              </w:rPr>
            </w:pPr>
            <w:r>
              <w:rPr>
                <w:rFonts w:hint="eastAsia" w:ascii="仿宋" w:hAnsi="仿宋" w:eastAsia="仿宋" w:cs="仿宋"/>
                <w:sz w:val="24"/>
              </w:rPr>
              <w:t>序号</w:t>
            </w:r>
          </w:p>
        </w:tc>
        <w:tc>
          <w:tcPr>
            <w:tcW w:w="3370"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color w:val="000000"/>
              </w:rPr>
              <w:t>项目名称</w:t>
            </w:r>
          </w:p>
        </w:tc>
        <w:tc>
          <w:tcPr>
            <w:tcW w:w="1046"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color w:val="000000"/>
              </w:rPr>
              <w:t>服务期</w:t>
            </w:r>
          </w:p>
        </w:tc>
        <w:tc>
          <w:tcPr>
            <w:tcW w:w="1432"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color w:val="000000"/>
              </w:rPr>
              <w:t>单价（元）</w:t>
            </w:r>
          </w:p>
        </w:tc>
        <w:tc>
          <w:tcPr>
            <w:tcW w:w="1784"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color w:val="000000"/>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CellSpacing w:w="0" w:type="dxa"/>
          <w:jc w:val="center"/>
        </w:trPr>
        <w:tc>
          <w:tcPr>
            <w:tcW w:w="872"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color w:val="000000"/>
              </w:rPr>
              <w:t>1</w:t>
            </w:r>
          </w:p>
        </w:tc>
        <w:tc>
          <w:tcPr>
            <w:tcW w:w="3370"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rPr>
              <w:t> </w:t>
            </w:r>
          </w:p>
        </w:tc>
        <w:tc>
          <w:tcPr>
            <w:tcW w:w="1046"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rPr>
              <w:t> </w:t>
            </w:r>
          </w:p>
        </w:tc>
        <w:tc>
          <w:tcPr>
            <w:tcW w:w="1432"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rPr>
              <w:t> </w:t>
            </w:r>
          </w:p>
        </w:tc>
        <w:tc>
          <w:tcPr>
            <w:tcW w:w="1784"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CellSpacing w:w="0" w:type="dxa"/>
          <w:jc w:val="center"/>
        </w:trPr>
        <w:tc>
          <w:tcPr>
            <w:tcW w:w="872"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color w:val="000000"/>
              </w:rPr>
              <w:t>2</w:t>
            </w:r>
          </w:p>
        </w:tc>
        <w:tc>
          <w:tcPr>
            <w:tcW w:w="3370"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rPr>
              <w:t> </w:t>
            </w:r>
          </w:p>
        </w:tc>
        <w:tc>
          <w:tcPr>
            <w:tcW w:w="1046"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rPr>
              <w:t> </w:t>
            </w:r>
          </w:p>
        </w:tc>
        <w:tc>
          <w:tcPr>
            <w:tcW w:w="1432"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rPr>
              <w:t> </w:t>
            </w:r>
          </w:p>
        </w:tc>
        <w:tc>
          <w:tcPr>
            <w:tcW w:w="1784"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CellSpacing w:w="0" w:type="dxa"/>
          <w:jc w:val="center"/>
        </w:trPr>
        <w:tc>
          <w:tcPr>
            <w:tcW w:w="872"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color w:val="000000"/>
              </w:rPr>
              <w:t>……</w:t>
            </w:r>
          </w:p>
        </w:tc>
        <w:tc>
          <w:tcPr>
            <w:tcW w:w="3370"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color w:val="000000"/>
              </w:rPr>
              <w:t>……</w:t>
            </w:r>
          </w:p>
        </w:tc>
        <w:tc>
          <w:tcPr>
            <w:tcW w:w="1046"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rPr>
              <w:t> </w:t>
            </w:r>
          </w:p>
        </w:tc>
        <w:tc>
          <w:tcPr>
            <w:tcW w:w="1432"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rPr>
              <w:t> </w:t>
            </w:r>
          </w:p>
        </w:tc>
        <w:tc>
          <w:tcPr>
            <w:tcW w:w="1784"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CellSpacing w:w="0" w:type="dxa"/>
          <w:jc w:val="center"/>
        </w:trPr>
        <w:tc>
          <w:tcPr>
            <w:tcW w:w="872" w:type="dxa"/>
            <w:shd w:val="clear" w:color="auto" w:fill="auto"/>
            <w:vAlign w:val="center"/>
          </w:tcPr>
          <w:p>
            <w:pPr>
              <w:pStyle w:val="12"/>
              <w:spacing w:beforeAutospacing="0" w:afterAutospacing="0" w:line="360" w:lineRule="auto"/>
              <w:jc w:val="center"/>
              <w:rPr>
                <w:rFonts w:ascii="仿宋" w:hAnsi="仿宋" w:eastAsia="仿宋" w:cs="仿宋"/>
              </w:rPr>
            </w:pPr>
            <w:r>
              <w:rPr>
                <w:rFonts w:hint="eastAsia" w:ascii="仿宋" w:hAnsi="仿宋" w:eastAsia="仿宋" w:cs="仿宋"/>
                <w:color w:val="000000"/>
              </w:rPr>
              <w:t>总计</w:t>
            </w:r>
          </w:p>
        </w:tc>
        <w:tc>
          <w:tcPr>
            <w:tcW w:w="7632" w:type="dxa"/>
            <w:gridSpan w:val="4"/>
            <w:shd w:val="clear" w:color="auto" w:fill="auto"/>
            <w:vAlign w:val="center"/>
          </w:tcPr>
          <w:p>
            <w:pPr>
              <w:pStyle w:val="12"/>
              <w:spacing w:beforeAutospacing="0" w:afterAutospacing="0" w:line="360" w:lineRule="auto"/>
              <w:rPr>
                <w:rFonts w:ascii="仿宋" w:hAnsi="仿宋" w:eastAsia="仿宋" w:cs="仿宋"/>
              </w:rPr>
            </w:pPr>
            <w:r>
              <w:rPr>
                <w:rFonts w:hint="eastAsia" w:ascii="仿宋" w:hAnsi="仿宋" w:eastAsia="仿宋" w:cs="仿宋"/>
              </w:rPr>
              <w:t>大写：</w:t>
            </w:r>
            <w:r>
              <w:rPr>
                <w:rFonts w:hint="eastAsia" w:ascii="仿宋" w:hAnsi="仿宋" w:eastAsia="仿宋" w:cs="仿宋"/>
                <w:u w:val="single"/>
              </w:rPr>
              <w:t xml:space="preserve">                         </w:t>
            </w:r>
            <w:r>
              <w:rPr>
                <w:rFonts w:hint="eastAsia" w:ascii="仿宋" w:hAnsi="仿宋" w:eastAsia="仿宋" w:cs="仿宋"/>
              </w:rPr>
              <w:t>小写：</w:t>
            </w:r>
            <w:r>
              <w:rPr>
                <w:rFonts w:hint="eastAsia" w:ascii="仿宋" w:hAnsi="仿宋" w:eastAsia="仿宋" w:cs="仿宋"/>
                <w:u w:val="single"/>
              </w:rPr>
              <w:t xml:space="preserve">           </w:t>
            </w:r>
          </w:p>
        </w:tc>
      </w:tr>
    </w:tbl>
    <w:p>
      <w:pPr>
        <w:pStyle w:val="12"/>
        <w:spacing w:beforeAutospacing="0" w:afterAutospacing="0" w:line="360" w:lineRule="auto"/>
        <w:jc w:val="both"/>
        <w:rPr>
          <w:rFonts w:ascii="仿宋" w:hAnsi="仿宋" w:eastAsia="仿宋" w:cs="仿宋"/>
          <w:color w:val="000000"/>
        </w:rPr>
      </w:pPr>
      <w:r>
        <w:rPr>
          <w:rFonts w:hint="eastAsia" w:ascii="仿宋" w:hAnsi="仿宋" w:eastAsia="仿宋" w:cs="仿宋"/>
          <w:color w:val="000000"/>
        </w:rPr>
        <w:t>备注：1.投标报价采用总承包方式，“投标总报价”应包括采购人需求的服务（包含与服务相关的货物）价格、质量保证费用、培训费用等，项目在指定地点、环境交付、安装、调试、验收所需费用和所有相关税金费用及为完成整个项目所产生的其它所有费用，招标文件另有规定的除外。</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2. “投标分项报价表”中“投标总报价”数额应当与“开标一览表”中“投标总报价”数额一致。</w:t>
      </w:r>
    </w:p>
    <w:p>
      <w:pPr>
        <w:pStyle w:val="12"/>
        <w:spacing w:beforeAutospacing="0" w:afterAutospacing="0" w:line="360" w:lineRule="auto"/>
        <w:jc w:val="center"/>
        <w:rPr>
          <w:rFonts w:ascii="仿宋" w:hAnsi="仿宋" w:eastAsia="仿宋" w:cs="仿宋"/>
        </w:rPr>
      </w:pPr>
      <w:r>
        <w:rPr>
          <w:rFonts w:hint="eastAsia" w:ascii="仿宋" w:hAnsi="仿宋" w:eastAsia="仿宋" w:cs="仿宋"/>
        </w:rPr>
        <w:t> </w:t>
      </w:r>
    </w:p>
    <w:p>
      <w:pPr>
        <w:pStyle w:val="12"/>
        <w:spacing w:beforeAutospacing="0" w:afterAutospacing="0"/>
        <w:jc w:val="center"/>
        <w:rPr>
          <w:rFonts w:ascii="仿宋" w:hAnsi="仿宋" w:eastAsia="仿宋" w:cs="仿宋"/>
        </w:rPr>
      </w:pPr>
      <w:r>
        <w:rPr>
          <w:rFonts w:hint="eastAsia" w:ascii="仿宋" w:hAnsi="仿宋" w:eastAsia="仿宋" w:cs="仿宋"/>
        </w:rPr>
        <w:t> </w:t>
      </w:r>
    </w:p>
    <w:p>
      <w:pPr>
        <w:pStyle w:val="12"/>
        <w:spacing w:beforeAutospacing="0" w:afterAutospacing="0"/>
        <w:jc w:val="center"/>
        <w:rPr>
          <w:rFonts w:ascii="仿宋" w:hAnsi="仿宋" w:eastAsia="仿宋" w:cs="仿宋"/>
        </w:rPr>
      </w:pPr>
      <w:r>
        <w:rPr>
          <w:rFonts w:hint="eastAsia" w:ascii="仿宋" w:hAnsi="仿宋" w:eastAsia="仿宋" w:cs="仿宋"/>
        </w:rPr>
        <w:t> </w:t>
      </w:r>
    </w:p>
    <w:p>
      <w:pPr>
        <w:pStyle w:val="12"/>
        <w:spacing w:beforeAutospacing="0" w:afterAutospacing="0"/>
        <w:jc w:val="center"/>
        <w:rPr>
          <w:rFonts w:ascii="仿宋" w:hAnsi="仿宋" w:eastAsia="仿宋" w:cs="仿宋"/>
        </w:rPr>
      </w:pPr>
      <w:r>
        <w:rPr>
          <w:rFonts w:hint="eastAsia" w:ascii="仿宋" w:hAnsi="仿宋" w:eastAsia="仿宋" w:cs="仿宋"/>
        </w:rPr>
        <w:t> </w:t>
      </w:r>
    </w:p>
    <w:p>
      <w:pPr>
        <w:pStyle w:val="12"/>
        <w:spacing w:beforeAutospacing="0" w:afterAutospacing="0"/>
        <w:jc w:val="center"/>
        <w:rPr>
          <w:rFonts w:ascii="仿宋" w:hAnsi="仿宋" w:eastAsia="仿宋" w:cs="仿宋"/>
        </w:rPr>
      </w:pPr>
      <w:r>
        <w:rPr>
          <w:rFonts w:hint="eastAsia" w:ascii="仿宋" w:hAnsi="仿宋" w:eastAsia="仿宋" w:cs="仿宋"/>
        </w:rPr>
        <w:t> </w:t>
      </w:r>
    </w:p>
    <w:p>
      <w:pPr>
        <w:pStyle w:val="12"/>
        <w:spacing w:beforeAutospacing="0" w:afterAutospacing="0" w:line="360" w:lineRule="auto"/>
        <w:ind w:right="2100" w:rightChars="1000"/>
        <w:jc w:val="right"/>
        <w:rPr>
          <w:rFonts w:ascii="仿宋" w:hAnsi="仿宋" w:eastAsia="仿宋" w:cs="仿宋"/>
        </w:rPr>
      </w:pPr>
      <w:r>
        <w:rPr>
          <w:rFonts w:hint="eastAsia" w:ascii="仿宋" w:hAnsi="仿宋" w:eastAsia="仿宋" w:cs="仿宋"/>
        </w:rPr>
        <w:t> 法定代表人或被授权人（签字）：</w:t>
      </w:r>
    </w:p>
    <w:p>
      <w:pPr>
        <w:pStyle w:val="12"/>
        <w:wordWrap w:val="0"/>
        <w:spacing w:beforeAutospacing="0" w:afterAutospacing="0" w:line="360" w:lineRule="auto"/>
        <w:ind w:right="2100" w:rightChars="1000"/>
        <w:jc w:val="right"/>
        <w:rPr>
          <w:rFonts w:ascii="仿宋" w:hAnsi="仿宋" w:eastAsia="仿宋" w:cs="仿宋"/>
        </w:rPr>
      </w:pPr>
      <w:r>
        <w:rPr>
          <w:rFonts w:hint="eastAsia" w:ascii="仿宋" w:hAnsi="仿宋" w:eastAsia="仿宋" w:cs="仿宋"/>
        </w:rPr>
        <w:t>单位名称（加盖投标人公章）：</w:t>
      </w:r>
    </w:p>
    <w:p>
      <w:pPr>
        <w:pStyle w:val="12"/>
        <w:spacing w:beforeAutospacing="0" w:afterAutospacing="0" w:line="360" w:lineRule="auto"/>
        <w:ind w:right="1260" w:rightChars="600"/>
        <w:jc w:val="righ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pPr>
        <w:pStyle w:val="12"/>
        <w:spacing w:beforeAutospacing="0" w:afterAutospacing="0"/>
        <w:jc w:val="center"/>
        <w:rPr>
          <w:rFonts w:ascii="仿宋" w:hAnsi="仿宋" w:eastAsia="仿宋" w:cs="仿宋"/>
        </w:rPr>
      </w:pPr>
    </w:p>
    <w:p>
      <w:pPr>
        <w:pStyle w:val="12"/>
        <w:spacing w:beforeAutospacing="0" w:afterAutospacing="0"/>
        <w:jc w:val="center"/>
        <w:rPr>
          <w:rFonts w:ascii="仿宋" w:hAnsi="仿宋" w:eastAsia="仿宋" w:cs="仿宋"/>
        </w:rPr>
      </w:pPr>
    </w:p>
    <w:p>
      <w:pPr>
        <w:pStyle w:val="12"/>
        <w:spacing w:beforeAutospacing="0" w:afterAutospacing="0"/>
        <w:jc w:val="center"/>
        <w:rPr>
          <w:rFonts w:ascii="仿宋" w:hAnsi="仿宋" w:eastAsia="仿宋" w:cs="仿宋"/>
        </w:rPr>
      </w:pPr>
    </w:p>
    <w:p>
      <w:pPr>
        <w:pStyle w:val="12"/>
        <w:spacing w:beforeAutospacing="0" w:afterAutospacing="0"/>
        <w:jc w:val="center"/>
        <w:rPr>
          <w:rFonts w:ascii="仿宋" w:hAnsi="仿宋" w:eastAsia="仿宋" w:cs="仿宋"/>
        </w:rPr>
      </w:pPr>
    </w:p>
    <w:p>
      <w:pPr>
        <w:rPr>
          <w:rFonts w:ascii="仿宋" w:hAnsi="仿宋" w:eastAsia="仿宋" w:cs="仿宋"/>
          <w:b/>
          <w:color w:val="000000"/>
          <w:sz w:val="32"/>
          <w:szCs w:val="32"/>
        </w:rPr>
      </w:pPr>
      <w:r>
        <w:rPr>
          <w:rFonts w:hint="eastAsia" w:ascii="仿宋" w:hAnsi="仿宋" w:eastAsia="仿宋" w:cs="仿宋"/>
          <w:b/>
          <w:color w:val="000000"/>
          <w:sz w:val="32"/>
          <w:szCs w:val="32"/>
        </w:rPr>
        <w:br w:type="page"/>
      </w:r>
    </w:p>
    <w:p>
      <w:pPr>
        <w:pStyle w:val="12"/>
        <w:spacing w:beforeAutospacing="0" w:afterAutospacing="0"/>
        <w:jc w:val="center"/>
        <w:rPr>
          <w:rFonts w:ascii="仿宋" w:hAnsi="仿宋" w:eastAsia="仿宋" w:cs="仿宋"/>
        </w:rPr>
      </w:pPr>
      <w:r>
        <w:rPr>
          <w:rFonts w:hint="eastAsia" w:ascii="仿宋" w:hAnsi="仿宋" w:eastAsia="仿宋" w:cs="仿宋"/>
          <w:b/>
          <w:color w:val="000000"/>
          <w:sz w:val="32"/>
          <w:szCs w:val="32"/>
        </w:rPr>
        <w:t>技术要求响应及偏离表</w:t>
      </w:r>
    </w:p>
    <w:tbl>
      <w:tblPr>
        <w:tblStyle w:val="13"/>
        <w:tblW w:w="8520" w:type="dxa"/>
        <w:jc w:val="center"/>
        <w:tblCellSpacing w:w="0" w:type="dxa"/>
        <w:tblLayout w:type="fixed"/>
        <w:tblCellMar>
          <w:top w:w="0" w:type="dxa"/>
          <w:left w:w="108" w:type="dxa"/>
          <w:bottom w:w="0" w:type="dxa"/>
          <w:right w:w="108" w:type="dxa"/>
        </w:tblCellMar>
      </w:tblPr>
      <w:tblGrid>
        <w:gridCol w:w="538"/>
        <w:gridCol w:w="3026"/>
        <w:gridCol w:w="2608"/>
        <w:gridCol w:w="1247"/>
        <w:gridCol w:w="1101"/>
      </w:tblGrid>
      <w:tr>
        <w:tblPrEx>
          <w:tblCellMar>
            <w:top w:w="0" w:type="dxa"/>
            <w:left w:w="108" w:type="dxa"/>
            <w:bottom w:w="0" w:type="dxa"/>
            <w:right w:w="108" w:type="dxa"/>
          </w:tblCellMar>
        </w:tblPrEx>
        <w:trPr>
          <w:tblCellSpacing w:w="0" w:type="dxa"/>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color w:val="000000"/>
              </w:rPr>
              <w:t>序号</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color w:val="000000"/>
              </w:rPr>
              <w:t>招标文件要求</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color w:val="000000"/>
              </w:rPr>
              <w:t>投标响应情况</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color w:val="000000"/>
              </w:rPr>
              <w:t>超出、符合或偏离</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color w:val="000000"/>
              </w:rPr>
              <w:t>证明</w:t>
            </w:r>
          </w:p>
          <w:p>
            <w:pPr>
              <w:pStyle w:val="12"/>
              <w:spacing w:beforeAutospacing="0" w:afterAutospacing="0"/>
              <w:jc w:val="center"/>
              <w:rPr>
                <w:rFonts w:ascii="仿宋" w:hAnsi="仿宋" w:eastAsia="仿宋" w:cs="仿宋"/>
              </w:rPr>
            </w:pPr>
            <w:r>
              <w:rPr>
                <w:rFonts w:hint="eastAsia" w:ascii="仿宋" w:hAnsi="仿宋" w:eastAsia="仿宋" w:cs="仿宋"/>
                <w:color w:val="000000"/>
              </w:rPr>
              <w:t>材料</w:t>
            </w:r>
          </w:p>
        </w:tc>
      </w:tr>
      <w:tr>
        <w:tblPrEx>
          <w:tblCellMar>
            <w:top w:w="0" w:type="dxa"/>
            <w:left w:w="108" w:type="dxa"/>
            <w:bottom w:w="0" w:type="dxa"/>
            <w:right w:w="108" w:type="dxa"/>
          </w:tblCellMar>
        </w:tblPrEx>
        <w:trPr>
          <w:trHeight w:val="640" w:hRule="atLeast"/>
          <w:tblCellSpacing w:w="0" w:type="dxa"/>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640" w:hRule="atLeast"/>
          <w:tblCellSpacing w:w="0" w:type="dxa"/>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640" w:hRule="atLeast"/>
          <w:tblCellSpacing w:w="0" w:type="dxa"/>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640" w:hRule="atLeast"/>
          <w:tblCellSpacing w:w="0" w:type="dxa"/>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640" w:hRule="atLeast"/>
          <w:tblCellSpacing w:w="0" w:type="dxa"/>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640" w:hRule="atLeast"/>
          <w:tblCellSpacing w:w="0" w:type="dxa"/>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640" w:hRule="atLeast"/>
          <w:tblCellSpacing w:w="0" w:type="dxa"/>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640" w:hRule="atLeast"/>
          <w:tblCellSpacing w:w="0" w:type="dxa"/>
          <w:jc w:val="center"/>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color w:val="000000"/>
              </w:rPr>
              <w:t>……</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r>
    </w:tbl>
    <w:p>
      <w:pPr>
        <w:pStyle w:val="12"/>
        <w:spacing w:beforeAutospacing="0" w:afterAutospacing="0" w:line="360" w:lineRule="auto"/>
        <w:jc w:val="both"/>
        <w:rPr>
          <w:rFonts w:ascii="仿宋" w:hAnsi="仿宋" w:eastAsia="仿宋" w:cs="仿宋"/>
        </w:rPr>
      </w:pPr>
      <w:r>
        <w:rPr>
          <w:rFonts w:hint="eastAsia" w:ascii="仿宋" w:hAnsi="仿宋" w:eastAsia="仿宋" w:cs="仿宋"/>
        </w:rPr>
        <w:t>注：1、行数不够，可自行添加。</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2、凡投标文件中所投货物或服务与招标文件有偏差的（包括正偏差，负偏差），均应在此表中详细列出并说明理由，须逐条应答。</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3、投标人所投产品如与招标文件要求不一致，则须在上表偏离说明中详细注明。</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4、响应部分可后附详细说明及技术资料，并注明投标文件中对应的页码范围。</w:t>
      </w:r>
    </w:p>
    <w:p>
      <w:pPr>
        <w:pStyle w:val="12"/>
        <w:spacing w:beforeAutospacing="0" w:afterAutospacing="0" w:line="360" w:lineRule="auto"/>
        <w:jc w:val="center"/>
        <w:rPr>
          <w:rFonts w:ascii="仿宋" w:hAnsi="仿宋" w:eastAsia="仿宋" w:cs="仿宋"/>
        </w:rPr>
      </w:pPr>
      <w:r>
        <w:rPr>
          <w:rFonts w:hint="eastAsia" w:ascii="仿宋" w:hAnsi="仿宋" w:eastAsia="仿宋" w:cs="仿宋"/>
        </w:rPr>
        <w:t> </w:t>
      </w:r>
    </w:p>
    <w:p>
      <w:pPr>
        <w:pStyle w:val="12"/>
        <w:spacing w:beforeAutospacing="0" w:afterAutospacing="0" w:line="360" w:lineRule="auto"/>
        <w:jc w:val="center"/>
        <w:rPr>
          <w:rFonts w:ascii="仿宋" w:hAnsi="仿宋" w:eastAsia="仿宋" w:cs="仿宋"/>
        </w:rPr>
      </w:pPr>
      <w:r>
        <w:rPr>
          <w:rFonts w:hint="eastAsia" w:ascii="仿宋" w:hAnsi="仿宋" w:eastAsia="仿宋" w:cs="仿宋"/>
        </w:rPr>
        <w:t> </w:t>
      </w:r>
    </w:p>
    <w:p>
      <w:pPr>
        <w:pStyle w:val="12"/>
        <w:spacing w:beforeAutospacing="0" w:afterAutospacing="0" w:line="360" w:lineRule="auto"/>
        <w:ind w:right="2100" w:rightChars="1000"/>
        <w:jc w:val="right"/>
        <w:rPr>
          <w:rFonts w:ascii="仿宋" w:hAnsi="仿宋" w:eastAsia="仿宋" w:cs="仿宋"/>
        </w:rPr>
      </w:pPr>
      <w:r>
        <w:rPr>
          <w:rFonts w:hint="eastAsia" w:ascii="仿宋" w:hAnsi="仿宋" w:eastAsia="仿宋" w:cs="仿宋"/>
        </w:rPr>
        <w:t> 法定代表人或被授权人（签字）：</w:t>
      </w:r>
    </w:p>
    <w:p>
      <w:pPr>
        <w:pStyle w:val="12"/>
        <w:wordWrap w:val="0"/>
        <w:spacing w:beforeAutospacing="0" w:afterAutospacing="0" w:line="360" w:lineRule="auto"/>
        <w:ind w:right="2100" w:rightChars="1000"/>
        <w:jc w:val="right"/>
        <w:rPr>
          <w:rFonts w:ascii="仿宋" w:hAnsi="仿宋" w:eastAsia="仿宋" w:cs="仿宋"/>
        </w:rPr>
      </w:pPr>
      <w:r>
        <w:rPr>
          <w:rFonts w:hint="eastAsia" w:ascii="仿宋" w:hAnsi="仿宋" w:eastAsia="仿宋" w:cs="仿宋"/>
        </w:rPr>
        <w:t>单位名称（加盖投标人公章）：</w:t>
      </w:r>
    </w:p>
    <w:p>
      <w:pPr>
        <w:pStyle w:val="12"/>
        <w:spacing w:beforeAutospacing="0" w:afterAutospacing="0" w:line="360" w:lineRule="auto"/>
        <w:ind w:right="1260" w:rightChars="600"/>
        <w:jc w:val="righ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pPr>
        <w:pStyle w:val="12"/>
        <w:spacing w:beforeAutospacing="0" w:afterAutospacing="0"/>
        <w:jc w:val="center"/>
        <w:rPr>
          <w:rFonts w:ascii="仿宋" w:hAnsi="仿宋" w:eastAsia="仿宋" w:cs="仿宋"/>
        </w:rPr>
      </w:pPr>
      <w:r>
        <w:rPr>
          <w:rFonts w:hint="eastAsia" w:ascii="仿宋" w:hAnsi="仿宋" w:eastAsia="仿宋" w:cs="仿宋"/>
        </w:rPr>
        <w:t> </w:t>
      </w:r>
    </w:p>
    <w:p>
      <w:pPr>
        <w:pStyle w:val="12"/>
        <w:spacing w:beforeAutospacing="0" w:afterAutospacing="0"/>
        <w:jc w:val="center"/>
        <w:rPr>
          <w:rFonts w:ascii="仿宋" w:hAnsi="仿宋" w:eastAsia="仿宋" w:cs="仿宋"/>
        </w:rPr>
      </w:pPr>
      <w:r>
        <w:rPr>
          <w:rFonts w:hint="eastAsia" w:ascii="仿宋" w:hAnsi="仿宋" w:eastAsia="仿宋" w:cs="仿宋"/>
        </w:rPr>
        <w:t> </w:t>
      </w:r>
    </w:p>
    <w:p>
      <w:pPr>
        <w:rPr>
          <w:rFonts w:ascii="仿宋" w:hAnsi="仿宋" w:eastAsia="仿宋" w:cs="仿宋"/>
        </w:rPr>
      </w:pPr>
      <w:r>
        <w:rPr>
          <w:rFonts w:hint="eastAsia" w:ascii="仿宋" w:hAnsi="仿宋" w:eastAsia="仿宋" w:cs="仿宋"/>
        </w:rPr>
        <w:br w:type="page"/>
      </w:r>
    </w:p>
    <w:p>
      <w:pPr>
        <w:pStyle w:val="12"/>
        <w:spacing w:beforeAutospacing="0" w:afterAutospacing="0"/>
        <w:jc w:val="center"/>
        <w:rPr>
          <w:rFonts w:ascii="仿宋" w:hAnsi="仿宋" w:eastAsia="仿宋" w:cs="仿宋"/>
        </w:rPr>
      </w:pPr>
      <w:bookmarkStart w:id="189" w:name="_Hlt26955054"/>
      <w:r>
        <w:rPr>
          <w:rFonts w:hint="eastAsia" w:ascii="仿宋" w:hAnsi="仿宋" w:eastAsia="仿宋" w:cs="仿宋"/>
          <w:b/>
          <w:color w:val="000000"/>
          <w:sz w:val="32"/>
          <w:szCs w:val="32"/>
        </w:rPr>
        <w:t>商务要求响应及偏离表</w:t>
      </w:r>
    </w:p>
    <w:tbl>
      <w:tblPr>
        <w:tblStyle w:val="13"/>
        <w:tblW w:w="8520" w:type="dxa"/>
        <w:jc w:val="center"/>
        <w:tblCellSpacing w:w="0" w:type="dxa"/>
        <w:tblLayout w:type="fixed"/>
        <w:tblCellMar>
          <w:top w:w="0" w:type="dxa"/>
          <w:left w:w="108" w:type="dxa"/>
          <w:bottom w:w="0" w:type="dxa"/>
          <w:right w:w="108" w:type="dxa"/>
        </w:tblCellMar>
      </w:tblPr>
      <w:tblGrid>
        <w:gridCol w:w="661"/>
        <w:gridCol w:w="2469"/>
        <w:gridCol w:w="2645"/>
        <w:gridCol w:w="1244"/>
        <w:gridCol w:w="1501"/>
      </w:tblGrid>
      <w:tr>
        <w:tblPrEx>
          <w:tblCellMar>
            <w:top w:w="0" w:type="dxa"/>
            <w:left w:w="108" w:type="dxa"/>
            <w:bottom w:w="0" w:type="dxa"/>
            <w:right w:w="108" w:type="dxa"/>
          </w:tblCellMar>
        </w:tblPrEx>
        <w:trPr>
          <w:tblCellSpacing w:w="0" w:type="dxa"/>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bookmarkStart w:id="190" w:name="_Hlt26782999"/>
            <w:bookmarkStart w:id="191" w:name="_Hlt26580838"/>
            <w:bookmarkStart w:id="192" w:name="_Hlt24879081"/>
            <w:bookmarkStart w:id="193" w:name="_Hlt26671372"/>
            <w:bookmarkStart w:id="194" w:name="_Hlt26671343"/>
            <w:bookmarkStart w:id="195" w:name="_Hlt26609391"/>
            <w:bookmarkStart w:id="196" w:name="_Hlt26955064"/>
            <w:bookmarkStart w:id="197" w:name="_Hlt26955056"/>
            <w:r>
              <w:rPr>
                <w:rFonts w:hint="eastAsia" w:ascii="仿宋" w:hAnsi="仿宋" w:eastAsia="仿宋" w:cs="仿宋"/>
                <w:color w:val="000000"/>
              </w:rPr>
              <w:t>序号</w:t>
            </w:r>
          </w:p>
          <w:bookmarkEnd w:id="190"/>
          <w:bookmarkEnd w:id="191"/>
          <w:bookmarkEnd w:id="192"/>
          <w:bookmarkEnd w:id="193"/>
          <w:bookmarkEnd w:id="194"/>
          <w:bookmarkEnd w:id="195"/>
          <w:bookmarkEnd w:id="196"/>
          <w:bookmarkEnd w:id="197"/>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color w:val="000000"/>
              </w:rPr>
              <w:t>招标文件要求</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color w:val="000000"/>
              </w:rPr>
              <w:t>投标响应情况</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color w:val="000000"/>
              </w:rPr>
              <w:t>超出、符合或偏离</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color w:val="000000"/>
              </w:rPr>
              <w:t>证明</w:t>
            </w:r>
          </w:p>
          <w:p>
            <w:pPr>
              <w:pStyle w:val="12"/>
              <w:spacing w:beforeAutospacing="0" w:afterAutospacing="0"/>
              <w:jc w:val="center"/>
              <w:rPr>
                <w:rFonts w:ascii="仿宋" w:hAnsi="仿宋" w:eastAsia="仿宋" w:cs="仿宋"/>
              </w:rPr>
            </w:pPr>
            <w:r>
              <w:rPr>
                <w:rFonts w:hint="eastAsia" w:ascii="仿宋" w:hAnsi="仿宋" w:eastAsia="仿宋" w:cs="仿宋"/>
                <w:color w:val="000000"/>
              </w:rPr>
              <w:t>材料</w:t>
            </w:r>
          </w:p>
        </w:tc>
      </w:tr>
      <w:tr>
        <w:tblPrEx>
          <w:tblCellMar>
            <w:top w:w="0" w:type="dxa"/>
            <w:left w:w="108" w:type="dxa"/>
            <w:bottom w:w="0" w:type="dxa"/>
            <w:right w:w="108" w:type="dxa"/>
          </w:tblCellMar>
        </w:tblPrEx>
        <w:trPr>
          <w:trHeight w:val="640" w:hRule="atLeast"/>
          <w:tblCellSpacing w:w="0" w:type="dxa"/>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640" w:hRule="atLeast"/>
          <w:tblCellSpacing w:w="0" w:type="dxa"/>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640" w:hRule="atLeast"/>
          <w:tblCellSpacing w:w="0" w:type="dxa"/>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640" w:hRule="atLeast"/>
          <w:tblCellSpacing w:w="0" w:type="dxa"/>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640" w:hRule="atLeast"/>
          <w:tblCellSpacing w:w="0" w:type="dxa"/>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640" w:hRule="atLeast"/>
          <w:tblCellSpacing w:w="0" w:type="dxa"/>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640" w:hRule="atLeast"/>
          <w:tblCellSpacing w:w="0" w:type="dxa"/>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640" w:hRule="atLeast"/>
          <w:tblCellSpacing w:w="0" w:type="dxa"/>
          <w:jc w:val="center"/>
        </w:trPr>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46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c>
          <w:tcPr>
            <w:tcW w:w="15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2"/>
              <w:spacing w:beforeAutospacing="0" w:afterAutospacing="0"/>
              <w:jc w:val="center"/>
              <w:rPr>
                <w:rFonts w:ascii="仿宋" w:hAnsi="仿宋" w:eastAsia="仿宋" w:cs="仿宋"/>
              </w:rPr>
            </w:pPr>
            <w:r>
              <w:rPr>
                <w:rFonts w:hint="eastAsia" w:ascii="仿宋" w:hAnsi="仿宋" w:eastAsia="仿宋" w:cs="仿宋"/>
              </w:rPr>
              <w:t> </w:t>
            </w:r>
          </w:p>
        </w:tc>
      </w:tr>
    </w:tbl>
    <w:p>
      <w:pPr>
        <w:pStyle w:val="12"/>
        <w:spacing w:beforeAutospacing="0" w:afterAutospacing="0" w:line="360" w:lineRule="auto"/>
        <w:jc w:val="both"/>
        <w:rPr>
          <w:rFonts w:ascii="仿宋" w:hAnsi="仿宋" w:eastAsia="仿宋" w:cs="仿宋"/>
        </w:rPr>
      </w:pPr>
      <w:r>
        <w:rPr>
          <w:rFonts w:hint="eastAsia" w:ascii="仿宋" w:hAnsi="仿宋" w:eastAsia="仿宋" w:cs="仿宋"/>
        </w:rPr>
        <w:t>注：1、行数不够，可自行添加。</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2、凡投标文件中所投货物或服务与招标文件有偏差的（包括正偏差，负偏差），均应在此表中详细列出并说明理由，须逐条应答。</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3、投标人所投产品如与招标文件要求不一致，则须在上表偏离说明中详细注明。</w:t>
      </w:r>
    </w:p>
    <w:p>
      <w:pPr>
        <w:pStyle w:val="12"/>
        <w:spacing w:beforeAutospacing="0" w:afterAutospacing="0" w:line="360" w:lineRule="auto"/>
        <w:ind w:firstLine="480" w:firstLineChars="200"/>
        <w:jc w:val="both"/>
        <w:rPr>
          <w:rFonts w:ascii="仿宋" w:hAnsi="仿宋" w:eastAsia="仿宋" w:cs="仿宋"/>
        </w:rPr>
      </w:pPr>
      <w:r>
        <w:rPr>
          <w:rFonts w:hint="eastAsia" w:ascii="仿宋" w:hAnsi="仿宋" w:eastAsia="仿宋" w:cs="仿宋"/>
        </w:rPr>
        <w:t>4、响应部分可后附详细说明及技术资料，并注明投标文件中对应的页码范围。</w:t>
      </w:r>
    </w:p>
    <w:p>
      <w:pPr>
        <w:pStyle w:val="12"/>
        <w:spacing w:beforeAutospacing="0" w:afterAutospacing="0" w:line="360" w:lineRule="auto"/>
        <w:jc w:val="center"/>
        <w:rPr>
          <w:rFonts w:ascii="仿宋" w:hAnsi="仿宋" w:eastAsia="仿宋" w:cs="仿宋"/>
        </w:rPr>
      </w:pPr>
      <w:r>
        <w:rPr>
          <w:rFonts w:hint="eastAsia" w:ascii="仿宋" w:hAnsi="仿宋" w:eastAsia="仿宋" w:cs="仿宋"/>
        </w:rPr>
        <w:t> </w:t>
      </w:r>
    </w:p>
    <w:p>
      <w:pPr>
        <w:pStyle w:val="12"/>
        <w:spacing w:beforeAutospacing="0" w:afterAutospacing="0" w:line="360" w:lineRule="auto"/>
        <w:jc w:val="center"/>
        <w:rPr>
          <w:rFonts w:ascii="仿宋" w:hAnsi="仿宋" w:eastAsia="仿宋" w:cs="仿宋"/>
        </w:rPr>
      </w:pPr>
      <w:r>
        <w:rPr>
          <w:rFonts w:hint="eastAsia" w:ascii="仿宋" w:hAnsi="仿宋" w:eastAsia="仿宋" w:cs="仿宋"/>
        </w:rPr>
        <w:t> </w:t>
      </w:r>
    </w:p>
    <w:p>
      <w:pPr>
        <w:pStyle w:val="12"/>
        <w:spacing w:beforeAutospacing="0" w:afterAutospacing="0" w:line="360" w:lineRule="auto"/>
        <w:ind w:right="2100" w:rightChars="1000"/>
        <w:jc w:val="right"/>
        <w:rPr>
          <w:rFonts w:ascii="仿宋" w:hAnsi="仿宋" w:eastAsia="仿宋" w:cs="仿宋"/>
        </w:rPr>
      </w:pPr>
      <w:r>
        <w:rPr>
          <w:rFonts w:hint="eastAsia" w:ascii="仿宋" w:hAnsi="仿宋" w:eastAsia="仿宋" w:cs="仿宋"/>
        </w:rPr>
        <w:t> 法定代表人或被授权人（签字）：</w:t>
      </w:r>
    </w:p>
    <w:p>
      <w:pPr>
        <w:pStyle w:val="12"/>
        <w:wordWrap w:val="0"/>
        <w:spacing w:beforeAutospacing="0" w:afterAutospacing="0" w:line="360" w:lineRule="auto"/>
        <w:ind w:right="2100" w:rightChars="1000"/>
        <w:jc w:val="right"/>
        <w:rPr>
          <w:rFonts w:ascii="仿宋" w:hAnsi="仿宋" w:eastAsia="仿宋" w:cs="仿宋"/>
        </w:rPr>
      </w:pPr>
      <w:r>
        <w:rPr>
          <w:rFonts w:hint="eastAsia" w:ascii="仿宋" w:hAnsi="仿宋" w:eastAsia="仿宋" w:cs="仿宋"/>
        </w:rPr>
        <w:t>单位名称（加盖投标人公章）：</w:t>
      </w:r>
    </w:p>
    <w:p>
      <w:pPr>
        <w:pStyle w:val="12"/>
        <w:spacing w:beforeAutospacing="0" w:afterAutospacing="0" w:line="360" w:lineRule="auto"/>
        <w:ind w:right="1260" w:rightChars="600"/>
        <w:jc w:val="right"/>
        <w:rPr>
          <w:rFonts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pPr>
        <w:pStyle w:val="12"/>
        <w:spacing w:beforeAutospacing="0" w:afterAutospacing="0"/>
        <w:jc w:val="both"/>
        <w:rPr>
          <w:rFonts w:ascii="仿宋" w:hAnsi="仿宋" w:eastAsia="仿宋" w:cs="仿宋"/>
        </w:rPr>
      </w:pPr>
    </w:p>
    <w:p>
      <w:pPr>
        <w:pStyle w:val="12"/>
        <w:spacing w:beforeAutospacing="0" w:afterAutospacing="0" w:line="480" w:lineRule="auto"/>
        <w:jc w:val="both"/>
        <w:rPr>
          <w:rFonts w:ascii="仿宋" w:hAnsi="仿宋" w:eastAsia="仿宋" w:cs="仿宋"/>
        </w:rPr>
      </w:pPr>
      <w:r>
        <w:rPr>
          <w:rFonts w:hint="eastAsia" w:ascii="仿宋" w:hAnsi="仿宋" w:eastAsia="仿宋" w:cs="仿宋"/>
        </w:rPr>
        <w:t> </w:t>
      </w:r>
    </w:p>
    <w:p>
      <w:pPr>
        <w:rPr>
          <w:rFonts w:ascii="仿宋" w:hAnsi="仿宋" w:eastAsia="仿宋" w:cs="仿宋"/>
        </w:rPr>
      </w:pPr>
      <w:r>
        <w:rPr>
          <w:rFonts w:hint="eastAsia" w:ascii="仿宋" w:hAnsi="仿宋" w:eastAsia="仿宋" w:cs="仿宋"/>
        </w:rPr>
        <w:br w:type="page"/>
      </w:r>
    </w:p>
    <w:p>
      <w:pPr>
        <w:widowControl/>
        <w:spacing w:before="50" w:after="50"/>
        <w:jc w:val="center"/>
        <w:rPr>
          <w:rFonts w:ascii="仿宋" w:hAnsi="仿宋" w:eastAsia="仿宋" w:cs="仿宋"/>
          <w:b/>
          <w:bCs/>
          <w:sz w:val="24"/>
        </w:rPr>
      </w:pPr>
      <w:bookmarkStart w:id="198" w:name="_格式2__法定代表人授权书"/>
      <w:bookmarkStart w:id="199" w:name="_Hlt26671374"/>
      <w:bookmarkStart w:id="200" w:name="_Toc462564146"/>
      <w:bookmarkStart w:id="201" w:name="_Hlt26609389"/>
      <w:bookmarkStart w:id="202" w:name="_Hlt26955066"/>
      <w:r>
        <w:rPr>
          <w:rFonts w:hint="eastAsia" w:ascii="仿宋" w:hAnsi="仿宋" w:eastAsia="仿宋" w:cs="仿宋"/>
          <w:b/>
          <w:bCs/>
          <w:color w:val="000000"/>
          <w:sz w:val="32"/>
          <w:szCs w:val="32"/>
        </w:rPr>
        <w:t>技术方案、服务承诺、培训承诺等</w:t>
      </w:r>
    </w:p>
    <w:p>
      <w:pPr>
        <w:widowControl/>
        <w:spacing w:line="499" w:lineRule="atLeast"/>
        <w:ind w:firstLine="1600"/>
        <w:rPr>
          <w:rFonts w:ascii="仿宋" w:hAnsi="仿宋" w:eastAsia="仿宋" w:cs="仿宋"/>
          <w:color w:val="000000"/>
          <w:sz w:val="32"/>
          <w:szCs w:val="32"/>
        </w:rPr>
      </w:pPr>
    </w:p>
    <w:p>
      <w:pPr>
        <w:widowControl/>
        <w:spacing w:line="499" w:lineRule="atLeast"/>
        <w:ind w:firstLine="1600"/>
        <w:rPr>
          <w:rFonts w:ascii="仿宋" w:hAnsi="仿宋" w:eastAsia="仿宋" w:cs="仿宋"/>
          <w:color w:val="000000"/>
          <w:sz w:val="32"/>
          <w:szCs w:val="32"/>
        </w:rPr>
      </w:pPr>
    </w:p>
    <w:p>
      <w:pPr>
        <w:widowControl/>
        <w:spacing w:line="499" w:lineRule="atLeast"/>
        <w:ind w:firstLine="1600"/>
        <w:rPr>
          <w:rFonts w:ascii="仿宋" w:hAnsi="仿宋" w:eastAsia="仿宋" w:cs="仿宋"/>
          <w:color w:val="000000"/>
          <w:sz w:val="32"/>
          <w:szCs w:val="32"/>
        </w:rPr>
      </w:pPr>
    </w:p>
    <w:p>
      <w:pPr>
        <w:widowControl/>
        <w:spacing w:line="499" w:lineRule="atLeast"/>
        <w:ind w:firstLine="1600"/>
        <w:rPr>
          <w:rFonts w:ascii="仿宋" w:hAnsi="仿宋" w:eastAsia="仿宋" w:cs="仿宋"/>
          <w:color w:val="000000"/>
          <w:sz w:val="32"/>
          <w:szCs w:val="32"/>
        </w:rPr>
      </w:pPr>
    </w:p>
    <w:p>
      <w:pPr>
        <w:widowControl/>
        <w:spacing w:line="499" w:lineRule="atLeast"/>
        <w:ind w:firstLine="1600"/>
        <w:rPr>
          <w:rFonts w:ascii="仿宋" w:hAnsi="仿宋" w:eastAsia="仿宋" w:cs="仿宋"/>
          <w:color w:val="000000"/>
          <w:sz w:val="32"/>
          <w:szCs w:val="32"/>
        </w:rPr>
      </w:pPr>
    </w:p>
    <w:p>
      <w:pPr>
        <w:widowControl/>
        <w:spacing w:line="499" w:lineRule="atLeast"/>
        <w:ind w:firstLine="1600"/>
        <w:rPr>
          <w:rFonts w:ascii="仿宋" w:hAnsi="仿宋" w:eastAsia="仿宋" w:cs="仿宋"/>
          <w:color w:val="000000"/>
          <w:sz w:val="32"/>
          <w:szCs w:val="32"/>
        </w:rPr>
      </w:pPr>
    </w:p>
    <w:p>
      <w:pPr>
        <w:widowControl/>
        <w:spacing w:line="499" w:lineRule="atLeast"/>
        <w:ind w:firstLine="1600"/>
        <w:rPr>
          <w:rFonts w:ascii="仿宋" w:hAnsi="仿宋" w:eastAsia="仿宋" w:cs="仿宋"/>
          <w:color w:val="000000"/>
          <w:sz w:val="32"/>
          <w:szCs w:val="32"/>
        </w:rPr>
      </w:pPr>
    </w:p>
    <w:p>
      <w:pPr>
        <w:widowControl/>
        <w:spacing w:line="499" w:lineRule="atLeast"/>
        <w:ind w:firstLine="1600"/>
        <w:rPr>
          <w:rFonts w:ascii="仿宋" w:hAnsi="仿宋" w:eastAsia="仿宋" w:cs="仿宋"/>
          <w:color w:val="000000"/>
          <w:sz w:val="32"/>
          <w:szCs w:val="32"/>
        </w:rPr>
      </w:pPr>
    </w:p>
    <w:p>
      <w:pPr>
        <w:widowControl/>
        <w:spacing w:line="499" w:lineRule="atLeast"/>
        <w:ind w:firstLine="1600"/>
        <w:rPr>
          <w:rFonts w:ascii="仿宋" w:hAnsi="仿宋" w:eastAsia="仿宋" w:cs="仿宋"/>
          <w:color w:val="000000"/>
          <w:sz w:val="32"/>
          <w:szCs w:val="32"/>
        </w:rPr>
      </w:pPr>
    </w:p>
    <w:p>
      <w:pPr>
        <w:widowControl/>
        <w:spacing w:line="499" w:lineRule="atLeast"/>
        <w:ind w:firstLine="1600"/>
        <w:rPr>
          <w:rFonts w:ascii="仿宋" w:hAnsi="仿宋" w:eastAsia="仿宋" w:cs="仿宋"/>
          <w:color w:val="000000"/>
          <w:sz w:val="32"/>
          <w:szCs w:val="32"/>
        </w:rPr>
      </w:pPr>
    </w:p>
    <w:p>
      <w:pPr>
        <w:widowControl/>
        <w:spacing w:line="499" w:lineRule="atLeast"/>
        <w:ind w:firstLine="1600"/>
        <w:rPr>
          <w:rFonts w:ascii="仿宋" w:hAnsi="仿宋" w:eastAsia="仿宋" w:cs="仿宋"/>
          <w:color w:val="000000"/>
          <w:sz w:val="32"/>
          <w:szCs w:val="32"/>
        </w:rPr>
      </w:pPr>
    </w:p>
    <w:p>
      <w:pPr>
        <w:widowControl/>
        <w:spacing w:line="499" w:lineRule="atLeast"/>
        <w:ind w:firstLine="1600"/>
        <w:rPr>
          <w:rFonts w:ascii="仿宋" w:hAnsi="仿宋" w:eastAsia="仿宋" w:cs="仿宋"/>
          <w:color w:val="000000"/>
          <w:sz w:val="32"/>
          <w:szCs w:val="32"/>
        </w:rPr>
      </w:pPr>
    </w:p>
    <w:p>
      <w:pPr>
        <w:widowControl/>
        <w:spacing w:line="499" w:lineRule="atLeast"/>
        <w:ind w:firstLine="1600"/>
        <w:rPr>
          <w:rFonts w:ascii="仿宋" w:hAnsi="仿宋" w:eastAsia="仿宋" w:cs="仿宋"/>
          <w:color w:val="000000"/>
          <w:sz w:val="32"/>
          <w:szCs w:val="32"/>
        </w:rPr>
      </w:pPr>
    </w:p>
    <w:p>
      <w:pPr>
        <w:rPr>
          <w:rFonts w:ascii="仿宋" w:hAnsi="仿宋" w:eastAsia="仿宋" w:cs="仿宋"/>
          <w:b/>
          <w:bCs/>
          <w:color w:val="000000"/>
          <w:sz w:val="32"/>
          <w:szCs w:val="32"/>
        </w:rPr>
      </w:pPr>
      <w:r>
        <w:rPr>
          <w:rFonts w:hint="eastAsia" w:ascii="仿宋" w:hAnsi="仿宋" w:eastAsia="仿宋" w:cs="仿宋"/>
          <w:b/>
          <w:bCs/>
          <w:color w:val="000000"/>
          <w:sz w:val="32"/>
          <w:szCs w:val="32"/>
        </w:rPr>
        <w:br w:type="page"/>
      </w:r>
    </w:p>
    <w:p>
      <w:pPr>
        <w:widowControl/>
        <w:spacing w:line="499" w:lineRule="atLeast"/>
        <w:jc w:val="center"/>
        <w:rPr>
          <w:rFonts w:ascii="仿宋" w:hAnsi="仿宋" w:eastAsia="仿宋" w:cs="仿宋"/>
          <w:b/>
          <w:bCs/>
          <w:sz w:val="24"/>
        </w:rPr>
      </w:pPr>
      <w:r>
        <w:rPr>
          <w:rFonts w:hint="eastAsia" w:ascii="仿宋" w:hAnsi="仿宋" w:eastAsia="仿宋" w:cs="仿宋"/>
          <w:b/>
          <w:bCs/>
          <w:color w:val="000000"/>
          <w:sz w:val="32"/>
          <w:szCs w:val="32"/>
        </w:rPr>
        <w:t>盐城市大丰区政府采购事前信用承诺书</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color w:val="000000"/>
          <w:sz w:val="24"/>
        </w:rPr>
        <w:t>为营造我市公开、公平、公正、诚实守信的政府采购交易环境，树立诚信守法的投标人形象，本人代表本单位作出以下承诺：</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color w:val="000000"/>
          <w:sz w:val="24"/>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color w:val="000000"/>
          <w:sz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color w:val="000000"/>
          <w:sz w:val="24"/>
        </w:rPr>
        <w:t xml:space="preserve">（三）严格依照国家和省、市关于政府采购的法律、法规、规章、规范性文件，参加政府采购投标活动；积极履行社会责任，促进廉政建设； </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color w:val="000000"/>
          <w:sz w:val="24"/>
        </w:rPr>
        <w:t>（四）严格遵守即时信息公示规定，及时维护和更新维护和更新盐城市政府采购网中与本单位相关的信息；</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color w:val="000000"/>
          <w:sz w:val="24"/>
        </w:rPr>
        <w:t>（五）自我约束、自我管理，守合同、重信用，自觉维护政府采购交易的良好秩序，与参与本次政府采购活动的其他供应商不存在直接控股或管理关系，不参与围标串标、弄虚作假、骗取中标、干扰评标、违约毁约等行为；</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color w:val="000000"/>
          <w:sz w:val="24"/>
        </w:rPr>
        <w:t>（六）自觉接受政府、行业组织、社会公众、新闻舆论的监督；</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color w:val="000000"/>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color w:val="000000"/>
          <w:sz w:val="24"/>
        </w:rPr>
        <w:t>（八）本人已认真阅读了上述承诺，并向本单位员工作了宣传教育。</w:t>
      </w:r>
    </w:p>
    <w:p>
      <w:pPr>
        <w:widowControl/>
        <w:spacing w:line="499" w:lineRule="atLeast"/>
        <w:jc w:val="left"/>
        <w:rPr>
          <w:rFonts w:ascii="仿宋" w:hAnsi="仿宋" w:eastAsia="仿宋" w:cs="仿宋"/>
          <w:color w:val="000000"/>
          <w:sz w:val="24"/>
        </w:rPr>
      </w:pPr>
      <w:r>
        <w:rPr>
          <w:rFonts w:hint="eastAsia" w:ascii="仿宋" w:hAnsi="仿宋" w:eastAsia="仿宋" w:cs="仿宋"/>
          <w:color w:val="000000"/>
          <w:sz w:val="24"/>
        </w:rPr>
        <w:t xml:space="preserve">                                   </w:t>
      </w:r>
    </w:p>
    <w:p>
      <w:pPr>
        <w:widowControl/>
        <w:spacing w:line="360" w:lineRule="auto"/>
        <w:ind w:right="2100" w:rightChars="1000"/>
        <w:jc w:val="right"/>
        <w:rPr>
          <w:rFonts w:ascii="仿宋" w:hAnsi="仿宋" w:eastAsia="仿宋" w:cs="仿宋"/>
          <w:sz w:val="24"/>
        </w:rPr>
      </w:pPr>
      <w:r>
        <w:rPr>
          <w:rFonts w:hint="eastAsia" w:ascii="仿宋" w:hAnsi="仿宋" w:eastAsia="仿宋" w:cs="仿宋"/>
          <w:color w:val="000000"/>
          <w:sz w:val="24"/>
        </w:rPr>
        <w:t>法定代表人签名：</w:t>
      </w:r>
    </w:p>
    <w:p>
      <w:pPr>
        <w:widowControl/>
        <w:spacing w:line="360" w:lineRule="auto"/>
        <w:ind w:right="2100" w:rightChars="1000"/>
        <w:jc w:val="right"/>
        <w:rPr>
          <w:rFonts w:ascii="仿宋" w:hAnsi="仿宋" w:eastAsia="仿宋" w:cs="仿宋"/>
          <w:sz w:val="24"/>
        </w:rPr>
      </w:pPr>
      <w:r>
        <w:rPr>
          <w:rFonts w:hint="eastAsia" w:ascii="仿宋" w:hAnsi="仿宋" w:eastAsia="仿宋" w:cs="仿宋"/>
          <w:color w:val="000000"/>
          <w:sz w:val="24"/>
        </w:rPr>
        <w:t>                   单位名称（盖章）：</w:t>
      </w:r>
    </w:p>
    <w:p>
      <w:pPr>
        <w:widowControl/>
        <w:spacing w:line="499" w:lineRule="atLeast"/>
        <w:jc w:val="center"/>
        <w:rPr>
          <w:rFonts w:ascii="仿宋" w:hAnsi="仿宋" w:eastAsia="仿宋" w:cs="仿宋"/>
          <w:sz w:val="24"/>
        </w:rPr>
      </w:pPr>
      <w:r>
        <w:rPr>
          <w:rFonts w:hint="eastAsia" w:ascii="仿宋" w:hAnsi="仿宋" w:eastAsia="仿宋" w:cs="仿宋"/>
          <w:color w:val="000000"/>
          <w:sz w:val="24"/>
        </w:rPr>
        <w:t>                      年  月   日</w:t>
      </w:r>
    </w:p>
    <w:p>
      <w:pPr>
        <w:rPr>
          <w:rFonts w:ascii="仿宋" w:hAnsi="仿宋" w:eastAsia="仿宋" w:cs="仿宋"/>
        </w:rPr>
      </w:pPr>
      <w:r>
        <w:rPr>
          <w:rFonts w:hint="eastAsia" w:ascii="仿宋" w:hAnsi="仿宋" w:eastAsia="仿宋" w:cs="仿宋"/>
        </w:rPr>
        <w:br w:type="page"/>
      </w:r>
    </w:p>
    <w:bookmarkEnd w:id="23"/>
    <w:bookmarkEnd w:id="39"/>
    <w:bookmarkEnd w:id="84"/>
    <w:bookmarkEnd w:id="85"/>
    <w:bookmarkEnd w:id="86"/>
    <w:bookmarkEnd w:id="89"/>
    <w:bookmarkEnd w:id="90"/>
    <w:bookmarkEnd w:id="91"/>
    <w:bookmarkEnd w:id="92"/>
    <w:bookmarkEnd w:id="93"/>
    <w:bookmarkEnd w:id="94"/>
    <w:bookmarkEnd w:id="95"/>
    <w:bookmarkEnd w:id="96"/>
    <w:bookmarkEnd w:id="97"/>
    <w:bookmarkEnd w:id="98"/>
    <w:bookmarkEnd w:id="99"/>
    <w:bookmarkEnd w:id="100"/>
    <w:bookmarkEnd w:id="101"/>
    <w:bookmarkEnd w:id="106"/>
    <w:bookmarkEnd w:id="107"/>
    <w:bookmarkEnd w:id="108"/>
    <w:bookmarkEnd w:id="113"/>
    <w:bookmarkEnd w:id="114"/>
    <w:bookmarkEnd w:id="119"/>
    <w:bookmarkEnd w:id="176"/>
    <w:bookmarkEnd w:id="179"/>
    <w:bookmarkEnd w:id="184"/>
    <w:bookmarkEnd w:id="185"/>
    <w:bookmarkEnd w:id="186"/>
    <w:bookmarkEnd w:id="187"/>
    <w:bookmarkEnd w:id="188"/>
    <w:bookmarkEnd w:id="189"/>
    <w:bookmarkEnd w:id="198"/>
    <w:bookmarkEnd w:id="199"/>
    <w:bookmarkEnd w:id="200"/>
    <w:bookmarkEnd w:id="201"/>
    <w:bookmarkEnd w:id="202"/>
    <w:p>
      <w:pPr>
        <w:pStyle w:val="12"/>
        <w:spacing w:beforeAutospacing="0" w:afterAutospacing="0"/>
        <w:jc w:val="center"/>
        <w:rPr>
          <w:rFonts w:ascii="仿宋" w:hAnsi="仿宋" w:eastAsia="仿宋" w:cs="仿宋"/>
          <w:b/>
          <w:color w:val="000000"/>
          <w:sz w:val="32"/>
          <w:szCs w:val="32"/>
        </w:rPr>
      </w:pPr>
      <w:r>
        <w:rPr>
          <w:rFonts w:hint="eastAsia" w:ascii="仿宋" w:hAnsi="仿宋" w:eastAsia="仿宋" w:cs="仿宋"/>
          <w:b/>
          <w:color w:val="000000"/>
          <w:sz w:val="32"/>
          <w:szCs w:val="32"/>
        </w:rPr>
        <w:t>质疑函范本</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一、质疑供应商基本信息</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质疑供应商：</w:t>
      </w:r>
      <w:r>
        <w:rPr>
          <w:rFonts w:hint="eastAsia" w:ascii="仿宋" w:hAnsi="仿宋" w:eastAsia="仿宋" w:cs="仿宋"/>
          <w:color w:val="000000"/>
          <w:u w:val="single"/>
        </w:rPr>
        <w:t>                    </w:t>
      </w:r>
      <w:r>
        <w:rPr>
          <w:rFonts w:hint="eastAsia" w:ascii="仿宋" w:hAnsi="仿宋" w:eastAsia="仿宋" w:cs="仿宋"/>
          <w:color w:val="000000"/>
          <w:u w:val="single"/>
        </w:rPr>
        <w:tab/>
      </w:r>
      <w:r>
        <w:rPr>
          <w:rFonts w:hint="eastAsia" w:ascii="仿宋" w:hAnsi="仿宋" w:eastAsia="仿宋" w:cs="仿宋"/>
          <w:color w:val="000000"/>
          <w:u w:val="single"/>
        </w:rPr>
        <w:t> </w:t>
      </w:r>
      <w:r>
        <w:rPr>
          <w:rFonts w:hint="eastAsia" w:ascii="仿宋" w:hAnsi="仿宋" w:eastAsia="仿宋" w:cs="仿宋"/>
          <w:color w:val="000000"/>
          <w:u w:val="single"/>
        </w:rPr>
        <w:tab/>
      </w:r>
      <w:r>
        <w:rPr>
          <w:rFonts w:hint="eastAsia" w:ascii="仿宋" w:hAnsi="仿宋" w:eastAsia="仿宋" w:cs="仿宋"/>
          <w:color w:val="000000"/>
          <w:u w:val="single"/>
        </w:rPr>
        <w:t xml:space="preserve">       </w:t>
      </w:r>
    </w:p>
    <w:p>
      <w:pPr>
        <w:pStyle w:val="12"/>
        <w:spacing w:beforeAutospacing="0" w:afterAutospacing="0" w:line="360" w:lineRule="auto"/>
        <w:jc w:val="both"/>
        <w:rPr>
          <w:rFonts w:ascii="仿宋" w:hAnsi="仿宋" w:eastAsia="仿宋" w:cs="仿宋"/>
          <w:color w:val="000000"/>
          <w:u w:val="single"/>
        </w:rPr>
      </w:pPr>
      <w:r>
        <w:rPr>
          <w:rFonts w:hint="eastAsia" w:ascii="仿宋" w:hAnsi="仿宋" w:eastAsia="仿宋" w:cs="仿宋"/>
          <w:color w:val="000000"/>
        </w:rPr>
        <w:t>地址：</w:t>
      </w:r>
      <w:r>
        <w:rPr>
          <w:rFonts w:hint="eastAsia" w:ascii="仿宋" w:hAnsi="仿宋" w:eastAsia="仿宋" w:cs="仿宋"/>
          <w:color w:val="000000"/>
          <w:u w:val="single"/>
        </w:rPr>
        <w:t xml:space="preserve">                      </w:t>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      </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邮编：</w:t>
      </w:r>
      <w:r>
        <w:rPr>
          <w:rFonts w:hint="eastAsia" w:ascii="仿宋" w:hAnsi="仿宋" w:eastAsia="仿宋" w:cs="仿宋"/>
          <w:color w:val="000000"/>
          <w:u w:val="single"/>
        </w:rPr>
        <w:t>                       </w:t>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 xml:space="preserve">        </w:t>
      </w:r>
    </w:p>
    <w:p>
      <w:pPr>
        <w:pStyle w:val="12"/>
        <w:spacing w:beforeAutospacing="0" w:afterAutospacing="0" w:line="360" w:lineRule="auto"/>
        <w:jc w:val="both"/>
        <w:rPr>
          <w:rFonts w:ascii="仿宋" w:hAnsi="仿宋" w:eastAsia="仿宋" w:cs="仿宋"/>
          <w:color w:val="000000"/>
          <w:u w:val="single"/>
        </w:rPr>
      </w:pPr>
      <w:r>
        <w:rPr>
          <w:rFonts w:hint="eastAsia" w:ascii="仿宋" w:hAnsi="仿宋" w:eastAsia="仿宋" w:cs="仿宋"/>
          <w:color w:val="000000"/>
        </w:rPr>
        <w:t>联系人：</w:t>
      </w:r>
      <w:r>
        <w:rPr>
          <w:rFonts w:hint="eastAsia" w:ascii="仿宋" w:hAnsi="仿宋" w:eastAsia="仿宋" w:cs="仿宋"/>
          <w:color w:val="000000"/>
          <w:u w:val="single"/>
        </w:rPr>
        <w:t>               </w:t>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 xml:space="preserve">       </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联系电话：</w:t>
      </w:r>
      <w:r>
        <w:rPr>
          <w:rFonts w:hint="eastAsia" w:ascii="仿宋" w:hAnsi="仿宋" w:eastAsia="仿宋" w:cs="仿宋"/>
          <w:color w:val="000000"/>
          <w:u w:val="single"/>
        </w:rPr>
        <w:t xml:space="preserve">                                           </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授权代表：</w:t>
      </w:r>
      <w:r>
        <w:rPr>
          <w:rFonts w:hint="eastAsia" w:ascii="仿宋" w:hAnsi="仿宋" w:eastAsia="仿宋" w:cs="仿宋"/>
          <w:color w:val="000000"/>
          <w:u w:val="single"/>
        </w:rPr>
        <w:t>                 </w:t>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 xml:space="preserve">        </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联系电话：</w:t>
      </w:r>
      <w:r>
        <w:rPr>
          <w:rFonts w:hint="eastAsia" w:ascii="仿宋" w:hAnsi="仿宋" w:eastAsia="仿宋" w:cs="仿宋"/>
          <w:color w:val="000000"/>
          <w:u w:val="single"/>
        </w:rPr>
        <w:t>                  </w:t>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 xml:space="preserve">     </w:t>
      </w:r>
    </w:p>
    <w:p>
      <w:pPr>
        <w:pStyle w:val="12"/>
        <w:spacing w:beforeAutospacing="0" w:afterAutospacing="0" w:line="360" w:lineRule="auto"/>
        <w:jc w:val="both"/>
        <w:rPr>
          <w:rFonts w:ascii="仿宋" w:hAnsi="仿宋" w:eastAsia="仿宋" w:cs="仿宋"/>
          <w:color w:val="000000"/>
          <w:u w:val="single"/>
        </w:rPr>
      </w:pPr>
      <w:r>
        <w:rPr>
          <w:rFonts w:hint="eastAsia" w:ascii="仿宋" w:hAnsi="仿宋" w:eastAsia="仿宋" w:cs="仿宋"/>
          <w:color w:val="000000"/>
        </w:rPr>
        <w:t>地址： </w:t>
      </w:r>
      <w:r>
        <w:rPr>
          <w:rFonts w:hint="eastAsia" w:ascii="仿宋" w:hAnsi="仿宋" w:eastAsia="仿宋" w:cs="仿宋"/>
          <w:color w:val="000000"/>
          <w:u w:val="single"/>
        </w:rPr>
        <w:t>                  </w:t>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 xml:space="preserve">        </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邮编：</w:t>
      </w:r>
      <w:r>
        <w:rPr>
          <w:rFonts w:hint="eastAsia" w:ascii="仿宋" w:hAnsi="仿宋" w:eastAsia="仿宋" w:cs="仿宋"/>
          <w:color w:val="000000"/>
          <w:u w:val="single"/>
        </w:rPr>
        <w:t xml:space="preserve">                                </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二、质疑项目基本情况</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质疑项目的名称：</w:t>
      </w:r>
      <w:r>
        <w:rPr>
          <w:rFonts w:hint="eastAsia" w:ascii="仿宋" w:hAnsi="仿宋" w:eastAsia="仿宋" w:cs="仿宋"/>
          <w:color w:val="000000"/>
          <w:u w:val="single"/>
        </w:rPr>
        <w:t xml:space="preserve">                            </w:t>
      </w:r>
    </w:p>
    <w:p>
      <w:pPr>
        <w:pStyle w:val="12"/>
        <w:spacing w:beforeAutospacing="0" w:afterAutospacing="0" w:line="360" w:lineRule="auto"/>
        <w:jc w:val="both"/>
        <w:rPr>
          <w:rFonts w:ascii="仿宋" w:hAnsi="仿宋" w:eastAsia="仿宋" w:cs="仿宋"/>
          <w:color w:val="000000"/>
          <w:u w:val="single"/>
        </w:rPr>
      </w:pPr>
      <w:r>
        <w:rPr>
          <w:rFonts w:hint="eastAsia" w:ascii="仿宋" w:hAnsi="仿宋" w:eastAsia="仿宋" w:cs="仿宋"/>
          <w:color w:val="000000"/>
        </w:rPr>
        <w:t>质疑项目的编号：</w:t>
      </w:r>
      <w:r>
        <w:rPr>
          <w:rFonts w:hint="eastAsia" w:ascii="仿宋" w:hAnsi="仿宋" w:eastAsia="仿宋" w:cs="仿宋"/>
          <w:color w:val="000000"/>
          <w:u w:val="single"/>
        </w:rPr>
        <w:t xml:space="preserve">                          </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包号：</w:t>
      </w:r>
      <w:r>
        <w:rPr>
          <w:rFonts w:hint="eastAsia" w:ascii="仿宋" w:hAnsi="仿宋" w:eastAsia="仿宋" w:cs="仿宋"/>
          <w:color w:val="000000"/>
          <w:u w:val="single"/>
        </w:rPr>
        <w:t xml:space="preserve">                       </w:t>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ab/>
      </w:r>
      <w:r>
        <w:rPr>
          <w:rFonts w:hint="eastAsia" w:ascii="仿宋" w:hAnsi="仿宋" w:eastAsia="仿宋" w:cs="仿宋"/>
          <w:color w:val="000000"/>
          <w:u w:val="single"/>
        </w:rPr>
        <w:t xml:space="preserve">    </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采购人名称：</w:t>
      </w:r>
      <w:r>
        <w:rPr>
          <w:rFonts w:hint="eastAsia" w:ascii="仿宋" w:hAnsi="仿宋" w:eastAsia="仿宋" w:cs="仿宋"/>
          <w:color w:val="000000"/>
          <w:u w:val="single"/>
        </w:rPr>
        <w:t xml:space="preserve">                            </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采购文件获取日期：</w:t>
      </w:r>
      <w:r>
        <w:rPr>
          <w:rFonts w:hint="eastAsia" w:ascii="仿宋" w:hAnsi="仿宋" w:eastAsia="仿宋" w:cs="仿宋"/>
          <w:color w:val="000000"/>
          <w:u w:val="single"/>
        </w:rPr>
        <w:t xml:space="preserve">                             </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三、质疑事项具体内容</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质疑事项1：</w:t>
      </w:r>
      <w:r>
        <w:rPr>
          <w:rFonts w:hint="eastAsia" w:ascii="仿宋" w:hAnsi="仿宋" w:eastAsia="仿宋" w:cs="仿宋"/>
          <w:color w:val="000000"/>
          <w:u w:val="single"/>
        </w:rPr>
        <w:t xml:space="preserve">                             </w:t>
      </w:r>
    </w:p>
    <w:p>
      <w:pPr>
        <w:pStyle w:val="12"/>
        <w:spacing w:beforeAutospacing="0" w:afterAutospacing="0" w:line="360" w:lineRule="auto"/>
        <w:rPr>
          <w:rFonts w:ascii="仿宋" w:hAnsi="仿宋" w:eastAsia="仿宋" w:cs="仿宋"/>
        </w:rPr>
      </w:pPr>
      <w:r>
        <w:rPr>
          <w:rFonts w:hint="eastAsia" w:ascii="仿宋" w:hAnsi="仿宋" w:eastAsia="仿宋" w:cs="仿宋"/>
          <w:color w:val="000000"/>
        </w:rPr>
        <w:t>事实依据：</w:t>
      </w:r>
      <w:r>
        <w:rPr>
          <w:rFonts w:hint="eastAsia" w:ascii="仿宋" w:hAnsi="仿宋" w:eastAsia="仿宋" w:cs="仿宋"/>
          <w:color w:val="000000"/>
          <w:u w:val="single"/>
        </w:rPr>
        <w:t xml:space="preserve">                                                   </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法律依据：</w:t>
      </w:r>
      <w:r>
        <w:rPr>
          <w:rFonts w:hint="eastAsia" w:ascii="仿宋" w:hAnsi="仿宋" w:eastAsia="仿宋" w:cs="仿宋"/>
          <w:color w:val="000000"/>
          <w:u w:val="single"/>
        </w:rPr>
        <w:t xml:space="preserve">                                                    </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质疑事项2</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四、与质疑事项相关的质疑请求</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请求：</w:t>
      </w:r>
      <w:r>
        <w:rPr>
          <w:rFonts w:hint="eastAsia" w:ascii="仿宋" w:hAnsi="仿宋" w:eastAsia="仿宋" w:cs="仿宋"/>
          <w:color w:val="000000"/>
          <w:u w:val="single"/>
        </w:rPr>
        <w:t xml:space="preserve">                                                          </w:t>
      </w:r>
    </w:p>
    <w:p>
      <w:pPr>
        <w:pStyle w:val="12"/>
        <w:spacing w:beforeAutospacing="0" w:afterAutospacing="0" w:line="360" w:lineRule="auto"/>
        <w:jc w:val="both"/>
        <w:rPr>
          <w:rFonts w:ascii="仿宋" w:hAnsi="仿宋" w:eastAsia="仿宋" w:cs="仿宋"/>
        </w:rPr>
      </w:pPr>
      <w:r>
        <w:rPr>
          <w:rFonts w:hint="eastAsia" w:ascii="仿宋" w:hAnsi="仿宋" w:eastAsia="仿宋" w:cs="仿宋"/>
          <w:color w:val="000000"/>
        </w:rPr>
        <w:t xml:space="preserve">签字(签章)：                 公章：               日期：    </w:t>
      </w:r>
    </w:p>
    <w:p>
      <w:pPr>
        <w:pStyle w:val="12"/>
        <w:spacing w:beforeAutospacing="0" w:afterAutospacing="0" w:line="360" w:lineRule="auto"/>
        <w:ind w:firstLine="482" w:firstLineChars="200"/>
        <w:jc w:val="both"/>
        <w:rPr>
          <w:rFonts w:ascii="仿宋" w:hAnsi="仿宋" w:eastAsia="仿宋" w:cs="仿宋"/>
        </w:rPr>
      </w:pPr>
      <w:r>
        <w:rPr>
          <w:rFonts w:hint="eastAsia" w:ascii="仿宋" w:hAnsi="仿宋" w:eastAsia="仿宋" w:cs="仿宋"/>
          <w:b/>
          <w:color w:val="000000"/>
        </w:rPr>
        <w:t>质疑函制作说明：</w:t>
      </w:r>
    </w:p>
    <w:p>
      <w:pPr>
        <w:pStyle w:val="12"/>
        <w:widowControl/>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1.供应商提出质疑时，应提交质疑函和必要的证明材料。</w:t>
      </w:r>
    </w:p>
    <w:p>
      <w:pPr>
        <w:pStyle w:val="12"/>
        <w:widowControl/>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2"/>
        <w:widowControl/>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3.质疑供应商若对项目的某一分包进行质疑，质疑函中应列明具体分包号。</w:t>
      </w:r>
    </w:p>
    <w:p>
      <w:pPr>
        <w:pStyle w:val="12"/>
        <w:widowControl/>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4.质疑函的质疑事项应具体、明确，并有必要的事实依据和法律依据。</w:t>
      </w:r>
    </w:p>
    <w:p>
      <w:pPr>
        <w:pStyle w:val="12"/>
        <w:widowControl/>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5.质疑函的质疑请求应与质疑事项相关。</w:t>
      </w:r>
    </w:p>
    <w:p>
      <w:pPr>
        <w:pStyle w:val="12"/>
        <w:widowControl/>
        <w:spacing w:beforeAutospacing="0" w:afterAutospacing="0" w:line="360" w:lineRule="auto"/>
        <w:ind w:firstLine="480" w:firstLineChars="200"/>
        <w:rPr>
          <w:rFonts w:ascii="仿宋" w:hAnsi="仿宋" w:eastAsia="仿宋" w:cs="仿宋"/>
        </w:rPr>
      </w:pPr>
      <w:r>
        <w:rPr>
          <w:rFonts w:hint="eastAsia" w:ascii="仿宋" w:hAnsi="仿宋" w:eastAsia="仿宋" w:cs="仿宋"/>
          <w:color w:val="000000"/>
        </w:rPr>
        <w:t>6.质疑供应商为自然人的，质疑函应由本人签字；质疑供应商为法人或者其他组织的，质疑函应由法定代表人、主要负责人，或者其授权代表签字或者盖章，并加盖公章。</w:t>
      </w:r>
    </w:p>
    <w:p>
      <w:pPr>
        <w:pStyle w:val="12"/>
        <w:spacing w:beforeAutospacing="0" w:afterAutospacing="0" w:line="360" w:lineRule="auto"/>
        <w:ind w:firstLine="480" w:firstLineChars="200"/>
        <w:jc w:val="both"/>
        <w:rPr>
          <w:rFonts w:ascii="仿宋" w:hAnsi="仿宋" w:eastAsia="仿宋" w:cs="仿宋"/>
        </w:rPr>
      </w:pPr>
      <w:r>
        <w:rPr>
          <w:rFonts w:ascii="Calibri" w:hAnsi="Calibri" w:eastAsia="仿宋" w:cs="Calibri"/>
        </w:rPr>
        <w:t> </w:t>
      </w:r>
    </w:p>
    <w:p>
      <w:pPr>
        <w:rPr>
          <w:rFonts w:ascii="仿宋" w:hAnsi="仿宋" w:eastAsia="仿宋" w:cs="仿宋"/>
        </w:rPr>
      </w:pPr>
    </w:p>
    <w:sectPr>
      <w:headerReference r:id="rId9" w:type="default"/>
      <w:footerReference r:id="rId10" w:type="default"/>
      <w:pgSz w:w="11906" w:h="16838"/>
      <w:pgMar w:top="1440" w:right="1417" w:bottom="1417" w:left="1440" w:header="851" w:footer="567"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- 31 -</w:t>
                    </w:r>
                    <w:r>
                      <w:fldChar w:fldCharType="end"/>
                    </w:r>
                  </w:p>
                </w:txbxContent>
              </v:textbox>
            </v:shape>
          </w:pict>
        </mc:Fallback>
      </mc:AlternateContent>
    </w:r>
  </w:p>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yZDRiMzRjZmIxMTgzNTE1MjdkNzUzYjE4ZDc3YTMifQ=="/>
  </w:docVars>
  <w:rsids>
    <w:rsidRoot w:val="00172A27"/>
    <w:rsid w:val="00075369"/>
    <w:rsid w:val="00077137"/>
    <w:rsid w:val="00093DD2"/>
    <w:rsid w:val="00100CC0"/>
    <w:rsid w:val="00131CB1"/>
    <w:rsid w:val="00172A27"/>
    <w:rsid w:val="00177F0B"/>
    <w:rsid w:val="001A3225"/>
    <w:rsid w:val="001F4115"/>
    <w:rsid w:val="00215AA4"/>
    <w:rsid w:val="00251125"/>
    <w:rsid w:val="002E61F3"/>
    <w:rsid w:val="002F12F8"/>
    <w:rsid w:val="00393761"/>
    <w:rsid w:val="003C1A89"/>
    <w:rsid w:val="003C6894"/>
    <w:rsid w:val="003C6D74"/>
    <w:rsid w:val="0043276E"/>
    <w:rsid w:val="004529E6"/>
    <w:rsid w:val="00455E51"/>
    <w:rsid w:val="004670D5"/>
    <w:rsid w:val="00474047"/>
    <w:rsid w:val="00491F6E"/>
    <w:rsid w:val="004D3110"/>
    <w:rsid w:val="00502ACB"/>
    <w:rsid w:val="00520AC5"/>
    <w:rsid w:val="00524D31"/>
    <w:rsid w:val="00552DFB"/>
    <w:rsid w:val="00590938"/>
    <w:rsid w:val="005E57E9"/>
    <w:rsid w:val="006932C0"/>
    <w:rsid w:val="006B6F15"/>
    <w:rsid w:val="0077436F"/>
    <w:rsid w:val="007A220C"/>
    <w:rsid w:val="007A7B98"/>
    <w:rsid w:val="007B1CF4"/>
    <w:rsid w:val="00817A96"/>
    <w:rsid w:val="00850863"/>
    <w:rsid w:val="00870B9D"/>
    <w:rsid w:val="0088127E"/>
    <w:rsid w:val="008A640B"/>
    <w:rsid w:val="008B090D"/>
    <w:rsid w:val="008E4636"/>
    <w:rsid w:val="00935693"/>
    <w:rsid w:val="00A4304F"/>
    <w:rsid w:val="00A62079"/>
    <w:rsid w:val="00A70028"/>
    <w:rsid w:val="00A80AB0"/>
    <w:rsid w:val="00AA2A8E"/>
    <w:rsid w:val="00B07FD4"/>
    <w:rsid w:val="00B454C4"/>
    <w:rsid w:val="00B62BC5"/>
    <w:rsid w:val="00B82804"/>
    <w:rsid w:val="00BE692E"/>
    <w:rsid w:val="00BE787D"/>
    <w:rsid w:val="00C30C78"/>
    <w:rsid w:val="00C36D58"/>
    <w:rsid w:val="00C5756D"/>
    <w:rsid w:val="00C83D22"/>
    <w:rsid w:val="00C86C58"/>
    <w:rsid w:val="00CB578B"/>
    <w:rsid w:val="00D1282F"/>
    <w:rsid w:val="00D550E3"/>
    <w:rsid w:val="00D63F4B"/>
    <w:rsid w:val="00D93FCD"/>
    <w:rsid w:val="00E57898"/>
    <w:rsid w:val="00E6087B"/>
    <w:rsid w:val="00F130C8"/>
    <w:rsid w:val="00F264FD"/>
    <w:rsid w:val="00F33192"/>
    <w:rsid w:val="00F50207"/>
    <w:rsid w:val="00F8669E"/>
    <w:rsid w:val="00F957B2"/>
    <w:rsid w:val="00FC6132"/>
    <w:rsid w:val="00FE3C91"/>
    <w:rsid w:val="014036E0"/>
    <w:rsid w:val="015C3D17"/>
    <w:rsid w:val="02851591"/>
    <w:rsid w:val="02BD5381"/>
    <w:rsid w:val="02D505AD"/>
    <w:rsid w:val="03365B5E"/>
    <w:rsid w:val="034E4AD1"/>
    <w:rsid w:val="037E0789"/>
    <w:rsid w:val="03913FFC"/>
    <w:rsid w:val="04452602"/>
    <w:rsid w:val="04CF1FA6"/>
    <w:rsid w:val="056E5657"/>
    <w:rsid w:val="05AD05DE"/>
    <w:rsid w:val="05BD3D79"/>
    <w:rsid w:val="0621639E"/>
    <w:rsid w:val="062C42CE"/>
    <w:rsid w:val="06867FD2"/>
    <w:rsid w:val="068A6E34"/>
    <w:rsid w:val="07994E3B"/>
    <w:rsid w:val="07A02A3F"/>
    <w:rsid w:val="07A40F48"/>
    <w:rsid w:val="07F651C7"/>
    <w:rsid w:val="0854758E"/>
    <w:rsid w:val="08992D34"/>
    <w:rsid w:val="09132265"/>
    <w:rsid w:val="09FE79EC"/>
    <w:rsid w:val="0A7B02B0"/>
    <w:rsid w:val="0AB319EF"/>
    <w:rsid w:val="0ABC363A"/>
    <w:rsid w:val="0AD8294B"/>
    <w:rsid w:val="0B4B3B00"/>
    <w:rsid w:val="0B8A23C1"/>
    <w:rsid w:val="0BAE3813"/>
    <w:rsid w:val="0BFF003E"/>
    <w:rsid w:val="0C9413AC"/>
    <w:rsid w:val="0D4D2FC1"/>
    <w:rsid w:val="0E0362D5"/>
    <w:rsid w:val="0E966A8C"/>
    <w:rsid w:val="0EE61CD2"/>
    <w:rsid w:val="0F6D24BC"/>
    <w:rsid w:val="0F7D537E"/>
    <w:rsid w:val="0FDC6CB0"/>
    <w:rsid w:val="10007707"/>
    <w:rsid w:val="11AB711C"/>
    <w:rsid w:val="12F015A0"/>
    <w:rsid w:val="14477BA7"/>
    <w:rsid w:val="169263C8"/>
    <w:rsid w:val="16A61788"/>
    <w:rsid w:val="16AF4856"/>
    <w:rsid w:val="174D6D27"/>
    <w:rsid w:val="17666D47"/>
    <w:rsid w:val="176F0FD8"/>
    <w:rsid w:val="17732C32"/>
    <w:rsid w:val="18BC4109"/>
    <w:rsid w:val="193260E4"/>
    <w:rsid w:val="19835197"/>
    <w:rsid w:val="1A4F2C83"/>
    <w:rsid w:val="1AD2708F"/>
    <w:rsid w:val="1B5F5046"/>
    <w:rsid w:val="1B9509DF"/>
    <w:rsid w:val="1BA002D8"/>
    <w:rsid w:val="1CAC4347"/>
    <w:rsid w:val="1D1C1092"/>
    <w:rsid w:val="1D605A5A"/>
    <w:rsid w:val="1D812873"/>
    <w:rsid w:val="1DE2466D"/>
    <w:rsid w:val="1DFD1285"/>
    <w:rsid w:val="1EC70509"/>
    <w:rsid w:val="1F4A0271"/>
    <w:rsid w:val="1FC7762D"/>
    <w:rsid w:val="20677E3C"/>
    <w:rsid w:val="20733730"/>
    <w:rsid w:val="20A83FAF"/>
    <w:rsid w:val="20CE42A1"/>
    <w:rsid w:val="215025DE"/>
    <w:rsid w:val="21CC717D"/>
    <w:rsid w:val="22424AA4"/>
    <w:rsid w:val="228C104B"/>
    <w:rsid w:val="22F62B8A"/>
    <w:rsid w:val="23254D08"/>
    <w:rsid w:val="23534E2B"/>
    <w:rsid w:val="242C02D7"/>
    <w:rsid w:val="24533DC2"/>
    <w:rsid w:val="2532334D"/>
    <w:rsid w:val="26750FF7"/>
    <w:rsid w:val="27194423"/>
    <w:rsid w:val="27290FC5"/>
    <w:rsid w:val="27445694"/>
    <w:rsid w:val="280F2F92"/>
    <w:rsid w:val="28FE41FC"/>
    <w:rsid w:val="29345C52"/>
    <w:rsid w:val="2996274E"/>
    <w:rsid w:val="29BD7D3C"/>
    <w:rsid w:val="2A4648B7"/>
    <w:rsid w:val="2B005440"/>
    <w:rsid w:val="2C03574A"/>
    <w:rsid w:val="2C0A4EA8"/>
    <w:rsid w:val="2C7B3B05"/>
    <w:rsid w:val="2CC277F5"/>
    <w:rsid w:val="2CEA709A"/>
    <w:rsid w:val="2D39592C"/>
    <w:rsid w:val="2D6E5344"/>
    <w:rsid w:val="2E240059"/>
    <w:rsid w:val="2E43525B"/>
    <w:rsid w:val="2E5E7AF7"/>
    <w:rsid w:val="2EE73822"/>
    <w:rsid w:val="2FA80D19"/>
    <w:rsid w:val="2FAD4FD9"/>
    <w:rsid w:val="2FB346FB"/>
    <w:rsid w:val="2FFA5778"/>
    <w:rsid w:val="30495C84"/>
    <w:rsid w:val="30650005"/>
    <w:rsid w:val="310333AD"/>
    <w:rsid w:val="31522189"/>
    <w:rsid w:val="325C62A3"/>
    <w:rsid w:val="329E6CD8"/>
    <w:rsid w:val="33440753"/>
    <w:rsid w:val="334B4AB3"/>
    <w:rsid w:val="33773E42"/>
    <w:rsid w:val="34E14EA2"/>
    <w:rsid w:val="34E346A0"/>
    <w:rsid w:val="359B1151"/>
    <w:rsid w:val="35AD49A2"/>
    <w:rsid w:val="36172BC3"/>
    <w:rsid w:val="36CC7C95"/>
    <w:rsid w:val="36EB650A"/>
    <w:rsid w:val="378133A9"/>
    <w:rsid w:val="383A233E"/>
    <w:rsid w:val="383D7301"/>
    <w:rsid w:val="39101F1B"/>
    <w:rsid w:val="392D7EB3"/>
    <w:rsid w:val="39720FC7"/>
    <w:rsid w:val="39987E7E"/>
    <w:rsid w:val="39A84137"/>
    <w:rsid w:val="39CD52E9"/>
    <w:rsid w:val="3A64388F"/>
    <w:rsid w:val="3AB02FA5"/>
    <w:rsid w:val="3B0B043D"/>
    <w:rsid w:val="3BDF2457"/>
    <w:rsid w:val="3CC36DCD"/>
    <w:rsid w:val="3D23372C"/>
    <w:rsid w:val="3D6A4AAA"/>
    <w:rsid w:val="3DF80C94"/>
    <w:rsid w:val="3E064F5A"/>
    <w:rsid w:val="3E161B6B"/>
    <w:rsid w:val="3E7F5998"/>
    <w:rsid w:val="3F0056DB"/>
    <w:rsid w:val="3F0156C1"/>
    <w:rsid w:val="3F1A3023"/>
    <w:rsid w:val="3F243A9D"/>
    <w:rsid w:val="3FC26720"/>
    <w:rsid w:val="40260F22"/>
    <w:rsid w:val="40350295"/>
    <w:rsid w:val="406E1D8D"/>
    <w:rsid w:val="42053C57"/>
    <w:rsid w:val="42214BD9"/>
    <w:rsid w:val="42324DFA"/>
    <w:rsid w:val="431353F3"/>
    <w:rsid w:val="43455446"/>
    <w:rsid w:val="43A46DA9"/>
    <w:rsid w:val="44DA072F"/>
    <w:rsid w:val="454D0F8E"/>
    <w:rsid w:val="457A6B22"/>
    <w:rsid w:val="45FC0A54"/>
    <w:rsid w:val="461D469A"/>
    <w:rsid w:val="466976E6"/>
    <w:rsid w:val="46EA0CE7"/>
    <w:rsid w:val="470D4256"/>
    <w:rsid w:val="472208AE"/>
    <w:rsid w:val="47273A81"/>
    <w:rsid w:val="47704C41"/>
    <w:rsid w:val="477F6C5D"/>
    <w:rsid w:val="47B925F3"/>
    <w:rsid w:val="48771F96"/>
    <w:rsid w:val="48910AEC"/>
    <w:rsid w:val="48B3170D"/>
    <w:rsid w:val="493C7DE9"/>
    <w:rsid w:val="49D62B33"/>
    <w:rsid w:val="4A1E13B4"/>
    <w:rsid w:val="4A2C49B0"/>
    <w:rsid w:val="4A7D1B0F"/>
    <w:rsid w:val="4AAC50D1"/>
    <w:rsid w:val="4B0C37B9"/>
    <w:rsid w:val="4BD12EAB"/>
    <w:rsid w:val="4C5A2B74"/>
    <w:rsid w:val="4D2D20D9"/>
    <w:rsid w:val="4D3C69F8"/>
    <w:rsid w:val="4DA074F7"/>
    <w:rsid w:val="4DA33F07"/>
    <w:rsid w:val="4DDE52C0"/>
    <w:rsid w:val="4F337FD5"/>
    <w:rsid w:val="4FC2427A"/>
    <w:rsid w:val="50A0169A"/>
    <w:rsid w:val="50A1397F"/>
    <w:rsid w:val="51C75DFE"/>
    <w:rsid w:val="52741FCB"/>
    <w:rsid w:val="52CF7ED5"/>
    <w:rsid w:val="52D06B10"/>
    <w:rsid w:val="52D52291"/>
    <w:rsid w:val="52E338E7"/>
    <w:rsid w:val="533D58C6"/>
    <w:rsid w:val="53536515"/>
    <w:rsid w:val="536B21BA"/>
    <w:rsid w:val="53A862CC"/>
    <w:rsid w:val="53DD656C"/>
    <w:rsid w:val="542A0FDA"/>
    <w:rsid w:val="546C11F4"/>
    <w:rsid w:val="54ED53D0"/>
    <w:rsid w:val="55091CCC"/>
    <w:rsid w:val="55FA184D"/>
    <w:rsid w:val="56307253"/>
    <w:rsid w:val="56453199"/>
    <w:rsid w:val="582F6DAB"/>
    <w:rsid w:val="58366D88"/>
    <w:rsid w:val="58AD45AF"/>
    <w:rsid w:val="58D4718C"/>
    <w:rsid w:val="58DA4706"/>
    <w:rsid w:val="59274DA4"/>
    <w:rsid w:val="59A82CA5"/>
    <w:rsid w:val="5AD514E8"/>
    <w:rsid w:val="5AD536B4"/>
    <w:rsid w:val="5AEA4CCC"/>
    <w:rsid w:val="5AEE1206"/>
    <w:rsid w:val="5B031B11"/>
    <w:rsid w:val="5B96574B"/>
    <w:rsid w:val="5C2A4141"/>
    <w:rsid w:val="5C5A652B"/>
    <w:rsid w:val="5DE138D8"/>
    <w:rsid w:val="5E1921ED"/>
    <w:rsid w:val="5F7D5E8E"/>
    <w:rsid w:val="5F7F522A"/>
    <w:rsid w:val="601337BB"/>
    <w:rsid w:val="60D51B2B"/>
    <w:rsid w:val="617F2D1C"/>
    <w:rsid w:val="62A87E16"/>
    <w:rsid w:val="62CA561A"/>
    <w:rsid w:val="6313315F"/>
    <w:rsid w:val="637172BE"/>
    <w:rsid w:val="63CD6C1F"/>
    <w:rsid w:val="64A56430"/>
    <w:rsid w:val="65BB2793"/>
    <w:rsid w:val="667027CF"/>
    <w:rsid w:val="6688694C"/>
    <w:rsid w:val="670D4A21"/>
    <w:rsid w:val="67B6759E"/>
    <w:rsid w:val="68245589"/>
    <w:rsid w:val="68777DD2"/>
    <w:rsid w:val="69983CE0"/>
    <w:rsid w:val="6A1C1694"/>
    <w:rsid w:val="6A751DB0"/>
    <w:rsid w:val="6AB95533"/>
    <w:rsid w:val="6B037E0E"/>
    <w:rsid w:val="6BDE41BB"/>
    <w:rsid w:val="6BF40AC7"/>
    <w:rsid w:val="6C5462A8"/>
    <w:rsid w:val="6C917FD7"/>
    <w:rsid w:val="6DEE183F"/>
    <w:rsid w:val="6F3574FF"/>
    <w:rsid w:val="6FBB0862"/>
    <w:rsid w:val="71BB7860"/>
    <w:rsid w:val="72440385"/>
    <w:rsid w:val="72A949FD"/>
    <w:rsid w:val="73761484"/>
    <w:rsid w:val="741803EA"/>
    <w:rsid w:val="743F3C99"/>
    <w:rsid w:val="74835482"/>
    <w:rsid w:val="74877DC7"/>
    <w:rsid w:val="74DB35C2"/>
    <w:rsid w:val="75890D8F"/>
    <w:rsid w:val="75B043EA"/>
    <w:rsid w:val="76D90F68"/>
    <w:rsid w:val="77660E93"/>
    <w:rsid w:val="77C1540B"/>
    <w:rsid w:val="77D822DF"/>
    <w:rsid w:val="783E7320"/>
    <w:rsid w:val="78CB19C0"/>
    <w:rsid w:val="78F35EFE"/>
    <w:rsid w:val="78FF5669"/>
    <w:rsid w:val="793275BA"/>
    <w:rsid w:val="79A724F1"/>
    <w:rsid w:val="79C1605A"/>
    <w:rsid w:val="7A4B7878"/>
    <w:rsid w:val="7A6D100D"/>
    <w:rsid w:val="7C5C2F5B"/>
    <w:rsid w:val="7C5F16F8"/>
    <w:rsid w:val="7C9D3E10"/>
    <w:rsid w:val="7CAF2E48"/>
    <w:rsid w:val="7CB122FF"/>
    <w:rsid w:val="7DBA67DE"/>
    <w:rsid w:val="7DF53ACA"/>
    <w:rsid w:val="7DF7159A"/>
    <w:rsid w:val="7F0E4C61"/>
    <w:rsid w:val="7F7F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qFormat/>
    <w:uiPriority w:val="0"/>
    <w:pPr>
      <w:keepNext/>
      <w:keepLines/>
      <w:tabs>
        <w:tab w:val="left" w:pos="1200"/>
      </w:tabs>
      <w:spacing w:before="340" w:after="330" w:line="576" w:lineRule="auto"/>
      <w:jc w:val="center"/>
      <w:outlineLvl w:val="0"/>
    </w:pPr>
    <w:rPr>
      <w:b/>
      <w:bCs/>
      <w:kern w:val="44"/>
      <w:sz w:val="44"/>
      <w:szCs w:val="44"/>
    </w:rPr>
  </w:style>
  <w:style w:type="paragraph" w:styleId="4">
    <w:name w:val="heading 2"/>
    <w:basedOn w:val="1"/>
    <w:next w:val="1"/>
    <w:autoRedefine/>
    <w:unhideWhenUsed/>
    <w:qFormat/>
    <w:uiPriority w:val="0"/>
    <w:pPr>
      <w:spacing w:beforeAutospacing="1" w:afterAutospacing="1" w:line="360" w:lineRule="auto"/>
      <w:jc w:val="left"/>
      <w:outlineLvl w:val="1"/>
    </w:pPr>
    <w:rPr>
      <w:rFonts w:ascii="仿宋" w:hAnsi="仿宋" w:eastAsia="仿宋" w:cs="Times New Roman"/>
      <w:b/>
      <w:bCs/>
      <w:kern w:val="0"/>
      <w:sz w:val="24"/>
    </w:rPr>
  </w:style>
  <w:style w:type="paragraph" w:styleId="5">
    <w:name w:val="heading 3"/>
    <w:basedOn w:val="1"/>
    <w:next w:val="1"/>
    <w:autoRedefine/>
    <w:unhideWhenUsed/>
    <w:qFormat/>
    <w:uiPriority w:val="9"/>
    <w:pPr>
      <w:keepNext/>
      <w:keepLines/>
      <w:outlineLvl w:val="2"/>
    </w:pPr>
    <w:rPr>
      <w:b/>
      <w:bCs/>
      <w:szCs w:val="32"/>
    </w:rPr>
  </w:style>
  <w:style w:type="paragraph" w:styleId="6">
    <w:name w:val="heading 4"/>
    <w:basedOn w:val="1"/>
    <w:next w:val="1"/>
    <w:autoRedefine/>
    <w:unhideWhenUsed/>
    <w:qFormat/>
    <w:uiPriority w:val="9"/>
    <w:pPr>
      <w:keepNext/>
      <w:keepLines/>
      <w:spacing w:line="360" w:lineRule="auto"/>
      <w:outlineLvl w:val="3"/>
    </w:pPr>
    <w:rPr>
      <w:rFonts w:asciiTheme="majorHAnsi" w:hAnsiTheme="majorHAnsi" w:cstheme="majorBidi"/>
      <w:b/>
      <w:bCs/>
      <w:szCs w:val="28"/>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lock Text"/>
    <w:basedOn w:val="1"/>
    <w:autoRedefine/>
    <w:unhideWhenUsed/>
    <w:qFormat/>
    <w:uiPriority w:val="0"/>
    <w:pPr>
      <w:spacing w:after="120"/>
      <w:ind w:left="1440" w:leftChars="700" w:right="1440" w:rightChars="700"/>
    </w:pPr>
  </w:style>
  <w:style w:type="paragraph" w:styleId="7">
    <w:name w:val="Body Text"/>
    <w:basedOn w:val="1"/>
    <w:autoRedefine/>
    <w:qFormat/>
    <w:uiPriority w:val="99"/>
    <w:pPr>
      <w:spacing w:line="360" w:lineRule="auto"/>
    </w:pPr>
    <w:rPr>
      <w:rFonts w:ascii="楷体_GB2312" w:eastAsia="楷体_GB2312"/>
      <w:bCs/>
      <w:sz w:val="28"/>
    </w:rPr>
  </w:style>
  <w:style w:type="paragraph" w:styleId="8">
    <w:name w:val="Plain Text"/>
    <w:basedOn w:val="1"/>
    <w:qFormat/>
    <w:uiPriority w:val="0"/>
    <w:rPr>
      <w:rFonts w:ascii="宋体" w:hAnsi="Courier New"/>
      <w:sz w:val="28"/>
    </w:rPr>
  </w:style>
  <w:style w:type="paragraph" w:styleId="9">
    <w:name w:val="footer"/>
    <w:basedOn w:val="1"/>
    <w:link w:val="18"/>
    <w:autoRedefine/>
    <w:qFormat/>
    <w:uiPriority w:val="0"/>
    <w:pPr>
      <w:tabs>
        <w:tab w:val="center" w:pos="4153"/>
        <w:tab w:val="right" w:pos="8306"/>
      </w:tabs>
      <w:snapToGrid w:val="0"/>
      <w:jc w:val="left"/>
    </w:pPr>
    <w:rPr>
      <w:sz w:val="18"/>
      <w:szCs w:val="18"/>
    </w:rPr>
  </w:style>
  <w:style w:type="paragraph" w:styleId="10">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Normal (Web)"/>
    <w:basedOn w:val="1"/>
    <w:autoRedefine/>
    <w:qFormat/>
    <w:uiPriority w:val="0"/>
    <w:pPr>
      <w:spacing w:beforeAutospacing="1" w:afterAutospacing="1"/>
      <w:jc w:val="left"/>
    </w:pPr>
    <w:rPr>
      <w:rFonts w:cs="Times New Roman"/>
      <w:kern w:val="0"/>
      <w:sz w:val="24"/>
    </w:rPr>
  </w:style>
  <w:style w:type="table" w:styleId="14">
    <w:name w:val="Table Grid"/>
    <w:basedOn w:val="1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autoRedefine/>
    <w:qFormat/>
    <w:uiPriority w:val="0"/>
    <w:rPr>
      <w:rFonts w:ascii="Times New Roman" w:hAnsi="Times New Roman" w:eastAsia="宋体" w:cs="Times New Roman"/>
    </w:rPr>
  </w:style>
  <w:style w:type="character" w:customStyle="1" w:styleId="17">
    <w:name w:val="页眉 字符"/>
    <w:basedOn w:val="15"/>
    <w:link w:val="10"/>
    <w:autoRedefine/>
    <w:qFormat/>
    <w:uiPriority w:val="0"/>
    <w:rPr>
      <w:rFonts w:asciiTheme="minorHAnsi" w:hAnsiTheme="minorHAnsi" w:eastAsiaTheme="minorEastAsia" w:cstheme="minorBidi"/>
      <w:kern w:val="2"/>
      <w:sz w:val="18"/>
      <w:szCs w:val="18"/>
    </w:rPr>
  </w:style>
  <w:style w:type="character" w:customStyle="1" w:styleId="18">
    <w:name w:val="页脚 字符"/>
    <w:basedOn w:val="15"/>
    <w:link w:val="9"/>
    <w:autoRedefine/>
    <w:qFormat/>
    <w:uiPriority w:val="0"/>
    <w:rPr>
      <w:rFonts w:asciiTheme="minorHAnsi" w:hAnsiTheme="minorHAnsi" w:eastAsiaTheme="minorEastAsia" w:cstheme="minorBidi"/>
      <w:kern w:val="2"/>
      <w:sz w:val="18"/>
      <w:szCs w:val="18"/>
    </w:rPr>
  </w:style>
  <w:style w:type="character" w:customStyle="1" w:styleId="19">
    <w:name w:val="样式 仿宋"/>
    <w:basedOn w:val="15"/>
    <w:autoRedefine/>
    <w:qFormat/>
    <w:uiPriority w:val="0"/>
    <w:rPr>
      <w:rFonts w:ascii="仿宋" w:hAnsi="仿宋" w:eastAsia="仿宋"/>
      <w:kern w:val="1"/>
    </w:rPr>
  </w:style>
  <w:style w:type="paragraph" w:customStyle="1" w:styleId="20">
    <w:name w:val="WPSOffice手动目录 1"/>
    <w:autoRedefine/>
    <w:qFormat/>
    <w:uiPriority w:val="0"/>
    <w:rPr>
      <w:rFonts w:ascii="Times New Roman" w:hAnsi="Times New Roman" w:eastAsia="宋体" w:cs="Times New Roman"/>
      <w:lang w:val="en-US" w:eastAsia="zh-CN" w:bidi="ar-SA"/>
    </w:r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正文1"/>
    <w:autoRedefine/>
    <w:qFormat/>
    <w:uiPriority w:val="0"/>
    <w:pPr>
      <w:widowControl w:val="0"/>
      <w:adjustRightInd w:val="0"/>
      <w:spacing w:line="360" w:lineRule="atLeast"/>
      <w:textAlignment w:val="baseline"/>
    </w:pPr>
    <w:rPr>
      <w:rFonts w:ascii="宋体" w:hAnsi="Times New Roman" w:eastAsia="宋体" w:cs="Times New Roman"/>
      <w:b/>
      <w:position w:val="-1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814E1-A3B7-4716-8DF1-4FE6D69AE545}">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54</Pages>
  <Words>26847</Words>
  <Characters>28393</Characters>
  <Lines>221</Lines>
  <Paragraphs>62</Paragraphs>
  <TotalTime>11</TotalTime>
  <ScaleCrop>false</ScaleCrop>
  <LinksUpToDate>false</LinksUpToDate>
  <CharactersWithSpaces>30288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2024-05-22T03:56:00Z</dcterms:created>
  <dc:creator>正式环境陈艳测试账号</dc:creator>
  <cp:lastModifiedBy>WPS_1700114918</cp:lastModifiedBy>
  <cp:lastPrinted>2024-05-21T03:18:00Z</cp:lastPrinted>
  <dcterms:modified xsi:type="dcterms:W3CDTF">2024-05-23T06:55:12Z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30A4A15F00434AFBA520329DFB46D4BF_13</vt:lpwstr>
  </property>
</Properties>
</file>