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Pr>
          <w:rFonts w:ascii="宋体" w:hAnsi="宋体" w:cs="宋体"/>
          <w:b/>
          <w:sz w:val="30"/>
          <w:szCs w:val="30"/>
        </w:rPr>
      </w:pPr>
      <w:r>
        <w:rPr>
          <w:rFonts w:ascii="宋体" w:hAnsi="宋体" w:cs="宋体"/>
          <w:b/>
          <w:sz w:val="30"/>
          <w:szCs w:val="30"/>
        </w:rPr>
      </w:r>
      <w:r/>
    </w:p>
    <w:p>
      <w:pPr>
        <w:ind w:left="0"/>
        <w:jc w:val="center"/>
        <w:rPr>
          <w:rFonts w:ascii="宋体" w:hAnsi="宋体" w:cs="宋体"/>
          <w:b/>
          <w:sz w:val="72"/>
          <w:szCs w:val="72"/>
        </w:rPr>
      </w:pPr>
      <w:r>
        <w:rPr>
          <w:rFonts w:ascii="宋体" w:hAnsi="宋体" w:cs="宋体"/>
          <w:b/>
          <w:sz w:val="72"/>
          <w:szCs w:val="72"/>
        </w:rPr>
      </w:r>
      <w:r/>
    </w:p>
    <w:p>
      <w:pPr>
        <w:ind w:left="0"/>
        <w:jc w:val="center"/>
        <w:rPr>
          <w:rFonts w:ascii="宋体" w:hAnsi="宋体" w:cs="宋体"/>
          <w:b/>
          <w:sz w:val="72"/>
          <w:szCs w:val="72"/>
        </w:rPr>
      </w:pPr>
      <w:r>
        <w:rPr>
          <w:rFonts w:hint="eastAsia" w:ascii="宋体" w:hAnsi="宋体" w:cs="宋体"/>
          <w:b/>
          <w:sz w:val="72"/>
          <w:szCs w:val="72"/>
        </w:rPr>
        <w:t xml:space="preserve">苏 州 政 府 采 购</w:t>
      </w:r>
      <w:r/>
    </w:p>
    <w:p>
      <w:pPr>
        <w:ind w:left="0"/>
        <w:jc w:val="center"/>
        <w:rPr>
          <w:rFonts w:ascii="宋体" w:hAnsi="宋体" w:cs="宋体"/>
          <w:b/>
          <w:sz w:val="72"/>
          <w:szCs w:val="72"/>
        </w:rPr>
      </w:pPr>
      <w:r>
        <w:rPr>
          <w:rFonts w:hint="eastAsia" w:ascii="宋体" w:hAnsi="宋体" w:cs="宋体"/>
          <w:b/>
          <w:sz w:val="72"/>
          <w:szCs w:val="72"/>
        </w:rPr>
        <w:t xml:space="preserve">竞争性磋商文件</w:t>
      </w:r>
      <w:r/>
    </w:p>
    <w:p>
      <w:pPr>
        <w:ind w:left="0"/>
        <w:jc w:val="left"/>
        <w:spacing w:line="360" w:lineRule="auto"/>
        <w:rPr>
          <w:rFonts w:ascii="宋体" w:hAnsi="宋体" w:cs="宋体"/>
        </w:rPr>
      </w:pPr>
      <w:r>
        <w:rPr>
          <w:rFonts w:ascii="宋体" w:hAnsi="宋体" w:cs="宋体"/>
        </w:rPr>
      </w:r>
      <w:r/>
    </w:p>
    <w:p>
      <w:pPr>
        <w:ind w:left="0"/>
        <w:jc w:val="left"/>
        <w:spacing w:line="480" w:lineRule="auto"/>
        <w:rPr>
          <w:rFonts w:ascii="宋体" w:hAnsi="宋体" w:cs="宋体"/>
          <w:b/>
          <w:sz w:val="32"/>
        </w:rPr>
      </w:pPr>
      <w:r>
        <w:rPr>
          <w:rFonts w:ascii="宋体" w:hAnsi="宋体" w:cs="宋体"/>
          <w:b/>
          <w:sz w:val="32"/>
        </w:rPr>
      </w:r>
      <w:r/>
    </w:p>
    <w:tbl>
      <w:tblPr>
        <w:tblStyle w:val="86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809"/>
        <w:gridCol w:w="5421"/>
      </w:tblGrid>
      <w:tr>
        <w:trPr>
          <w:jc w:val="center"/>
          <w:trHeight w:val="680"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采购编号：</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 JSZC-320507-RHHH-C2024-0163</w:t>
            </w:r>
            <w:r/>
          </w:p>
        </w:tc>
      </w:tr>
      <w:tr>
        <w:trPr>
          <w:jc w:val="center"/>
          <w:trHeight w:val="892"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采 购 人：</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苏州相城经济技术开发区管理委员会</w:t>
            </w:r>
            <w:r/>
          </w:p>
        </w:tc>
      </w:tr>
      <w:tr>
        <w:trPr>
          <w:jc w:val="center"/>
          <w:trHeight w:val="917"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采购内容：</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经开区电力管线咨询服务</w:t>
            </w:r>
            <w:r/>
          </w:p>
        </w:tc>
      </w:tr>
      <w:tr>
        <w:trPr>
          <w:jc w:val="center"/>
          <w:trHeight w:val="917" w:hRule="exact"/>
        </w:trPr>
        <w:tc>
          <w:tcPr>
            <w:tcBorders>
              <w:top w:val="none" w:color="000000" w:sz="4" w:space="0"/>
              <w:left w:val="none" w:color="000000" w:sz="4" w:space="0"/>
              <w:bottom w:val="none" w:color="000000" w:sz="4" w:space="0"/>
              <w:right w:val="none" w:color="000000" w:sz="4" w:space="0"/>
            </w:tcBorders>
            <w:tcW w:w="1809"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采购类别：</w:t>
            </w:r>
            <w:r/>
          </w:p>
        </w:tc>
        <w:tc>
          <w:tcPr>
            <w:tcBorders>
              <w:top w:val="none" w:color="000000" w:sz="4" w:space="0"/>
              <w:left w:val="none" w:color="000000" w:sz="4" w:space="0"/>
              <w:bottom w:val="none" w:color="000000" w:sz="4" w:space="0"/>
              <w:right w:val="none" w:color="000000" w:sz="4" w:space="0"/>
            </w:tcBorders>
            <w:tcW w:w="5421" w:type="dxa"/>
            <w:vAlign w:val="center"/>
            <w:textDirection w:val="lrTb"/>
            <w:noWrap w:val="false"/>
          </w:tcPr>
          <w:p>
            <w:pPr>
              <w:ind w:left="0"/>
              <w:widowControl w:val="off"/>
              <w:rPr>
                <w:rStyle w:val="1081"/>
                <w:rFonts w:ascii="宋体" w:hAnsi="宋体" w:cs="宋体"/>
                <w:b/>
                <w:spacing w:val="-6"/>
                <w:sz w:val="32"/>
              </w:rPr>
            </w:pPr>
            <w:r>
              <w:rPr>
                <w:rStyle w:val="1081"/>
                <w:rFonts w:hint="eastAsia" w:ascii="宋体" w:hAnsi="宋体" w:cs="宋体"/>
                <w:b/>
                <w:spacing w:val="-6"/>
                <w:sz w:val="32"/>
              </w:rPr>
              <w:t xml:space="preserve">服务类</w:t>
            </w:r>
            <w:r/>
          </w:p>
        </w:tc>
      </w:tr>
    </w:tbl>
    <w:p>
      <w:pPr>
        <w:ind w:firstLine="1445"/>
        <w:jc w:val="left"/>
        <w:spacing w:line="480" w:lineRule="auto"/>
        <w:rPr>
          <w:rFonts w:ascii="宋体" w:hAnsi="宋体" w:cs="宋体"/>
          <w:b/>
          <w:spacing w:val="20"/>
          <w:sz w:val="32"/>
        </w:rPr>
      </w:pPr>
      <w:r>
        <w:rPr>
          <w:rFonts w:ascii="宋体" w:hAnsi="宋体" w:cs="宋体"/>
          <w:b/>
          <w:spacing w:val="20"/>
          <w:sz w:val="32"/>
        </w:rPr>
      </w:r>
      <w:r/>
    </w:p>
    <w:p>
      <w:pPr>
        <w:ind w:left="0"/>
        <w:jc w:val="left"/>
        <w:rPr>
          <w:rFonts w:ascii="宋体" w:hAnsi="宋体" w:cs="宋体"/>
          <w:b/>
          <w:sz w:val="32"/>
        </w:rPr>
      </w:pPr>
      <w:r>
        <w:rPr>
          <w:rFonts w:hint="eastAsia" w:ascii="宋体" w:hAnsi="宋体" w:cs="宋体"/>
          <w:color w:val="000000" w:themeColor="text1"/>
          <w:sz w:val="30"/>
          <w:szCs w:val="30"/>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1699895</wp:posOffset>
                </wp:positionH>
                <wp:positionV relativeFrom="paragraph">
                  <wp:posOffset>52070</wp:posOffset>
                </wp:positionV>
                <wp:extent cx="2499995" cy="2199005"/>
                <wp:effectExtent l="0" t="0" r="14604" b="10795"/>
                <wp:wrapNone/>
                <wp:docPr id="3" name="图片 6" descr="710a6db20df4479f94b8fdf184fc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10a6db20df4479f94b8fdf184fc031"/>
                        <pic:cNvPicPr>
                          <a:picLocks noChangeAspect="1"/>
                        </pic:cNvPicPr>
                        <pic:nvPr/>
                      </pic:nvPicPr>
                      <pic:blipFill>
                        <a:blip r:embed="rId21"/>
                        <a:stretch/>
                      </pic:blipFill>
                      <pic:spPr bwMode="auto">
                        <a:xfrm>
                          <a:off x="0" y="0"/>
                          <a:ext cx="2499995" cy="2199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33.8pt;mso-position-horizontal:absolute;mso-position-vertical-relative:text;margin-top:4.1pt;mso-position-vertical:absolute;width:196.8pt;height:173.2pt;mso-wrap-distance-left:9.0pt;mso-wrap-distance-top:0.0pt;mso-wrap-distance-right:9.0pt;mso-wrap-distance-bottom:0.0pt;" stroked="f">
                <v:path textboxrect="0,0,0,0"/>
                <v:imagedata r:id="rId21" o:title=""/>
              </v:shape>
            </w:pict>
          </mc:Fallback>
        </mc:AlternateContent>
      </w:r>
      <w:r/>
    </w:p>
    <w:p>
      <w:pPr>
        <w:ind w:left="0"/>
        <w:jc w:val="left"/>
        <w:rPr>
          <w:rFonts w:ascii="宋体" w:hAnsi="宋体" w:cs="宋体"/>
          <w:b/>
          <w:sz w:val="32"/>
        </w:rPr>
      </w:pPr>
      <w:r>
        <w:rPr>
          <w:rFonts w:ascii="宋体" w:hAnsi="宋体" w:cs="宋体"/>
          <w:b/>
          <w:sz w:val="32"/>
        </w:rPr>
      </w:r>
      <w:r/>
    </w:p>
    <w:p>
      <w:pPr>
        <w:ind w:left="0"/>
        <w:jc w:val="left"/>
        <w:rPr>
          <w:rFonts w:ascii="宋体" w:hAnsi="宋体" w:cs="宋体"/>
          <w:b/>
          <w:sz w:val="32"/>
        </w:rPr>
      </w:pPr>
      <w:r>
        <w:rPr>
          <w:rFonts w:ascii="宋体" w:hAnsi="宋体" w:cs="宋体"/>
          <w:b/>
          <w:sz w:val="32"/>
        </w:rPr>
      </w:r>
      <w:r/>
    </w:p>
    <w:p>
      <w:pPr>
        <w:ind w:left="0" w:firstLine="1606"/>
        <w:jc w:val="left"/>
        <w:rPr>
          <w:rFonts w:ascii="宋体" w:hAnsi="宋体" w:cs="宋体"/>
          <w:b/>
          <w:sz w:val="32"/>
        </w:rPr>
      </w:pPr>
      <w:r>
        <w:rPr>
          <w:rFonts w:ascii="宋体" w:hAnsi="宋体" w:cs="宋体"/>
          <w:b/>
          <w:sz w:val="32"/>
        </w:rPr>
      </w:r>
      <w:r/>
    </w:p>
    <w:p>
      <w:pPr>
        <w:ind w:left="0" w:firstLine="1606"/>
        <w:jc w:val="left"/>
        <w:rPr>
          <w:rFonts w:ascii="宋体" w:hAnsi="宋体" w:cs="宋体"/>
          <w:b/>
          <w:sz w:val="32"/>
        </w:rPr>
      </w:pPr>
      <w:r>
        <w:rPr>
          <w:rFonts w:ascii="宋体" w:hAnsi="宋体" w:cs="宋体"/>
          <w:b/>
          <w:sz w:val="32"/>
        </w:rPr>
      </w:r>
      <w:r/>
    </w:p>
    <w:p>
      <w:pPr>
        <w:ind w:left="0" w:firstLine="1606"/>
        <w:jc w:val="left"/>
        <w:rPr>
          <w:rFonts w:ascii="宋体" w:hAnsi="宋体" w:cs="宋体"/>
          <w:b/>
          <w:sz w:val="32"/>
        </w:rPr>
      </w:pPr>
      <w:r>
        <w:rPr>
          <w:rFonts w:ascii="宋体" w:hAnsi="宋体" w:cs="宋体"/>
          <w:b/>
          <w:sz w:val="32"/>
        </w:rPr>
      </w:r>
      <w:r/>
    </w:p>
    <w:p>
      <w:pPr>
        <w:ind w:left="0" w:firstLine="1606"/>
        <w:jc w:val="left"/>
        <w:rPr>
          <w:rFonts w:ascii="宋体" w:hAnsi="宋体" w:cs="宋体"/>
          <w:b/>
          <w:sz w:val="32"/>
        </w:rPr>
      </w:pPr>
      <w:r>
        <w:rPr>
          <w:rFonts w:ascii="宋体" w:hAnsi="宋体" w:cs="宋体"/>
          <w:b/>
          <w:sz w:val="32"/>
        </w:rPr>
      </w:r>
      <w:r/>
    </w:p>
    <w:p>
      <w:pPr>
        <w:pStyle w:val="1053"/>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ind w:left="0"/>
        <w:jc w:val="center"/>
        <w:rPr>
          <w:rFonts w:ascii="宋体" w:hAnsi="宋体" w:cs="宋体"/>
          <w:b/>
          <w:sz w:val="32"/>
        </w:rPr>
      </w:pPr>
      <w:r>
        <w:rPr>
          <w:rFonts w:ascii="宋体" w:hAnsi="宋体" w:cs="宋体"/>
          <w:b/>
          <w:sz w:val="32"/>
        </w:rPr>
      </w:r>
      <w:r/>
    </w:p>
    <w:p>
      <w:pPr>
        <w:ind w:left="0"/>
        <w:jc w:val="center"/>
        <w:rPr>
          <w:rFonts w:ascii="宋体" w:hAnsi="宋体" w:cs="宋体"/>
          <w:b/>
          <w:sz w:val="32"/>
        </w:rPr>
      </w:pPr>
      <w:r>
        <w:rPr>
          <w:rFonts w:ascii="宋体" w:hAnsi="宋体" w:cs="宋体"/>
          <w:b/>
          <w:sz w:val="32"/>
        </w:rPr>
      </w:r>
      <w:r/>
    </w:p>
    <w:p>
      <w:pPr>
        <w:ind w:left="0"/>
        <w:rPr>
          <w:rFonts w:ascii="宋体" w:hAnsi="宋体" w:cs="宋体"/>
          <w:b/>
          <w:sz w:val="32"/>
        </w:rPr>
      </w:pPr>
      <w:r>
        <w:rPr>
          <w:rFonts w:ascii="宋体" w:hAnsi="宋体" w:cs="宋体"/>
          <w:b/>
          <w:sz w:val="32"/>
        </w:rPr>
      </w:r>
      <w:r/>
    </w:p>
    <w:p>
      <w:pPr>
        <w:ind w:left="0"/>
        <w:jc w:val="center"/>
        <w:rPr>
          <w:rFonts w:ascii="宋体" w:hAnsi="宋体" w:cs="宋体"/>
          <w:b/>
          <w:sz w:val="32"/>
        </w:rPr>
      </w:pPr>
      <w:r>
        <w:rPr>
          <w:rFonts w:hint="eastAsia" w:ascii="宋体" w:hAnsi="宋体" w:cs="宋体"/>
          <w:b/>
          <w:sz w:val="32"/>
        </w:rPr>
        <w:t xml:space="preserve">江苏仁禾中衡工程咨询房地产估价有限公司</w:t>
      </w:r>
      <w:r/>
    </w:p>
    <w:p>
      <w:pPr>
        <w:ind w:left="0"/>
        <w:jc w:val="center"/>
        <w:rPr>
          <w:rFonts w:ascii="宋体" w:hAnsi="宋体" w:cs="宋体"/>
          <w:b/>
          <w:sz w:val="32"/>
        </w:rPr>
      </w:pPr>
      <w:r>
        <w:rPr>
          <w:rFonts w:hint="eastAsia" w:ascii="宋体" w:hAnsi="宋体" w:cs="宋体"/>
          <w:b/>
          <w:sz w:val="32"/>
        </w:rPr>
        <w:t xml:space="preserve">二〇二四年十月</w:t>
      </w:r>
      <w:r/>
    </w:p>
    <w:p>
      <w:pPr>
        <w:pStyle w:val="1051"/>
        <w:ind w:left="0" w:firstLine="0"/>
        <w:rPr>
          <w:rFonts w:ascii="宋体" w:hAnsi="宋体" w:cs="宋体"/>
        </w:rPr>
        <w:sectPr>
          <w:headerReference w:type="default" r:id="rId9"/>
          <w:headerReference w:type="even" r:id="rId10"/>
          <w:headerReference w:type="first" r:id="rId11"/>
          <w:footerReference w:type="default" r:id="rId14"/>
          <w:footerReference w:type="even" r:id="rId15"/>
          <w:footnotePr/>
          <w:endnotePr/>
          <w:type w:val="nextPage"/>
          <w:pgSz w:w="11906" w:h="16838" w:orient="portrait"/>
          <w:pgMar w:top="851" w:right="1021" w:bottom="851" w:left="1021" w:header="567" w:footer="567" w:gutter="0"/>
          <w:cols w:num="1" w:sep="0" w:space="1701" w:equalWidth="1"/>
          <w:docGrid w:linePitch="360"/>
          <w:titlePg/>
        </w:sectPr>
      </w:pPr>
      <w:r>
        <w:rPr>
          <w:rFonts w:ascii="宋体" w:hAnsi="宋体" w:cs="宋体"/>
        </w:rPr>
      </w:r>
      <w:r/>
    </w:p>
    <w:p>
      <w:pPr>
        <w:ind w:left="0"/>
        <w:jc w:val="center"/>
        <w:rPr>
          <w:rFonts w:ascii="宋体" w:hAnsi="宋体" w:cs="宋体"/>
          <w:b/>
          <w:spacing w:val="20"/>
          <w:sz w:val="30"/>
        </w:rPr>
      </w:pPr>
      <w:r/>
      <w:bookmarkStart w:id="0" w:name="_Toc15681"/>
      <w:r/>
      <w:bookmarkStart w:id="1" w:name="_Toc17003"/>
      <w:r/>
      <w:bookmarkStart w:id="2" w:name="_Toc16121"/>
      <w:r/>
      <w:bookmarkStart w:id="3" w:name="_Toc12642"/>
      <w:r>
        <w:rPr>
          <w:rFonts w:hint="eastAsia" w:ascii="宋体" w:hAnsi="宋体" w:cs="宋体"/>
          <w:b/>
          <w:spacing w:val="20"/>
          <w:sz w:val="30"/>
        </w:rPr>
        <w:t xml:space="preserve">前 附 表</w:t>
      </w:r>
      <w:bookmarkEnd w:id="0"/>
      <w:r/>
      <w:bookmarkEnd w:id="1"/>
      <w:r/>
      <w:bookmarkEnd w:id="2"/>
      <w:r/>
      <w:bookmarkEnd w:id="3"/>
      <w:r/>
      <w:r/>
    </w:p>
    <w:p>
      <w:pPr>
        <w:pStyle w:val="1053"/>
        <w:rPr>
          <w:rFonts w:ascii="宋体" w:hAnsi="宋体" w:cs="宋体"/>
        </w:rPr>
      </w:pPr>
      <w:r>
        <w:rPr>
          <w:rFonts w:ascii="宋体" w:hAnsi="宋体" w:cs="宋体"/>
        </w:rPr>
      </w:r>
      <w:r/>
    </w:p>
    <w:tbl>
      <w:tblPr>
        <w:tblStyle w:val="869"/>
        <w:tblW w:w="10031"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764"/>
        <w:gridCol w:w="7592"/>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内               容</w:t>
            </w: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JSZC-320507-RHHH-C2024-0163</w:t>
            </w:r>
            <w:r/>
          </w:p>
        </w:tc>
      </w:tr>
      <w:tr>
        <w:trPr>
          <w:jc w:val="center"/>
          <w:trHeight w:val="3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经开区电力管线咨询服务</w:t>
            </w:r>
            <w:r/>
          </w:p>
        </w:tc>
      </w:tr>
      <w:tr>
        <w:trPr>
          <w:jc w:val="center"/>
          <w:trHeight w:val="3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本项目不收取磋商保证金（采购文件中涉及磋商保证金的条款均不适用）</w:t>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响应文件提交截止之日起九十天（日历日）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质疑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报名成功的供应商在下载采购文件后，对采购文件有质疑的，</w:t>
            </w:r>
            <w:r/>
          </w:p>
          <w:p>
            <w:pPr>
              <w:ind w:left="0"/>
              <w:jc w:val="left"/>
              <w:rPr>
                <w:rFonts w:ascii="宋体" w:hAnsi="宋体" w:cs="宋体"/>
                <w:sz w:val="21"/>
                <w:szCs w:val="21"/>
              </w:rPr>
            </w:pPr>
            <w:r>
              <w:rPr>
                <w:rFonts w:hint="eastAsia" w:ascii="宋体" w:hAnsi="宋体" w:cs="宋体"/>
                <w:sz w:val="21"/>
                <w:szCs w:val="21"/>
              </w:rPr>
              <w:t xml:space="preserve">质疑：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left="0"/>
              <w:jc w:val="left"/>
              <w:rPr>
                <w:rFonts w:ascii="宋体" w:hAnsi="宋体" w:cs="宋体"/>
                <w:sz w:val="21"/>
                <w:szCs w:val="21"/>
              </w:rPr>
            </w:pPr>
            <w:r>
              <w:rPr>
                <w:rFonts w:hint="eastAsia" w:ascii="宋体" w:hAnsi="宋体" w:cs="宋体"/>
                <w:sz w:val="21"/>
                <w:szCs w:val="21"/>
              </w:rPr>
              <w:t xml:space="preserve">质疑递交地址：苏州市工业园区苏桐路37号2号楼5楼502室；电话：0512-65261203-8003；联系人：杨洋、厉昆）。</w:t>
            </w:r>
            <w:r/>
          </w:p>
        </w:tc>
      </w:tr>
      <w:tr>
        <w:trPr>
          <w:jc w:val="center"/>
          <w:trHeight w:val="88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投标（响应）文件网上</w:t>
            </w:r>
            <w:r/>
          </w:p>
          <w:p>
            <w:pPr>
              <w:ind w:left="0"/>
              <w:jc w:val="center"/>
              <w:rPr>
                <w:rFonts w:ascii="宋体" w:hAnsi="宋体" w:cs="宋体"/>
                <w:sz w:val="21"/>
                <w:szCs w:val="21"/>
              </w:rPr>
            </w:pPr>
            <w:r>
              <w:rPr>
                <w:rFonts w:hint="eastAsia" w:ascii="宋体" w:hAnsi="宋体" w:cs="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2024年11月1</w:t>
            </w:r>
            <w:r>
              <w:rPr>
                <w:rFonts w:hint="eastAsia" w:ascii="宋体" w:hAnsi="宋体" w:cs="宋体"/>
                <w:sz w:val="21"/>
                <w:szCs w:val="21"/>
                <w:lang w:val="en-US" w:eastAsia="zh-CN"/>
              </w:rPr>
              <w:t xml:space="preserve">3</w:t>
            </w:r>
            <w:r>
              <w:rPr>
                <w:rFonts w:hint="eastAsia" w:ascii="宋体" w:hAnsi="宋体" w:cs="宋体"/>
                <w:sz w:val="21"/>
                <w:szCs w:val="21"/>
              </w:rPr>
              <w:t xml:space="preserve">日13点30分（北京时间）</w:t>
            </w:r>
            <w:r/>
          </w:p>
          <w:p>
            <w:pPr>
              <w:ind w:left="0"/>
              <w:jc w:val="left"/>
              <w:rPr>
                <w:rFonts w:ascii="宋体" w:hAnsi="宋体" w:cs="宋体"/>
                <w:sz w:val="21"/>
                <w:szCs w:val="21"/>
              </w:rPr>
            </w:pPr>
            <w:r>
              <w:rPr>
                <w:rFonts w:hint="eastAsia" w:ascii="宋体" w:hAnsi="宋体" w:cs="宋体"/>
                <w:sz w:val="21"/>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开标时间</w:t>
            </w:r>
            <w:r/>
          </w:p>
          <w:p>
            <w:pPr>
              <w:ind w:left="0"/>
              <w:jc w:val="center"/>
              <w:rPr>
                <w:rFonts w:ascii="宋体" w:hAnsi="宋体" w:cs="宋体"/>
                <w:sz w:val="21"/>
                <w:szCs w:val="21"/>
              </w:rPr>
            </w:pPr>
            <w:r>
              <w:rPr>
                <w:rFonts w:hint="eastAsia" w:ascii="宋体" w:hAnsi="宋体" w:cs="宋体"/>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2024年 11月1</w:t>
            </w:r>
            <w:r>
              <w:rPr>
                <w:rFonts w:hint="eastAsia" w:ascii="宋体" w:hAnsi="宋体" w:cs="宋体"/>
                <w:sz w:val="21"/>
                <w:szCs w:val="21"/>
                <w:lang w:val="en-US" w:eastAsia="zh-CN"/>
              </w:rPr>
              <w:t xml:space="preserve">3</w:t>
            </w:r>
            <w:r>
              <w:rPr>
                <w:rFonts w:hint="eastAsia" w:ascii="宋体" w:hAnsi="宋体" w:cs="宋体"/>
                <w:sz w:val="21"/>
                <w:szCs w:val="21"/>
              </w:rPr>
              <w:t xml:space="preserve">日13点30分（北京时间）</w:t>
            </w:r>
            <w:r/>
          </w:p>
          <w:p>
            <w:pPr>
              <w:ind w:left="0"/>
              <w:jc w:val="left"/>
              <w:rPr>
                <w:rFonts w:ascii="宋体" w:hAnsi="宋体" w:cs="宋体"/>
                <w:sz w:val="21"/>
                <w:szCs w:val="21"/>
              </w:rPr>
            </w:pPr>
            <w:r>
              <w:rPr>
                <w:rFonts w:hint="eastAsia" w:ascii="宋体" w:hAnsi="宋体" w:cs="宋体"/>
                <w:sz w:val="21"/>
                <w:szCs w:val="21"/>
              </w:rPr>
              <w:t xml:space="preserve">“苏采云”系统（网址：http://jszfcg.jsczt.cn/）</w:t>
            </w:r>
            <w:r/>
          </w:p>
          <w:p>
            <w:pPr>
              <w:ind w:left="0"/>
              <w:jc w:val="left"/>
              <w:rPr>
                <w:rFonts w:ascii="宋体" w:hAnsi="宋体" w:cs="宋体"/>
                <w:sz w:val="21"/>
                <w:szCs w:val="21"/>
              </w:rPr>
            </w:pPr>
            <w:r>
              <w:rPr>
                <w:rFonts w:hint="eastAsia" w:ascii="宋体" w:hAnsi="宋体" w:cs="宋体"/>
                <w:sz w:val="21"/>
                <w:szCs w:val="21"/>
              </w:rPr>
              <w:t xml:space="preserve">本项目为不见面开标项目，开标阶段供应商在【供应商解密】环节必须使用 CA证书解密电子响应文件，如在系统规定的解密时间（响应文件提交截止时间后30分钟）内未能完成解密的视为放弃投标。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评标时间</w:t>
            </w:r>
            <w:r/>
          </w:p>
          <w:p>
            <w:pPr>
              <w:ind w:left="0"/>
              <w:jc w:val="center"/>
              <w:rPr>
                <w:rFonts w:ascii="宋体" w:hAnsi="宋体" w:cs="宋体"/>
                <w:sz w:val="21"/>
                <w:szCs w:val="21"/>
              </w:rPr>
            </w:pPr>
            <w:r>
              <w:rPr>
                <w:rFonts w:hint="eastAsia" w:ascii="宋体" w:hAnsi="宋体" w:cs="宋体"/>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2024年11月1</w:t>
            </w:r>
            <w:r>
              <w:rPr>
                <w:rFonts w:hint="eastAsia" w:ascii="宋体" w:hAnsi="宋体" w:cs="宋体"/>
                <w:sz w:val="21"/>
                <w:szCs w:val="21"/>
                <w:lang w:val="en-US" w:eastAsia="zh-CN"/>
              </w:rPr>
              <w:t xml:space="preserve">3</w:t>
            </w:r>
            <w:r>
              <w:rPr>
                <w:rFonts w:hint="eastAsia" w:ascii="宋体" w:hAnsi="宋体" w:cs="宋体"/>
                <w:sz w:val="21"/>
                <w:szCs w:val="21"/>
              </w:rPr>
              <w:t xml:space="preserve">日13点30分（北京时间）</w:t>
            </w:r>
            <w:r/>
          </w:p>
          <w:p>
            <w:pPr>
              <w:ind w:left="0"/>
              <w:jc w:val="left"/>
              <w:rPr>
                <w:rFonts w:ascii="宋体" w:hAnsi="宋体" w:cs="宋体"/>
                <w:sz w:val="21"/>
                <w:szCs w:val="21"/>
              </w:rPr>
            </w:pPr>
            <w:r>
              <w:rPr>
                <w:rFonts w:hint="eastAsia" w:ascii="宋体" w:hAnsi="宋体" w:cs="宋体"/>
                <w:sz w:val="21"/>
                <w:szCs w:val="21"/>
              </w:rPr>
              <w:t xml:space="preserve">苏州市相城区采莲路1788号市民服务中心3号楼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投（响应）文件份数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本项目采用电子响应文件，投标人按照招标文件要求制作上传电子响应文件，投标人无需提供纸质响应文件。</w:t>
            </w:r>
            <w:r/>
          </w:p>
        </w:tc>
      </w:tr>
      <w:tr>
        <w:trPr>
          <w:jc w:val="center"/>
          <w:trHeight w:val="5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现场踏勘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本项目不组织统一勘察</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本项目不收取履约保证金（采购文件中涉及履约保证金的条款均不适用）</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中标(成交)通知书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rPr>
                <w:rFonts w:ascii="宋体" w:hAnsi="宋体" w:cs="宋体"/>
                <w:sz w:val="21"/>
                <w:szCs w:val="21"/>
              </w:rPr>
            </w:pPr>
            <w:r>
              <w:rPr>
                <w:rFonts w:hint="eastAsia" w:ascii="宋体" w:hAnsi="宋体" w:cs="宋体"/>
                <w:sz w:val="21"/>
                <w:szCs w:val="21"/>
              </w:rPr>
              <w:t xml:space="preserve">确定出中标(成交)人后，采购代理机构在法定时间内向中标(成交)人发出中标(成交)通知书。中标(成交)通知书将成为合同的组成部分。</w:t>
            </w:r>
            <w:r/>
          </w:p>
          <w:p>
            <w:pPr>
              <w:ind w:left="0"/>
              <w:jc w:val="left"/>
              <w:rPr>
                <w:rFonts w:ascii="宋体" w:hAnsi="宋体" w:cs="宋体"/>
                <w:sz w:val="21"/>
                <w:szCs w:val="21"/>
              </w:rPr>
            </w:pPr>
            <w:r>
              <w:rPr>
                <w:rFonts w:hint="eastAsia" w:ascii="宋体" w:hAnsi="宋体" w:cs="宋体"/>
                <w:b/>
                <w:bCs/>
                <w:sz w:val="21"/>
                <w:szCs w:val="21"/>
              </w:rPr>
              <w:t xml:space="preserve">请中标人在中标结果公告届满之日起30日内,使用CA证书登录“苏采云”系统及时下载中标通知书。</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rPr>
                <w:rFonts w:ascii="宋体" w:hAnsi="宋体" w:cs="宋体"/>
                <w:sz w:val="21"/>
                <w:szCs w:val="21"/>
              </w:rPr>
            </w:pPr>
            <w:r>
              <w:rPr>
                <w:rFonts w:hint="eastAsia" w:ascii="宋体" w:hAnsi="宋体" w:cs="宋体"/>
                <w:sz w:val="21"/>
                <w:szCs w:val="21"/>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rPr>
                <w:rFonts w:ascii="宋体" w:hAnsi="宋体" w:cs="宋体"/>
                <w:sz w:val="21"/>
                <w:szCs w:val="21"/>
              </w:rPr>
            </w:pPr>
            <w:r>
              <w:rPr>
                <w:rFonts w:hint="eastAsia" w:ascii="宋体" w:hAnsi="宋体" w:cs="宋体"/>
                <w:sz w:val="21"/>
                <w:szCs w:val="21"/>
              </w:rPr>
              <w:t xml:space="preserve">代理服务费收费标准：</w:t>
            </w:r>
            <w:r/>
          </w:p>
          <w:p>
            <w:pPr>
              <w:pStyle w:val="1075"/>
              <w:ind w:left="0" w:firstLine="0"/>
              <w:rPr>
                <w:rFonts w:ascii="宋体" w:hAnsi="宋体" w:cs="宋体"/>
                <w:sz w:val="21"/>
                <w:szCs w:val="21"/>
              </w:rPr>
            </w:pPr>
            <w:r>
              <w:rPr>
                <w:rFonts w:hint="eastAsia" w:ascii="宋体" w:hAnsi="宋体" w:cs="宋体"/>
                <w:sz w:val="21"/>
                <w:szCs w:val="21"/>
              </w:rPr>
              <w:t xml:space="preserve">预算金额100万元以下部分，费率为该部分预算金额的1.5%；</w:t>
            </w:r>
            <w:r/>
          </w:p>
          <w:p>
            <w:pPr>
              <w:pStyle w:val="1075"/>
              <w:ind w:left="0" w:firstLine="0"/>
              <w:rPr>
                <w:rFonts w:ascii="宋体" w:hAnsi="宋体" w:cs="宋体"/>
                <w:sz w:val="21"/>
                <w:szCs w:val="21"/>
              </w:rPr>
            </w:pPr>
            <w:r>
              <w:rPr>
                <w:rFonts w:hint="eastAsia" w:ascii="宋体" w:hAnsi="宋体" w:cs="宋体"/>
                <w:sz w:val="21"/>
                <w:szCs w:val="21"/>
              </w:rPr>
              <w:t xml:space="preserve">预算金额100万元（含）－500万元部分，费率为该部分预算金额的1.1%；</w:t>
            </w:r>
            <w:r/>
          </w:p>
          <w:p>
            <w:pPr>
              <w:pStyle w:val="1075"/>
              <w:ind w:left="0" w:firstLine="0"/>
              <w:rPr>
                <w:rFonts w:ascii="宋体" w:hAnsi="宋体" w:cs="宋体"/>
                <w:sz w:val="21"/>
                <w:szCs w:val="21"/>
              </w:rPr>
            </w:pPr>
            <w:r>
              <w:rPr>
                <w:rFonts w:hint="eastAsia" w:ascii="宋体" w:hAnsi="宋体" w:cs="宋体"/>
                <w:sz w:val="21"/>
                <w:szCs w:val="21"/>
              </w:rPr>
              <w:t xml:space="preserve">预算金额500万元（含）-1000万元部分，费率为该部分预算金额的0.8%；</w:t>
            </w:r>
            <w:r/>
          </w:p>
          <w:p>
            <w:pPr>
              <w:pStyle w:val="1075"/>
              <w:ind w:left="0" w:firstLine="0"/>
              <w:rPr>
                <w:rFonts w:ascii="宋体" w:hAnsi="宋体" w:cs="宋体"/>
                <w:sz w:val="21"/>
                <w:szCs w:val="21"/>
              </w:rPr>
            </w:pPr>
            <w:r>
              <w:rPr>
                <w:rFonts w:hint="eastAsia" w:ascii="宋体" w:hAnsi="宋体" w:cs="宋体"/>
                <w:sz w:val="21"/>
                <w:szCs w:val="21"/>
              </w:rPr>
              <w:t xml:space="preserve">预算金额1000万元（含）-5000万元部分，费率为该部分预算金额的0.5%；</w:t>
            </w:r>
            <w:r/>
          </w:p>
          <w:p>
            <w:pPr>
              <w:pStyle w:val="1075"/>
              <w:ind w:left="0" w:firstLine="0"/>
              <w:rPr>
                <w:rFonts w:ascii="宋体" w:hAnsi="宋体" w:cs="宋体"/>
                <w:sz w:val="21"/>
                <w:szCs w:val="21"/>
              </w:rPr>
            </w:pPr>
            <w:r>
              <w:rPr>
                <w:rFonts w:hint="eastAsia" w:ascii="宋体" w:hAnsi="宋体" w:cs="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p>
          <w:p>
            <w:pPr>
              <w:pStyle w:val="1075"/>
              <w:ind w:left="0" w:firstLine="0"/>
              <w:rPr>
                <w:rFonts w:ascii="宋体" w:hAnsi="宋体" w:cs="宋体"/>
                <w:sz w:val="21"/>
                <w:szCs w:val="21"/>
              </w:rPr>
            </w:pPr>
            <w:r>
              <w:rPr>
                <w:rFonts w:hint="eastAsia" w:ascii="宋体" w:hAnsi="宋体" w:cs="宋体"/>
                <w:sz w:val="21"/>
                <w:szCs w:val="21"/>
              </w:rPr>
              <w:t xml:space="preserve">成交单位须按上述规定计算并支付服务费，该费用应在领取成交通知书时付清。</w:t>
            </w:r>
            <w:r/>
          </w:p>
          <w:p>
            <w:pPr>
              <w:pStyle w:val="1075"/>
              <w:ind w:left="0" w:firstLine="0"/>
              <w:jc w:val="left"/>
              <w:rPr>
                <w:rFonts w:ascii="宋体" w:hAnsi="宋体" w:cs="宋体"/>
                <w:sz w:val="21"/>
                <w:szCs w:val="21"/>
              </w:rPr>
            </w:pPr>
            <w:r>
              <w:rPr>
                <w:rFonts w:hint="eastAsia" w:ascii="宋体" w:hAnsi="宋体" w:cs="宋体"/>
                <w:sz w:val="21"/>
                <w:szCs w:val="21"/>
              </w:rPr>
              <w:t xml:space="preserve">汇款银行资料：</w:t>
            </w:r>
            <w:r/>
          </w:p>
          <w:p>
            <w:pPr>
              <w:pStyle w:val="1075"/>
              <w:ind w:left="0" w:firstLine="0"/>
              <w:rPr>
                <w:rFonts w:ascii="宋体" w:hAnsi="宋体" w:cs="宋体"/>
                <w:sz w:val="21"/>
                <w:szCs w:val="21"/>
              </w:rPr>
            </w:pPr>
            <w:r>
              <w:rPr>
                <w:rFonts w:hint="eastAsia" w:ascii="宋体" w:hAnsi="宋体" w:cs="宋体"/>
                <w:sz w:val="21"/>
                <w:szCs w:val="21"/>
              </w:rPr>
              <w:t xml:space="preserve">账户名：江苏仁禾中衡工程咨询房地产估价有限公司相城分公司</w:t>
            </w:r>
            <w:r/>
          </w:p>
          <w:p>
            <w:pPr>
              <w:pStyle w:val="1075"/>
              <w:ind w:left="0" w:firstLine="0"/>
              <w:rPr>
                <w:rFonts w:ascii="宋体" w:hAnsi="宋体" w:cs="宋体"/>
                <w:sz w:val="21"/>
                <w:szCs w:val="21"/>
              </w:rPr>
            </w:pPr>
            <w:r>
              <w:rPr>
                <w:rFonts w:hint="eastAsia" w:ascii="宋体" w:hAnsi="宋体" w:cs="宋体"/>
                <w:sz w:val="21"/>
                <w:szCs w:val="21"/>
              </w:rPr>
              <w:t xml:space="preserve">银行账号：75250122000419809</w:t>
            </w:r>
            <w:r/>
          </w:p>
          <w:p>
            <w:pPr>
              <w:pStyle w:val="1075"/>
              <w:ind w:left="0" w:firstLine="0"/>
              <w:rPr>
                <w:rFonts w:ascii="宋体" w:hAnsi="宋体" w:cs="宋体"/>
                <w:sz w:val="21"/>
                <w:szCs w:val="21"/>
              </w:rPr>
            </w:pPr>
            <w:r>
              <w:rPr>
                <w:rFonts w:hint="eastAsia" w:ascii="宋体" w:hAnsi="宋体" w:cs="宋体"/>
                <w:sz w:val="21"/>
                <w:szCs w:val="21"/>
              </w:rPr>
              <w:t xml:space="preserve">开户银行：宁波银行股份有限公司苏州工业园区支行</w:t>
            </w:r>
            <w:r/>
          </w:p>
        </w:tc>
      </w:tr>
    </w:tbl>
    <w:p>
      <w:pPr>
        <w:ind w:left="0"/>
        <w:jc w:val="center"/>
        <w:rPr>
          <w:rFonts w:ascii="宋体" w:hAnsi="宋体" w:cs="宋体"/>
          <w:sz w:val="44"/>
          <w:szCs w:val="44"/>
        </w:rPr>
        <w:sectPr>
          <w:headerReference w:type="default" r:id="rId12"/>
          <w:headerReference w:type="first" r:id="rId13"/>
          <w:footerReference w:type="default" r:id="rId16"/>
          <w:footerReference w:type="first" r:id="rId17"/>
          <w:footnotePr/>
          <w:endnotePr/>
          <w:type w:val="nextPage"/>
          <w:pgSz w:w="11906" w:h="16838" w:orient="portrait"/>
          <w:pgMar w:top="1418" w:right="1021" w:bottom="1418" w:left="1021" w:header="794" w:footer="567" w:gutter="0"/>
          <w:cols w:num="1" w:sep="0" w:space="1701" w:equalWidth="1"/>
          <w:docGrid w:linePitch="360"/>
          <w:titlePg/>
        </w:sectPr>
      </w:pPr>
      <w:r/>
      <w:bookmarkStart w:id="4" w:name="_Toc58248879"/>
      <w:r/>
      <w:bookmarkStart w:id="5" w:name="_Toc57376405"/>
      <w:r/>
      <w:bookmarkStart w:id="6" w:name="_Toc28592"/>
      <w:r/>
      <w:bookmarkStart w:id="7" w:name="_Toc7166"/>
      <w:r/>
      <w:r/>
    </w:p>
    <w:p>
      <w:pPr>
        <w:ind w:left="0"/>
        <w:jc w:val="center"/>
        <w:rPr>
          <w:rFonts w:ascii="宋体" w:hAnsi="宋体" w:cs="宋体"/>
          <w:sz w:val="44"/>
          <w:szCs w:val="44"/>
        </w:rPr>
      </w:pPr>
      <w:r>
        <w:rPr>
          <w:rFonts w:ascii="宋体" w:hAnsi="宋体" w:cs="宋体"/>
          <w:sz w:val="44"/>
          <w:szCs w:val="44"/>
        </w:rPr>
      </w:r>
      <w:r/>
    </w:p>
    <w:p>
      <w:pPr>
        <w:ind w:left="0"/>
        <w:jc w:val="center"/>
        <w:rPr>
          <w:rFonts w:ascii="宋体" w:hAnsi="宋体" w:cs="宋体"/>
          <w:sz w:val="44"/>
          <w:szCs w:val="44"/>
        </w:rPr>
      </w:pPr>
      <w:r>
        <w:rPr>
          <w:rFonts w:hint="eastAsia" w:ascii="宋体" w:hAnsi="宋体" w:cs="宋体"/>
          <w:sz w:val="44"/>
          <w:szCs w:val="44"/>
        </w:rPr>
        <w:t xml:space="preserve">目     录</w:t>
      </w:r>
      <w:r/>
    </w:p>
    <w:p>
      <w:pPr>
        <w:pStyle w:val="1053"/>
        <w:rPr>
          <w:rFonts w:ascii="宋体" w:hAnsi="宋体" w:cs="宋体"/>
        </w:rPr>
      </w:pPr>
      <w:r>
        <w:rPr>
          <w:rFonts w:ascii="宋体" w:hAnsi="宋体" w:cs="宋体"/>
        </w:rPr>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rPr>
          <w:rFonts w:hint="eastAsia" w:ascii="宋体" w:hAnsi="宋体" w:cs="宋体"/>
          <w:sz w:val="28"/>
          <w:szCs w:val="28"/>
        </w:rPr>
        <w:fldChar w:fldCharType="begin"/>
      </w:r>
      <w:r>
        <w:rPr>
          <w:rFonts w:hint="eastAsia" w:ascii="宋体" w:hAnsi="宋体" w:cs="宋体"/>
          <w:sz w:val="28"/>
          <w:szCs w:val="28"/>
        </w:rPr>
        <w:instrText xml:space="preserve"> HYPERLINK \l _Toc31973 </w:instrText>
      </w:r>
      <w:r>
        <w:rPr>
          <w:rFonts w:hint="eastAsia" w:ascii="宋体" w:hAnsi="宋体" w:cs="宋体"/>
          <w:sz w:val="28"/>
          <w:szCs w:val="28"/>
        </w:rPr>
        <w:fldChar w:fldCharType="separate"/>
      </w:r>
      <w:r>
        <w:rPr>
          <w:rFonts w:hint="eastAsia" w:ascii="宋体" w:hAnsi="宋体" w:cs="宋体"/>
          <w:sz w:val="28"/>
          <w:szCs w:val="28"/>
        </w:rPr>
        <w:t xml:space="preserve">第一章 磋商邀请函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_Toc31973 \h </w:instrText>
      </w:r>
      <w:r>
        <w:rPr>
          <w:rFonts w:hint="eastAsia" w:ascii="宋体" w:hAnsi="宋体" w:cs="宋体"/>
          <w:sz w:val="28"/>
          <w:szCs w:val="28"/>
        </w:rPr>
        <w:fldChar w:fldCharType="separate"/>
      </w:r>
      <w:r>
        <w:rPr>
          <w:rFonts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_Toc17757 </w:instrText>
      </w:r>
      <w:r>
        <w:rPr>
          <w:rFonts w:hint="eastAsia" w:ascii="宋体" w:hAnsi="宋体" w:cs="宋体"/>
          <w:sz w:val="28"/>
          <w:szCs w:val="28"/>
        </w:rPr>
        <w:fldChar w:fldCharType="separate"/>
      </w:r>
      <w:r>
        <w:rPr>
          <w:rFonts w:hint="eastAsia" w:ascii="宋体" w:hAnsi="宋体" w:cs="宋体"/>
          <w:sz w:val="28"/>
          <w:szCs w:val="28"/>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_Toc17757 \h </w:instrText>
      </w:r>
      <w:r>
        <w:rPr>
          <w:rFonts w:hint="eastAsia" w:ascii="宋体" w:hAnsi="宋体" w:cs="宋体"/>
          <w:sz w:val="28"/>
          <w:szCs w:val="28"/>
        </w:rPr>
        <w:fldChar w:fldCharType="separate"/>
      </w:r>
      <w:r>
        <w:rPr>
          <w:rFonts w:ascii="宋体" w:hAnsi="宋体" w:cs="宋体"/>
          <w:sz w:val="28"/>
          <w:szCs w:val="28"/>
        </w:rPr>
        <w:t xml:space="preserve">7</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_Toc332 </w:instrText>
      </w:r>
      <w:r>
        <w:rPr>
          <w:rFonts w:hint="eastAsia" w:ascii="宋体" w:hAnsi="宋体" w:cs="宋体"/>
          <w:sz w:val="28"/>
          <w:szCs w:val="28"/>
        </w:rPr>
        <w:fldChar w:fldCharType="separate"/>
      </w:r>
      <w:r>
        <w:rPr>
          <w:rFonts w:hint="eastAsia" w:ascii="宋体" w:hAnsi="宋体" w:cs="宋体"/>
          <w:sz w:val="28"/>
          <w:szCs w:val="28"/>
        </w:rPr>
        <w:t xml:space="preserve">第三章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_Toc332 \h </w:instrText>
      </w:r>
      <w:r>
        <w:rPr>
          <w:rFonts w:hint="eastAsia" w:ascii="宋体" w:hAnsi="宋体" w:cs="宋体"/>
          <w:sz w:val="28"/>
          <w:szCs w:val="28"/>
        </w:rPr>
        <w:fldChar w:fldCharType="separate"/>
      </w:r>
      <w:r>
        <w:rPr>
          <w:rFonts w:ascii="宋体" w:hAnsi="宋体" w:cs="宋体"/>
          <w:sz w:val="28"/>
          <w:szCs w:val="28"/>
        </w:rPr>
        <w:t xml:space="preserve">14</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_Toc23981 </w:instrText>
      </w:r>
      <w:r>
        <w:rPr>
          <w:rFonts w:hint="eastAsia" w:ascii="宋体" w:hAnsi="宋体" w:cs="宋体"/>
          <w:sz w:val="28"/>
          <w:szCs w:val="28"/>
        </w:rPr>
        <w:fldChar w:fldCharType="separate"/>
      </w:r>
      <w:r>
        <w:rPr>
          <w:rFonts w:hint="eastAsia" w:ascii="宋体" w:hAnsi="宋体" w:cs="宋体"/>
          <w:sz w:val="28"/>
          <w:szCs w:val="28"/>
        </w:rPr>
        <w:t xml:space="preserve">第四章 采购内容</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_Toc23981 \h </w:instrText>
      </w:r>
      <w:r>
        <w:rPr>
          <w:rFonts w:hint="eastAsia" w:ascii="宋体" w:hAnsi="宋体" w:cs="宋体"/>
          <w:sz w:val="28"/>
          <w:szCs w:val="28"/>
        </w:rPr>
        <w:fldChar w:fldCharType="separate"/>
      </w:r>
      <w:r>
        <w:rPr>
          <w:rFonts w:ascii="宋体" w:hAnsi="宋体" w:cs="宋体"/>
          <w:sz w:val="28"/>
          <w:szCs w:val="28"/>
        </w:rPr>
        <w:t xml:space="preserve">32</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_Toc26481 </w:instrText>
      </w:r>
      <w:r>
        <w:rPr>
          <w:rFonts w:hint="eastAsia" w:ascii="宋体" w:hAnsi="宋体" w:cs="宋体"/>
          <w:sz w:val="28"/>
          <w:szCs w:val="28"/>
        </w:rPr>
        <w:fldChar w:fldCharType="separate"/>
      </w:r>
      <w:r>
        <w:rPr>
          <w:rFonts w:hint="eastAsia" w:ascii="宋体" w:hAnsi="宋体" w:cs="宋体"/>
          <w:sz w:val="28"/>
          <w:szCs w:val="28"/>
        </w:rPr>
        <w:t xml:space="preserve">第五章 合同及主要条款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_Toc26481 \h </w:instrText>
      </w:r>
      <w:r>
        <w:rPr>
          <w:rFonts w:hint="eastAsia" w:ascii="宋体" w:hAnsi="宋体" w:cs="宋体"/>
          <w:sz w:val="28"/>
          <w:szCs w:val="28"/>
        </w:rPr>
        <w:fldChar w:fldCharType="separate"/>
      </w:r>
      <w:r>
        <w:rPr>
          <w:rFonts w:ascii="宋体" w:hAnsi="宋体" w:cs="宋体"/>
          <w:sz w:val="28"/>
          <w:szCs w:val="28"/>
        </w:rPr>
        <w:t xml:space="preserve">39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spacing w:line="360" w:lineRule="auto"/>
        <w:widowControl w:val="off"/>
        <w:tabs>
          <w:tab w:val="right" w:pos="9864"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HYPERLINK \l _Toc16154 </w:instrText>
      </w:r>
      <w:r>
        <w:rPr>
          <w:rFonts w:hint="eastAsia" w:ascii="宋体" w:hAnsi="宋体" w:cs="宋体"/>
          <w:sz w:val="28"/>
          <w:szCs w:val="28"/>
        </w:rPr>
        <w:fldChar w:fldCharType="separate"/>
      </w:r>
      <w:r>
        <w:rPr>
          <w:rFonts w:hint="eastAsia" w:ascii="宋体" w:hAnsi="宋体" w:cs="宋体"/>
          <w:sz w:val="28"/>
          <w:szCs w:val="28"/>
        </w:rPr>
        <w:t xml:space="preserve">第六章 评审办法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_Toc16154 \h </w:instrText>
      </w:r>
      <w:r>
        <w:rPr>
          <w:rFonts w:hint="eastAsia" w:ascii="宋体" w:hAnsi="宋体" w:cs="宋体"/>
          <w:sz w:val="28"/>
          <w:szCs w:val="28"/>
        </w:rPr>
        <w:fldChar w:fldCharType="separate"/>
      </w:r>
      <w:r>
        <w:rPr>
          <w:rFonts w:ascii="宋体" w:hAnsi="宋体" w:cs="宋体"/>
          <w:sz w:val="28"/>
          <w:szCs w:val="28"/>
        </w:rPr>
        <w:t xml:space="preserve">47</w:t>
      </w:r>
      <w:r>
        <w:rPr>
          <w:rFonts w:hint="eastAsia" w:ascii="宋体" w:hAnsi="宋体" w:cs="宋体"/>
          <w:sz w:val="28"/>
          <w:szCs w:val="28"/>
        </w:rPr>
        <w:fldChar w:fldCharType="end"/>
      </w:r>
      <w:r>
        <w:rPr>
          <w:rFonts w:hint="eastAsia" w:ascii="宋体" w:hAnsi="宋体" w:cs="宋体"/>
          <w:sz w:val="28"/>
          <w:szCs w:val="28"/>
        </w:rPr>
        <w:fldChar w:fldCharType="end"/>
      </w:r>
      <w:r/>
    </w:p>
    <w:p>
      <w:pPr>
        <w:pStyle w:val="1064"/>
        <w:ind w:firstLine="0"/>
        <w:tabs>
          <w:tab w:val="right" w:pos="9864" w:leader="dot"/>
        </w:tabs>
        <w:rPr>
          <w:rFonts w:ascii="宋体" w:hAnsi="宋体" w:cs="宋体"/>
          <w:sz w:val="28"/>
          <w:szCs w:val="28"/>
        </w:rPr>
      </w:pPr>
      <w:r>
        <w:fldChar w:fldCharType="begin"/>
      </w:r>
      <w:r>
        <w:instrText xml:space="preserve"> HYPERLINK \l "_Toc9262" </w:instrText>
      </w:r>
      <w:r>
        <w:fldChar w:fldCharType="separate"/>
      </w:r>
      <w:r>
        <w:fldChar w:fldCharType="end"/>
      </w:r>
      <w:r/>
    </w:p>
    <w:p>
      <w:pPr>
        <w:ind w:left="0"/>
        <w:spacing w:line="360" w:lineRule="auto"/>
        <w:rPr>
          <w:rFonts w:ascii="宋体" w:hAnsi="宋体" w:cs="宋体"/>
          <w:b/>
          <w:sz w:val="44"/>
          <w:szCs w:val="44"/>
        </w:rPr>
      </w:pPr>
      <w:r>
        <w:rPr>
          <w:rFonts w:hint="eastAsia" w:ascii="宋体" w:hAnsi="宋体" w:cs="宋体"/>
          <w:sz w:val="28"/>
          <w:szCs w:val="28"/>
        </w:rPr>
        <w:fldChar w:fldCharType="end"/>
      </w:r>
      <w:bookmarkStart w:id="8" w:name="_Toc6212"/>
      <w:r>
        <w:rPr>
          <w:rFonts w:hint="eastAsia" w:ascii="宋体" w:hAnsi="宋体" w:cs="宋体"/>
          <w:b/>
          <w:sz w:val="44"/>
          <w:szCs w:val="44"/>
        </w:rPr>
        <w:br w:type="page" w:clear="all"/>
      </w:r>
      <w:bookmarkEnd w:id="8"/>
      <w:r/>
      <w:bookmarkStart w:id="9" w:name="_Toc19808"/>
      <w:r/>
      <w:r/>
    </w:p>
    <w:p>
      <w:pPr>
        <w:pStyle w:val="1047"/>
        <w:ind w:left="0" w:firstLine="0"/>
        <w:jc w:val="center"/>
        <w:rPr>
          <w:rFonts w:ascii="宋体" w:hAnsi="宋体" w:cs="宋体"/>
          <w:b/>
          <w:sz w:val="44"/>
          <w:szCs w:val="44"/>
        </w:rPr>
      </w:pPr>
      <w:r>
        <w:rPr>
          <w:rFonts w:ascii="宋体" w:hAnsi="宋体" w:cs="宋体"/>
          <w:b/>
          <w:sz w:val="44"/>
          <w:szCs w:val="44"/>
        </w:rPr>
      </w:r>
      <w:r/>
    </w:p>
    <w:p>
      <w:pPr>
        <w:pStyle w:val="1047"/>
        <w:ind w:left="0" w:firstLine="0"/>
        <w:jc w:val="center"/>
        <w:rPr>
          <w:rFonts w:ascii="宋体" w:hAnsi="宋体" w:cs="宋体"/>
          <w:b/>
          <w:sz w:val="44"/>
          <w:szCs w:val="44"/>
        </w:rPr>
      </w:pPr>
      <w:r>
        <w:rPr>
          <w:rFonts w:ascii="宋体" w:hAnsi="宋体" w:cs="宋体"/>
          <w:b/>
          <w:sz w:val="44"/>
          <w:szCs w:val="44"/>
        </w:rPr>
      </w:r>
      <w:r/>
    </w:p>
    <w:p>
      <w:pPr>
        <w:pStyle w:val="1047"/>
        <w:ind w:left="0" w:firstLine="0"/>
        <w:jc w:val="center"/>
        <w:rPr>
          <w:rFonts w:ascii="宋体" w:hAnsi="宋体" w:cs="宋体"/>
          <w:b/>
          <w:sz w:val="44"/>
          <w:szCs w:val="44"/>
        </w:rPr>
      </w:pPr>
      <w:r>
        <w:rPr>
          <w:rFonts w:ascii="宋体" w:hAnsi="宋体" w:cs="宋体"/>
          <w:b/>
          <w:sz w:val="44"/>
          <w:szCs w:val="44"/>
        </w:rPr>
      </w:r>
      <w:r/>
    </w:p>
    <w:p>
      <w:pPr>
        <w:pStyle w:val="1047"/>
        <w:ind w:left="0" w:firstLine="0"/>
        <w:jc w:val="center"/>
        <w:rPr>
          <w:rFonts w:ascii="宋体" w:hAnsi="宋体" w:cs="宋体"/>
          <w:b/>
          <w:sz w:val="44"/>
          <w:szCs w:val="44"/>
        </w:rPr>
      </w:pPr>
      <w:r/>
      <w:bookmarkStart w:id="10" w:name="_Toc31973"/>
      <w:r/>
      <w:bookmarkStart w:id="11" w:name="_Toc22054"/>
      <w:r>
        <w:rPr>
          <w:rFonts w:hint="eastAsia" w:ascii="宋体" w:hAnsi="宋体" w:cs="宋体"/>
          <w:b/>
          <w:sz w:val="44"/>
          <w:szCs w:val="44"/>
        </w:rPr>
        <w:t xml:space="preserve">第一章 磋商邀请函</w:t>
      </w:r>
      <w:bookmarkEnd w:id="4"/>
      <w:r/>
      <w:bookmarkEnd w:id="5"/>
      <w:r/>
      <w:bookmarkEnd w:id="6"/>
      <w:r/>
      <w:bookmarkEnd w:id="7"/>
      <w:r/>
      <w:bookmarkEnd w:id="9"/>
      <w:r/>
      <w:bookmarkEnd w:id="10"/>
      <w:r/>
      <w:bookmarkEnd w:id="11"/>
      <w:r/>
      <w:r/>
    </w:p>
    <w:p>
      <w:pPr>
        <w:pStyle w:val="1047"/>
        <w:ind w:left="0" w:firstLine="0"/>
        <w:rPr>
          <w:rFonts w:ascii="宋体" w:hAnsi="宋体" w:cs="宋体"/>
          <w:b/>
          <w:sz w:val="44"/>
          <w:szCs w:val="44"/>
        </w:rPr>
      </w:pPr>
      <w:r>
        <w:rPr>
          <w:rFonts w:ascii="宋体" w:hAnsi="宋体" w:cs="宋体"/>
          <w:b/>
          <w:sz w:val="44"/>
          <w:szCs w:val="44"/>
        </w:rPr>
      </w:r>
      <w:r/>
    </w:p>
    <w:p>
      <w:pPr>
        <w:ind w:left="0" w:firstLine="480"/>
        <w:jc w:val="left"/>
        <w:spacing w:line="360" w:lineRule="auto"/>
        <w:rPr>
          <w:rFonts w:ascii="宋体" w:hAnsi="宋体" w:cs="宋体"/>
          <w:sz w:val="24"/>
          <w:szCs w:val="24"/>
        </w:rPr>
      </w:pPr>
      <w:r/>
      <w:bookmarkStart w:id="12" w:name="_Toc16571"/>
      <w:r/>
      <w:bookmarkStart w:id="13" w:name="_Toc3644"/>
      <w:r>
        <w:rPr>
          <w:rFonts w:hint="eastAsia" w:ascii="宋体" w:hAnsi="宋体" w:cs="宋体"/>
          <w:sz w:val="24"/>
          <w:szCs w:val="24"/>
        </w:rPr>
        <w:br w:type="page" w:clear="all"/>
      </w:r>
      <w:r>
        <w:rPr>
          <w:rFonts w:hint="eastAsia" w:ascii="宋体" w:hAnsi="宋体" w:cs="宋体"/>
          <w:sz w:val="24"/>
          <w:szCs w:val="24"/>
        </w:rPr>
        <w:t xml:space="preserve">江苏仁禾中衡工程咨询房地产估价有限公司受</w:t>
      </w:r>
      <w:r>
        <w:rPr>
          <w:rFonts w:hint="eastAsia" w:ascii="宋体" w:hAnsi="宋体" w:cs="宋体"/>
          <w:sz w:val="24"/>
          <w:szCs w:val="24"/>
          <w:u w:val="single"/>
        </w:rPr>
        <w:t xml:space="preserve">苏州相城经济技术开发区管理委员会</w:t>
      </w:r>
      <w:r>
        <w:rPr>
          <w:rFonts w:hint="eastAsia" w:ascii="宋体" w:hAnsi="宋体" w:cs="宋体"/>
          <w:sz w:val="24"/>
          <w:szCs w:val="24"/>
        </w:rPr>
        <w:t xml:space="preserve">的委托，就</w:t>
      </w:r>
      <w:r>
        <w:rPr>
          <w:rFonts w:hint="eastAsia" w:ascii="宋体" w:hAnsi="宋体" w:cs="宋体"/>
          <w:sz w:val="24"/>
          <w:szCs w:val="24"/>
          <w:u w:val="single"/>
        </w:rPr>
        <w:t xml:space="preserve">经开区电力管线咨询服务</w:t>
      </w:r>
      <w:r>
        <w:rPr>
          <w:rFonts w:hint="eastAsia" w:ascii="宋体" w:hAnsi="宋体" w:cs="宋体"/>
          <w:sz w:val="24"/>
          <w:szCs w:val="24"/>
        </w:rPr>
        <w:t xml:space="preserve">采用竞争性磋商方式进行采购。欢迎符合资格条件的供应商前来报名参加磋商。</w:t>
      </w:r>
      <w:bookmarkEnd w:id="12"/>
      <w:r/>
      <w:bookmarkEnd w:id="13"/>
      <w:r/>
      <w:r/>
    </w:p>
    <w:p>
      <w:pPr>
        <w:ind w:left="0" w:firstLine="480"/>
        <w:spacing w:line="360" w:lineRule="auto"/>
        <w:widowControl w:val="off"/>
        <w:rPr>
          <w:rFonts w:ascii="宋体" w:hAnsi="宋体" w:cs="宋体"/>
          <w:sz w:val="24"/>
          <w:szCs w:val="24"/>
        </w:rPr>
      </w:pPr>
      <w:r/>
      <w:bookmarkStart w:id="14" w:name="_Toc19838"/>
      <w:r/>
      <w:bookmarkStart w:id="15" w:name="_Toc14794"/>
      <w:r>
        <w:rPr>
          <w:rFonts w:hint="eastAsia" w:ascii="宋体" w:hAnsi="宋体" w:cs="宋体"/>
          <w:sz w:val="24"/>
          <w:szCs w:val="24"/>
        </w:rPr>
        <w:t xml:space="preserve">一、项目基本情况：</w:t>
      </w:r>
      <w:r/>
    </w:p>
    <w:p>
      <w:pPr>
        <w:ind w:left="0" w:firstLine="480"/>
        <w:spacing w:line="360" w:lineRule="auto"/>
        <w:widowControl w:val="off"/>
        <w:rPr>
          <w:rFonts w:ascii="宋体" w:hAnsi="宋体" w:cs="宋体"/>
          <w:b/>
          <w:sz w:val="24"/>
          <w:szCs w:val="24"/>
        </w:rPr>
      </w:pPr>
      <w:r>
        <w:rPr>
          <w:rFonts w:hint="eastAsia" w:ascii="宋体" w:hAnsi="宋体" w:cs="宋体"/>
          <w:sz w:val="24"/>
          <w:szCs w:val="24"/>
        </w:rPr>
        <w:t xml:space="preserve">1、项目编号：JSZC-320507-RHHH-C2024-0163号</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2、项目名称：经开区电力管线咨询服务       </w:t>
      </w:r>
      <w:r/>
    </w:p>
    <w:p>
      <w:pPr>
        <w:pStyle w:val="898"/>
        <w:ind w:left="0" w:firstLine="480"/>
        <w:spacing w:line="360" w:lineRule="auto"/>
        <w:rPr>
          <w:rFonts w:ascii="宋体" w:hAnsi="宋体" w:cs="宋体"/>
          <w:sz w:val="24"/>
          <w:szCs w:val="24"/>
        </w:rPr>
      </w:pPr>
      <w:r>
        <w:rPr>
          <w:rFonts w:hint="eastAsia" w:ascii="宋体" w:hAnsi="宋体" w:cs="宋体"/>
          <w:sz w:val="24"/>
          <w:szCs w:val="24"/>
        </w:rPr>
        <w:t xml:space="preserve">3、采购方式：竞争性磋商</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4、采购预算：</w:t>
      </w:r>
      <w:r/>
    </w:p>
    <w:p>
      <w:pPr>
        <w:ind w:left="0" w:firstLine="480"/>
        <w:spacing w:line="360" w:lineRule="auto"/>
        <w:rPr>
          <w:rStyle w:val="1081"/>
          <w:rFonts w:ascii="宋体" w:hAnsi="宋体" w:cs="宋体"/>
          <w:sz w:val="24"/>
          <w:szCs w:val="24"/>
        </w:rPr>
      </w:pPr>
      <w:r>
        <w:rPr>
          <w:rStyle w:val="1081"/>
          <w:rFonts w:hint="eastAsia" w:ascii="宋体" w:hAnsi="宋体" w:cs="宋体"/>
          <w:sz w:val="24"/>
          <w:szCs w:val="24"/>
        </w:rPr>
        <w:t xml:space="preserve">人民币（大写）：捌拾玖万壹仟元整</w:t>
      </w:r>
      <w:r/>
    </w:p>
    <w:p>
      <w:pPr>
        <w:ind w:left="0" w:firstLine="480"/>
        <w:spacing w:line="360" w:lineRule="auto"/>
        <w:rPr>
          <w:rStyle w:val="1081"/>
          <w:rFonts w:ascii="宋体" w:hAnsi="宋体" w:cs="宋体"/>
          <w:sz w:val="24"/>
          <w:szCs w:val="24"/>
        </w:rPr>
      </w:pPr>
      <w:r>
        <w:rPr>
          <w:rStyle w:val="1081"/>
          <w:rFonts w:hint="eastAsia" w:ascii="宋体" w:hAnsi="宋体" w:cs="宋体"/>
          <w:sz w:val="24"/>
          <w:szCs w:val="24"/>
        </w:rPr>
        <w:t xml:space="preserve">人民币（小写）：¥891000.00元</w:t>
      </w:r>
      <w:r/>
    </w:p>
    <w:p>
      <w:pPr>
        <w:ind w:left="0" w:firstLine="480"/>
        <w:spacing w:line="360" w:lineRule="auto"/>
        <w:rPr>
          <w:rFonts w:ascii="宋体" w:hAnsi="宋体" w:cs="宋体"/>
          <w:sz w:val="24"/>
          <w:szCs w:val="24"/>
        </w:rPr>
      </w:pPr>
      <w:r>
        <w:rPr>
          <w:rFonts w:hint="eastAsia" w:ascii="宋体" w:hAnsi="宋体" w:cs="宋体"/>
          <w:sz w:val="24"/>
          <w:szCs w:val="24"/>
        </w:rPr>
        <w:t xml:space="preserve">5、本项目不接受联合体。</w:t>
      </w:r>
      <w:bookmarkEnd w:id="14"/>
      <w:r/>
      <w:bookmarkEnd w:id="15"/>
      <w:r/>
      <w:r/>
    </w:p>
    <w:p>
      <w:pPr>
        <w:ind w:left="0" w:firstLine="480"/>
        <w:spacing w:line="360" w:lineRule="auto"/>
        <w:rPr>
          <w:rFonts w:ascii="宋体" w:hAnsi="宋体" w:cs="宋体"/>
          <w:sz w:val="24"/>
          <w:szCs w:val="24"/>
        </w:rPr>
      </w:pPr>
      <w:r/>
      <w:bookmarkStart w:id="16" w:name="_Toc57376406"/>
      <w:r/>
      <w:bookmarkStart w:id="17" w:name="_Toc2412"/>
      <w:r/>
      <w:bookmarkStart w:id="18" w:name="_Toc58248880"/>
      <w:r/>
      <w:bookmarkStart w:id="19" w:name="_Toc6217"/>
      <w:r>
        <w:rPr>
          <w:rFonts w:hint="eastAsia" w:ascii="宋体" w:hAnsi="宋体" w:cs="宋体"/>
          <w:sz w:val="24"/>
          <w:szCs w:val="24"/>
        </w:rPr>
        <w:t xml:space="preserve">二、申请人的资格要求：</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（1）具有独立承担民事责任的能力；</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（5）参加政府采购活动近三年内，在经营活动中没有重大违法记录；</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（6）法律、行政法规规定的其他条件。</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落实政府采购政策需满足的资格要求：根据《政府采购促进中小企业发展管理办法》及《关于印发&lt;苏州市政府采购促进中小企业发展实施意见&gt;的通知》（苏财购〔2022〕16号）的相关规定，本项目专门面向中小企业，供应商应为中小微企业、监狱企业、残疾人福利性单位。</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3、本项目的特定资格要求：无。</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三、获取采购文件：</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（一）时间：自本项目采购公告发布之日起至2024年11月0</w:t>
      </w:r>
      <w:r>
        <w:rPr>
          <w:rFonts w:hint="eastAsia" w:ascii="宋体" w:hAnsi="宋体" w:cs="宋体"/>
          <w:sz w:val="24"/>
          <w:szCs w:val="24"/>
          <w:lang w:val="en-US" w:eastAsia="zh-CN"/>
        </w:rPr>
        <w:t xml:space="preserve">7</w:t>
      </w:r>
      <w:r>
        <w:rPr>
          <w:rFonts w:hint="eastAsia" w:ascii="宋体" w:hAnsi="宋体" w:cs="宋体"/>
          <w:sz w:val="24"/>
          <w:szCs w:val="24"/>
        </w:rPr>
        <w:t xml:space="preserve">日</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（二）地点：“苏采云”系统下载（网址：http://jszfcg.jsczt.cn/）</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（三）方式：网上获取</w:t>
      </w:r>
      <w:bookmarkStart w:id="84" w:name="_GoBack"/>
      <w:r/>
      <w:bookmarkEnd w:id="84"/>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1、CA证书办理</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2、参与采购活动</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3、电子投标准备 </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4、在系统操作过程中如有疑问，请按以下方式联系：</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注册咨询：18261002950；</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CA技术咨询电话：400-608-6099；</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系统使用指导与咨询：联系电话：18261002950；QQ：3048755361、1315179389、895706745。</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5、售价：免费获取</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四、提交响应文件截止时间、开标时间和地点</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1、提交响应文件截止时间：2024年11月1</w:t>
      </w:r>
      <w:r>
        <w:rPr>
          <w:rFonts w:hint="eastAsia" w:ascii="宋体" w:hAnsi="宋体" w:cs="宋体"/>
          <w:sz w:val="24"/>
          <w:szCs w:val="24"/>
          <w:lang w:val="en-US" w:eastAsia="zh-CN"/>
        </w:rPr>
        <w:t xml:space="preserve">3</w:t>
      </w:r>
      <w:r>
        <w:rPr>
          <w:rFonts w:hint="eastAsia" w:ascii="宋体" w:hAnsi="宋体" w:cs="宋体"/>
          <w:sz w:val="24"/>
          <w:szCs w:val="24"/>
        </w:rPr>
        <w:t xml:space="preserve">日13点30分（北京时间）；</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2、开标时间：2024年11月1</w:t>
      </w:r>
      <w:r>
        <w:rPr>
          <w:rFonts w:hint="eastAsia" w:ascii="宋体" w:hAnsi="宋体" w:cs="宋体"/>
          <w:sz w:val="24"/>
          <w:szCs w:val="24"/>
          <w:lang w:val="en-US" w:eastAsia="zh-CN"/>
        </w:rPr>
        <w:t xml:space="preserve">3</w:t>
      </w:r>
      <w:r>
        <w:rPr>
          <w:rFonts w:hint="eastAsia" w:ascii="宋体" w:hAnsi="宋体" w:cs="宋体"/>
          <w:sz w:val="24"/>
          <w:szCs w:val="24"/>
        </w:rPr>
        <w:t xml:space="preserve">日13点30分（北京时间）；</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3、开标地点：“苏采云”系统（网址：http://jszfcg.jsczt.cn/）</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CA证书解密电子响应文件，如在系统规定的解密时间（响应文件提交截止时间后30分钟）内未能完成解密的视为放弃投标。</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请供应商确保电脑、系统及其他设备（视频输入输出设备等）无误，且开标直至项目结束始终保持系统在线状态。</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五、其他补充事宜</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1、为本项目提供整体设计、规范编制或者项目管理、监理、检测等服务的供应商：无。</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3、不同供应商响应文件的制作机器码一致，均视为无效响应。</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4、政府采购管理监督电话：0512-67591005、0512-67591006</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5、本采购信息公告媒体：苏州市政府采购网、江苏政府采购网、中国政府采购网。</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6、响应保证金：本项目无需提交响应保证金。项目不收投标（响应）保证金的，投标（响应）人应在投标（响应）文件中提交《投标（响应）保证承诺书》（格式见采购文件第三章）。</w:t>
      </w:r>
      <w:r/>
    </w:p>
    <w:p>
      <w:pPr>
        <w:ind w:left="0" w:firstLine="480"/>
        <w:spacing w:line="360" w:lineRule="auto"/>
        <w:widowControl w:val="off"/>
      </w:pPr>
      <w:r>
        <w:rPr>
          <w:rFonts w:hint="eastAsia" w:ascii="宋体" w:hAnsi="宋体" w:cs="宋体"/>
          <w:sz w:val="24"/>
          <w:szCs w:val="24"/>
        </w:rPr>
        <w:t xml:space="preserve">7、本项目获取招标文件截止日期之后仍可以下载招标文件，但截止日期之后下载的招标文件，视为非有效方式且不作为供应商权益受到损害的证明材料和依据。</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8、根据《政府采购促进中小企业发展管理办法》（财库〔2020〕46号）及《中小企业划型标准规定》（工信部联企业〔2011〕300号），本项目采购标的对应的中小企业划分标准所属行业为：其他未列明行业。</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六、凡对本次采购提出询问，请按以下方式联系：</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1、采购人信息</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名    称：苏州相城经济技术开发区管理委员会</w:t>
      </w:r>
      <w:r/>
    </w:p>
    <w:p>
      <w:pPr>
        <w:ind w:left="0" w:firstLine="480"/>
        <w:spacing w:line="360" w:lineRule="auto"/>
        <w:rPr>
          <w:rFonts w:ascii="宋体" w:hAnsi="宋体" w:cs="宋体"/>
          <w:sz w:val="24"/>
          <w:szCs w:val="24"/>
        </w:rPr>
      </w:pPr>
      <w:r>
        <w:rPr>
          <w:rFonts w:hint="eastAsia" w:ascii="宋体" w:hAnsi="宋体" w:cs="宋体"/>
          <w:sz w:val="24"/>
          <w:szCs w:val="24"/>
        </w:rPr>
        <w:t xml:space="preserve">地    址：苏州相城经济技术开发区蠡塘河路900号</w:t>
      </w:r>
      <w:r/>
    </w:p>
    <w:p>
      <w:pPr>
        <w:ind w:left="0" w:firstLine="480"/>
        <w:spacing w:line="360" w:lineRule="auto"/>
        <w:rPr>
          <w:rFonts w:ascii="宋体" w:hAnsi="宋体" w:cs="宋体"/>
          <w:sz w:val="24"/>
          <w:szCs w:val="24"/>
        </w:rPr>
      </w:pPr>
      <w:r>
        <w:rPr>
          <w:rFonts w:hint="eastAsia" w:ascii="宋体" w:hAnsi="宋体" w:cs="宋体"/>
          <w:sz w:val="24"/>
          <w:szCs w:val="24"/>
        </w:rPr>
        <w:t xml:space="preserve">联 系 人：顾剑峰 </w:t>
      </w:r>
      <w:r/>
    </w:p>
    <w:p>
      <w:pPr>
        <w:ind w:left="0" w:firstLine="480"/>
        <w:spacing w:line="360" w:lineRule="auto"/>
        <w:rPr>
          <w:rFonts w:ascii="宋体" w:hAnsi="宋体" w:cs="宋体"/>
          <w:sz w:val="24"/>
          <w:szCs w:val="24"/>
        </w:rPr>
      </w:pPr>
      <w:r>
        <w:rPr>
          <w:rFonts w:hint="eastAsia" w:ascii="宋体" w:hAnsi="宋体" w:cs="宋体"/>
          <w:sz w:val="24"/>
          <w:szCs w:val="24"/>
        </w:rPr>
        <w:t xml:space="preserve">电    话：051266180139 </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2、采购代理机构信息</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名    称：</w:t>
      </w:r>
      <w:r>
        <w:rPr>
          <w:rFonts w:hint="eastAsia" w:ascii="宋体" w:hAnsi="宋体" w:cs="宋体"/>
          <w:sz w:val="24"/>
          <w:szCs w:val="24"/>
        </w:rPr>
        <w:t xml:space="preserve">江苏仁禾中衡工程咨询房地产估价有限公司</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地址：苏州市工业园区苏桐路37号2号楼5楼502室</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联系方式：0512-65261203-8003</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3、项目联系方式</w:t>
      </w:r>
      <w:r/>
    </w:p>
    <w:p>
      <w:pPr>
        <w:ind w:left="0" w:firstLine="480"/>
        <w:spacing w:line="360" w:lineRule="auto"/>
        <w:rPr>
          <w:rFonts w:ascii="宋体" w:hAnsi="宋体" w:cs="宋体"/>
          <w:bCs/>
          <w:sz w:val="24"/>
          <w:szCs w:val="24"/>
        </w:rPr>
      </w:pPr>
      <w:r>
        <w:rPr>
          <w:rFonts w:hint="eastAsia" w:ascii="宋体" w:hAnsi="宋体" w:cs="宋体"/>
          <w:bCs/>
          <w:sz w:val="24"/>
          <w:szCs w:val="24"/>
        </w:rPr>
        <w:t xml:space="preserve">项目联系人：</w:t>
      </w:r>
      <w:r>
        <w:rPr>
          <w:rFonts w:hint="eastAsia" w:ascii="宋体" w:hAnsi="宋体" w:cs="宋体"/>
          <w:sz w:val="24"/>
          <w:szCs w:val="24"/>
        </w:rPr>
        <w:t xml:space="preserve">杨洋、厉昆、王雯婧</w:t>
      </w:r>
      <w:r/>
    </w:p>
    <w:p>
      <w:pPr>
        <w:ind w:left="0" w:firstLine="480"/>
        <w:spacing w:line="360" w:lineRule="auto"/>
        <w:rPr>
          <w:rFonts w:ascii="宋体" w:hAnsi="宋体" w:cs="宋体"/>
        </w:rPr>
      </w:pPr>
      <w:r>
        <w:rPr>
          <w:rFonts w:hint="eastAsia" w:ascii="宋体" w:hAnsi="宋体" w:cs="宋体"/>
          <w:bCs/>
          <w:sz w:val="24"/>
          <w:szCs w:val="24"/>
        </w:rPr>
        <w:t xml:space="preserve">电      话：0512-65261203-8003</w:t>
      </w:r>
      <w:r/>
    </w:p>
    <w:p>
      <w:pPr>
        <w:pStyle w:val="1047"/>
        <w:jc w:val="center"/>
        <w:rPr>
          <w:rFonts w:ascii="宋体" w:hAnsi="宋体" w:cs="宋体"/>
          <w:b/>
          <w:sz w:val="44"/>
          <w:szCs w:val="44"/>
        </w:rPr>
      </w:pPr>
      <w:r>
        <w:rPr>
          <w:rFonts w:hint="eastAsia" w:ascii="宋体" w:hAnsi="宋体" w:cs="宋体"/>
          <w:b/>
          <w:sz w:val="44"/>
          <w:szCs w:val="44"/>
        </w:rPr>
        <w:br w:type="page" w:clear="all"/>
      </w:r>
      <w:bookmarkStart w:id="20" w:name="_Toc11400"/>
      <w:r/>
      <w:r/>
    </w:p>
    <w:p>
      <w:pPr>
        <w:pStyle w:val="1047"/>
        <w:jc w:val="center"/>
        <w:rPr>
          <w:rFonts w:ascii="宋体" w:hAnsi="宋体" w:cs="宋体"/>
          <w:b/>
          <w:sz w:val="44"/>
          <w:szCs w:val="44"/>
        </w:rPr>
      </w:pPr>
      <w:r>
        <w:rPr>
          <w:rFonts w:ascii="宋体" w:hAnsi="宋体" w:cs="宋体"/>
          <w:b/>
          <w:sz w:val="44"/>
          <w:szCs w:val="44"/>
        </w:rPr>
      </w:r>
      <w:r/>
    </w:p>
    <w:p>
      <w:pPr>
        <w:pStyle w:val="1047"/>
        <w:jc w:val="center"/>
        <w:rPr>
          <w:rFonts w:ascii="宋体" w:hAnsi="宋体" w:cs="宋体"/>
          <w:b/>
          <w:sz w:val="44"/>
          <w:szCs w:val="44"/>
        </w:rPr>
      </w:pPr>
      <w:r>
        <w:rPr>
          <w:rFonts w:ascii="宋体" w:hAnsi="宋体" w:cs="宋体"/>
          <w:b/>
          <w:sz w:val="44"/>
          <w:szCs w:val="44"/>
        </w:rPr>
      </w:r>
      <w:r/>
    </w:p>
    <w:p>
      <w:pPr>
        <w:pStyle w:val="1047"/>
        <w:jc w:val="center"/>
        <w:rPr>
          <w:rFonts w:ascii="宋体" w:hAnsi="宋体" w:cs="宋体"/>
          <w:b/>
          <w:sz w:val="44"/>
          <w:szCs w:val="44"/>
        </w:rPr>
      </w:pPr>
      <w:r>
        <w:rPr>
          <w:rFonts w:ascii="宋体" w:hAnsi="宋体" w:cs="宋体"/>
          <w:b/>
          <w:sz w:val="44"/>
          <w:szCs w:val="44"/>
        </w:rPr>
      </w:r>
      <w:r/>
    </w:p>
    <w:p>
      <w:pPr>
        <w:pStyle w:val="1047"/>
        <w:jc w:val="center"/>
        <w:rPr>
          <w:rFonts w:ascii="宋体" w:hAnsi="宋体" w:cs="宋体"/>
          <w:b/>
          <w:sz w:val="44"/>
          <w:szCs w:val="44"/>
        </w:rPr>
      </w:pPr>
      <w:r/>
      <w:bookmarkStart w:id="21" w:name="_Toc29635"/>
      <w:r/>
      <w:bookmarkStart w:id="22" w:name="_Toc17757"/>
      <w:r>
        <w:rPr>
          <w:rFonts w:hint="eastAsia" w:ascii="宋体" w:hAnsi="宋体" w:cs="宋体"/>
          <w:b/>
          <w:sz w:val="44"/>
          <w:szCs w:val="44"/>
        </w:rPr>
        <w:t xml:space="preserve">第二章 </w:t>
      </w:r>
      <w:bookmarkStart w:id="23" w:name="投标人须知"/>
      <w:r/>
      <w:bookmarkEnd w:id="23"/>
      <w:r>
        <w:rPr>
          <w:rFonts w:hint="eastAsia" w:ascii="宋体" w:hAnsi="宋体" w:cs="宋体"/>
          <w:b/>
          <w:sz w:val="44"/>
          <w:szCs w:val="44"/>
        </w:rPr>
        <w:t xml:space="preserve">磋商须知</w:t>
      </w:r>
      <w:bookmarkEnd w:id="16"/>
      <w:r/>
      <w:bookmarkEnd w:id="17"/>
      <w:r/>
      <w:bookmarkEnd w:id="18"/>
      <w:r/>
      <w:bookmarkEnd w:id="19"/>
      <w:r/>
      <w:bookmarkEnd w:id="20"/>
      <w:r/>
      <w:bookmarkEnd w:id="21"/>
      <w:r/>
      <w:bookmarkEnd w:id="22"/>
      <w:r/>
      <w:r/>
    </w:p>
    <w:p>
      <w:pPr>
        <w:pStyle w:val="1048"/>
        <w:ind w:left="0" w:firstLine="482"/>
        <w:keepNext w:val="0"/>
        <w:spacing w:before="0" w:after="0" w:line="360" w:lineRule="auto"/>
        <w:rPr>
          <w:rFonts w:ascii="宋体" w:hAnsi="宋体" w:cs="宋体"/>
          <w:i w:val="0"/>
          <w:iCs w:val="0"/>
          <w:sz w:val="24"/>
          <w:szCs w:val="24"/>
        </w:rPr>
      </w:pPr>
      <w:r/>
      <w:bookmarkStart w:id="24" w:name="_Toc58248881"/>
      <w:r/>
      <w:bookmarkStart w:id="25" w:name="_Toc57376407"/>
      <w:r/>
      <w:bookmarkStart w:id="26" w:name="_Toc7264"/>
      <w:r/>
      <w:bookmarkStart w:id="27" w:name="_Toc24711"/>
      <w:r>
        <w:rPr>
          <w:rFonts w:hint="eastAsia" w:ascii="宋体" w:hAnsi="宋体" w:cs="宋体"/>
          <w:i w:val="0"/>
          <w:iCs w:val="0"/>
          <w:sz w:val="24"/>
          <w:szCs w:val="24"/>
        </w:rPr>
        <w:br w:type="page" w:clear="all"/>
      </w:r>
      <w:bookmarkStart w:id="28" w:name="_Toc16525"/>
      <w:r>
        <w:rPr>
          <w:rFonts w:hint="eastAsia" w:ascii="宋体" w:hAnsi="宋体" w:cs="宋体"/>
          <w:i w:val="0"/>
          <w:iCs w:val="0"/>
          <w:sz w:val="24"/>
          <w:szCs w:val="24"/>
        </w:rPr>
        <w:t xml:space="preserve">一、响应文件的组成及要求</w:t>
      </w:r>
      <w:bookmarkEnd w:id="28"/>
      <w:r/>
      <w:r/>
    </w:p>
    <w:p>
      <w:pPr>
        <w:pStyle w:val="1051"/>
        <w:ind w:left="0" w:firstLine="482"/>
        <w:spacing w:line="360" w:lineRule="auto"/>
        <w:rPr>
          <w:rFonts w:ascii="宋体" w:hAnsi="宋体" w:cs="宋体"/>
          <w:b/>
          <w:bCs/>
          <w:sz w:val="24"/>
          <w:szCs w:val="24"/>
        </w:rPr>
      </w:pPr>
      <w:r>
        <w:rPr>
          <w:rFonts w:hint="eastAsia" w:ascii="宋体" w:hAnsi="宋体" w:cs="宋体"/>
          <w:b/>
          <w:bCs/>
          <w:sz w:val="24"/>
          <w:szCs w:val="24"/>
        </w:rPr>
        <w:t xml:space="preserve">（一）文件组成：</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1、响应文件一（报价部分）(格式见第三章)：</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1.1磋商响应函；</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1.2磋商报价表；</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1.3磋商报价明细表；</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1.4法定代表人授权委托书（如有授权）；</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2、响应文件二（资格及技术部分）（部分格式见第三章）：</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2.1关于资格文件的声明函；</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2.2磋商响应单位基本情况表；</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2.3磋商响应单位《营业执照》副本复印件或相应主体资格证明文件；</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2.4磋商响应单位法定代表人身份证复印件；</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2.5磋商响应单位代理人身份证复印件</w:t>
      </w:r>
      <w:r>
        <w:rPr>
          <w:rStyle w:val="1081"/>
          <w:rFonts w:hint="eastAsia" w:ascii="宋体" w:hAnsi="宋体" w:cs="宋体"/>
          <w:sz w:val="24"/>
          <w:szCs w:val="24"/>
        </w:rPr>
        <w:t xml:space="preserve">、法定代表人授权委托书</w:t>
      </w:r>
      <w:r>
        <w:rPr>
          <w:rFonts w:hint="eastAsia" w:ascii="宋体" w:hAnsi="宋体" w:cs="宋体"/>
          <w:sz w:val="24"/>
          <w:szCs w:val="24"/>
        </w:rPr>
        <w:t xml:space="preserve">（如有授权）；</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w:t>
      </w:r>
      <w:r>
        <w:rPr>
          <w:rStyle w:val="1081"/>
          <w:rFonts w:hint="eastAsia" w:ascii="宋体" w:hAnsi="宋体" w:cs="宋体"/>
          <w:sz w:val="24"/>
          <w:szCs w:val="24"/>
        </w:rPr>
        <w:t xml:space="preserve">合格供应商的基本条件、特定条件所需提供的相应证明材料，具体包括：</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2.6.1具有独立承担民事责任的能力证明。包括法人或者其他组织的营业执照等证明文件，自然人的身份证明；</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2.6.2具有良好的商业信誉和健全的财务会计制度证明。包括但不限于最近一期经审计的财务报告或提供银行出具的资信证明；</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2.6.3</w:t>
      </w:r>
      <w:r>
        <w:rPr>
          <w:rStyle w:val="1081"/>
          <w:rFonts w:hint="eastAsia" w:ascii="宋体" w:hAnsi="宋体" w:cs="宋体"/>
          <w:sz w:val="24"/>
          <w:szCs w:val="24"/>
        </w:rPr>
        <w:t xml:space="preserve">履行合同所必备的设备和专业技术能力的证明材料。包括履行合同所必需的设备和专业技术能力的书面声明等材料；</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2.6.4有依法缴纳税收和社会保障资金的良好记录。</w:t>
      </w:r>
      <w:r>
        <w:rPr>
          <w:rStyle w:val="1081"/>
          <w:rFonts w:hint="eastAsia" w:ascii="宋体" w:hAnsi="宋体" w:cs="宋体"/>
          <w:sz w:val="24"/>
          <w:szCs w:val="24"/>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2.6.5参加政府采购活动前三年内在经营活动中没有重大违法记录的书面声明函；</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2.6.6磋商响应单位证明其为合格供应商所具备的法律、行政法规规定的其他条件的证明材料：按照相关法律法规参与本项目所必须取得国家有关主管部门的行政许可（如有）；</w:t>
      </w:r>
      <w:r/>
    </w:p>
    <w:p>
      <w:pPr>
        <w:ind w:left="0" w:firstLine="480"/>
        <w:spacing w:line="360" w:lineRule="auto"/>
        <w:tabs>
          <w:tab w:val="left" w:pos="567" w:leader="none"/>
          <w:tab w:val="left" w:pos="900" w:leader="none"/>
        </w:tabs>
        <w:rPr>
          <w:rFonts w:ascii="宋体" w:hAnsi="宋体" w:cs="宋体"/>
          <w:b/>
          <w:bCs/>
          <w:sz w:val="24"/>
          <w:szCs w:val="24"/>
        </w:rPr>
      </w:pPr>
      <w:r>
        <w:rPr>
          <w:rFonts w:hint="eastAsia" w:ascii="宋体" w:hAnsi="宋体" w:cs="宋体"/>
          <w:sz w:val="24"/>
          <w:szCs w:val="24"/>
        </w:rPr>
        <w:t xml:space="preserve">2.6.7特定资格要求：无；</w:t>
      </w:r>
      <w:r/>
    </w:p>
    <w:p>
      <w:pPr>
        <w:ind w:left="0" w:firstLine="480"/>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2.6.8《中小企业声明函》或《残疾人福利性单位声明函》或省级以上监狱管理局、戒毒管理局（含新疆生产建设兵团）出具的属于监狱企业的证明文件。</w:t>
      </w:r>
      <w:r/>
    </w:p>
    <w:p>
      <w:pPr>
        <w:ind w:left="0" w:firstLine="482"/>
        <w:spacing w:line="360" w:lineRule="auto"/>
        <w:widowControl w:val="off"/>
        <w:rPr>
          <w:rStyle w:val="1081"/>
          <w:rFonts w:ascii="宋体" w:hAnsi="宋体" w:cs="宋体"/>
          <w:b/>
          <w:sz w:val="24"/>
          <w:szCs w:val="24"/>
        </w:rPr>
      </w:pPr>
      <w:r>
        <w:rPr>
          <w:rStyle w:val="1081"/>
          <w:rFonts w:hint="eastAsia" w:ascii="宋体" w:hAnsi="宋体" w:cs="宋体"/>
          <w:b/>
          <w:sz w:val="24"/>
          <w:szCs w:val="24"/>
        </w:rPr>
        <w:t xml:space="preserve">注：根据《政府采购促进中小企业发展管理办法》的相关规定，本项目专门面向中小企业，《中小企业声明函》为必须提供的资格证明材料，否则磋商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p>
    <w:p>
      <w:pPr>
        <w:ind w:left="0" w:firstLine="480"/>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2.7</w:t>
      </w:r>
      <w:r>
        <w:rPr>
          <w:rStyle w:val="1081"/>
          <w:rFonts w:hint="eastAsia" w:ascii="宋体" w:hAnsi="宋体"/>
          <w:sz w:val="24"/>
          <w:szCs w:val="24"/>
        </w:rPr>
        <w:t xml:space="preserve">《实施方案》；</w:t>
      </w:r>
      <w:r/>
    </w:p>
    <w:p>
      <w:pPr>
        <w:ind w:left="0" w:firstLine="480"/>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2.8《拟投入本项目人员配备一览表》；</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2.9《商务条款偏离表》</w:t>
      </w:r>
      <w:r>
        <w:rPr>
          <w:rStyle w:val="1081"/>
          <w:rFonts w:ascii="宋体" w:hAnsi="宋体"/>
          <w:szCs w:val="24"/>
        </w:rPr>
        <w:t xml:space="preserve">《服务要求偏离表》</w:t>
      </w:r>
      <w:r>
        <w:rPr>
          <w:rStyle w:val="1081"/>
          <w:rFonts w:hint="eastAsia" w:ascii="宋体" w:hAnsi="宋体" w:cs="宋体"/>
          <w:szCs w:val="24"/>
        </w:rPr>
        <w:t xml:space="preserve">；</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2.10《投标（响应）保证承诺书》《磋商响应单位与其他单位存在控股、管理关系情况表》；</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2.11磋商采购文件中要求必须提供的其他相关证明材料；</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2.12</w:t>
      </w:r>
      <w:r>
        <w:rPr>
          <w:rFonts w:hint="eastAsia" w:ascii="宋体" w:hAnsi="宋体" w:cs="宋体"/>
          <w:szCs w:val="24"/>
        </w:rPr>
        <w:t xml:space="preserve">《企业类似项目一览表》</w:t>
      </w:r>
      <w:r>
        <w:rPr>
          <w:rStyle w:val="1081"/>
          <w:rFonts w:hint="eastAsia" w:ascii="宋体" w:hAnsi="宋体" w:cs="宋体"/>
          <w:szCs w:val="24"/>
        </w:rPr>
        <w:t xml:space="preserve">；</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2.13其它有关资格证明文件：</w:t>
      </w:r>
      <w:r/>
    </w:p>
    <w:p>
      <w:pPr>
        <w:pStyle w:val="1082"/>
        <w:ind w:left="0" w:firstLine="480"/>
        <w:jc w:val="both"/>
        <w:spacing w:line="360" w:lineRule="auto"/>
        <w:widowControl w:val="off"/>
        <w:tabs>
          <w:tab w:val="left" w:pos="0" w:leader="none"/>
        </w:tabs>
        <w:rPr>
          <w:rStyle w:val="1081"/>
          <w:rFonts w:ascii="宋体" w:hAnsi="宋体" w:cs="宋体"/>
          <w:szCs w:val="24"/>
        </w:rPr>
      </w:pPr>
      <w:r>
        <w:rPr>
          <w:rStyle w:val="1081"/>
          <w:rFonts w:hint="eastAsia" w:ascii="宋体" w:hAnsi="宋体" w:cs="宋体"/>
          <w:szCs w:val="24"/>
        </w:rPr>
        <w:t xml:space="preserve">2.13.1其他可以证明磋商供应商资信、资质和货物、服务质量的证书、文件、推荐信等资料。</w:t>
      </w:r>
      <w:r/>
    </w:p>
    <w:p>
      <w:pPr>
        <w:pStyle w:val="1051"/>
        <w:ind w:left="0" w:firstLine="482"/>
        <w:spacing w:line="360" w:lineRule="auto"/>
        <w:widowControl w:val="off"/>
        <w:outlineLvl w:val="1"/>
      </w:pPr>
      <w:r>
        <w:rPr>
          <w:rFonts w:hint="eastAsia" w:ascii="宋体" w:hAnsi="宋体" w:cs="宋体"/>
          <w:b/>
          <w:sz w:val="24"/>
          <w:szCs w:val="24"/>
        </w:rPr>
        <w:t xml:space="preserve">注1：以上2.6为资格审查要求提供的材料，是作为对供应商资格审查、质疑身份认定的依据，响应供应商必须提供并加盖电子公章。否则，磋商响应文件将被认定为不符合资格审查要求。</w:t>
      </w:r>
      <w:r/>
    </w:p>
    <w:p>
      <w:pPr>
        <w:pStyle w:val="1051"/>
        <w:ind w:left="0" w:firstLine="482"/>
        <w:spacing w:line="360" w:lineRule="auto"/>
        <w:widowControl w:val="off"/>
        <w:outlineLvl w:val="1"/>
      </w:pPr>
      <w:r>
        <w:rPr>
          <w:rFonts w:hint="eastAsia" w:ascii="宋体" w:hAnsi="宋体" w:cs="宋体"/>
          <w:b/>
          <w:sz w:val="24"/>
          <w:szCs w:val="24"/>
        </w:rPr>
        <w:t xml:space="preserve">注2：以上1.1-2.5,2.7-2.11为符合性审查须提供的资料，响应供应商必须提供并加盖电子公章。否则，磋商响应文件将被认定为未实质性响应。</w:t>
      </w:r>
      <w:r/>
    </w:p>
    <w:p>
      <w:pPr>
        <w:pStyle w:val="1051"/>
        <w:ind w:left="0" w:firstLine="482"/>
        <w:spacing w:line="360" w:lineRule="auto"/>
        <w:widowControl w:val="off"/>
        <w:outlineLvl w:val="1"/>
      </w:pPr>
      <w:r>
        <w:rPr>
          <w:rFonts w:hint="eastAsia" w:ascii="宋体" w:hAnsi="宋体" w:cs="宋体"/>
          <w:b/>
          <w:sz w:val="24"/>
          <w:szCs w:val="24"/>
        </w:rPr>
        <w:t xml:space="preserve">注3：制作电子响应文件时必须与响应文件制作软件目录一一对应，将相关资料上传至相应模块。</w:t>
      </w:r>
      <w:r/>
    </w:p>
    <w:p>
      <w:pPr>
        <w:pStyle w:val="1051"/>
        <w:ind w:left="0" w:firstLine="482"/>
        <w:spacing w:line="360" w:lineRule="auto"/>
        <w:widowControl w:val="off"/>
        <w:outlineLvl w:val="1"/>
      </w:pPr>
      <w:r>
        <w:rPr>
          <w:rFonts w:hint="eastAsia" w:ascii="宋体" w:hAnsi="宋体" w:cs="宋体"/>
          <w:b/>
          <w:sz w:val="24"/>
          <w:szCs w:val="24"/>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1051"/>
        <w:ind w:left="0" w:firstLine="482"/>
        <w:spacing w:line="360" w:lineRule="auto"/>
        <w:widowControl w:val="off"/>
        <w:rPr>
          <w:rFonts w:ascii="宋体" w:hAnsi="宋体" w:cs="宋体"/>
          <w:b/>
          <w:bCs/>
          <w:sz w:val="24"/>
          <w:szCs w:val="24"/>
        </w:rPr>
        <w:outlineLvl w:val="1"/>
      </w:pPr>
      <w:r>
        <w:rPr>
          <w:rFonts w:hint="eastAsia" w:ascii="宋体" w:hAnsi="宋体" w:cs="宋体"/>
          <w:b/>
          <w:sz w:val="24"/>
          <w:szCs w:val="24"/>
        </w:rPr>
        <w:t xml:space="preserve">注5：磋商过程中如有问题采购代理机构工作人员会及时通《投标供应商确认函》留存的手机号与供应商联系。请供应商确保该手机号磋商当日通讯畅通，否则导致的对供应商不利的后果由供应商自行承担。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51"/>
        <w:ind w:left="0" w:firstLine="482"/>
        <w:spacing w:line="360" w:lineRule="auto"/>
        <w:widowControl w:val="off"/>
        <w:rPr>
          <w:rFonts w:ascii="宋体" w:hAnsi="宋体" w:cs="宋体"/>
          <w:b/>
          <w:bCs/>
          <w:sz w:val="24"/>
          <w:szCs w:val="24"/>
        </w:rPr>
        <w:outlineLvl w:val="1"/>
      </w:pPr>
      <w:r>
        <w:rPr>
          <w:rFonts w:hint="eastAsia" w:ascii="宋体" w:hAnsi="宋体" w:cs="宋体"/>
          <w:b/>
          <w:sz w:val="24"/>
          <w:szCs w:val="24"/>
        </w:rPr>
        <w:t xml:space="preserve">二、磋商程序</w:t>
      </w:r>
      <w:r/>
    </w:p>
    <w:p>
      <w:pPr>
        <w:pStyle w:val="1051"/>
        <w:ind w:left="0" w:firstLine="480"/>
        <w:spacing w:line="360" w:lineRule="auto"/>
        <w:widowControl w:val="off"/>
        <w:rPr>
          <w:sz w:val="24"/>
          <w:szCs w:val="24"/>
        </w:rPr>
      </w:pPr>
      <w:r>
        <w:rPr>
          <w:rFonts w:hint="eastAsia" w:ascii="宋体" w:hAnsi="宋体" w:cs="宋体"/>
          <w:sz w:val="24"/>
          <w:szCs w:val="24"/>
        </w:rPr>
        <w:t xml:space="preserve">1、采购代理机构按本须知规定的时间、地点主持磋商采购活动。</w:t>
      </w:r>
      <w:r/>
    </w:p>
    <w:p>
      <w:pPr>
        <w:pStyle w:val="1051"/>
        <w:ind w:left="0" w:firstLine="480"/>
        <w:spacing w:line="360" w:lineRule="auto"/>
        <w:widowControl w:val="off"/>
        <w:rPr>
          <w:sz w:val="24"/>
          <w:szCs w:val="24"/>
        </w:rPr>
      </w:pPr>
      <w:r>
        <w:rPr>
          <w:rFonts w:hint="eastAsia" w:ascii="宋体" w:hAnsi="宋体" w:cs="宋体"/>
          <w:sz w:val="24"/>
          <w:szCs w:val="24"/>
        </w:rPr>
        <w:t xml:space="preserve">2、供应商通过“苏采云”系统在线参与磋商活动。供应商应当按照《苏采云系统供应商操作手册》规定在“苏采云”系统规定的时间内对响应文件进行解密。</w:t>
      </w:r>
      <w:r/>
    </w:p>
    <w:p>
      <w:pPr>
        <w:pStyle w:val="1051"/>
        <w:ind w:left="0" w:firstLine="480"/>
        <w:spacing w:line="360" w:lineRule="auto"/>
        <w:widowControl w:val="off"/>
        <w:rPr>
          <w:sz w:val="24"/>
          <w:szCs w:val="24"/>
        </w:rPr>
      </w:pPr>
      <w:r>
        <w:rPr>
          <w:rFonts w:hint="eastAsia" w:ascii="宋体" w:hAnsi="宋体" w:cs="宋体"/>
          <w:sz w:val="24"/>
          <w:szCs w:val="24"/>
        </w:rPr>
        <w:t xml:space="preserve">3、在磋商响应文件网上递交截止时间止成功解密的磋商供应商少于三家，则本次采购失败。</w:t>
      </w:r>
      <w:r/>
    </w:p>
    <w:p>
      <w:pPr>
        <w:pStyle w:val="1051"/>
        <w:ind w:left="0" w:firstLine="480"/>
        <w:spacing w:line="360" w:lineRule="auto"/>
        <w:widowControl w:val="off"/>
        <w:rPr>
          <w:sz w:val="24"/>
          <w:szCs w:val="24"/>
        </w:rPr>
      </w:pPr>
      <w:r>
        <w:rPr>
          <w:rFonts w:hint="eastAsia" w:ascii="宋体" w:hAnsi="宋体" w:cs="宋体"/>
          <w:sz w:val="24"/>
          <w:szCs w:val="24"/>
        </w:rPr>
        <w:t xml:space="preserve">4、由磋商小组审查供应商解密的响应文件。</w:t>
      </w:r>
      <w:r/>
    </w:p>
    <w:p>
      <w:pPr>
        <w:pStyle w:val="1051"/>
        <w:ind w:left="0" w:firstLine="480"/>
        <w:spacing w:line="360" w:lineRule="auto"/>
        <w:widowControl w:val="off"/>
        <w:rPr>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51"/>
        <w:ind w:left="0" w:firstLine="480"/>
        <w:spacing w:line="360" w:lineRule="auto"/>
        <w:widowControl w:val="off"/>
        <w:rPr>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1051"/>
        <w:ind w:left="0" w:firstLine="480"/>
        <w:spacing w:line="360" w:lineRule="auto"/>
        <w:widowControl w:val="off"/>
        <w:rPr>
          <w:sz w:val="24"/>
          <w:szCs w:val="24"/>
        </w:rPr>
      </w:pPr>
      <w:r>
        <w:rPr>
          <w:rFonts w:hint="eastAsia" w:ascii="宋体" w:hAnsi="宋体" w:cs="宋体"/>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1051"/>
        <w:ind w:left="0" w:firstLine="480"/>
        <w:spacing w:line="360" w:lineRule="auto"/>
        <w:widowControl w:val="off"/>
        <w:rPr>
          <w:sz w:val="24"/>
          <w:szCs w:val="24"/>
        </w:rPr>
      </w:pPr>
      <w:r>
        <w:rPr>
          <w:rFonts w:hint="eastAsia" w:ascii="宋体" w:hAnsi="宋体" w:cs="宋体"/>
          <w:sz w:val="24"/>
          <w:szCs w:val="24"/>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pStyle w:val="1051"/>
        <w:ind w:left="0" w:firstLine="480"/>
        <w:spacing w:line="360" w:lineRule="auto"/>
        <w:widowControl w:val="off"/>
        <w:rPr>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51"/>
        <w:ind w:left="0" w:firstLine="480"/>
        <w:spacing w:line="360" w:lineRule="auto"/>
        <w:widowControl w:val="off"/>
        <w:rPr>
          <w:b/>
          <w:bCs/>
          <w:sz w:val="24"/>
          <w:szCs w:val="24"/>
        </w:rPr>
      </w:pPr>
      <w:r>
        <w:rPr>
          <w:rFonts w:hint="eastAsia" w:ascii="宋体" w:hAnsi="宋体" w:cs="宋体"/>
          <w:b/>
          <w:bCs/>
          <w:sz w:val="24"/>
          <w:szCs w:val="24"/>
        </w:rPr>
        <w:t xml:space="preserve">9、磋商结束后，磋商小组将在“苏采云”系统向所有实质性响应的供应商发布“最后报价要求函”及最后报价格式表，要求所有实质性响应的供应商在规定时间内提交最后报价。</w:t>
      </w:r>
      <w:r/>
    </w:p>
    <w:p>
      <w:pPr>
        <w:pStyle w:val="1051"/>
        <w:ind w:left="0" w:firstLine="480"/>
        <w:spacing w:line="360" w:lineRule="auto"/>
        <w:widowControl w:val="off"/>
        <w:rPr>
          <w:b/>
          <w:bCs/>
          <w:sz w:val="24"/>
          <w:szCs w:val="24"/>
        </w:rPr>
      </w:pPr>
      <w:r>
        <w:rPr>
          <w:rFonts w:hint="eastAsia" w:ascii="宋体" w:hAnsi="宋体" w:cs="宋体"/>
          <w:sz w:val="24"/>
          <w:szCs w:val="24"/>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pStyle w:val="1051"/>
        <w:ind w:left="0" w:firstLine="480"/>
        <w:spacing w:line="360" w:lineRule="auto"/>
        <w:widowControl w:val="off"/>
        <w:rPr>
          <w:b/>
          <w:bCs/>
          <w:sz w:val="24"/>
          <w:szCs w:val="24"/>
        </w:rPr>
      </w:pPr>
      <w:r>
        <w:rPr>
          <w:rFonts w:hint="eastAsia" w:ascii="宋体" w:hAnsi="宋体" w:cs="宋体"/>
          <w:b/>
          <w:bCs/>
          <w:sz w:val="24"/>
          <w:szCs w:val="24"/>
        </w:rPr>
        <w:t xml:space="preserve">已提交响应文件的供应商，在提交最后报价之前，可以根据磋商情况退出磋商，并在“苏采云”系统中提交“退出磋商函”并加盖CA电子公章。</w:t>
      </w:r>
      <w:r/>
    </w:p>
    <w:p>
      <w:pPr>
        <w:pStyle w:val="1051"/>
        <w:ind w:left="0" w:firstLine="480"/>
        <w:spacing w:line="360" w:lineRule="auto"/>
        <w:widowControl w:val="off"/>
        <w:rPr>
          <w:b/>
          <w:bCs/>
          <w:sz w:val="24"/>
          <w:szCs w:val="24"/>
        </w:rPr>
      </w:pPr>
      <w:r>
        <w:rPr>
          <w:rFonts w:hint="eastAsia" w:ascii="宋体" w:hAnsi="宋体" w:cs="宋体"/>
          <w:b/>
          <w:bCs/>
          <w:sz w:val="24"/>
          <w:szCs w:val="24"/>
        </w:rPr>
        <w:t xml:space="preserve">*进入项目评审流程后，建议各供应商法定代表人或授权委托人始终保持通讯顺畅，时刻关注不见面开标大厅，不离开不见面开标大厅。</w:t>
      </w:r>
      <w:r/>
    </w:p>
    <w:p>
      <w:pPr>
        <w:pStyle w:val="1051"/>
        <w:ind w:left="0" w:firstLine="480"/>
        <w:spacing w:line="360" w:lineRule="auto"/>
        <w:widowControl w:val="off"/>
        <w:rPr>
          <w:sz w:val="24"/>
          <w:szCs w:val="24"/>
        </w:rPr>
      </w:pPr>
      <w:r>
        <w:rPr>
          <w:rFonts w:hint="eastAsia" w:ascii="宋体" w:hAnsi="宋体" w:cs="宋体"/>
          <w:sz w:val="24"/>
          <w:szCs w:val="24"/>
        </w:rPr>
        <w:t xml:space="preserve">11、经磋商确定最终采购需求和提交最后报价的供应商后，由磋商小组采用综合评分法对提交最后报价的供应商的响应文件和最后报价进行综合评分。</w:t>
      </w:r>
      <w:r/>
    </w:p>
    <w:p>
      <w:pPr>
        <w:pStyle w:val="1051"/>
        <w:ind w:left="0" w:firstLine="480"/>
        <w:spacing w:line="360" w:lineRule="auto"/>
        <w:widowControl w:val="off"/>
        <w:rPr>
          <w:sz w:val="24"/>
          <w:szCs w:val="24"/>
        </w:rPr>
      </w:pPr>
      <w:r>
        <w:rPr>
          <w:rFonts w:hint="eastAsia" w:ascii="宋体" w:hAnsi="宋体" w:cs="宋体"/>
          <w:sz w:val="24"/>
          <w:szCs w:val="24"/>
        </w:rPr>
        <w:t xml:space="preserve">12、磋商小组根据磋商成交原则确定成交供应商，并将结果通知所有参加磋商的供应商。</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13、如磋商过程中出现本采购文件未尽事宜，由磋商小组根据政府采购有关法律、法规讨论决定。</w:t>
      </w:r>
      <w:r/>
    </w:p>
    <w:p>
      <w:pPr>
        <w:pStyle w:val="1051"/>
        <w:ind w:left="0" w:firstLine="482"/>
        <w:spacing w:line="360" w:lineRule="auto"/>
        <w:rPr>
          <w:rFonts w:ascii="宋体" w:hAnsi="宋体" w:cs="宋体"/>
          <w:b/>
          <w:bCs/>
          <w:sz w:val="24"/>
          <w:szCs w:val="24"/>
        </w:rPr>
        <w:outlineLvl w:val="1"/>
      </w:pPr>
      <w:r/>
      <w:bookmarkStart w:id="29" w:name="_Toc7726"/>
      <w:r>
        <w:rPr>
          <w:rFonts w:hint="eastAsia" w:ascii="宋体" w:hAnsi="宋体" w:cs="宋体"/>
          <w:b/>
          <w:bCs/>
          <w:sz w:val="24"/>
          <w:szCs w:val="24"/>
        </w:rPr>
        <w:t xml:space="preserve">三、质疑</w:t>
      </w:r>
      <w:bookmarkEnd w:id="29"/>
      <w:r/>
      <w:r/>
    </w:p>
    <w:p>
      <w:pPr>
        <w:pStyle w:val="1051"/>
        <w:ind w:left="0" w:firstLine="480"/>
        <w:spacing w:line="360" w:lineRule="auto"/>
        <w:rPr>
          <w:sz w:val="24"/>
          <w:szCs w:val="24"/>
        </w:rPr>
      </w:pPr>
      <w:r>
        <w:rPr>
          <w:rFonts w:hint="eastAsia" w:ascii="宋体" w:hAnsi="宋体" w:cs="宋体"/>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51"/>
        <w:ind w:left="0" w:firstLine="480"/>
        <w:spacing w:line="360" w:lineRule="auto"/>
        <w:rPr>
          <w:sz w:val="24"/>
          <w:szCs w:val="24"/>
        </w:rPr>
      </w:pPr>
      <w:r>
        <w:rPr>
          <w:rFonts w:hint="eastAsia" w:ascii="宋体" w:hAnsi="宋体" w:cs="宋体"/>
          <w:sz w:val="24"/>
          <w:szCs w:val="24"/>
        </w:rPr>
        <w:t xml:space="preserve">2、本次采购文件要求供应商在法定质疑期内一次性提出针对同一采购程序环节的质疑。</w:t>
      </w:r>
      <w:r/>
    </w:p>
    <w:p>
      <w:pPr>
        <w:pStyle w:val="1051"/>
        <w:ind w:left="0" w:firstLine="480"/>
        <w:spacing w:line="360" w:lineRule="auto"/>
        <w:rPr>
          <w:sz w:val="24"/>
          <w:szCs w:val="24"/>
        </w:rPr>
      </w:pPr>
      <w:r>
        <w:rPr>
          <w:rFonts w:hint="eastAsia" w:ascii="宋体" w:hAnsi="宋体" w:cs="宋体"/>
          <w:sz w:val="24"/>
          <w:szCs w:val="24"/>
        </w:rPr>
        <w:t xml:space="preserve">3、供应商提出质疑应当提交质疑函和必要的证明材料，质疑函应当包括下列内容：</w:t>
      </w:r>
      <w:r/>
    </w:p>
    <w:p>
      <w:pPr>
        <w:pStyle w:val="1051"/>
        <w:ind w:left="0" w:firstLine="480"/>
        <w:spacing w:line="360" w:lineRule="auto"/>
        <w:rPr>
          <w:sz w:val="24"/>
          <w:szCs w:val="24"/>
        </w:rPr>
      </w:pPr>
      <w:r>
        <w:rPr>
          <w:rFonts w:hint="eastAsia" w:ascii="宋体" w:hAnsi="宋体" w:cs="宋体"/>
          <w:sz w:val="24"/>
          <w:szCs w:val="24"/>
        </w:rPr>
        <w:t xml:space="preserve">（1）供应商的姓名或者名称（以提供的营业执照副本复印件为准）、地址、邮编、联系人及联系电话；</w:t>
      </w:r>
      <w:r/>
    </w:p>
    <w:p>
      <w:pPr>
        <w:pStyle w:val="1051"/>
        <w:ind w:left="0" w:firstLine="480"/>
        <w:spacing w:line="360" w:lineRule="auto"/>
        <w:rPr>
          <w:sz w:val="24"/>
          <w:szCs w:val="24"/>
        </w:rPr>
      </w:pPr>
      <w:r>
        <w:rPr>
          <w:rFonts w:hint="eastAsia" w:ascii="宋体" w:hAnsi="宋体" w:cs="宋体"/>
          <w:sz w:val="24"/>
          <w:szCs w:val="24"/>
        </w:rPr>
        <w:t xml:space="preserve">（2）质疑项目的名称、编号；</w:t>
      </w:r>
      <w:r/>
    </w:p>
    <w:p>
      <w:pPr>
        <w:pStyle w:val="1051"/>
        <w:ind w:left="0" w:firstLine="480"/>
        <w:spacing w:line="360" w:lineRule="auto"/>
        <w:rPr>
          <w:sz w:val="24"/>
          <w:szCs w:val="24"/>
        </w:rPr>
      </w:pPr>
      <w:r>
        <w:rPr>
          <w:rFonts w:hint="eastAsia" w:ascii="宋体" w:hAnsi="宋体" w:cs="宋体"/>
          <w:sz w:val="24"/>
          <w:szCs w:val="24"/>
        </w:rPr>
        <w:t xml:space="preserve">（3）具体、明确的质疑事项和与质疑事项相关的请求；</w:t>
      </w:r>
      <w:r/>
    </w:p>
    <w:p>
      <w:pPr>
        <w:pStyle w:val="1051"/>
        <w:ind w:left="0" w:firstLine="480"/>
        <w:spacing w:line="360" w:lineRule="auto"/>
        <w:rPr>
          <w:sz w:val="24"/>
          <w:szCs w:val="24"/>
        </w:rPr>
      </w:pPr>
      <w:r>
        <w:rPr>
          <w:rFonts w:hint="eastAsia" w:ascii="宋体" w:hAnsi="宋体" w:cs="宋体"/>
          <w:sz w:val="24"/>
          <w:szCs w:val="24"/>
        </w:rPr>
        <w:t xml:space="preserve">（4）事实依据；</w:t>
      </w:r>
      <w:r/>
    </w:p>
    <w:p>
      <w:pPr>
        <w:pStyle w:val="1051"/>
        <w:ind w:left="0" w:firstLine="480"/>
        <w:spacing w:line="360" w:lineRule="auto"/>
        <w:rPr>
          <w:sz w:val="24"/>
          <w:szCs w:val="24"/>
        </w:rPr>
      </w:pPr>
      <w:r>
        <w:rPr>
          <w:rFonts w:hint="eastAsia" w:ascii="宋体" w:hAnsi="宋体" w:cs="宋体"/>
          <w:sz w:val="24"/>
          <w:szCs w:val="24"/>
        </w:rPr>
        <w:t xml:space="preserve">（5）必要的法律依据；</w:t>
      </w:r>
      <w:r/>
    </w:p>
    <w:p>
      <w:pPr>
        <w:pStyle w:val="1051"/>
        <w:ind w:left="0" w:firstLine="480"/>
        <w:spacing w:line="360" w:lineRule="auto"/>
        <w:rPr>
          <w:sz w:val="24"/>
          <w:szCs w:val="24"/>
        </w:rPr>
      </w:pPr>
      <w:r>
        <w:rPr>
          <w:rFonts w:hint="eastAsia" w:ascii="宋体" w:hAnsi="宋体" w:cs="宋体"/>
          <w:sz w:val="24"/>
          <w:szCs w:val="24"/>
        </w:rPr>
        <w:t xml:space="preserve">（6）提出质疑的日期。</w:t>
      </w:r>
      <w:r/>
    </w:p>
    <w:p>
      <w:pPr>
        <w:pStyle w:val="1051"/>
        <w:ind w:left="0" w:firstLine="480"/>
        <w:spacing w:line="360" w:lineRule="auto"/>
        <w:rPr>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051"/>
        <w:ind w:left="0" w:firstLine="480"/>
        <w:spacing w:line="360" w:lineRule="auto"/>
        <w:rPr>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pStyle w:val="1051"/>
        <w:ind w:left="0" w:firstLine="480"/>
        <w:spacing w:line="360" w:lineRule="auto"/>
        <w:rPr>
          <w:sz w:val="24"/>
          <w:szCs w:val="24"/>
        </w:rPr>
      </w:pPr>
      <w:r>
        <w:rPr>
          <w:rFonts w:hint="eastAsia" w:ascii="宋体" w:hAnsi="宋体" w:cs="宋体"/>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1051"/>
        <w:ind w:left="0" w:firstLine="480"/>
        <w:spacing w:line="360" w:lineRule="auto"/>
        <w:rPr>
          <w:sz w:val="24"/>
          <w:szCs w:val="24"/>
        </w:rPr>
      </w:pPr>
      <w:r>
        <w:rPr>
          <w:rFonts w:hint="eastAsia" w:ascii="宋体" w:hAnsi="宋体" w:cs="宋体"/>
          <w:sz w:val="24"/>
          <w:szCs w:val="24"/>
        </w:rPr>
        <w:t xml:space="preserve">5、质疑递交地点：江苏仁禾中衡工程咨询房地产估价有限公司</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质疑递交联系人、联系电话及地址详见采购公告。</w:t>
      </w:r>
      <w:r/>
    </w:p>
    <w:p>
      <w:pPr>
        <w:pStyle w:val="1051"/>
        <w:ind w:left="0" w:firstLine="482"/>
        <w:spacing w:line="360" w:lineRule="auto"/>
        <w:rPr>
          <w:rFonts w:ascii="宋体" w:hAnsi="宋体" w:cs="宋体"/>
          <w:b/>
          <w:sz w:val="24"/>
          <w:szCs w:val="24"/>
        </w:rPr>
        <w:outlineLvl w:val="1"/>
      </w:pPr>
      <w:r/>
      <w:bookmarkStart w:id="30" w:name="_Toc2426"/>
      <w:r>
        <w:rPr>
          <w:rFonts w:hint="eastAsia" w:ascii="宋体" w:hAnsi="宋体" w:cs="宋体"/>
          <w:b/>
          <w:sz w:val="24"/>
          <w:szCs w:val="24"/>
        </w:rPr>
        <w:t xml:space="preserve">四、项目的终止</w:t>
      </w:r>
      <w:bookmarkEnd w:id="30"/>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出现下列情形之一的，将终止竞争性磋商采购活动：</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1、因情况变化，不再符合规定的竞争性磋商采购方式适用情形的；</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2、出现影响采购公正的违法、违规行为的；</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3、在采购过程中符合要求的供应商或者报价未超过采购预算及最高限价的供应商不足3家的；</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4、在采购活动中因重大变故，采购任务取消的。</w:t>
      </w:r>
      <w:r/>
    </w:p>
    <w:p>
      <w:pPr>
        <w:pStyle w:val="1051"/>
        <w:ind w:left="0" w:firstLine="482"/>
        <w:spacing w:line="360" w:lineRule="auto"/>
        <w:rPr>
          <w:rFonts w:ascii="宋体" w:hAnsi="宋体" w:cs="宋体"/>
          <w:b/>
          <w:sz w:val="24"/>
          <w:szCs w:val="24"/>
        </w:rPr>
      </w:pPr>
      <w:r/>
      <w:bookmarkStart w:id="31" w:name="_Toc31063"/>
      <w:r>
        <w:rPr>
          <w:rFonts w:hint="eastAsia" w:ascii="宋体" w:hAnsi="宋体" w:cs="宋体"/>
          <w:b/>
          <w:sz w:val="24"/>
          <w:szCs w:val="24"/>
        </w:rPr>
        <w:t xml:space="preserve">五、服务费及履约保证金</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1、成交单位须按前附表的规定计算并支付服务费，该费用应在领取成交通知书时付清。成交单位如果未按规定缴纳服务费，磋商采购单位将并保留诉讼的权利。</w:t>
      </w:r>
      <w:r/>
    </w:p>
    <w:p>
      <w:pPr>
        <w:pStyle w:val="1051"/>
        <w:ind w:left="0" w:firstLine="480"/>
        <w:spacing w:line="360" w:lineRule="auto"/>
        <w:rPr>
          <w:rFonts w:ascii="宋体" w:hAnsi="宋体" w:cs="宋体"/>
          <w:sz w:val="24"/>
          <w:szCs w:val="24"/>
        </w:rPr>
      </w:pPr>
      <w:r>
        <w:rPr>
          <w:rFonts w:hint="eastAsia" w:ascii="宋体" w:hAnsi="宋体" w:cs="宋体"/>
          <w:sz w:val="24"/>
          <w:szCs w:val="24"/>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tbl>
      <w:tblPr>
        <w:tblStyle w:val="869"/>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textDirection w:val="lrTb"/>
            <w:noWrap w:val="false"/>
          </w:tcPr>
          <w:p>
            <w:pPr>
              <w:ind w:left="0"/>
              <w:jc w:val="center"/>
              <w:rPr>
                <w:rFonts w:ascii="宋体" w:hAnsi="宋体" w:cs="宋体"/>
                <w:sz w:val="24"/>
                <w:szCs w:val="24"/>
              </w:rPr>
            </w:pPr>
            <w:r>
              <w:rPr>
                <w:rFonts w:hint="eastAsia" w:ascii="宋体" w:hAnsi="宋体" w:cs="宋体"/>
                <w:sz w:val="24"/>
                <w:szCs w:val="24"/>
              </w:rPr>
              <w:t xml:space="preserve">开票信息</w:t>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报名单位公司名称</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地址</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电话</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税号</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开户行</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r>
        <w:trPr>
          <w:jc w:val="center"/>
        </w:trPr>
        <w:tc>
          <w:tcPr>
            <w:tcW w:w="2288" w:type="dxa"/>
            <w:textDirection w:val="lrTb"/>
            <w:noWrap w:val="false"/>
          </w:tcPr>
          <w:p>
            <w:pPr>
              <w:ind w:left="0"/>
              <w:rPr>
                <w:rFonts w:ascii="宋体" w:hAnsi="宋体" w:cs="宋体"/>
                <w:sz w:val="24"/>
                <w:szCs w:val="24"/>
              </w:rPr>
            </w:pPr>
            <w:r>
              <w:rPr>
                <w:rFonts w:hint="eastAsia" w:ascii="宋体" w:hAnsi="宋体" w:cs="宋体"/>
                <w:sz w:val="24"/>
                <w:szCs w:val="24"/>
              </w:rPr>
              <w:t xml:space="preserve">银行账号</w:t>
            </w:r>
            <w:r/>
          </w:p>
        </w:tc>
        <w:tc>
          <w:tcPr>
            <w:tcW w:w="3990" w:type="dxa"/>
            <w:textDirection w:val="lrTb"/>
            <w:noWrap w:val="false"/>
          </w:tcPr>
          <w:p>
            <w:pPr>
              <w:ind w:left="0"/>
              <w:rPr>
                <w:rFonts w:ascii="宋体" w:hAnsi="宋体" w:cs="宋体"/>
                <w:sz w:val="24"/>
                <w:szCs w:val="24"/>
              </w:rPr>
            </w:pPr>
            <w:r>
              <w:rPr>
                <w:rFonts w:ascii="宋体" w:hAnsi="宋体" w:cs="宋体"/>
                <w:sz w:val="24"/>
                <w:szCs w:val="24"/>
              </w:rPr>
            </w:r>
            <w:r/>
          </w:p>
        </w:tc>
      </w:tr>
    </w:tbl>
    <w:p>
      <w:pPr>
        <w:pStyle w:val="1051"/>
        <w:ind w:left="0" w:firstLine="482"/>
        <w:spacing w:line="360" w:lineRule="auto"/>
        <w:rPr>
          <w:rFonts w:ascii="宋体" w:hAnsi="宋体" w:cs="宋体"/>
          <w:b/>
          <w:bCs/>
          <w:sz w:val="24"/>
          <w:szCs w:val="24"/>
        </w:rPr>
      </w:pPr>
      <w:r>
        <w:rPr>
          <w:rFonts w:hint="eastAsia" w:ascii="宋体" w:hAnsi="宋体" w:cs="宋体"/>
          <w:b/>
          <w:bCs/>
          <w:sz w:val="24"/>
          <w:szCs w:val="24"/>
        </w:rPr>
        <w:t xml:space="preserve">3、请成交单位将公司开票信息以word文档格式发送至邮箱：1615937742@qq.com。成交单位凭已缴纳代理服务费的银行回单至代理机构领取成交通知书、合同。</w:t>
      </w:r>
      <w:r/>
    </w:p>
    <w:p>
      <w:pPr>
        <w:pStyle w:val="1051"/>
        <w:ind w:left="0" w:firstLine="480"/>
        <w:spacing w:line="360" w:lineRule="auto"/>
        <w:rPr>
          <w:rFonts w:ascii="宋体" w:hAnsi="宋体" w:cs="宋体"/>
          <w:b/>
          <w:sz w:val="24"/>
          <w:szCs w:val="24"/>
        </w:rPr>
        <w:outlineLvl w:val="1"/>
      </w:pPr>
      <w:r>
        <w:rPr>
          <w:rFonts w:hint="eastAsia" w:ascii="宋体" w:hAnsi="宋体" w:cs="宋体"/>
          <w:bCs/>
          <w:sz w:val="24"/>
          <w:szCs w:val="24"/>
        </w:rPr>
        <w:t xml:space="preserve">4、</w:t>
      </w:r>
      <w:r>
        <w:rPr>
          <w:rFonts w:hint="eastAsia" w:ascii="宋体" w:hAnsi="宋体" w:cs="宋体"/>
          <w:sz w:val="24"/>
          <w:szCs w:val="24"/>
        </w:rPr>
        <w:t xml:space="preserve">履约保证金：本项目无需提交履约保证金。</w:t>
      </w:r>
      <w:bookmarkEnd w:id="31"/>
      <w:r/>
      <w:r/>
    </w:p>
    <w:p>
      <w:pPr>
        <w:ind w:left="0" w:firstLine="482"/>
        <w:spacing w:line="360" w:lineRule="auto"/>
        <w:tabs>
          <w:tab w:val="left" w:pos="420" w:leader="none"/>
        </w:tabs>
        <w:rPr>
          <w:rFonts w:ascii="宋体" w:hAnsi="宋体" w:cs="宋体"/>
          <w:b/>
          <w:bCs/>
          <w:sz w:val="24"/>
          <w:szCs w:val="24"/>
        </w:rPr>
        <w:outlineLvl w:val="1"/>
      </w:pPr>
      <w:r/>
      <w:bookmarkStart w:id="32" w:name="_Toc31110"/>
      <w:r>
        <w:rPr>
          <w:rFonts w:hint="eastAsia" w:ascii="宋体" w:hAnsi="宋体" w:cs="宋体"/>
          <w:b/>
          <w:bCs/>
          <w:sz w:val="24"/>
          <w:szCs w:val="24"/>
        </w:rPr>
        <w:t xml:space="preserve">六、政府采购政策</w:t>
      </w:r>
      <w:bookmarkEnd w:id="32"/>
      <w:r/>
      <w:r/>
    </w:p>
    <w:p>
      <w:pPr>
        <w:ind w:left="0"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（一）节能产品、环境标志产品</w:t>
      </w:r>
      <w:r/>
    </w:p>
    <w:p>
      <w:pPr>
        <w:ind w:left="0"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强制采购品目清单的，供应商须在响应文件中提供所响应产品由认证机构出具的、处于有效期之内的节能产品、环境标志产品认证证书，未提供或提供不全的将视响应文件为未实质性响应采购要求。</w:t>
      </w:r>
      <w:r/>
    </w:p>
    <w:p>
      <w:pPr>
        <w:ind w:left="0"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若本次采购的产品属于财政部、国家发展改革委、生态环境部、市场监管总局等部门发布的节能产品、环境标志产品政府优先采购品目清单的，供应商在响应文件中提供所响应产品由认证机构出具的、处于有效期之内的节能产品、环境标志产品认证证书，在综合得分和报价相同的情况下，提供所投产品节能产品、环境标志产品认证证书数量最多的，优先成交。</w:t>
      </w:r>
      <w:r/>
    </w:p>
    <w:p>
      <w:pPr>
        <w:ind w:left="0" w:firstLine="482"/>
        <w:spacing w:line="360" w:lineRule="auto"/>
        <w:widowControl w:val="off"/>
        <w:tabs>
          <w:tab w:val="left" w:pos="567" w:leader="none"/>
        </w:tabs>
        <w:rPr>
          <w:rFonts w:ascii="宋体" w:hAnsi="宋体" w:cs="宋体"/>
          <w:b/>
          <w:bCs/>
          <w:sz w:val="24"/>
          <w:szCs w:val="24"/>
        </w:rPr>
        <w:outlineLvl w:val="1"/>
      </w:pPr>
      <w:r/>
      <w:bookmarkStart w:id="33" w:name="_Toc5270"/>
      <w:r>
        <w:rPr>
          <w:rFonts w:hint="eastAsia" w:ascii="宋体" w:hAnsi="宋体" w:cs="宋体"/>
          <w:b/>
          <w:bCs/>
          <w:sz w:val="24"/>
          <w:szCs w:val="24"/>
        </w:rPr>
        <w:t xml:space="preserve">七、信用记录</w:t>
      </w:r>
      <w:bookmarkEnd w:id="33"/>
      <w:r/>
      <w:r/>
    </w:p>
    <w:p>
      <w:pPr>
        <w:ind w:left="0" w:firstLine="480"/>
        <w:spacing w:line="360" w:lineRule="auto"/>
        <w:tabs>
          <w:tab w:val="left" w:pos="567" w:leader="none"/>
        </w:tabs>
      </w:pPr>
      <w:r>
        <w:rPr>
          <w:rFonts w:hint="eastAsia" w:ascii="宋体" w:hAnsi="宋体" w:cs="宋体"/>
          <w:sz w:val="24"/>
          <w:szCs w:val="24"/>
        </w:rPr>
        <w:t xml:space="preserve">1、采购代理机构会在接收响应文件截止时间后，登录信用中国网站（www.creditchina.gov.cn/）和中国政府采购网（www.ccgp.gov.cn/）查询供应商的信用记录，并将查询结果递交评审小组。</w:t>
      </w:r>
      <w:r/>
    </w:p>
    <w:p>
      <w:pPr>
        <w:ind w:left="0" w:firstLine="480"/>
        <w:spacing w:line="360" w:lineRule="auto"/>
        <w:tabs>
          <w:tab w:val="left" w:pos="567" w:leader="none"/>
        </w:tabs>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spacing w:line="360" w:lineRule="auto"/>
        <w:tabs>
          <w:tab w:val="left" w:pos="567" w:leader="none"/>
        </w:tabs>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spacing w:line="360" w:lineRule="auto"/>
        <w:tabs>
          <w:tab w:val="left" w:pos="567" w:leader="none"/>
        </w:tabs>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left="0"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4、对存在失信信息的供应商，由失信供应商进行确认。同时，采购代理机构工作人员应根据评审小组确认的失信信息，登陆到相关来源网站页面进行复核并打印，作为证据留存。</w:t>
      </w:r>
      <w:r/>
    </w:p>
    <w:p>
      <w:pPr>
        <w:pStyle w:val="1047"/>
        <w:jc w:val="center"/>
        <w:spacing w:before="0" w:after="0" w:line="360" w:lineRule="auto"/>
        <w:rPr>
          <w:rFonts w:ascii="宋体" w:hAnsi="宋体" w:cs="宋体"/>
          <w:b/>
          <w:sz w:val="24"/>
          <w:szCs w:val="24"/>
        </w:rPr>
      </w:pPr>
      <w:r>
        <w:rPr>
          <w:rFonts w:hint="eastAsia" w:ascii="宋体" w:hAnsi="宋体" w:cs="宋体"/>
          <w:b/>
          <w:sz w:val="24"/>
          <w:szCs w:val="24"/>
        </w:rPr>
        <w:br w:type="page" w:clear="all"/>
      </w:r>
      <w:bookmarkStart w:id="34" w:name="_Toc14106"/>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24"/>
          <w:szCs w:val="24"/>
        </w:rPr>
      </w:pPr>
      <w:r>
        <w:rPr>
          <w:rFonts w:ascii="宋体" w:hAnsi="宋体" w:cs="宋体"/>
          <w:b/>
          <w:sz w:val="24"/>
          <w:szCs w:val="24"/>
        </w:rPr>
      </w:r>
      <w:r/>
    </w:p>
    <w:p>
      <w:pPr>
        <w:pStyle w:val="1047"/>
        <w:jc w:val="center"/>
        <w:spacing w:before="0" w:after="0" w:line="360" w:lineRule="auto"/>
        <w:rPr>
          <w:rFonts w:ascii="宋体" w:hAnsi="宋体" w:cs="宋体"/>
          <w:b/>
          <w:sz w:val="44"/>
          <w:szCs w:val="44"/>
        </w:rPr>
      </w:pPr>
      <w:r/>
      <w:bookmarkStart w:id="35" w:name="_Toc332"/>
      <w:r/>
      <w:bookmarkStart w:id="36" w:name="_Toc4028"/>
      <w:r>
        <w:rPr>
          <w:rFonts w:hint="eastAsia" w:ascii="宋体" w:hAnsi="宋体" w:cs="宋体"/>
          <w:b/>
          <w:sz w:val="44"/>
          <w:szCs w:val="44"/>
        </w:rPr>
        <w:t xml:space="preserve">第三章 </w:t>
      </w:r>
      <w:bookmarkStart w:id="37" w:name="投标文件格式"/>
      <w:r/>
      <w:bookmarkEnd w:id="37"/>
      <w:r>
        <w:rPr>
          <w:rFonts w:hint="eastAsia" w:ascii="宋体" w:hAnsi="宋体" w:cs="宋体"/>
          <w:b/>
          <w:sz w:val="44"/>
          <w:szCs w:val="44"/>
        </w:rPr>
        <w:t xml:space="preserve">响应文件格式</w:t>
      </w:r>
      <w:bookmarkEnd w:id="24"/>
      <w:r/>
      <w:bookmarkEnd w:id="25"/>
      <w:r/>
      <w:bookmarkEnd w:id="26"/>
      <w:r/>
      <w:bookmarkEnd w:id="27"/>
      <w:r/>
      <w:bookmarkEnd w:id="34"/>
      <w:r/>
      <w:bookmarkEnd w:id="35"/>
      <w:r/>
      <w:bookmarkEnd w:id="36"/>
      <w:r/>
      <w:r/>
    </w:p>
    <w:p>
      <w:pPr>
        <w:ind w:left="0"/>
        <w:jc w:val="left"/>
        <w:spacing w:line="440" w:lineRule="exact"/>
        <w:rPr>
          <w:rFonts w:ascii="宋体" w:hAnsi="宋体" w:cs="宋体"/>
          <w:b/>
          <w:sz w:val="21"/>
          <w:szCs w:val="21"/>
        </w:rPr>
      </w:pPr>
      <w:r>
        <w:rPr>
          <w:rFonts w:ascii="宋体" w:hAnsi="宋体" w:cs="宋体"/>
          <w:b/>
          <w:sz w:val="21"/>
          <w:szCs w:val="21"/>
        </w:rPr>
      </w:r>
      <w:r/>
    </w:p>
    <w:p>
      <w:pPr>
        <w:ind w:left="0" w:firstLine="482"/>
        <w:jc w:val="left"/>
        <w:spacing w:line="360" w:lineRule="auto"/>
        <w:rPr>
          <w:rFonts w:ascii="宋体" w:hAnsi="宋体" w:cs="宋体"/>
          <w:b/>
          <w:sz w:val="24"/>
          <w:szCs w:val="24"/>
        </w:rPr>
      </w:pPr>
      <w:r>
        <w:rPr>
          <w:rFonts w:hint="eastAsia" w:ascii="宋体" w:hAnsi="宋体" w:cs="宋体"/>
          <w:b/>
          <w:sz w:val="24"/>
          <w:szCs w:val="24"/>
        </w:rPr>
        <w:t xml:space="preserve">说明：</w:t>
      </w:r>
      <w:r/>
    </w:p>
    <w:p>
      <w:pPr>
        <w:ind w:left="0" w:firstLine="480"/>
        <w:jc w:val="left"/>
        <w:spacing w:line="360" w:lineRule="auto"/>
        <w:rPr>
          <w:rFonts w:ascii="宋体" w:hAnsi="宋体" w:cs="宋体"/>
          <w:sz w:val="24"/>
          <w:szCs w:val="24"/>
        </w:rPr>
      </w:pPr>
      <w:r>
        <w:rPr>
          <w:rFonts w:hint="eastAsia" w:ascii="宋体" w:hAnsi="宋体" w:cs="宋体"/>
          <w:sz w:val="24"/>
          <w:szCs w:val="24"/>
        </w:rPr>
        <w:t xml:space="preserve">对本章所有的格式，供应商可根据自身情况进行补充和修改，但补充和修改不得造成与本格式内容有实质性的违背。</w:t>
      </w:r>
      <w:r/>
    </w:p>
    <w:p>
      <w:pPr>
        <w:ind w:left="0"/>
        <w:jc w:val="left"/>
        <w:spacing w:line="360" w:lineRule="auto"/>
        <w:rPr>
          <w:rFonts w:ascii="宋体" w:hAnsi="宋体" w:cs="宋体"/>
          <w:b/>
          <w:sz w:val="24"/>
          <w:szCs w:val="24"/>
        </w:rPr>
        <w:outlineLvl w:val="1"/>
      </w:pPr>
      <w:r>
        <w:rPr>
          <w:rFonts w:hint="eastAsia" w:ascii="宋体" w:hAnsi="宋体" w:cs="宋体"/>
          <w:b/>
          <w:sz w:val="44"/>
          <w:szCs w:val="44"/>
        </w:rPr>
        <w:br w:type="page" w:clear="all"/>
      </w:r>
      <w:bookmarkStart w:id="38" w:name="_Toc3821"/>
      <w:r/>
      <w:bookmarkStart w:id="39" w:name="_Toc17036"/>
      <w:r/>
      <w:bookmarkStart w:id="40" w:name="_Toc7097"/>
      <w:r>
        <w:rPr>
          <w:rFonts w:hint="eastAsia" w:ascii="宋体" w:hAnsi="宋体" w:cs="宋体"/>
          <w:b/>
          <w:sz w:val="24"/>
          <w:szCs w:val="24"/>
        </w:rPr>
        <w:t xml:space="preserve">附件1</w:t>
      </w:r>
      <w:bookmarkEnd w:id="38"/>
      <w:r/>
      <w:bookmarkEnd w:id="39"/>
      <w:r>
        <w:rPr>
          <w:rFonts w:hint="eastAsia" w:ascii="宋体" w:hAnsi="宋体" w:cs="宋体"/>
          <w:b/>
          <w:sz w:val="24"/>
          <w:szCs w:val="24"/>
        </w:rPr>
        <w:t xml:space="preserve">、磋商响应函</w:t>
      </w:r>
      <w:bookmarkEnd w:id="40"/>
      <w:r/>
      <w:r/>
    </w:p>
    <w:p>
      <w:pPr>
        <w:ind w:left="0"/>
        <w:jc w:val="center"/>
        <w:spacing w:line="440" w:lineRule="exact"/>
        <w:rPr>
          <w:rFonts w:ascii="宋体" w:hAnsi="宋体" w:cs="宋体"/>
          <w:b/>
          <w:sz w:val="24"/>
          <w:szCs w:val="24"/>
        </w:rPr>
      </w:pPr>
      <w:r>
        <w:rPr>
          <w:rFonts w:hint="eastAsia" w:ascii="宋体" w:hAnsi="宋体" w:cs="宋体"/>
          <w:b/>
          <w:sz w:val="24"/>
          <w:szCs w:val="24"/>
        </w:rPr>
        <w:t xml:space="preserve">磋商响应函</w:t>
      </w:r>
      <w:r/>
    </w:p>
    <w:p>
      <w:pPr>
        <w:ind w:left="0"/>
        <w:jc w:val="left"/>
        <w:rPr>
          <w:rFonts w:ascii="宋体" w:hAnsi="宋体" w:cs="宋体"/>
          <w:sz w:val="24"/>
          <w:szCs w:val="24"/>
          <w:lang w:val="zh-CN"/>
        </w:rPr>
      </w:pPr>
      <w:r>
        <w:rPr>
          <w:rFonts w:hint="eastAsia" w:ascii="宋体" w:hAnsi="宋体" w:cs="宋体"/>
          <w:sz w:val="24"/>
          <w:szCs w:val="24"/>
          <w:lang w:val="zh-CN"/>
        </w:rPr>
        <w:t xml:space="preserve">致：</w:t>
      </w:r>
      <w:r>
        <w:rPr>
          <w:rFonts w:hint="eastAsia" w:ascii="宋体" w:hAnsi="宋体" w:cs="宋体"/>
          <w:sz w:val="24"/>
          <w:szCs w:val="24"/>
          <w:u w:val="single"/>
          <w:lang w:val="zh-CN"/>
        </w:rPr>
        <w:t xml:space="preserve">江苏仁禾中衡工程咨询房地产估价有限公司</w:t>
      </w:r>
      <w:r/>
    </w:p>
    <w:p>
      <w:pPr>
        <w:ind w:left="0" w:firstLine="480"/>
        <w:widowControl w:val="off"/>
        <w:rPr>
          <w:rFonts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号磋商采购文件，经仔细阅读和研究，我方决定参加磋商。并向贵公司承诺：</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1、我们愿意按照采购文件的一切要求，提供完成该项目的全部内容，我们的报价包括完成本项目所需的全部服务内容、师资、交通、食宿、教材及辅材、管理、协调、人工、保险、利润、税金、政策性文件规定及本项目包含的所有风险、责任、代理服务费等各项应有费用。</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2、如果我们的磋商响应文件被接受，我们将严格履行采购文件中规定的每一项要求，按期、按质、按量履行合同的义务。</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3、我们已详细审查全部采购文件，包括更正公告(如有)。我们完全理解并同意放弃对这方面有不明及误解的权力。</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4、我们同意按采购文件中的规定，本磋商响应文件的有效期限为响应文件提交截止之日起90天。</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5、我们愿意提供磋商采购单位在采购文件中要求的所有资料。</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6、我们愿意遵守采购文件中所列的收费标准。</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7、我们承诺该磋商响应文件在磋商开始后的全过程中保持有效，不作任何更改和变动。</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8、我们承诺我公司符合采购文件中“合格磋商供应商的一般条件和特殊条件”的要求，若与真实情况不符，本公司愿意承担由此而产生的一切后果。</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9、我们声明：我们在参加本次政府采购活动前3年内在经营活动中没有重大违法记录。</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10、如果我们成交，我们愿意按采购文件的规定支付代理服务费。</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11、综合说明：</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（1）伴随服务及配合措施；（2）要求甲方提供的配合；（3）对采购文件有不同意见的偏离说明；（4）其它说明。</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所有有关磋商响应文件的函电，请按下列地址联系：</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单位：                             联系人：</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地址：                             邮政编码：</w:t>
      </w:r>
      <w:r/>
    </w:p>
    <w:p>
      <w:pPr>
        <w:pStyle w:val="1090"/>
        <w:ind w:left="0" w:firstLine="480"/>
        <w:widowControl w:val="off"/>
        <w:rPr>
          <w:rStyle w:val="1081"/>
          <w:rFonts w:hAnsi="宋体" w:cs="宋体"/>
          <w:sz w:val="24"/>
          <w:szCs w:val="24"/>
        </w:rPr>
      </w:pPr>
      <w:r>
        <w:rPr>
          <w:rStyle w:val="1081"/>
          <w:rFonts w:hint="eastAsia" w:hAnsi="宋体" w:cs="宋体"/>
          <w:sz w:val="24"/>
          <w:szCs w:val="24"/>
        </w:rPr>
        <w:t xml:space="preserve">联系电话：                         传真：</w:t>
      </w:r>
      <w:r/>
    </w:p>
    <w:p>
      <w:pPr>
        <w:ind w:left="0" w:firstLine="480"/>
        <w:widowControl w:val="off"/>
        <w:rPr>
          <w:rFonts w:ascii="宋体" w:hAnsi="宋体" w:cs="宋体"/>
          <w:sz w:val="24"/>
          <w:szCs w:val="24"/>
          <w:u w:val="single"/>
        </w:rPr>
      </w:pPr>
      <w:r>
        <w:rPr>
          <w:rStyle w:val="1081"/>
          <w:rFonts w:hint="eastAsia" w:ascii="宋体" w:hAnsi="宋体" w:cs="宋体"/>
          <w:sz w:val="24"/>
          <w:szCs w:val="24"/>
        </w:rPr>
        <w:t xml:space="preserve">电子邮箱：</w:t>
      </w:r>
      <w:r/>
    </w:p>
    <w:p>
      <w:pPr>
        <w:ind w:left="0" w:right="-200"/>
        <w:jc w:val="right"/>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p>
    <w:p>
      <w:pPr>
        <w:ind w:left="0" w:right="-20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p>
    <w:p>
      <w:pPr>
        <w:ind w:left="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left="0" w:right="300"/>
        <w:jc w:val="left"/>
        <w:spacing w:line="400" w:lineRule="exact"/>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rPr>
          <w:rFonts w:ascii="宋体" w:hAnsi="宋体" w:cs="宋体"/>
          <w:b/>
          <w:sz w:val="24"/>
          <w:szCs w:val="24"/>
        </w:rPr>
        <w:outlineLvl w:val="1"/>
      </w:pPr>
      <w:r>
        <w:rPr>
          <w:rFonts w:hint="eastAsia" w:ascii="宋体" w:hAnsi="宋体" w:cs="宋体"/>
          <w:b/>
          <w:sz w:val="21"/>
          <w:szCs w:val="21"/>
        </w:rPr>
        <w:br w:type="page" w:clear="all"/>
      </w:r>
      <w:bookmarkStart w:id="41" w:name="_Toc6183"/>
      <w:r>
        <w:rPr>
          <w:rFonts w:hint="eastAsia" w:ascii="宋体" w:hAnsi="宋体" w:cs="宋体"/>
          <w:b/>
          <w:sz w:val="24"/>
          <w:szCs w:val="24"/>
        </w:rPr>
        <w:t xml:space="preserve">附件2、磋商报价表</w:t>
      </w:r>
      <w:bookmarkEnd w:id="41"/>
      <w:r/>
      <w:r/>
    </w:p>
    <w:p>
      <w:pPr>
        <w:rPr>
          <w:rFonts w:ascii="宋体" w:hAnsi="宋体" w:cs="宋体"/>
          <w:sz w:val="24"/>
          <w:szCs w:val="24"/>
        </w:rPr>
      </w:pPr>
      <w:r>
        <w:rPr>
          <w:rFonts w:ascii="宋体" w:hAnsi="宋体" w:cs="宋体"/>
          <w:sz w:val="24"/>
          <w:szCs w:val="24"/>
        </w:rPr>
      </w:r>
      <w:r/>
    </w:p>
    <w:p>
      <w:pPr>
        <w:ind w:left="0"/>
        <w:jc w:val="center"/>
        <w:spacing w:line="360" w:lineRule="auto"/>
        <w:rPr>
          <w:rFonts w:ascii="宋体" w:hAnsi="宋体" w:cs="宋体"/>
          <w:b/>
          <w:sz w:val="24"/>
          <w:szCs w:val="24"/>
        </w:rPr>
      </w:pPr>
      <w:r>
        <w:rPr>
          <w:rFonts w:hint="eastAsia" w:ascii="宋体" w:hAnsi="宋体" w:cs="宋体"/>
          <w:b/>
          <w:sz w:val="24"/>
          <w:szCs w:val="24"/>
        </w:rPr>
        <w:t xml:space="preserve">磋商报价表</w:t>
      </w:r>
      <w:r/>
    </w:p>
    <w:p>
      <w:pPr>
        <w:pStyle w:val="1053"/>
        <w:rPr>
          <w:rFonts w:ascii="宋体" w:hAnsi="宋体" w:cs="宋体"/>
        </w:rPr>
      </w:pPr>
      <w:r>
        <w:rPr>
          <w:rFonts w:ascii="宋体" w:hAnsi="宋体" w:cs="宋体"/>
        </w:rPr>
      </w:r>
      <w:r/>
    </w:p>
    <w:p>
      <w:pPr>
        <w:ind w:left="0"/>
        <w:jc w:val="center"/>
        <w:spacing w:line="360" w:lineRule="auto"/>
        <w:rPr>
          <w:rFonts w:ascii="宋体" w:hAnsi="宋体" w:cs="宋体"/>
          <w:b/>
          <w:sz w:val="21"/>
          <w:szCs w:val="21"/>
        </w:rPr>
      </w:pPr>
      <w:r>
        <w:rPr>
          <w:rStyle w:val="1081"/>
          <w:rFonts w:hAnsi="宋体"/>
          <w:sz w:val="24"/>
          <w:szCs w:val="24"/>
        </w:rPr>
        <w:t xml:space="preserve">采购编号：                                          价格单位：元</w:t>
      </w:r>
      <w:r/>
    </w:p>
    <w:tbl>
      <w:tblPr>
        <w:tblStyle w:val="869"/>
        <w:tblW w:w="4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90"/>
        <w:gridCol w:w="2331"/>
        <w:gridCol w:w="3085"/>
      </w:tblGrid>
      <w:tr>
        <w:trPr>
          <w:jc w:val="center"/>
          <w:trHeight w:val="850"/>
        </w:trPr>
        <w:tc>
          <w:tcPr>
            <w:tcW w:w="1853" w:type="pct"/>
            <w:vAlign w:val="center"/>
            <w:textDirection w:val="lrTb"/>
            <w:noWrap w:val="false"/>
          </w:tcPr>
          <w:p>
            <w:pPr>
              <w:ind w:left="0"/>
              <w:jc w:val="center"/>
              <w:widowControl w:val="off"/>
              <w:rPr>
                <w:rFonts w:ascii="宋体" w:hAnsi="宋体"/>
                <w:sz w:val="24"/>
                <w:szCs w:val="24"/>
              </w:rPr>
            </w:pPr>
            <w:r>
              <w:rPr>
                <w:rFonts w:ascii="宋体" w:hAnsi="宋体"/>
                <w:sz w:val="24"/>
                <w:szCs w:val="24"/>
                <w:lang w:val="zh-CN"/>
              </w:rPr>
              <w:t xml:space="preserve">项目名称</w:t>
            </w:r>
            <w:r/>
          </w:p>
        </w:tc>
        <w:tc>
          <w:tcPr>
            <w:tcW w:w="1354" w:type="pct"/>
            <w:vAlign w:val="center"/>
            <w:textDirection w:val="lrTb"/>
            <w:noWrap w:val="false"/>
          </w:tcPr>
          <w:p>
            <w:pPr>
              <w:ind w:left="0"/>
              <w:jc w:val="center"/>
              <w:widowControl w:val="off"/>
              <w:rPr>
                <w:rFonts w:ascii="宋体" w:hAnsi="宋体"/>
                <w:sz w:val="24"/>
                <w:szCs w:val="24"/>
                <w:lang w:val="zh-CN"/>
              </w:rPr>
            </w:pPr>
            <w:r>
              <w:rPr>
                <w:rFonts w:ascii="宋体" w:hAnsi="宋体"/>
                <w:sz w:val="24"/>
                <w:szCs w:val="24"/>
                <w:lang w:val="zh-CN"/>
              </w:rPr>
              <w:t xml:space="preserve">响应总报价</w:t>
            </w:r>
            <w:r/>
          </w:p>
          <w:p>
            <w:pPr>
              <w:ind w:left="0"/>
              <w:jc w:val="center"/>
              <w:widowControl w:val="off"/>
              <w:rPr>
                <w:rFonts w:ascii="宋体" w:hAnsi="宋体"/>
                <w:sz w:val="24"/>
                <w:szCs w:val="24"/>
              </w:rPr>
            </w:pPr>
            <w:r>
              <w:rPr>
                <w:rFonts w:ascii="宋体" w:hAnsi="宋体"/>
                <w:sz w:val="24"/>
                <w:szCs w:val="24"/>
                <w:lang w:val="zh-CN"/>
              </w:rPr>
              <w:t xml:space="preserve">（元）</w:t>
            </w:r>
            <w:r/>
          </w:p>
        </w:tc>
        <w:tc>
          <w:tcPr>
            <w:tcW w:w="1792" w:type="pct"/>
            <w:vAlign w:val="center"/>
            <w:textDirection w:val="lrTb"/>
            <w:noWrap w:val="false"/>
          </w:tcPr>
          <w:p>
            <w:pPr>
              <w:ind w:left="0"/>
              <w:jc w:val="center"/>
              <w:widowControl w:val="off"/>
              <w:rPr>
                <w:rFonts w:ascii="宋体" w:hAnsi="宋体"/>
                <w:sz w:val="24"/>
                <w:szCs w:val="24"/>
              </w:rPr>
            </w:pPr>
            <w:r>
              <w:rPr>
                <w:rFonts w:hint="eastAsia" w:ascii="宋体" w:hAnsi="宋体"/>
                <w:sz w:val="24"/>
                <w:szCs w:val="24"/>
              </w:rPr>
              <w:t xml:space="preserve">服务期限</w:t>
            </w:r>
            <w:r/>
          </w:p>
        </w:tc>
      </w:tr>
      <w:tr>
        <w:trPr>
          <w:jc w:val="center"/>
          <w:trHeight w:val="850"/>
        </w:trPr>
        <w:tc>
          <w:tcPr>
            <w:tcW w:w="1853" w:type="pct"/>
            <w:vAlign w:val="center"/>
            <w:textDirection w:val="lrTb"/>
            <w:noWrap w:val="false"/>
          </w:tcPr>
          <w:p>
            <w:pPr>
              <w:ind w:left="0"/>
              <w:jc w:val="center"/>
              <w:widowControl w:val="off"/>
              <w:rPr>
                <w:rFonts w:ascii="宋体" w:hAnsi="宋体"/>
                <w:sz w:val="24"/>
                <w:szCs w:val="24"/>
              </w:rPr>
            </w:pPr>
            <w:r>
              <w:rPr>
                <w:rFonts w:ascii="宋体" w:hAnsi="宋体"/>
                <w:sz w:val="24"/>
                <w:szCs w:val="24"/>
              </w:rPr>
            </w:r>
            <w:r/>
          </w:p>
        </w:tc>
        <w:tc>
          <w:tcPr>
            <w:tcW w:w="1354" w:type="pct"/>
            <w:vAlign w:val="center"/>
            <w:textDirection w:val="lrTb"/>
            <w:noWrap w:val="false"/>
          </w:tcPr>
          <w:p>
            <w:pPr>
              <w:ind w:left="0"/>
              <w:jc w:val="center"/>
              <w:widowControl w:val="off"/>
              <w:rPr>
                <w:rFonts w:ascii="宋体" w:hAnsi="宋体"/>
                <w:sz w:val="24"/>
                <w:szCs w:val="24"/>
              </w:rPr>
            </w:pPr>
            <w:r>
              <w:rPr>
                <w:rFonts w:ascii="宋体" w:hAnsi="宋体"/>
                <w:sz w:val="24"/>
                <w:szCs w:val="24"/>
              </w:rPr>
            </w:r>
            <w:r/>
          </w:p>
        </w:tc>
        <w:tc>
          <w:tcPr>
            <w:tcW w:w="1792" w:type="pct"/>
            <w:vAlign w:val="center"/>
            <w:textDirection w:val="lrTb"/>
            <w:noWrap w:val="false"/>
          </w:tcPr>
          <w:p>
            <w:pPr>
              <w:ind w:left="0"/>
              <w:jc w:val="center"/>
              <w:widowControl w:val="off"/>
              <w:rPr>
                <w:rFonts w:ascii="宋体" w:hAnsi="宋体"/>
                <w:sz w:val="24"/>
                <w:szCs w:val="24"/>
              </w:rPr>
            </w:pPr>
            <w:r>
              <w:rPr>
                <w:rFonts w:ascii="宋体" w:hAnsi="宋体"/>
                <w:sz w:val="24"/>
                <w:szCs w:val="24"/>
              </w:rPr>
            </w:r>
            <w:r/>
          </w:p>
        </w:tc>
      </w:tr>
    </w:tbl>
    <w:p>
      <w:pPr>
        <w:ind w:left="0"/>
        <w:jc w:val="center"/>
        <w:spacing w:line="360" w:lineRule="auto"/>
        <w:rPr>
          <w:rFonts w:ascii="宋体" w:hAnsi="宋体" w:cs="宋体"/>
          <w:b/>
          <w:sz w:val="21"/>
          <w:szCs w:val="21"/>
        </w:rPr>
      </w:pPr>
      <w:r>
        <w:rPr>
          <w:rFonts w:ascii="宋体" w:hAnsi="宋体" w:cs="宋体"/>
          <w:b/>
          <w:sz w:val="21"/>
          <w:szCs w:val="21"/>
        </w:rPr>
      </w:r>
      <w:r/>
    </w:p>
    <w:p>
      <w:pPr>
        <w:ind w:left="0" w:firstLine="480"/>
        <w:jc w:val="left"/>
        <w:spacing w:line="360" w:lineRule="auto"/>
        <w:rPr>
          <w:rFonts w:ascii="宋体" w:hAnsi="宋体" w:cs="宋体"/>
          <w:bCs/>
          <w:sz w:val="24"/>
          <w:szCs w:val="24"/>
        </w:rPr>
      </w:pPr>
      <w:r>
        <w:rPr>
          <w:rFonts w:hint="eastAsia" w:ascii="宋体" w:hAnsi="宋体" w:cs="宋体"/>
          <w:bCs/>
          <w:sz w:val="24"/>
          <w:szCs w:val="24"/>
        </w:rPr>
        <w:t xml:space="preserve">注：上述报价包括完成本项目所需的全部服务内容、师资、交通、食宿、教材及辅材、管理、协调、人工、保险、利润、税金、政策性文件规定及本项目包含的所有风险、责任、代理服务费等各项应有费用</w:t>
      </w:r>
      <w:r>
        <w:rPr>
          <w:rStyle w:val="1081"/>
          <w:rFonts w:hint="eastAsia" w:hAnsi="宋体" w:cs="宋体"/>
          <w:sz w:val="24"/>
          <w:szCs w:val="24"/>
        </w:rPr>
        <w:t xml:space="preserve">。</w:t>
      </w:r>
      <w:r/>
    </w:p>
    <w:p>
      <w:pPr>
        <w:ind w:left="0" w:firstLine="480"/>
        <w:jc w:val="left"/>
        <w:spacing w:line="360" w:lineRule="auto"/>
        <w:rPr>
          <w:rFonts w:ascii="宋体" w:hAnsi="宋体" w:cs="宋体"/>
          <w:bCs/>
          <w:sz w:val="24"/>
          <w:szCs w:val="24"/>
        </w:rPr>
      </w:pPr>
      <w:r>
        <w:rPr>
          <w:rFonts w:ascii="宋体" w:hAnsi="宋体" w:cs="宋体"/>
          <w:bCs/>
          <w:sz w:val="24"/>
          <w:szCs w:val="24"/>
        </w:rPr>
      </w:r>
      <w:r/>
    </w:p>
    <w:p>
      <w:pPr>
        <w:ind w:left="0" w:right="-200"/>
        <w:jc w:val="left"/>
        <w:spacing w:line="360" w:lineRule="auto"/>
        <w:widowControl w:val="off"/>
        <w:rPr>
          <w:rFonts w:ascii="宋体" w:hAnsi="宋体" w:cs="宋体"/>
          <w:sz w:val="21"/>
          <w:szCs w:val="21"/>
        </w:rPr>
      </w:pPr>
      <w:r>
        <w:rPr>
          <w:rFonts w:ascii="宋体" w:hAnsi="宋体" w:cs="宋体"/>
          <w:sz w:val="21"/>
          <w:szCs w:val="21"/>
        </w:rPr>
      </w:r>
      <w:r/>
    </w:p>
    <w:p>
      <w:pPr>
        <w:ind w:left="0" w:right="-200"/>
        <w:jc w:val="left"/>
        <w:spacing w:line="360" w:lineRule="auto"/>
        <w:widowControl w:val="off"/>
        <w:rPr>
          <w:rFonts w:ascii="宋体" w:hAnsi="宋体" w:cs="宋体"/>
          <w:sz w:val="21"/>
          <w:szCs w:val="21"/>
        </w:rPr>
      </w:pPr>
      <w:r>
        <w:rPr>
          <w:rFonts w:ascii="宋体" w:hAnsi="宋体" w:cs="宋体"/>
          <w:sz w:val="21"/>
          <w:szCs w:val="21"/>
        </w:rPr>
      </w:r>
      <w:r/>
    </w:p>
    <w:p>
      <w:pPr>
        <w:ind w:left="0" w:right="-20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p>
    <w:p>
      <w:pPr>
        <w:ind w:left="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left="0" w:right="40"/>
        <w:jc w:val="left"/>
        <w:spacing w:line="360" w:lineRule="auto"/>
        <w:rPr>
          <w:rFonts w:ascii="宋体" w:hAnsi="宋体" w:cs="宋体"/>
          <w:sz w:val="24"/>
          <w:szCs w:val="24"/>
          <w:lang w:val="zh-CN"/>
        </w:rPr>
      </w:pPr>
      <w:r>
        <w:rPr>
          <w:rFonts w:hint="eastAsia" w:ascii="宋体" w:hAnsi="宋体" w:cs="宋体"/>
          <w:sz w:val="24"/>
          <w:szCs w:val="24"/>
          <w:lang w:val="zh-CN"/>
        </w:rPr>
        <w:t xml:space="preserve"> 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spacing w:line="360" w:lineRule="auto"/>
        <w:rPr>
          <w:rFonts w:ascii="宋体" w:hAnsi="宋体" w:cs="宋体"/>
        </w:rPr>
      </w:pPr>
      <w:r>
        <w:rPr>
          <w:rFonts w:ascii="宋体" w:hAnsi="宋体" w:cs="宋体"/>
        </w:rPr>
      </w:r>
      <w:r/>
    </w:p>
    <w:p>
      <w:pPr>
        <w:ind w:left="0" w:right="40"/>
        <w:jc w:val="left"/>
        <w:spacing w:line="360" w:lineRule="auto"/>
        <w:rPr>
          <w:rFonts w:ascii="宋体" w:hAnsi="宋体" w:cs="宋体"/>
          <w:b/>
          <w:sz w:val="24"/>
          <w:szCs w:val="24"/>
        </w:rPr>
        <w:outlineLvl w:val="1"/>
      </w:pPr>
      <w:r>
        <w:rPr>
          <w:rFonts w:hint="eastAsia" w:ascii="宋体" w:hAnsi="宋体" w:cs="宋体"/>
          <w:b/>
          <w:sz w:val="21"/>
          <w:szCs w:val="21"/>
        </w:rPr>
        <w:br w:type="page" w:clear="all"/>
      </w:r>
      <w:bookmarkStart w:id="42" w:name="_Toc14239"/>
      <w:r/>
      <w:bookmarkStart w:id="43" w:name="_Toc31009"/>
      <w:r>
        <w:rPr>
          <w:rFonts w:hint="eastAsia" w:ascii="宋体" w:hAnsi="宋体" w:cs="宋体"/>
          <w:b/>
          <w:sz w:val="24"/>
          <w:szCs w:val="24"/>
        </w:rPr>
        <w:t xml:space="preserve">附件3、</w:t>
      </w:r>
      <w:bookmarkEnd w:id="42"/>
      <w:r>
        <w:rPr>
          <w:rFonts w:hint="eastAsia" w:ascii="宋体" w:hAnsi="宋体" w:cs="宋体"/>
          <w:b/>
          <w:sz w:val="24"/>
          <w:szCs w:val="24"/>
        </w:rPr>
        <w:t xml:space="preserve">报价明细表</w:t>
      </w:r>
      <w:r/>
    </w:p>
    <w:p>
      <w:pPr>
        <w:pStyle w:val="1082"/>
        <w:ind w:left="0" w:firstLine="0"/>
        <w:jc w:val="center"/>
        <w:spacing w:line="360" w:lineRule="auto"/>
        <w:widowControl w:val="off"/>
        <w:rPr>
          <w:rStyle w:val="1081"/>
          <w:rFonts w:ascii="宋体" w:hAnsi="宋体"/>
          <w:b/>
          <w:bCs/>
          <w:szCs w:val="24"/>
        </w:rPr>
      </w:pPr>
      <w:r>
        <w:rPr>
          <w:rStyle w:val="1081"/>
          <w:rFonts w:hint="eastAsia" w:ascii="宋体" w:hAnsi="宋体"/>
          <w:b/>
          <w:bCs/>
          <w:szCs w:val="24"/>
        </w:rPr>
        <w:t xml:space="preserve">报价明细表</w:t>
      </w:r>
      <w:r/>
    </w:p>
    <w:tbl>
      <w:tblPr>
        <w:tblStyle w:val="892"/>
        <w:tblW w:w="46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1516"/>
        <w:gridCol w:w="3650"/>
        <w:gridCol w:w="1060"/>
        <w:gridCol w:w="861"/>
        <w:gridCol w:w="1092"/>
      </w:tblGrid>
      <w:tr>
        <w:trPr>
          <w:jc w:val="center"/>
          <w:trHeight w:val="641"/>
        </w:trPr>
        <w:tc>
          <w:tcPr>
            <w:shd w:val="clear" w:color="auto" w:fill="auto"/>
            <w:tcW w:w="632"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项目种类</w:t>
            </w:r>
            <w:r/>
          </w:p>
        </w:tc>
        <w:tc>
          <w:tcPr>
            <w:shd w:val="clear" w:color="auto" w:fill="auto"/>
            <w:tcW w:w="809"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项目类型</w:t>
            </w:r>
            <w:r/>
          </w:p>
        </w:tc>
        <w:tc>
          <w:tcPr>
            <w:shd w:val="clear" w:color="auto" w:fill="auto"/>
            <w:tcW w:w="1949" w:type="pct"/>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流程内容</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单价（元）</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拟工程量（个）</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cstheme="minorEastAsia"/>
              </w:rPr>
              <w:t xml:space="preserve">合价</w:t>
            </w:r>
            <w:r>
              <w:rPr>
                <w:rFonts w:hint="eastAsia" w:asciiTheme="minorEastAsia" w:hAnsiTheme="minorEastAsia" w:eastAsiaTheme="minorEastAsia" w:cstheme="minorEastAsia"/>
              </w:rPr>
              <w:t xml:space="preserve">（元）</w:t>
            </w:r>
            <w:r/>
          </w:p>
        </w:tc>
      </w:tr>
      <w:tr>
        <w:trPr>
          <w:jc w:val="center"/>
          <w:trHeight w:val="90"/>
        </w:trPr>
        <w:tc>
          <w:tcPr>
            <w:shd w:val="clear" w:color="auto" w:fill="auto"/>
            <w:tcW w:w="632"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一、优化阶段</w:t>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及以下</w:t>
            </w:r>
            <w:r/>
          </w:p>
        </w:tc>
        <w:tc>
          <w:tcPr>
            <w:shd w:val="clear" w:color="auto" w:fill="auto"/>
            <w:tcW w:w="194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1.线路现状踏勘现场。</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2.根据周边线路情况，线路走向等拟定初步方案。</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3.根据初步方案，商讨优化可行性并绘制图纸。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4.将优化后方案与业主管理部门进行沟通→修改→再确定。</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5.依据优化后方案，编制材料清单，做出初步的估算。</w:t>
            </w:r>
            <w:r/>
          </w:p>
          <w:p>
            <w:pPr>
              <w:ind w:left="0"/>
              <w:rPr>
                <w:b/>
                <w:bCs/>
              </w:rPr>
            </w:pPr>
            <w:r>
              <w:rPr>
                <w:rFonts w:hint="eastAsia" w:asciiTheme="minorEastAsia" w:hAnsiTheme="minorEastAsia" w:eastAsiaTheme="minorEastAsia" w:cstheme="minorEastAsia"/>
              </w:rPr>
              <w:t xml:space="preserve">6.估算金额给予主业单位项目负责人参考并讨论。</w:t>
            </w:r>
            <w:r/>
          </w:p>
        </w:tc>
        <w:tc>
          <w:tcPr>
            <w:shd w:val="clear" w:color="auto" w:fill="auto"/>
            <w:tcW w:w="566"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W w:w="580"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210"/>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35kV以上</w:t>
            </w:r>
            <w:r/>
          </w:p>
        </w:tc>
        <w:tc>
          <w:tcPr>
            <w:shd w:val="clear" w:color="auto" w:fill="auto"/>
            <w:tcW w:w="194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1.高压现状踏勘现场。</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2.根据周边线路情况，线路走向等拟定初步方案。</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3.根据初步方案，商讨优化可行性并绘制图纸。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4.将优化后方案与业主管理部门进行沟通→修改→再确定。</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5.依据优化后方案，编制材料清单，做出初步的估算。</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6.估算金额给予主业单位项目负责人参考并讨论。</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630"/>
        </w:trPr>
        <w:tc>
          <w:tcPr>
            <w:shd w:val="clear" w:color="auto" w:fill="auto"/>
            <w:tcW w:w="632"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二、流程阶段</w:t>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以下</w:t>
            </w:r>
            <w:r/>
          </w:p>
        </w:tc>
        <w:tc>
          <w:tcPr>
            <w:shd w:val="clear" w:color="auto" w:fill="auto"/>
            <w:tcW w:w="1949"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1.收集甲方资料，代表业主提交供电申请。</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2.协调业主签订设计合同，全程跟踪设计单位，与设计单位沟通优化设计方案，控制成本；协调图纸审核。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3.协调业主单位与供电单位签定施工合同并缴费。</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4.协调供电施工单位进行物资采购等施工准备（包含物资招标）</w:t>
            </w:r>
            <w:r/>
          </w:p>
          <w:p>
            <w:pPr>
              <w:ind w:left="0"/>
              <w:rPr>
                <w:b/>
                <w:bCs/>
              </w:rPr>
            </w:pPr>
            <w:r>
              <w:rPr>
                <w:rFonts w:hint="eastAsia" w:asciiTheme="minorEastAsia" w:hAnsiTheme="minorEastAsia" w:eastAsiaTheme="minorEastAsia" w:cstheme="minorEastAsia"/>
              </w:rPr>
              <w:t xml:space="preserve">5.施工过程中协调各施工单位，并办理相关停送电事宜，确保通电时间节点。</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667"/>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965"/>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110kV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919"/>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220kV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404"/>
        </w:trPr>
        <w:tc>
          <w:tcPr>
            <w:shd w:val="clear" w:color="auto" w:fill="auto"/>
            <w:tcW w:w="632"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合计</w:t>
            </w:r>
            <w:r/>
          </w:p>
        </w:tc>
        <w:tc>
          <w:tcPr>
            <w:gridSpan w:val="5"/>
            <w:shd w:val="clear" w:color="auto" w:fill="auto"/>
            <w:tcW w:w="4367"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大写：           （小写：         元）</w:t>
            </w:r>
            <w:r/>
          </w:p>
        </w:tc>
      </w:tr>
    </w:tbl>
    <w:p>
      <w:pPr>
        <w:ind w:left="0" w:firstLine="482"/>
        <w:spacing w:line="360" w:lineRule="auto"/>
        <w:widowControl w:val="off"/>
        <w:rPr>
          <w:rFonts w:ascii="宋体" w:hAnsi="宋体"/>
          <w:b/>
          <w:sz w:val="24"/>
          <w:szCs w:val="24"/>
        </w:rPr>
      </w:pPr>
      <w:r>
        <w:rPr>
          <w:rStyle w:val="1081"/>
          <w:rFonts w:hint="eastAsia" w:ascii="宋体" w:hAnsi="宋体"/>
          <w:b/>
          <w:bCs/>
          <w:sz w:val="24"/>
          <w:szCs w:val="24"/>
        </w:rPr>
        <w:t xml:space="preserve">注：</w:t>
      </w:r>
      <w:r>
        <w:rPr>
          <w:rFonts w:hint="eastAsia" w:ascii="宋体" w:hAnsi="宋体"/>
          <w:b/>
          <w:sz w:val="24"/>
          <w:szCs w:val="24"/>
        </w:rPr>
        <w:t xml:space="preserve">本表合计金额应与《</w:t>
      </w:r>
      <w:r>
        <w:rPr>
          <w:rFonts w:ascii="宋体" w:hAnsi="宋体"/>
          <w:b/>
          <w:sz w:val="24"/>
          <w:szCs w:val="24"/>
        </w:rPr>
        <w:t xml:space="preserve">磋商报价表</w:t>
      </w:r>
      <w:r>
        <w:rPr>
          <w:rFonts w:hint="eastAsia" w:ascii="宋体" w:hAnsi="宋体"/>
          <w:b/>
          <w:sz w:val="24"/>
          <w:szCs w:val="24"/>
        </w:rPr>
        <w:t xml:space="preserve">》</w:t>
      </w:r>
      <w:r>
        <w:rPr>
          <w:rFonts w:ascii="宋体" w:hAnsi="宋体"/>
          <w:b/>
          <w:sz w:val="24"/>
          <w:szCs w:val="24"/>
        </w:rPr>
        <w:t xml:space="preserve">的</w:t>
      </w:r>
      <w:r>
        <w:rPr>
          <w:rFonts w:hint="eastAsia" w:ascii="宋体" w:hAnsi="宋体"/>
          <w:b/>
          <w:sz w:val="24"/>
          <w:szCs w:val="24"/>
        </w:rPr>
        <w:t xml:space="preserve">响应总报价一致，否则以《</w:t>
      </w:r>
      <w:r>
        <w:rPr>
          <w:rFonts w:ascii="宋体" w:hAnsi="宋体"/>
          <w:b/>
          <w:sz w:val="24"/>
          <w:szCs w:val="24"/>
        </w:rPr>
        <w:t xml:space="preserve">磋商报价表</w:t>
      </w:r>
      <w:r>
        <w:rPr>
          <w:rFonts w:hint="eastAsia" w:ascii="宋体" w:hAnsi="宋体"/>
          <w:b/>
          <w:sz w:val="24"/>
          <w:szCs w:val="24"/>
        </w:rPr>
        <w:t xml:space="preserve">》为准。</w:t>
      </w:r>
      <w:r/>
    </w:p>
    <w:p>
      <w:pPr>
        <w:pStyle w:val="1053"/>
        <w:rPr>
          <w:rFonts w:ascii="宋体" w:hAnsi="宋体"/>
          <w:b/>
          <w:sz w:val="24"/>
          <w:szCs w:val="24"/>
        </w:rPr>
      </w:pPr>
      <w:r>
        <w:rPr>
          <w:rFonts w:ascii="宋体" w:hAnsi="宋体"/>
          <w:b/>
          <w:sz w:val="24"/>
          <w:szCs w:val="24"/>
        </w:rPr>
      </w:r>
      <w:r/>
    </w:p>
    <w:p>
      <w:pPr>
        <w:pStyle w:val="1051"/>
        <w:rPr>
          <w:rFonts w:ascii="宋体" w:hAnsi="宋体"/>
          <w:b/>
          <w:sz w:val="24"/>
          <w:szCs w:val="24"/>
        </w:rPr>
      </w:pPr>
      <w:r>
        <w:rPr>
          <w:rFonts w:ascii="宋体" w:hAnsi="宋体"/>
          <w:b/>
          <w:sz w:val="24"/>
          <w:szCs w:val="24"/>
        </w:rPr>
      </w:r>
      <w:r/>
    </w:p>
    <w:p>
      <w:pPr>
        <w:ind w:left="0" w:firstLine="48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p>
    <w:p>
      <w:pPr>
        <w:ind w:left="0"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代理人</w:t>
      </w:r>
      <w:r>
        <w:rPr>
          <w:rFonts w:hint="eastAsia" w:ascii="宋体" w:hAnsi="宋体" w:cs="宋体"/>
          <w:sz w:val="24"/>
          <w:szCs w:val="24"/>
          <w:lang w:val="zh-CN"/>
        </w:rPr>
        <w:t xml:space="preserve">：（签字或盖章）</w:t>
      </w:r>
      <w:r/>
    </w:p>
    <w:p>
      <w:pPr>
        <w:ind w:left="0" w:firstLine="480"/>
        <w:spacing w:line="360" w:lineRule="auto"/>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jc w:val="left"/>
        <w:spacing w:line="360" w:lineRule="auto"/>
        <w:rPr>
          <w:rFonts w:ascii="宋体" w:hAnsi="宋体" w:cs="宋体"/>
          <w:sz w:val="24"/>
          <w:szCs w:val="24"/>
        </w:rPr>
        <w:outlineLvl w:val="1"/>
      </w:pPr>
      <w:r>
        <w:rPr>
          <w:rFonts w:hint="eastAsia" w:ascii="宋体" w:hAnsi="宋体" w:cs="宋体"/>
          <w:b/>
          <w:sz w:val="24"/>
          <w:szCs w:val="24"/>
        </w:rPr>
        <w:br w:type="page" w:clear="all"/>
      </w:r>
      <w:r>
        <w:rPr>
          <w:rFonts w:hint="eastAsia" w:ascii="宋体" w:hAnsi="宋体" w:cs="宋体"/>
          <w:b/>
          <w:sz w:val="24"/>
          <w:szCs w:val="24"/>
        </w:rPr>
        <w:t xml:space="preserve">附件4、法定代表人授权委托书</w:t>
      </w:r>
      <w:bookmarkEnd w:id="43"/>
      <w:r/>
      <w:r/>
    </w:p>
    <w:p>
      <w:pPr>
        <w:ind w:left="0"/>
        <w:spacing w:line="360" w:lineRule="auto"/>
        <w:rPr>
          <w:rFonts w:ascii="宋体" w:hAnsi="宋体" w:cs="宋体"/>
          <w:b/>
          <w:sz w:val="24"/>
          <w:szCs w:val="24"/>
        </w:rPr>
      </w:pPr>
      <w:r>
        <w:rPr>
          <w:rFonts w:ascii="宋体" w:hAnsi="宋体" w:cs="宋体"/>
          <w:b/>
          <w:sz w:val="24"/>
          <w:szCs w:val="24"/>
        </w:rPr>
      </w:r>
      <w:r/>
    </w:p>
    <w:p>
      <w:pPr>
        <w:ind w:left="0"/>
        <w:jc w:val="center"/>
        <w:spacing w:line="360" w:lineRule="auto"/>
        <w:rPr>
          <w:rFonts w:ascii="宋体" w:hAnsi="宋体" w:cs="宋体"/>
          <w:b/>
          <w:sz w:val="24"/>
          <w:szCs w:val="24"/>
        </w:rPr>
      </w:pPr>
      <w:r>
        <w:rPr>
          <w:rFonts w:hint="eastAsia" w:ascii="宋体" w:hAnsi="宋体" w:cs="宋体"/>
          <w:b/>
          <w:sz w:val="24"/>
          <w:szCs w:val="24"/>
        </w:rPr>
        <w:t xml:space="preserve">法定代表人授权委托书</w:t>
      </w:r>
      <w:r/>
    </w:p>
    <w:p>
      <w:pPr>
        <w:pStyle w:val="1053"/>
        <w:rPr>
          <w:rFonts w:ascii="宋体" w:hAnsi="宋体" w:cs="宋体"/>
        </w:rPr>
      </w:pPr>
      <w:r>
        <w:rPr>
          <w:rFonts w:ascii="宋体" w:hAnsi="宋体" w:cs="宋体"/>
        </w:rPr>
      </w:r>
      <w:r/>
    </w:p>
    <w:p>
      <w:pPr>
        <w:ind w:left="0" w:firstLine="480"/>
        <w:jc w:val="left"/>
        <w:spacing w:line="480" w:lineRule="auto"/>
        <w:rPr>
          <w:rFonts w:ascii="宋体" w:hAnsi="宋体" w:cs="宋体"/>
          <w:sz w:val="24"/>
          <w:szCs w:val="24"/>
        </w:rPr>
      </w:pPr>
      <w:r>
        <w:rPr>
          <w:rFonts w:hint="eastAsia" w:ascii="宋体" w:hAnsi="宋体" w:cs="宋体"/>
          <w:sz w:val="24"/>
          <w:szCs w:val="24"/>
        </w:rPr>
        <w:t xml:space="preserve">本授权委托书声明：  我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供应商名称）的法定代表人，现授权委托</w:t>
      </w:r>
      <w:r>
        <w:rPr>
          <w:rFonts w:hint="eastAsia" w:ascii="宋体" w:hAnsi="宋体" w:cs="宋体"/>
          <w:sz w:val="24"/>
          <w:szCs w:val="24"/>
          <w:u w:val="single"/>
        </w:rPr>
        <w:t xml:space="preserve">             </w:t>
      </w:r>
      <w:r>
        <w:rPr>
          <w:rFonts w:hint="eastAsia" w:ascii="宋体" w:hAnsi="宋体" w:cs="宋体"/>
          <w:sz w:val="24"/>
          <w:szCs w:val="24"/>
        </w:rPr>
        <w:t xml:space="preserve">（姓名）为我公司授权代表（即代理人），以本公司的名义参</w:t>
      </w:r>
      <w:r>
        <w:rPr>
          <w:rFonts w:hint="eastAsia" w:ascii="宋体" w:hAnsi="宋体" w:cs="宋体"/>
          <w:sz w:val="24"/>
          <w:szCs w:val="24"/>
          <w:u w:val="single"/>
        </w:rPr>
        <w:t xml:space="preserve">加江苏仁禾中衡工程咨询房地产估价有限公司</w:t>
      </w:r>
      <w:r>
        <w:rPr>
          <w:rFonts w:hint="eastAsia" w:ascii="宋体" w:hAnsi="宋体" w:cs="宋体"/>
          <w:sz w:val="24"/>
          <w:szCs w:val="24"/>
        </w:rPr>
        <w:t xml:space="preserve">组织实施的编号为 </w:t>
      </w:r>
      <w:r>
        <w:rPr>
          <w:rFonts w:hint="eastAsia" w:ascii="宋体" w:hAnsi="宋体" w:cs="宋体"/>
          <w:sz w:val="24"/>
          <w:szCs w:val="24"/>
          <w:u w:val="single"/>
        </w:rPr>
        <w:t xml:space="preserve">            </w:t>
      </w:r>
      <w:r>
        <w:rPr>
          <w:rFonts w:hint="eastAsia" w:ascii="宋体" w:hAnsi="宋体" w:cs="宋体"/>
          <w:sz w:val="24"/>
          <w:szCs w:val="24"/>
        </w:rPr>
        <w:t xml:space="preserve">号（项目编号）的竞争性磋商活动。代理人在磋商活动过程中所签署的一切文件和处理与这有关的一切事务，我均予以承认。</w:t>
      </w:r>
      <w:r/>
    </w:p>
    <w:p>
      <w:pPr>
        <w:ind w:left="0" w:firstLine="480"/>
        <w:jc w:val="left"/>
        <w:spacing w:line="480" w:lineRule="auto"/>
        <w:rPr>
          <w:rFonts w:ascii="宋体" w:hAnsi="宋体" w:cs="宋体"/>
          <w:sz w:val="24"/>
          <w:szCs w:val="24"/>
        </w:rPr>
      </w:pPr>
      <w:r>
        <w:rPr>
          <w:rFonts w:hint="eastAsia" w:ascii="宋体" w:hAnsi="宋体" w:cs="宋体"/>
          <w:sz w:val="24"/>
          <w:szCs w:val="24"/>
        </w:rPr>
        <w:t xml:space="preserve">代理人在授权委托书有效期内签署的所有文件不因授权委托的撤销而失效，除非有撤销授权委托的书面通知，本授权委托书自磋商活动开始至合同履行完毕止。</w:t>
      </w:r>
      <w:r/>
    </w:p>
    <w:p>
      <w:pPr>
        <w:ind w:left="0" w:firstLine="480"/>
        <w:jc w:val="left"/>
        <w:spacing w:line="480" w:lineRule="auto"/>
        <w:rPr>
          <w:rFonts w:ascii="宋体" w:hAnsi="宋体" w:cs="宋体"/>
          <w:sz w:val="24"/>
          <w:szCs w:val="24"/>
        </w:rPr>
      </w:pPr>
      <w:r>
        <w:rPr>
          <w:rFonts w:hint="eastAsia" w:ascii="宋体" w:hAnsi="宋体" w:cs="宋体"/>
          <w:sz w:val="24"/>
          <w:szCs w:val="24"/>
        </w:rPr>
        <w:t xml:space="preserve">代理人无转委托权。特此委托。</w:t>
      </w:r>
      <w:r/>
    </w:p>
    <w:p>
      <w:pPr>
        <w:ind w:left="0" w:firstLine="480"/>
        <w:jc w:val="left"/>
        <w:spacing w:line="360" w:lineRule="auto"/>
        <w:rPr>
          <w:rFonts w:ascii="宋体" w:hAnsi="宋体" w:cs="宋体"/>
          <w:sz w:val="24"/>
          <w:szCs w:val="24"/>
        </w:rPr>
      </w:pPr>
      <w:r>
        <w:rPr>
          <w:rFonts w:ascii="宋体" w:hAnsi="宋体" w:cs="宋体"/>
          <w:sz w:val="24"/>
          <w:szCs w:val="24"/>
        </w:rPr>
      </w:r>
      <w:r/>
    </w:p>
    <w:p>
      <w:pPr>
        <w:ind w:left="0" w:firstLine="48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p>
    <w:p>
      <w:pPr>
        <w:ind w:left="0"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法定代表人：（签字或盖章）</w:t>
      </w:r>
      <w:r/>
    </w:p>
    <w:p>
      <w:pPr>
        <w:ind w:left="0" w:firstLine="480"/>
        <w:jc w:val="left"/>
        <w:spacing w:line="360" w:lineRule="auto"/>
        <w:rPr>
          <w:rFonts w:ascii="宋体" w:hAnsi="宋体" w:cs="宋体"/>
          <w:sz w:val="24"/>
          <w:szCs w:val="24"/>
          <w:lang w:val="zh-CN"/>
        </w:rPr>
      </w:pPr>
      <w:r>
        <w:rPr>
          <w:rFonts w:hint="eastAsia" w:ascii="宋体" w:hAnsi="宋体" w:cs="宋体"/>
          <w:sz w:val="24"/>
          <w:szCs w:val="24"/>
          <w:lang w:val="zh-CN"/>
        </w:rPr>
        <w:t xml:space="preserve">日   </w:t>
      </w:r>
      <w:r>
        <w:rPr>
          <w:rFonts w:hint="eastAsia" w:ascii="宋体" w:hAnsi="宋体" w:cs="宋体"/>
          <w:sz w:val="24"/>
          <w:szCs w:val="24"/>
        </w:rPr>
        <w:t xml:space="preserve">  </w:t>
      </w:r>
      <w:r>
        <w:rPr>
          <w:rFonts w:hint="eastAsia" w:ascii="宋体" w:hAnsi="宋体" w:cs="宋体"/>
          <w:sz w:val="24"/>
          <w:szCs w:val="24"/>
          <w:lang w:val="zh-CN"/>
        </w:rPr>
        <w:t xml:space="preserve">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jc w:val="left"/>
        <w:rPr>
          <w:rFonts w:ascii="宋体" w:hAnsi="宋体" w:cs="宋体"/>
          <w:sz w:val="24"/>
          <w:szCs w:val="24"/>
        </w:rPr>
        <w:outlineLvl w:val="1"/>
      </w:pPr>
      <w:r>
        <w:rPr>
          <w:rFonts w:hint="eastAsia" w:ascii="宋体" w:hAnsi="宋体" w:cs="宋体"/>
          <w:b/>
          <w:sz w:val="21"/>
          <w:szCs w:val="21"/>
        </w:rPr>
        <w:br w:type="page" w:clear="all"/>
      </w:r>
      <w:bookmarkStart w:id="44" w:name="_Toc31308"/>
      <w:r>
        <w:rPr>
          <w:rFonts w:hint="eastAsia" w:ascii="宋体" w:hAnsi="宋体" w:cs="宋体"/>
          <w:b/>
          <w:sz w:val="24"/>
          <w:szCs w:val="24"/>
        </w:rPr>
        <w:t xml:space="preserve">附件5、关于资格文件的声明函</w:t>
      </w:r>
      <w:bookmarkEnd w:id="44"/>
      <w:r/>
      <w:r/>
    </w:p>
    <w:p>
      <w:pPr>
        <w:ind w:left="0" w:firstLine="420"/>
        <w:jc w:val="center"/>
        <w:rPr>
          <w:rFonts w:ascii="宋体" w:hAnsi="宋体" w:cs="宋体"/>
          <w:b/>
          <w:sz w:val="24"/>
          <w:szCs w:val="24"/>
        </w:rPr>
      </w:pPr>
      <w:r>
        <w:rPr>
          <w:rFonts w:ascii="宋体" w:hAnsi="宋体" w:cs="宋体"/>
          <w:b/>
          <w:sz w:val="24"/>
          <w:szCs w:val="24"/>
        </w:rPr>
      </w:r>
      <w:r/>
    </w:p>
    <w:p>
      <w:pPr>
        <w:ind w:left="0" w:firstLine="420"/>
        <w:jc w:val="center"/>
        <w:rPr>
          <w:rFonts w:ascii="宋体" w:hAnsi="宋体" w:cs="宋体"/>
          <w:b/>
          <w:sz w:val="24"/>
          <w:szCs w:val="24"/>
        </w:rPr>
      </w:pPr>
      <w:r>
        <w:rPr>
          <w:rFonts w:hint="eastAsia" w:ascii="宋体" w:hAnsi="宋体" w:cs="宋体"/>
          <w:b/>
          <w:sz w:val="24"/>
          <w:szCs w:val="24"/>
        </w:rPr>
        <w:t xml:space="preserve">关于资格文件的声明函</w:t>
      </w:r>
      <w:r/>
    </w:p>
    <w:p>
      <w:pPr>
        <w:ind w:left="0" w:firstLine="420"/>
        <w:jc w:val="center"/>
        <w:rPr>
          <w:rFonts w:ascii="宋体" w:hAnsi="宋体" w:cs="宋体"/>
          <w:sz w:val="24"/>
          <w:szCs w:val="24"/>
        </w:rPr>
      </w:pPr>
      <w:r>
        <w:rPr>
          <w:rFonts w:ascii="宋体" w:hAnsi="宋体" w:cs="宋体"/>
          <w:sz w:val="24"/>
          <w:szCs w:val="24"/>
        </w:rPr>
      </w:r>
      <w:r/>
    </w:p>
    <w:p>
      <w:pPr>
        <w:ind w:left="0"/>
        <w:jc w:val="left"/>
        <w:spacing w:line="360" w:lineRule="auto"/>
        <w:rPr>
          <w:rFonts w:ascii="宋体" w:hAnsi="宋体" w:cs="宋体"/>
          <w:sz w:val="24"/>
          <w:szCs w:val="24"/>
        </w:rPr>
      </w:pPr>
      <w:r>
        <w:rPr>
          <w:rFonts w:hint="eastAsia" w:ascii="宋体" w:hAnsi="宋体" w:cs="宋体"/>
          <w:sz w:val="24"/>
          <w:szCs w:val="24"/>
          <w:u w:val="single"/>
        </w:rPr>
        <w:t xml:space="preserve">江苏仁禾中衡工程咨询房地产估价有限公司</w:t>
      </w:r>
      <w:r>
        <w:rPr>
          <w:rFonts w:hint="eastAsia" w:ascii="宋体" w:hAnsi="宋体" w:cs="宋体"/>
          <w:sz w:val="24"/>
          <w:szCs w:val="24"/>
        </w:rPr>
        <w:t xml:space="preserve">：</w:t>
      </w:r>
      <w:r/>
    </w:p>
    <w:p>
      <w:pPr>
        <w:ind w:left="0" w:firstLine="480"/>
        <w:jc w:val="left"/>
        <w:spacing w:line="360" w:lineRule="auto"/>
        <w:rPr>
          <w:rFonts w:ascii="宋体" w:hAnsi="宋体" w:cs="宋体"/>
          <w:sz w:val="24"/>
          <w:szCs w:val="24"/>
        </w:rPr>
      </w:pPr>
      <w:r>
        <w:rPr>
          <w:rFonts w:hint="eastAsia" w:ascii="宋体" w:hAnsi="宋体" w:cs="宋体"/>
          <w:sz w:val="24"/>
          <w:szCs w:val="24"/>
        </w:rPr>
        <w:t xml:space="preserve">本公司愿就由贵公司组织实施的编号为</w:t>
      </w:r>
      <w:r>
        <w:rPr>
          <w:rFonts w:hint="eastAsia" w:ascii="宋体" w:hAnsi="宋体" w:cs="宋体"/>
          <w:sz w:val="24"/>
          <w:szCs w:val="24"/>
          <w:u w:val="single"/>
        </w:rPr>
        <w:t xml:space="preserve">              </w:t>
      </w:r>
      <w:r>
        <w:rPr>
          <w:rFonts w:hint="eastAsia" w:ascii="宋体" w:hAnsi="宋体" w:cs="宋体"/>
          <w:sz w:val="24"/>
          <w:szCs w:val="24"/>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0" w:firstLine="420"/>
        <w:jc w:val="left"/>
        <w:spacing w:line="360" w:lineRule="auto"/>
        <w:rPr>
          <w:rFonts w:ascii="宋体" w:hAnsi="宋体" w:cs="宋体"/>
          <w:sz w:val="24"/>
          <w:szCs w:val="24"/>
        </w:rPr>
      </w:pPr>
      <w:r>
        <w:rPr>
          <w:rFonts w:ascii="宋体" w:hAnsi="宋体" w:cs="宋体"/>
          <w:sz w:val="24"/>
          <w:szCs w:val="24"/>
        </w:rPr>
      </w:r>
      <w:r/>
    </w:p>
    <w:p>
      <w:pPr>
        <w:ind w:left="0" w:firstLine="420"/>
        <w:jc w:val="left"/>
        <w:spacing w:line="360" w:lineRule="auto"/>
        <w:rPr>
          <w:rFonts w:ascii="宋体" w:hAnsi="宋体" w:cs="宋体"/>
          <w:sz w:val="24"/>
          <w:szCs w:val="24"/>
        </w:rPr>
      </w:pPr>
      <w:r>
        <w:rPr>
          <w:rFonts w:ascii="宋体" w:hAnsi="宋体" w:cs="宋体"/>
          <w:sz w:val="24"/>
          <w:szCs w:val="24"/>
        </w:rPr>
      </w:r>
      <w:r/>
    </w:p>
    <w:p>
      <w:pPr>
        <w:ind w:left="0" w:right="-20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p>
    <w:p>
      <w:pPr>
        <w:ind w:left="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left="0" w:right="300"/>
        <w:jc w:val="left"/>
        <w:spacing w:line="400" w:lineRule="exact"/>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jc w:val="left"/>
        <w:spacing w:line="360" w:lineRule="auto"/>
        <w:rPr>
          <w:rFonts w:ascii="宋体" w:hAnsi="宋体" w:cs="宋体"/>
          <w:b/>
          <w:sz w:val="24"/>
          <w:szCs w:val="24"/>
        </w:rPr>
        <w:outlineLvl w:val="1"/>
      </w:pPr>
      <w:r>
        <w:rPr>
          <w:rFonts w:hint="eastAsia" w:ascii="宋体" w:hAnsi="宋体" w:cs="宋体"/>
          <w:b/>
          <w:sz w:val="21"/>
          <w:szCs w:val="21"/>
        </w:rPr>
        <w:br w:type="page" w:clear="all"/>
      </w:r>
      <w:bookmarkStart w:id="45" w:name="_Toc30056"/>
      <w:r>
        <w:rPr>
          <w:rFonts w:hint="eastAsia" w:ascii="宋体" w:hAnsi="宋体" w:cs="宋体"/>
          <w:b/>
          <w:sz w:val="24"/>
          <w:szCs w:val="24"/>
        </w:rPr>
        <w:t xml:space="preserve">附件6、磋商响应单位基本情况表</w:t>
      </w:r>
      <w:bookmarkEnd w:id="45"/>
      <w:r/>
      <w:r/>
    </w:p>
    <w:p>
      <w:pPr>
        <w:ind w:left="0"/>
        <w:jc w:val="center"/>
        <w:spacing w:line="360" w:lineRule="auto"/>
        <w:rPr>
          <w:rFonts w:ascii="宋体" w:hAnsi="宋体" w:cs="宋体"/>
          <w:sz w:val="21"/>
          <w:szCs w:val="21"/>
        </w:rPr>
      </w:pPr>
      <w:r>
        <w:rPr>
          <w:rFonts w:hint="eastAsia" w:ascii="宋体" w:hAnsi="宋体" w:cs="宋体"/>
          <w:b/>
          <w:sz w:val="24"/>
          <w:szCs w:val="24"/>
        </w:rPr>
        <w:t xml:space="preserve">磋商响应单位基本情况表</w:t>
      </w:r>
      <w:r/>
    </w:p>
    <w:tbl>
      <w:tblPr>
        <w:tblStyle w:val="869"/>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法定代表人</w:t>
            </w:r>
            <w:r/>
          </w:p>
        </w:tc>
        <w:tc>
          <w:tcPr>
            <w:tcW w:w="2005"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c>
          <w:tcPr>
            <w:tcW w:w="1461"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成立日期</w:t>
            </w:r>
            <w:r/>
          </w:p>
        </w:tc>
        <w:tc>
          <w:tcPr>
            <w:gridSpan w:val="2"/>
            <w:tcW w:w="3292"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企业地址</w:t>
            </w:r>
            <w:r/>
          </w:p>
        </w:tc>
        <w:tc>
          <w:tcPr>
            <w:tcW w:w="2005"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c>
          <w:tcPr>
            <w:tcW w:w="1461"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注册资本</w:t>
            </w:r>
            <w:r/>
          </w:p>
        </w:tc>
        <w:tc>
          <w:tcPr>
            <w:gridSpan w:val="2"/>
            <w:tcW w:w="3292" w:type="dxa"/>
            <w:textDirection w:val="lrTb"/>
            <w:noWrap w:val="false"/>
          </w:tcPr>
          <w:p>
            <w:pPr>
              <w:pStyle w:val="1082"/>
              <w:ind w:left="0" w:firstLine="1200"/>
              <w:widowControl w:val="off"/>
              <w:rPr>
                <w:rStyle w:val="1081"/>
                <w:rFonts w:ascii="宋体" w:hAnsi="宋体" w:cs="宋体"/>
                <w:szCs w:val="24"/>
              </w:rPr>
            </w:pPr>
            <w:r>
              <w:rPr>
                <w:rStyle w:val="1081"/>
                <w:rFonts w:hint="eastAsia" w:ascii="宋体" w:hAnsi="宋体" w:cs="宋体"/>
                <w:szCs w:val="24"/>
              </w:rPr>
              <w:t xml:space="preserve">万元</w:t>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经营范围</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职工人数</w:t>
            </w:r>
            <w:r/>
          </w:p>
        </w:tc>
        <w:tc>
          <w:tcPr>
            <w:tcW w:w="2005"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c>
          <w:tcPr>
            <w:gridSpan w:val="2"/>
            <w:tcW w:w="3517"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其中：有中高级以上职称的人数</w:t>
            </w:r>
            <w:r/>
          </w:p>
        </w:tc>
        <w:tc>
          <w:tcPr>
            <w:tcW w:w="1236"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vAlign w:val="center"/>
            <w:textDirection w:val="lrTb"/>
            <w:noWrap w:val="false"/>
          </w:tcPr>
          <w:p>
            <w:pPr>
              <w:pStyle w:val="1082"/>
              <w:ind w:left="0" w:firstLine="0"/>
              <w:jc w:val="both"/>
              <w:widowControl w:val="off"/>
              <w:rPr>
                <w:rStyle w:val="1081"/>
                <w:rFonts w:ascii="宋体" w:hAnsi="宋体" w:cs="宋体"/>
                <w:szCs w:val="24"/>
              </w:rPr>
            </w:pPr>
            <w:r>
              <w:rPr>
                <w:rStyle w:val="1081"/>
                <w:rFonts w:hint="eastAsia" w:ascii="宋体" w:hAnsi="宋体" w:cs="宋体"/>
                <w:szCs w:val="24"/>
              </w:rPr>
              <w:t xml:space="preserve">资产总计</w:t>
            </w:r>
            <w:r/>
          </w:p>
        </w:tc>
        <w:tc>
          <w:tcPr>
            <w:tcW w:w="2005" w:type="dxa"/>
            <w:vAlign w:val="center"/>
            <w:textDirection w:val="lrTb"/>
            <w:noWrap w:val="false"/>
          </w:tcPr>
          <w:p>
            <w:pPr>
              <w:pStyle w:val="1082"/>
              <w:ind w:left="0" w:firstLine="0"/>
              <w:jc w:val="center"/>
              <w:widowControl w:val="off"/>
              <w:rPr>
                <w:rStyle w:val="1081"/>
                <w:rFonts w:ascii="宋体" w:hAnsi="宋体" w:cs="宋体"/>
                <w:szCs w:val="24"/>
              </w:rPr>
            </w:pPr>
            <w:r>
              <w:rPr>
                <w:rStyle w:val="1081"/>
                <w:rFonts w:hint="eastAsia" w:ascii="宋体" w:hAnsi="宋体" w:cs="宋体"/>
                <w:szCs w:val="24"/>
              </w:rPr>
              <w:t xml:space="preserve">         万元</w:t>
            </w:r>
            <w:r/>
          </w:p>
        </w:tc>
        <w:tc>
          <w:tcPr>
            <w:tcW w:w="1461" w:type="dxa"/>
            <w:vAlign w:val="center"/>
            <w:textDirection w:val="lrTb"/>
            <w:noWrap w:val="false"/>
          </w:tcPr>
          <w:p>
            <w:pPr>
              <w:pStyle w:val="1082"/>
              <w:ind w:left="0" w:firstLine="0"/>
              <w:jc w:val="both"/>
              <w:widowControl w:val="off"/>
              <w:rPr>
                <w:rStyle w:val="1081"/>
                <w:rFonts w:ascii="宋体" w:hAnsi="宋体" w:cs="宋体"/>
                <w:szCs w:val="24"/>
              </w:rPr>
            </w:pPr>
            <w:r>
              <w:rPr>
                <w:rStyle w:val="1081"/>
                <w:rFonts w:hint="eastAsia" w:ascii="宋体" w:hAnsi="宋体" w:cs="宋体"/>
                <w:szCs w:val="24"/>
              </w:rPr>
              <w:t xml:space="preserve">净资产</w:t>
            </w:r>
            <w:r/>
          </w:p>
        </w:tc>
        <w:tc>
          <w:tcPr>
            <w:gridSpan w:val="2"/>
            <w:tcW w:w="3292" w:type="dxa"/>
            <w:vAlign w:val="center"/>
            <w:textDirection w:val="lrTb"/>
            <w:noWrap w:val="false"/>
          </w:tcPr>
          <w:p>
            <w:pPr>
              <w:pStyle w:val="1082"/>
              <w:ind w:left="0" w:firstLine="0"/>
              <w:jc w:val="center"/>
              <w:widowControl w:val="off"/>
              <w:rPr>
                <w:rStyle w:val="1081"/>
                <w:rFonts w:ascii="宋体" w:hAnsi="宋体" w:cs="宋体"/>
                <w:szCs w:val="24"/>
              </w:rPr>
            </w:pPr>
            <w:r>
              <w:rPr>
                <w:rStyle w:val="1081"/>
                <w:rFonts w:hint="eastAsia" w:ascii="宋体" w:hAnsi="宋体" w:cs="宋体"/>
                <w:szCs w:val="24"/>
              </w:rPr>
              <w:t xml:space="preserve">                万元</w:t>
            </w:r>
            <w:r/>
          </w:p>
        </w:tc>
      </w:tr>
      <w:tr>
        <w:trPr>
          <w:cantSplit/>
        </w:trPr>
        <w:tc>
          <w:tcPr>
            <w:tcW w:w="2510" w:type="dxa"/>
            <w:vAlign w:val="center"/>
            <w:textDirection w:val="lrTb"/>
            <w:noWrap w:val="false"/>
          </w:tcPr>
          <w:p>
            <w:pPr>
              <w:pStyle w:val="1082"/>
              <w:ind w:left="0" w:firstLine="0"/>
              <w:jc w:val="both"/>
              <w:widowControl w:val="off"/>
              <w:rPr>
                <w:rStyle w:val="1081"/>
                <w:rFonts w:ascii="宋体" w:hAnsi="宋体" w:cs="宋体"/>
                <w:szCs w:val="24"/>
              </w:rPr>
            </w:pPr>
            <w:r>
              <w:rPr>
                <w:rStyle w:val="1081"/>
                <w:rFonts w:hint="eastAsia" w:ascii="宋体" w:hAnsi="宋体" w:cs="宋体"/>
                <w:szCs w:val="24"/>
              </w:rPr>
              <w:t xml:space="preserve">股东权益</w:t>
            </w:r>
            <w:r/>
          </w:p>
        </w:tc>
        <w:tc>
          <w:tcPr>
            <w:tcW w:w="2005" w:type="dxa"/>
            <w:vAlign w:val="center"/>
            <w:textDirection w:val="lrTb"/>
            <w:noWrap w:val="false"/>
          </w:tcPr>
          <w:p>
            <w:pPr>
              <w:pStyle w:val="1082"/>
              <w:ind w:left="0" w:firstLine="0"/>
              <w:jc w:val="center"/>
              <w:widowControl w:val="off"/>
              <w:rPr>
                <w:rStyle w:val="1081"/>
                <w:rFonts w:ascii="宋体" w:hAnsi="宋体" w:cs="宋体"/>
                <w:szCs w:val="24"/>
              </w:rPr>
            </w:pPr>
            <w:r>
              <w:rPr>
                <w:rStyle w:val="1081"/>
                <w:rFonts w:hint="eastAsia" w:ascii="宋体" w:hAnsi="宋体" w:cs="宋体"/>
                <w:szCs w:val="24"/>
              </w:rPr>
              <w:t xml:space="preserve">         万元</w:t>
            </w:r>
            <w:r/>
          </w:p>
        </w:tc>
        <w:tc>
          <w:tcPr>
            <w:tcW w:w="1461" w:type="dxa"/>
            <w:vAlign w:val="center"/>
            <w:textDirection w:val="lrTb"/>
            <w:noWrap w:val="false"/>
          </w:tcPr>
          <w:p>
            <w:pPr>
              <w:pStyle w:val="1082"/>
              <w:ind w:left="0" w:firstLine="0"/>
              <w:jc w:val="both"/>
              <w:widowControl w:val="off"/>
              <w:rPr>
                <w:rStyle w:val="1081"/>
                <w:rFonts w:ascii="宋体" w:hAnsi="宋体" w:cs="宋体"/>
                <w:szCs w:val="24"/>
              </w:rPr>
            </w:pPr>
            <w:r>
              <w:rPr>
                <w:rStyle w:val="1081"/>
                <w:rFonts w:hint="eastAsia" w:ascii="宋体" w:hAnsi="宋体" w:cs="宋体"/>
                <w:szCs w:val="24"/>
              </w:rPr>
              <w:t xml:space="preserve">销售收入</w:t>
            </w:r>
            <w:r/>
          </w:p>
        </w:tc>
        <w:tc>
          <w:tcPr>
            <w:gridSpan w:val="2"/>
            <w:tcW w:w="3292" w:type="dxa"/>
            <w:vAlign w:val="center"/>
            <w:textDirection w:val="lrTb"/>
            <w:noWrap w:val="false"/>
          </w:tcPr>
          <w:p>
            <w:pPr>
              <w:pStyle w:val="1082"/>
              <w:ind w:left="0" w:firstLine="0"/>
              <w:jc w:val="center"/>
              <w:widowControl w:val="off"/>
              <w:rPr>
                <w:rStyle w:val="1081"/>
                <w:rFonts w:ascii="宋体" w:hAnsi="宋体" w:cs="宋体"/>
                <w:szCs w:val="24"/>
              </w:rPr>
            </w:pPr>
            <w:r>
              <w:rPr>
                <w:rStyle w:val="1081"/>
                <w:rFonts w:hint="eastAsia" w:ascii="宋体" w:hAnsi="宋体" w:cs="宋体"/>
                <w:szCs w:val="24"/>
              </w:rPr>
              <w:t xml:space="preserve">2023年          万元</w:t>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实现利润</w:t>
            </w:r>
            <w:r/>
          </w:p>
        </w:tc>
        <w:tc>
          <w:tcPr>
            <w:tcW w:w="2005"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2023年    万元</w:t>
            </w:r>
            <w:r/>
          </w:p>
        </w:tc>
        <w:tc>
          <w:tcPr>
            <w:tcW w:w="1461"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c>
          <w:tcPr>
            <w:gridSpan w:val="2"/>
            <w:tcW w:w="3292"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营业面积（含厂房面积）</w:t>
            </w:r>
            <w:r/>
          </w:p>
        </w:tc>
        <w:tc>
          <w:tcPr>
            <w:tcW w:w="2005" w:type="dxa"/>
            <w:vAlign w:val="center"/>
            <w:textDirection w:val="lrTb"/>
            <w:noWrap w:val="false"/>
          </w:tcPr>
          <w:p>
            <w:pPr>
              <w:pStyle w:val="1082"/>
              <w:ind w:left="0" w:firstLine="0"/>
              <w:jc w:val="both"/>
              <w:widowControl w:val="off"/>
              <w:rPr>
                <w:rStyle w:val="1081"/>
                <w:rFonts w:ascii="宋体" w:hAnsi="宋体" w:cs="宋体"/>
                <w:szCs w:val="24"/>
              </w:rPr>
            </w:pPr>
            <w:r>
              <w:rPr>
                <w:rStyle w:val="1081"/>
                <w:rFonts w:hint="eastAsia" w:ascii="宋体" w:hAnsi="宋体" w:cs="宋体"/>
                <w:szCs w:val="24"/>
              </w:rPr>
              <w:t xml:space="preserve">        平方米</w:t>
            </w:r>
            <w:r/>
          </w:p>
        </w:tc>
        <w:tc>
          <w:tcPr>
            <w:tcW w:w="1461"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其中：</w:t>
            </w:r>
            <w:r/>
          </w:p>
        </w:tc>
        <w:tc>
          <w:tcPr>
            <w:gridSpan w:val="2"/>
            <w:tcW w:w="3292"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自有面积         平方米</w:t>
            </w:r>
            <w:r/>
          </w:p>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承租面积         平方米</w:t>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单位简历及内设机构情况</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单位优势及特长</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近三年来完成或正在履行的重大合同情况</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最近3年内在经营过程中受到何种奖励或处分（包括情况和结果）</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最近3年内有无因售假、售劣或是其他原因被消费者投诉或起诉的情况及说明（包括解决方式和结果）</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最近3年内主要负责人有无因经济犯罪被司法机关追究的情况及说明</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获得技术认证的工程师及简介</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r>
        <w:trPr>
          <w:cantSplit/>
          <w:trHeight w:val="560"/>
        </w:trPr>
        <w:tc>
          <w:tcPr>
            <w:tcW w:w="2510" w:type="dxa"/>
            <w:textDirection w:val="lrTb"/>
            <w:noWrap w:val="false"/>
          </w:tcPr>
          <w:p>
            <w:pPr>
              <w:pStyle w:val="1082"/>
              <w:ind w:left="0" w:firstLine="0"/>
              <w:widowControl w:val="off"/>
              <w:rPr>
                <w:rStyle w:val="1081"/>
                <w:rFonts w:ascii="宋体" w:hAnsi="宋体" w:cs="宋体"/>
                <w:szCs w:val="24"/>
              </w:rPr>
            </w:pPr>
            <w:r>
              <w:rPr>
                <w:rStyle w:val="1081"/>
                <w:rFonts w:hint="eastAsia" w:ascii="宋体" w:hAnsi="宋体" w:cs="宋体"/>
                <w:szCs w:val="24"/>
              </w:rPr>
              <w:t xml:space="preserve">其他需要说明的情况</w:t>
            </w:r>
            <w:r/>
          </w:p>
        </w:tc>
        <w:tc>
          <w:tcPr>
            <w:gridSpan w:val="4"/>
            <w:tcW w:w="6758" w:type="dxa"/>
            <w:textDirection w:val="lrTb"/>
            <w:noWrap w:val="false"/>
          </w:tcPr>
          <w:p>
            <w:pPr>
              <w:pStyle w:val="1082"/>
              <w:ind w:left="0" w:firstLine="0"/>
              <w:widowControl w:val="off"/>
              <w:rPr>
                <w:rStyle w:val="1081"/>
                <w:rFonts w:ascii="宋体" w:hAnsi="宋体" w:cs="宋体"/>
                <w:szCs w:val="24"/>
              </w:rPr>
            </w:pPr>
            <w:r>
              <w:rPr>
                <w:rFonts w:ascii="宋体" w:hAnsi="宋体" w:cs="宋体"/>
                <w:szCs w:val="24"/>
              </w:rPr>
            </w:r>
            <w:r/>
          </w:p>
        </w:tc>
      </w:tr>
    </w:tbl>
    <w:p>
      <w:pPr>
        <w:ind w:left="0" w:firstLine="315"/>
        <w:jc w:val="left"/>
        <w:spacing w:line="360" w:lineRule="auto"/>
        <w:rPr>
          <w:rFonts w:ascii="宋体" w:hAnsi="宋体" w:cs="宋体"/>
          <w:sz w:val="21"/>
          <w:szCs w:val="21"/>
        </w:rPr>
      </w:pPr>
      <w:r>
        <w:rPr>
          <w:rFonts w:ascii="宋体" w:hAnsi="宋体" w:cs="宋体"/>
          <w:sz w:val="21"/>
          <w:szCs w:val="21"/>
        </w:rPr>
      </w:r>
      <w:r/>
    </w:p>
    <w:p>
      <w:pPr>
        <w:ind w:left="0" w:right="-200"/>
        <w:jc w:val="left"/>
        <w:spacing w:line="360" w:lineRule="auto"/>
        <w:widowControl w:val="off"/>
        <w:rPr>
          <w:rFonts w:ascii="宋体" w:hAnsi="宋体" w:cs="宋体"/>
          <w:sz w:val="24"/>
          <w:szCs w:val="24"/>
        </w:rPr>
      </w:pPr>
      <w:r/>
      <w:bookmarkStart w:id="46" w:name="_Toc241"/>
      <w:r/>
      <w:bookmarkStart w:id="47" w:name="_Toc7945"/>
      <w:r/>
      <w:r/>
    </w:p>
    <w:p>
      <w:pPr>
        <w:ind w:left="0" w:right="-200"/>
        <w:jc w:val="left"/>
        <w:spacing w:line="360" w:lineRule="auto"/>
        <w:widowControl w:val="off"/>
        <w:rPr>
          <w:rFonts w:ascii="宋体" w:hAnsi="宋体" w:cs="宋体"/>
          <w:sz w:val="24"/>
          <w:szCs w:val="24"/>
          <w:lang w:val="zh-CN"/>
        </w:rPr>
      </w:pPr>
      <w:r>
        <w:rPr>
          <w:rFonts w:hint="eastAsia" w:ascii="宋体" w:hAnsi="宋体" w:cs="宋体"/>
          <w:sz w:val="24"/>
          <w:szCs w:val="24"/>
        </w:rPr>
        <w:t xml:space="preserve">供应商名称：（公章）</w:t>
      </w:r>
      <w:r>
        <w:rPr>
          <w:rFonts w:hint="eastAsia" w:ascii="宋体" w:hAnsi="宋体" w:cs="宋体"/>
          <w:sz w:val="24"/>
          <w:szCs w:val="24"/>
          <w:lang w:val="zh-CN"/>
        </w:rPr>
        <w:t xml:space="preserve"> </w:t>
      </w:r>
      <w:r/>
    </w:p>
    <w:p>
      <w:pPr>
        <w:ind w:left="0"/>
        <w:jc w:val="left"/>
        <w:spacing w:line="360" w:lineRule="auto"/>
        <w:rPr>
          <w:rFonts w:ascii="宋体" w:hAnsi="宋体" w:cs="宋体"/>
          <w:sz w:val="24"/>
          <w:szCs w:val="24"/>
          <w:lang w:val="zh-CN"/>
        </w:rPr>
      </w:pP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left="0" w:right="300"/>
        <w:jc w:val="left"/>
        <w:spacing w:line="400" w:lineRule="exact"/>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left="0" w:right="300" w:firstLine="840"/>
        <w:jc w:val="right"/>
        <w:spacing w:line="400" w:lineRule="exact"/>
        <w:rPr>
          <w:rFonts w:ascii="宋体" w:hAnsi="宋体" w:cs="宋体"/>
          <w:sz w:val="21"/>
          <w:szCs w:val="21"/>
          <w:lang w:val="zh-CN"/>
        </w:rPr>
      </w:pPr>
      <w:r>
        <w:rPr>
          <w:rFonts w:ascii="宋体" w:hAnsi="宋体" w:cs="宋体"/>
          <w:sz w:val="21"/>
          <w:szCs w:val="21"/>
          <w:lang w:val="zh-CN"/>
        </w:rPr>
      </w:r>
      <w:r/>
    </w:p>
    <w:p>
      <w:pPr>
        <w:ind w:left="0"/>
        <w:rPr>
          <w:rFonts w:ascii="宋体" w:hAnsi="宋体" w:cs="宋体"/>
          <w:sz w:val="21"/>
          <w:szCs w:val="21"/>
        </w:rPr>
      </w:pPr>
      <w:r>
        <w:rPr>
          <w:rFonts w:ascii="宋体" w:hAnsi="宋体" w:cs="宋体"/>
          <w:sz w:val="21"/>
          <w:szCs w:val="21"/>
        </w:rPr>
      </w:r>
      <w:bookmarkEnd w:id="46"/>
      <w:r/>
      <w:bookmarkEnd w:id="47"/>
      <w:r/>
      <w:r/>
    </w:p>
    <w:p>
      <w:pPr>
        <w:pStyle w:val="1082"/>
        <w:ind w:left="0" w:firstLine="0"/>
        <w:jc w:val="both"/>
        <w:widowControl w:val="off"/>
        <w:rPr>
          <w:rStyle w:val="1081"/>
          <w:rFonts w:ascii="宋体" w:hAnsi="宋体" w:cs="宋体"/>
          <w:b/>
          <w:szCs w:val="24"/>
        </w:rPr>
        <w:outlineLvl w:val="1"/>
      </w:pPr>
      <w:r/>
      <w:bookmarkStart w:id="48" w:name="_Toc21574"/>
      <w:r/>
      <w:bookmarkStart w:id="49" w:name="_Toc19621"/>
      <w:r>
        <w:rPr>
          <w:rFonts w:hint="eastAsia" w:ascii="宋体" w:hAnsi="宋体" w:cs="宋体"/>
          <w:b/>
          <w:sz w:val="21"/>
          <w:szCs w:val="21"/>
        </w:rPr>
        <w:br w:type="page" w:clear="all"/>
      </w:r>
      <w:r>
        <w:rPr>
          <w:rFonts w:hint="eastAsia" w:ascii="宋体" w:hAnsi="宋体" w:cs="宋体"/>
          <w:b/>
          <w:sz w:val="21"/>
          <w:szCs w:val="21"/>
        </w:rPr>
        <w:t xml:space="preserve">附件</w:t>
      </w:r>
      <w:r>
        <w:rPr>
          <w:rStyle w:val="1081"/>
          <w:rFonts w:hint="eastAsia" w:ascii="宋体" w:hAnsi="宋体" w:cs="宋体"/>
          <w:b/>
          <w:bCs/>
          <w:szCs w:val="24"/>
        </w:rPr>
        <w:t xml:space="preserve">7、服务要求偏离表</w:t>
      </w:r>
      <w:r/>
    </w:p>
    <w:p>
      <w:pPr>
        <w:ind w:left="0"/>
        <w:jc w:val="center"/>
        <w:spacing w:line="360" w:lineRule="auto"/>
        <w:widowControl w:val="off"/>
        <w:rPr>
          <w:rStyle w:val="1081"/>
          <w:rFonts w:ascii="宋体" w:hAnsi="宋体" w:cs="宋体"/>
          <w:b/>
          <w:sz w:val="24"/>
          <w:szCs w:val="24"/>
        </w:rPr>
      </w:pPr>
      <w:r>
        <w:rPr>
          <w:rStyle w:val="1081"/>
          <w:rFonts w:hint="eastAsia" w:ascii="宋体" w:hAnsi="宋体" w:cs="宋体"/>
          <w:b/>
          <w:sz w:val="24"/>
          <w:szCs w:val="24"/>
        </w:rPr>
        <w:t xml:space="preserve">服务要求偏离表</w:t>
      </w:r>
      <w:r/>
    </w:p>
    <w:p>
      <w:pPr>
        <w:spacing w:line="360" w:lineRule="auto"/>
        <w:widowControl w:val="off"/>
        <w:rPr>
          <w:rStyle w:val="1081"/>
          <w:rFonts w:ascii="宋体" w:hAnsi="宋体" w:cs="宋体"/>
          <w:sz w:val="24"/>
          <w:szCs w:val="24"/>
        </w:rPr>
      </w:pPr>
      <w:r>
        <w:rPr>
          <w:rFonts w:ascii="宋体" w:hAnsi="宋体" w:cs="宋体"/>
          <w:sz w:val="24"/>
          <w:szCs w:val="24"/>
        </w:rPr>
      </w:r>
      <w:r/>
    </w:p>
    <w:tbl>
      <w:tblPr>
        <w:tblStyle w:val="869"/>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序号</w:t>
            </w:r>
            <w:r/>
          </w:p>
        </w:tc>
        <w:tc>
          <w:tcPr>
            <w:tcW w:w="180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项目名称</w:t>
            </w:r>
            <w:r/>
          </w:p>
        </w:tc>
        <w:tc>
          <w:tcPr>
            <w:tcW w:w="162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采购要求</w:t>
            </w:r>
            <w:r/>
          </w:p>
        </w:tc>
        <w:tc>
          <w:tcPr>
            <w:tcW w:w="144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响应要求</w:t>
            </w:r>
            <w:r/>
          </w:p>
        </w:tc>
        <w:tc>
          <w:tcPr>
            <w:tcW w:w="1699"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偏离/响应</w:t>
            </w:r>
            <w:r/>
          </w:p>
        </w:tc>
        <w:tc>
          <w:tcPr>
            <w:tcW w:w="1757"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说明</w:t>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80"/>
        </w:trPr>
        <w:tc>
          <w:tcPr>
            <w:tcW w:w="82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8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44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699"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bl>
    <w:p>
      <w:pPr>
        <w:ind w:left="0" w:firstLine="482"/>
        <w:widowControl w:val="off"/>
        <w:rPr>
          <w:rStyle w:val="1081"/>
          <w:rFonts w:ascii="宋体" w:hAnsi="宋体" w:cs="宋体"/>
          <w:b/>
          <w:sz w:val="24"/>
          <w:szCs w:val="24"/>
        </w:rPr>
      </w:pPr>
      <w:r>
        <w:rPr>
          <w:rStyle w:val="1081"/>
          <w:rFonts w:hint="eastAsia" w:ascii="宋体" w:hAnsi="宋体" w:cs="宋体"/>
          <w:b/>
          <w:sz w:val="24"/>
          <w:szCs w:val="24"/>
        </w:rPr>
        <w:t xml:space="preserve">注：1.响应人应对照磋商文件服务要求等要求，所投标的物与磋商文件的规定有偏离的，应在此表中申明与服务要求条文的偏差和例外。</w:t>
      </w:r>
      <w:r/>
    </w:p>
    <w:p>
      <w:pPr>
        <w:ind w:left="0" w:firstLine="482"/>
        <w:widowControl w:val="off"/>
        <w:rPr>
          <w:rStyle w:val="1081"/>
          <w:rFonts w:ascii="宋体" w:hAnsi="宋体" w:cs="宋体"/>
          <w:sz w:val="24"/>
          <w:szCs w:val="24"/>
        </w:rPr>
      </w:pPr>
      <w:r>
        <w:rPr>
          <w:rStyle w:val="1081"/>
          <w:rFonts w:hint="eastAsia" w:ascii="宋体" w:hAnsi="宋体" w:cs="宋体"/>
          <w:b/>
          <w:sz w:val="24"/>
          <w:szCs w:val="24"/>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p>
    <w:p>
      <w:pPr>
        <w:widowControl w:val="off"/>
        <w:rPr>
          <w:rStyle w:val="1081"/>
          <w:rFonts w:ascii="宋体" w:hAnsi="宋体" w:cs="宋体"/>
          <w:sz w:val="24"/>
          <w:szCs w:val="24"/>
        </w:rPr>
      </w:pPr>
      <w:r>
        <w:rPr>
          <w:rFonts w:ascii="宋体" w:hAnsi="宋体" w:cs="宋体"/>
          <w:sz w:val="24"/>
          <w:szCs w:val="24"/>
        </w:rPr>
      </w:r>
      <w:r/>
    </w:p>
    <w:p>
      <w:pPr>
        <w:pStyle w:val="1074"/>
        <w:ind w:firstLine="480"/>
        <w:rPr>
          <w:rFonts w:hAnsi="宋体" w:cs="宋体"/>
        </w:rPr>
      </w:pPr>
      <w:r>
        <w:rPr>
          <w:rFonts w:hAnsi="宋体" w:cs="宋体"/>
        </w:rPr>
      </w:r>
      <w:r/>
    </w:p>
    <w:p>
      <w:pP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供应商：（盖章）</w:t>
      </w:r>
      <w:r/>
    </w:p>
    <w:p>
      <w:pP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法定代表人或代理人：（签字或盖章）</w:t>
      </w:r>
      <w:r/>
    </w:p>
    <w:p>
      <w:pPr>
        <w:spacing w:line="360" w:lineRule="auto"/>
        <w:widowControl w:val="off"/>
        <w:rPr>
          <w:rFonts w:ascii="宋体" w:hAnsi="宋体" w:cs="宋体"/>
          <w:sz w:val="24"/>
          <w:szCs w:val="24"/>
        </w:rPr>
      </w:pPr>
      <w:r>
        <w:rPr>
          <w:rStyle w:val="1081"/>
          <w:rFonts w:hint="eastAsia" w:ascii="宋体" w:hAnsi="宋体" w:cs="宋体"/>
          <w:sz w:val="24"/>
          <w:szCs w:val="24"/>
        </w:rPr>
        <w:t xml:space="preserve">日期：      年    月    日</w:t>
      </w:r>
      <w:r/>
    </w:p>
    <w:p>
      <w:pPr>
        <w:pStyle w:val="1082"/>
        <w:ind w:left="0" w:firstLine="0"/>
        <w:widowControl w:val="off"/>
        <w:rPr>
          <w:rStyle w:val="1081"/>
          <w:rFonts w:ascii="宋体" w:hAnsi="宋体" w:cs="宋体"/>
          <w:b/>
          <w:szCs w:val="24"/>
        </w:rPr>
        <w:outlineLvl w:val="1"/>
      </w:pPr>
      <w:r>
        <w:rPr>
          <w:rStyle w:val="1081"/>
          <w:rFonts w:hint="eastAsia" w:ascii="宋体" w:hAnsi="宋体" w:cs="宋体"/>
          <w:b/>
          <w:szCs w:val="24"/>
        </w:rPr>
        <w:br w:type="page" w:clear="all"/>
      </w:r>
      <w:bookmarkStart w:id="50" w:name="_Toc6051"/>
      <w:r>
        <w:rPr>
          <w:rStyle w:val="1081"/>
          <w:rFonts w:hint="eastAsia" w:ascii="宋体" w:hAnsi="宋体" w:cs="宋体"/>
          <w:b/>
          <w:szCs w:val="24"/>
        </w:rPr>
        <w:t xml:space="preserve">附件8、商务条款偏离表</w:t>
      </w:r>
      <w:bookmarkEnd w:id="50"/>
      <w:r/>
      <w:r/>
    </w:p>
    <w:p>
      <w:pPr>
        <w:pStyle w:val="1084"/>
        <w:ind w:left="0" w:firstLine="0"/>
        <w:jc w:val="center"/>
        <w:widowControl w:val="off"/>
        <w:rPr>
          <w:rStyle w:val="1081"/>
          <w:rFonts w:ascii="宋体" w:hAnsi="宋体" w:cs="宋体"/>
          <w:b/>
        </w:rPr>
      </w:pPr>
      <w:r>
        <w:rPr>
          <w:rStyle w:val="1081"/>
          <w:rFonts w:hint="eastAsia" w:ascii="宋体" w:hAnsi="宋体" w:cs="宋体"/>
          <w:b/>
        </w:rPr>
        <w:t xml:space="preserve">商务条款偏离表</w:t>
      </w:r>
      <w:r/>
    </w:p>
    <w:p>
      <w:pPr>
        <w:spacing w:line="360" w:lineRule="auto"/>
        <w:widowControl w:val="off"/>
        <w:rPr>
          <w:rStyle w:val="1081"/>
          <w:rFonts w:ascii="宋体" w:hAnsi="宋体" w:cs="宋体"/>
          <w:sz w:val="24"/>
          <w:szCs w:val="24"/>
        </w:rPr>
      </w:pPr>
      <w:r>
        <w:rPr>
          <w:rFonts w:ascii="宋体" w:hAnsi="宋体" w:cs="宋体"/>
          <w:sz w:val="24"/>
          <w:szCs w:val="24"/>
        </w:rPr>
      </w:r>
      <w:r/>
    </w:p>
    <w:tbl>
      <w:tblPr>
        <w:tblStyle w:val="869"/>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序号</w:t>
            </w:r>
            <w:r/>
          </w:p>
        </w:tc>
        <w:tc>
          <w:tcPr>
            <w:tcW w:w="192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磋商文件条目号</w:t>
            </w:r>
            <w:r/>
          </w:p>
        </w:tc>
        <w:tc>
          <w:tcPr>
            <w:tcW w:w="240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磋商文件的商务条款</w:t>
            </w:r>
            <w:r/>
          </w:p>
        </w:tc>
        <w:tc>
          <w:tcPr>
            <w:tcW w:w="2400"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响应文件的商务条款</w:t>
            </w:r>
            <w:r/>
          </w:p>
        </w:tc>
        <w:tc>
          <w:tcPr>
            <w:tcW w:w="1097" w:type="dxa"/>
            <w:vAlign w:val="center"/>
            <w:textDirection w:val="lrTb"/>
            <w:noWrap w:val="false"/>
          </w:tcPr>
          <w:p>
            <w:pPr>
              <w:ind w:left="0"/>
              <w:jc w:val="center"/>
              <w:widowControl w:val="off"/>
              <w:rPr>
                <w:rStyle w:val="1081"/>
                <w:rFonts w:ascii="宋体" w:hAnsi="宋体" w:cs="宋体"/>
                <w:sz w:val="24"/>
                <w:szCs w:val="24"/>
              </w:rPr>
            </w:pPr>
            <w:r>
              <w:rPr>
                <w:rStyle w:val="1081"/>
                <w:rFonts w:hint="eastAsia" w:ascii="宋体" w:hAnsi="宋体" w:cs="宋体"/>
                <w:sz w:val="24"/>
                <w:szCs w:val="24"/>
              </w:rPr>
              <w:t xml:space="preserve">说明</w:t>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r>
        <w:trPr>
          <w:jc w:val="center"/>
          <w:trHeight w:val="624"/>
        </w:trPr>
        <w:tc>
          <w:tcPr>
            <w:tcW w:w="708"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92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2400"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c>
          <w:tcPr>
            <w:tcW w:w="1097" w:type="dxa"/>
            <w:vAlign w:val="center"/>
            <w:textDirection w:val="lrTb"/>
            <w:noWrap w:val="false"/>
          </w:tcPr>
          <w:p>
            <w:pPr>
              <w:ind w:left="0"/>
              <w:jc w:val="center"/>
              <w:widowControl w:val="off"/>
              <w:rPr>
                <w:rStyle w:val="1081"/>
                <w:rFonts w:ascii="宋体" w:hAnsi="宋体" w:cs="宋体"/>
                <w:sz w:val="24"/>
                <w:szCs w:val="24"/>
              </w:rPr>
            </w:pPr>
            <w:r>
              <w:rPr>
                <w:rFonts w:ascii="宋体" w:hAnsi="宋体" w:cs="宋体"/>
                <w:sz w:val="24"/>
                <w:szCs w:val="24"/>
              </w:rPr>
            </w:r>
            <w:r/>
          </w:p>
        </w:tc>
      </w:tr>
    </w:tbl>
    <w:p>
      <w:pPr>
        <w:pStyle w:val="1084"/>
        <w:spacing w:line="240" w:lineRule="auto"/>
        <w:widowControl w:val="off"/>
        <w:rPr>
          <w:rStyle w:val="1081"/>
          <w:rFonts w:ascii="宋体" w:hAnsi="宋体" w:cs="宋体"/>
          <w:b/>
        </w:rPr>
      </w:pPr>
      <w:r>
        <w:rPr>
          <w:rStyle w:val="1081"/>
          <w:rFonts w:hint="eastAsia" w:ascii="宋体" w:hAnsi="宋体" w:cs="宋体"/>
          <w:b/>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p>
    <w:p>
      <w:pPr>
        <w:ind w:firstLine="480"/>
        <w:spacing w:line="360" w:lineRule="auto"/>
        <w:widowControl w:val="off"/>
        <w:rPr>
          <w:rStyle w:val="1081"/>
          <w:rFonts w:ascii="宋体" w:hAnsi="宋体" w:cs="宋体"/>
          <w:sz w:val="24"/>
          <w:szCs w:val="24"/>
        </w:rPr>
      </w:pPr>
      <w:r>
        <w:rPr>
          <w:rFonts w:ascii="宋体" w:hAnsi="宋体" w:cs="宋体"/>
          <w:sz w:val="24"/>
          <w:szCs w:val="24"/>
        </w:rPr>
      </w:r>
      <w:r/>
    </w:p>
    <w:p>
      <w:pPr>
        <w:pStyle w:val="1084"/>
        <w:widowControl w:val="off"/>
        <w:rPr>
          <w:rStyle w:val="1081"/>
          <w:rFonts w:ascii="宋体" w:hAnsi="宋体" w:cs="宋体"/>
        </w:rPr>
      </w:pPr>
      <w:r>
        <w:rPr>
          <w:rStyle w:val="1081"/>
          <w:rFonts w:hint="eastAsia" w:ascii="宋体" w:hAnsi="宋体" w:cs="宋体"/>
        </w:rPr>
        <w:t xml:space="preserve">供应商：（盖章）</w:t>
      </w:r>
      <w:r/>
    </w:p>
    <w:p>
      <w:pPr>
        <w:pStyle w:val="1084"/>
        <w:widowControl w:val="off"/>
        <w:rPr>
          <w:rStyle w:val="1081"/>
          <w:rFonts w:ascii="宋体" w:hAnsi="宋体" w:cs="宋体"/>
        </w:rPr>
      </w:pPr>
      <w:r>
        <w:rPr>
          <w:rStyle w:val="1081"/>
          <w:rFonts w:hint="eastAsia" w:ascii="宋体" w:hAnsi="宋体" w:cs="宋体"/>
        </w:rPr>
        <w:t xml:space="preserve">法定代表人或代理人：（签字或盖章）</w:t>
      </w:r>
      <w:r/>
    </w:p>
    <w:p>
      <w:pPr>
        <w:pStyle w:val="1084"/>
        <w:widowControl w:val="off"/>
        <w:rPr>
          <w:rStyle w:val="1081"/>
          <w:rFonts w:ascii="宋体" w:hAnsi="宋体" w:cs="宋体"/>
          <w:sz w:val="21"/>
          <w:szCs w:val="21"/>
        </w:rPr>
      </w:pPr>
      <w:r>
        <w:rPr>
          <w:rStyle w:val="1081"/>
          <w:rFonts w:hint="eastAsia" w:ascii="宋体" w:hAnsi="宋体" w:cs="宋体"/>
        </w:rPr>
        <w:t xml:space="preserve">日期：      年    月    日</w:t>
      </w:r>
      <w:r/>
    </w:p>
    <w:p>
      <w:pPr>
        <w:pStyle w:val="1082"/>
        <w:ind w:left="0" w:firstLine="0"/>
        <w:jc w:val="both"/>
        <w:spacing w:line="360" w:lineRule="auto"/>
        <w:widowControl w:val="off"/>
        <w:rPr>
          <w:rStyle w:val="1081"/>
          <w:rFonts w:ascii="宋体" w:hAnsi="宋体" w:cs="宋体"/>
          <w:b/>
          <w:szCs w:val="24"/>
        </w:rPr>
        <w:outlineLvl w:val="1"/>
      </w:pPr>
      <w:r>
        <w:rPr>
          <w:rStyle w:val="1081"/>
          <w:rFonts w:hint="eastAsia" w:ascii="宋体" w:hAnsi="宋体" w:cs="宋体"/>
          <w:b/>
          <w:sz w:val="21"/>
          <w:szCs w:val="21"/>
        </w:rPr>
        <w:br w:type="page" w:clear="all"/>
      </w:r>
      <w:bookmarkStart w:id="51" w:name="_Toc5258"/>
      <w:r/>
      <w:bookmarkStart w:id="52" w:name="_Toc23227"/>
      <w:r>
        <w:rPr>
          <w:rStyle w:val="1081"/>
          <w:rFonts w:hint="eastAsia" w:ascii="宋体" w:hAnsi="宋体" w:cs="宋体"/>
          <w:b/>
          <w:szCs w:val="24"/>
        </w:rPr>
        <w:t xml:space="preserve">附件9</w:t>
      </w:r>
      <w:r>
        <w:rPr>
          <w:rStyle w:val="1081"/>
          <w:rFonts w:hint="eastAsia" w:ascii="宋体" w:hAnsi="宋体" w:cs="宋体"/>
          <w:b/>
          <w:bCs/>
          <w:szCs w:val="24"/>
        </w:rPr>
        <w:t xml:space="preserve">、</w:t>
      </w:r>
      <w:r>
        <w:rPr>
          <w:rStyle w:val="1081"/>
          <w:rFonts w:hint="eastAsia" w:ascii="宋体" w:hAnsi="宋体" w:cs="宋体"/>
          <w:b/>
          <w:szCs w:val="24"/>
        </w:rPr>
        <w:t xml:space="preserve">实施方案</w:t>
      </w:r>
      <w:r/>
    </w:p>
    <w:p>
      <w:pPr>
        <w:pStyle w:val="1082"/>
        <w:ind w:left="0" w:firstLine="0"/>
        <w:jc w:val="center"/>
        <w:spacing w:line="360" w:lineRule="auto"/>
        <w:widowControl w:val="off"/>
        <w:rPr>
          <w:rStyle w:val="1081"/>
          <w:rFonts w:ascii="宋体" w:hAnsi="宋体" w:cs="宋体"/>
          <w:b/>
          <w:szCs w:val="24"/>
        </w:rPr>
      </w:pPr>
      <w:r>
        <w:rPr>
          <w:rStyle w:val="1081"/>
          <w:rFonts w:hint="eastAsia" w:ascii="宋体" w:hAnsi="宋体" w:cs="宋体"/>
          <w:b/>
          <w:szCs w:val="24"/>
        </w:rPr>
        <w:t xml:space="preserve">实施方案</w:t>
      </w:r>
      <w:r/>
    </w:p>
    <w:tbl>
      <w:tblPr>
        <w:tblStyle w:val="869"/>
        <w:tblW w:w="848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jc w:val="center"/>
          <w:trHeight w:val="1676"/>
        </w:trPr>
        <w:tc>
          <w:tcPr>
            <w:tcW w:w="8482" w:type="dxa"/>
            <w:textDirection w:val="lrTb"/>
            <w:noWrap w:val="false"/>
          </w:tcPr>
          <w:p>
            <w:pPr>
              <w:pStyle w:val="1090"/>
              <w:ind w:left="0"/>
              <w:widowControl w:val="off"/>
              <w:rPr>
                <w:rStyle w:val="1081"/>
                <w:rFonts w:hAnsi="宋体" w:cs="宋体"/>
                <w:sz w:val="24"/>
                <w:szCs w:val="24"/>
              </w:rPr>
            </w:pPr>
            <w:r>
              <w:rPr>
                <w:rStyle w:val="1081"/>
                <w:rFonts w:hint="eastAsia" w:hAnsi="宋体" w:cs="宋体"/>
                <w:sz w:val="24"/>
                <w:szCs w:val="24"/>
              </w:rPr>
              <w:t xml:space="preserve">提示：</w:t>
            </w:r>
            <w:r/>
          </w:p>
          <w:p>
            <w:pPr>
              <w:pStyle w:val="1090"/>
              <w:ind w:left="0"/>
              <w:widowControl w:val="off"/>
              <w:rPr>
                <w:rStyle w:val="1081"/>
                <w:rFonts w:hAnsi="宋体" w:cs="宋体"/>
                <w:sz w:val="24"/>
                <w:szCs w:val="24"/>
              </w:rPr>
            </w:pPr>
            <w:r>
              <w:rPr>
                <w:rStyle w:val="1081"/>
                <w:rFonts w:hint="eastAsia" w:hAnsi="宋体" w:cs="宋体"/>
                <w:sz w:val="24"/>
                <w:szCs w:val="24"/>
              </w:rPr>
              <w:t xml:space="preserve">1.供应商应根据本次采购项目要求，对所投服务进行详细的说明与描述。</w:t>
            </w:r>
            <w:r/>
          </w:p>
          <w:p>
            <w:pPr>
              <w:pStyle w:val="1090"/>
              <w:ind w:left="0"/>
              <w:widowControl w:val="off"/>
              <w:rPr>
                <w:rStyle w:val="1081"/>
                <w:rFonts w:hAnsi="宋体" w:cs="宋体"/>
                <w:sz w:val="24"/>
                <w:szCs w:val="24"/>
              </w:rPr>
            </w:pPr>
            <w:r>
              <w:rPr>
                <w:rStyle w:val="1081"/>
                <w:rFonts w:hint="eastAsia" w:hAnsi="宋体" w:cs="宋体"/>
                <w:sz w:val="24"/>
                <w:szCs w:val="24"/>
              </w:rPr>
              <w:t xml:space="preserve">2.供应商可根据自身情况编写，本页不够可另加页附后。</w:t>
            </w:r>
            <w:r/>
          </w:p>
        </w:tc>
      </w:tr>
      <w:tr>
        <w:trPr>
          <w:jc w:val="center"/>
          <w:trHeight w:val="8913"/>
        </w:trPr>
        <w:tc>
          <w:tcPr>
            <w:tcW w:w="8482" w:type="dxa"/>
            <w:vAlign w:val="bottom"/>
            <w:textDirection w:val="lrTb"/>
            <w:noWrap w:val="false"/>
          </w:tcPr>
          <w:p>
            <w:pPr>
              <w:ind w:left="0" w:firstLine="240"/>
              <w:widowControl w:val="off"/>
              <w:tabs>
                <w:tab w:val="left" w:pos="1320" w:leader="none"/>
              </w:tabs>
              <w:rPr>
                <w:rStyle w:val="1081"/>
                <w:rFonts w:ascii="宋体" w:hAnsi="宋体" w:cs="宋体"/>
                <w:sz w:val="24"/>
                <w:szCs w:val="24"/>
                <w:u w:val="single"/>
              </w:rPr>
            </w:pPr>
            <w:r>
              <w:rPr>
                <w:rFonts w:ascii="宋体" w:hAnsi="宋体" w:cs="宋体"/>
                <w:sz w:val="24"/>
                <w:szCs w:val="24"/>
                <w:u w:val="single"/>
              </w:rPr>
            </w:r>
            <w:r/>
          </w:p>
        </w:tc>
      </w:tr>
    </w:tbl>
    <w:p>
      <w:pPr>
        <w:pStyle w:val="1082"/>
        <w:ind w:firstLine="0"/>
        <w:widowControl w:val="off"/>
        <w:rPr>
          <w:rStyle w:val="1081"/>
          <w:rFonts w:ascii="宋体" w:hAnsi="宋体" w:cs="宋体"/>
          <w:b/>
          <w:szCs w:val="24"/>
        </w:rPr>
      </w:pPr>
      <w:r>
        <w:rPr>
          <w:rFonts w:ascii="宋体" w:hAnsi="宋体" w:cs="宋体"/>
          <w:b/>
          <w:szCs w:val="24"/>
        </w:rPr>
      </w:r>
      <w:r/>
    </w:p>
    <w:p>
      <w:pPr>
        <w:ind w:firstLine="480"/>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供应商：（盖章）</w:t>
      </w:r>
      <w:r/>
    </w:p>
    <w:p>
      <w:pPr>
        <w:ind w:firstLine="480"/>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法定代表人或代理人：（签字或盖章）</w:t>
      </w:r>
      <w:r/>
    </w:p>
    <w:p>
      <w:pPr>
        <w:ind w:firstLine="480"/>
        <w:spacing w:line="360" w:lineRule="auto"/>
        <w:widowControl w:val="off"/>
        <w:rPr>
          <w:rStyle w:val="1081"/>
          <w:rFonts w:ascii="宋体" w:hAnsi="宋体" w:cs="宋体"/>
          <w:b/>
          <w:sz w:val="24"/>
          <w:szCs w:val="24"/>
        </w:rPr>
      </w:pPr>
      <w:r>
        <w:rPr>
          <w:rStyle w:val="1081"/>
          <w:rFonts w:hint="eastAsia" w:ascii="宋体" w:hAnsi="宋体" w:cs="宋体"/>
          <w:sz w:val="24"/>
          <w:szCs w:val="24"/>
        </w:rPr>
        <w:t xml:space="preserve">日期：      年    月    日</w:t>
      </w:r>
      <w:r/>
    </w:p>
    <w:p>
      <w:pPr>
        <w:pStyle w:val="1084"/>
        <w:ind w:left="0" w:firstLine="0"/>
        <w:widowControl w:val="off"/>
        <w:rPr>
          <w:rStyle w:val="1081"/>
          <w:rFonts w:ascii="宋体" w:hAnsi="宋体" w:cs="宋体"/>
          <w:szCs w:val="24"/>
        </w:rPr>
        <w:outlineLvl w:val="1"/>
      </w:pPr>
      <w:r>
        <w:rPr>
          <w:rStyle w:val="1081"/>
          <w:rFonts w:hint="eastAsia" w:ascii="宋体" w:hAnsi="宋体" w:cs="宋体"/>
          <w:b/>
          <w:szCs w:val="24"/>
        </w:rPr>
        <w:br w:type="page" w:clear="all"/>
      </w:r>
      <w:r>
        <w:rPr>
          <w:rStyle w:val="1081"/>
          <w:rFonts w:hint="eastAsia" w:ascii="宋体" w:hAnsi="宋体" w:cs="宋体"/>
          <w:b/>
          <w:szCs w:val="24"/>
        </w:rPr>
        <w:t xml:space="preserve">附件10、拟投入本项目人员配备一览表</w:t>
      </w:r>
      <w:bookmarkEnd w:id="51"/>
      <w:r/>
      <w:bookmarkEnd w:id="52"/>
      <w:r/>
      <w:r/>
    </w:p>
    <w:p>
      <w:pPr>
        <w:widowControl w:val="off"/>
        <w:rPr>
          <w:rStyle w:val="1081"/>
          <w:rFonts w:ascii="宋体" w:hAnsi="宋体" w:cs="宋体"/>
          <w:b/>
          <w:sz w:val="24"/>
          <w:szCs w:val="24"/>
        </w:rPr>
      </w:pPr>
      <w:r>
        <w:rPr>
          <w:rFonts w:ascii="宋体" w:hAnsi="宋体" w:cs="宋体"/>
          <w:b/>
          <w:sz w:val="24"/>
          <w:szCs w:val="24"/>
        </w:rPr>
      </w:r>
      <w:r/>
    </w:p>
    <w:p>
      <w:pPr>
        <w:pStyle w:val="1084"/>
        <w:ind w:left="0" w:firstLine="0"/>
        <w:jc w:val="center"/>
        <w:widowControl w:val="off"/>
        <w:rPr>
          <w:rStyle w:val="1081"/>
          <w:rFonts w:ascii="宋体" w:hAnsi="宋体" w:cs="宋体"/>
          <w:b/>
          <w:szCs w:val="24"/>
        </w:rPr>
      </w:pPr>
      <w:r>
        <w:rPr>
          <w:rStyle w:val="1081"/>
          <w:rFonts w:hint="eastAsia" w:ascii="宋体" w:hAnsi="宋体" w:cs="宋体"/>
          <w:b/>
          <w:szCs w:val="24"/>
        </w:rPr>
        <w:t xml:space="preserve">拟投入本项目人员配备一览表</w:t>
      </w:r>
      <w:r/>
    </w:p>
    <w:tbl>
      <w:tblPr>
        <w:tblStyle w:val="869"/>
        <w:tblW w:w="889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
        <w:gridCol w:w="1211"/>
        <w:gridCol w:w="991"/>
        <w:gridCol w:w="566"/>
        <w:gridCol w:w="567"/>
        <w:gridCol w:w="931"/>
        <w:gridCol w:w="1337"/>
        <w:gridCol w:w="1288"/>
        <w:gridCol w:w="1547"/>
      </w:tblGrid>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序号</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项目组所任职务</w:t>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姓名</w:t>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性别</w:t>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年龄</w:t>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职称</w:t>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专业/资格</w:t>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从事本工作时间</w:t>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典型业务与技术专长</w:t>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1</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2</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3</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4</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5</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6</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7</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8</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9</w:t>
            </w:r>
            <w:r/>
          </w:p>
        </w:tc>
        <w:tc>
          <w:tcPr>
            <w:tcW w:w="121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pStyle w:val="1085"/>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r>
        <w:trPr>
          <w:jc w:val="center"/>
        </w:trPr>
        <w:tc>
          <w:tcPr>
            <w:tcW w:w="459" w:type="dxa"/>
            <w:vAlign w:val="center"/>
            <w:textDirection w:val="lrTb"/>
            <w:noWrap w:val="false"/>
          </w:tcPr>
          <w:p>
            <w:pPr>
              <w:ind w:left="0"/>
              <w:jc w:val="center"/>
              <w:spacing w:line="360" w:lineRule="auto"/>
              <w:widowControl w:val="off"/>
              <w:rPr>
                <w:rStyle w:val="1081"/>
                <w:rFonts w:ascii="宋体" w:hAnsi="宋体" w:cs="宋体"/>
                <w:sz w:val="24"/>
                <w:szCs w:val="24"/>
              </w:rPr>
            </w:pPr>
            <w:r>
              <w:rPr>
                <w:rStyle w:val="1081"/>
                <w:rFonts w:hint="eastAsia" w:ascii="宋体" w:hAnsi="宋体" w:cs="宋体"/>
                <w:sz w:val="24"/>
                <w:szCs w:val="24"/>
              </w:rPr>
              <w:t xml:space="preserve">10</w:t>
            </w:r>
            <w:r/>
          </w:p>
        </w:tc>
        <w:tc>
          <w:tcPr>
            <w:tcW w:w="1211"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91"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6"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567"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931"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337"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288"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c>
          <w:tcPr>
            <w:tcW w:w="1547" w:type="dxa"/>
            <w:vAlign w:val="center"/>
            <w:textDirection w:val="lrTb"/>
            <w:noWrap w:val="false"/>
          </w:tcPr>
          <w:p>
            <w:pPr>
              <w:ind w:left="0"/>
              <w:jc w:val="center"/>
              <w:spacing w:line="360" w:lineRule="auto"/>
              <w:widowControl w:val="off"/>
              <w:rPr>
                <w:rStyle w:val="1081"/>
                <w:rFonts w:ascii="宋体" w:hAnsi="宋体" w:cs="宋体"/>
                <w:sz w:val="24"/>
                <w:szCs w:val="24"/>
              </w:rPr>
            </w:pPr>
            <w:r>
              <w:rPr>
                <w:rFonts w:ascii="宋体" w:hAnsi="宋体" w:cs="宋体"/>
                <w:sz w:val="24"/>
                <w:szCs w:val="24"/>
              </w:rPr>
            </w:r>
            <w:r/>
          </w:p>
        </w:tc>
      </w:tr>
    </w:tbl>
    <w:p>
      <w:pPr>
        <w:pStyle w:val="1084"/>
        <w:widowControl w:val="off"/>
        <w:rPr>
          <w:rStyle w:val="1081"/>
          <w:rFonts w:ascii="宋体" w:hAnsi="宋体" w:cs="宋体"/>
          <w:szCs w:val="24"/>
        </w:rPr>
      </w:pPr>
      <w:r>
        <w:rPr>
          <w:rFonts w:ascii="宋体" w:hAnsi="宋体" w:cs="宋体"/>
          <w:szCs w:val="24"/>
        </w:rPr>
      </w:r>
      <w:r/>
    </w:p>
    <w:p>
      <w:pPr>
        <w:ind w:firstLine="482"/>
        <w:spacing w:line="360" w:lineRule="auto"/>
        <w:widowControl w:val="off"/>
        <w:rPr>
          <w:rStyle w:val="1081"/>
          <w:rFonts w:ascii="宋体" w:hAnsi="宋体" w:cs="宋体"/>
          <w:b/>
          <w:sz w:val="24"/>
          <w:szCs w:val="24"/>
        </w:rPr>
      </w:pPr>
      <w:r>
        <w:rPr>
          <w:rFonts w:ascii="宋体" w:hAnsi="宋体" w:cs="宋体"/>
          <w:b/>
          <w:sz w:val="24"/>
          <w:szCs w:val="24"/>
        </w:rPr>
      </w:r>
      <w:r/>
    </w:p>
    <w:p>
      <w:pPr>
        <w:pStyle w:val="1084"/>
        <w:ind w:left="0"/>
        <w:widowControl w:val="off"/>
        <w:rPr>
          <w:rStyle w:val="1081"/>
          <w:rFonts w:ascii="宋体" w:hAnsi="宋体" w:cs="宋体"/>
          <w:szCs w:val="24"/>
        </w:rPr>
      </w:pPr>
      <w:r>
        <w:rPr>
          <w:rStyle w:val="1081"/>
          <w:rFonts w:hint="eastAsia" w:ascii="宋体" w:hAnsi="宋体" w:cs="宋体"/>
          <w:szCs w:val="24"/>
        </w:rPr>
        <w:t xml:space="preserve">供应商：（单位盖章）</w:t>
      </w:r>
      <w:r/>
    </w:p>
    <w:p>
      <w:pPr>
        <w:pStyle w:val="1084"/>
        <w:ind w:left="0"/>
        <w:widowControl w:val="off"/>
        <w:rPr>
          <w:rStyle w:val="1081"/>
          <w:rFonts w:ascii="宋体" w:hAnsi="宋体" w:cs="宋体"/>
          <w:szCs w:val="24"/>
        </w:rPr>
      </w:pPr>
      <w:r>
        <w:rPr>
          <w:rStyle w:val="1081"/>
          <w:rFonts w:hint="eastAsia" w:ascii="宋体" w:hAnsi="宋体" w:cs="宋体"/>
          <w:szCs w:val="24"/>
        </w:rPr>
        <w:t xml:space="preserve">法定代表人或代理人：（签字或盖章）</w:t>
      </w:r>
      <w:r/>
    </w:p>
    <w:p>
      <w:pPr>
        <w:pStyle w:val="1084"/>
        <w:ind w:left="0"/>
        <w:widowControl w:val="off"/>
        <w:rPr>
          <w:rStyle w:val="1081"/>
          <w:rFonts w:ascii="宋体" w:hAnsi="宋体" w:cs="宋体"/>
          <w:szCs w:val="24"/>
        </w:rPr>
      </w:pPr>
      <w:r>
        <w:rPr>
          <w:rStyle w:val="1081"/>
          <w:rFonts w:hint="eastAsia" w:ascii="宋体" w:hAnsi="宋体" w:cs="宋体"/>
          <w:szCs w:val="24"/>
        </w:rPr>
        <w:t xml:space="preserve">日期：      年    月    日</w:t>
      </w:r>
      <w:r/>
    </w:p>
    <w:p>
      <w:pPr>
        <w:pStyle w:val="1084"/>
        <w:ind w:left="0" w:firstLine="0"/>
        <w:widowControl w:val="off"/>
        <w:rPr>
          <w:rStyle w:val="1081"/>
          <w:rFonts w:ascii="宋体" w:hAnsi="宋体" w:cs="宋体"/>
          <w:b/>
        </w:rPr>
        <w:outlineLvl w:val="1"/>
      </w:pPr>
      <w:r>
        <w:rPr>
          <w:rStyle w:val="1081"/>
          <w:rFonts w:hint="eastAsia" w:ascii="宋体" w:hAnsi="宋体" w:cs="宋体"/>
          <w:sz w:val="21"/>
          <w:szCs w:val="21"/>
        </w:rPr>
        <w:br w:type="page" w:clear="all"/>
      </w:r>
      <w:bookmarkStart w:id="53" w:name="_Toc5921"/>
      <w:r>
        <w:rPr>
          <w:rStyle w:val="1081"/>
          <w:rFonts w:hint="eastAsia" w:ascii="宋体" w:hAnsi="宋体" w:cs="宋体"/>
          <w:b/>
        </w:rPr>
        <w:t xml:space="preserve">附件11、企业类似项目一览表</w:t>
      </w:r>
      <w:r/>
    </w:p>
    <w:p>
      <w:pPr>
        <w:ind w:left="0"/>
        <w:widowControl w:val="off"/>
        <w:rPr>
          <w:rFonts w:ascii="宋体" w:hAnsi="宋体" w:cs="宋体"/>
          <w:sz w:val="24"/>
          <w:szCs w:val="24"/>
        </w:rPr>
      </w:pPr>
      <w:r>
        <w:rPr>
          <w:rFonts w:ascii="宋体" w:hAnsi="宋体" w:cs="宋体"/>
          <w:sz w:val="24"/>
          <w:szCs w:val="24"/>
        </w:rPr>
      </w:r>
      <w:r/>
    </w:p>
    <w:p>
      <w:pPr>
        <w:ind w:left="0"/>
        <w:jc w:val="center"/>
        <w:spacing w:line="360" w:lineRule="auto"/>
        <w:widowControl w:val="off"/>
        <w:rPr>
          <w:rFonts w:ascii="宋体" w:hAnsi="宋体" w:cs="宋体"/>
          <w:b/>
          <w:sz w:val="24"/>
          <w:szCs w:val="24"/>
        </w:rPr>
      </w:pPr>
      <w:r>
        <w:rPr>
          <w:rFonts w:hint="eastAsia" w:ascii="宋体" w:hAnsi="宋体" w:cs="宋体"/>
          <w:b/>
          <w:sz w:val="24"/>
          <w:szCs w:val="24"/>
        </w:rPr>
        <w:t xml:space="preserve">企业类似项目一览表</w:t>
      </w:r>
      <w:r/>
    </w:p>
    <w:p>
      <w:pPr>
        <w:spacing w:line="360" w:lineRule="auto"/>
        <w:widowControl w:val="off"/>
        <w:rPr>
          <w:rFonts w:ascii="宋体" w:hAnsi="宋体" w:cs="宋体"/>
          <w:b/>
          <w:sz w:val="24"/>
          <w:szCs w:val="24"/>
        </w:rPr>
      </w:pPr>
      <w:r>
        <w:rPr>
          <w:rFonts w:ascii="宋体" w:hAnsi="宋体" w:cs="宋体"/>
          <w:b/>
          <w:sz w:val="24"/>
          <w:szCs w:val="24"/>
        </w:rPr>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ascii="宋体" w:hAnsi="宋体" w:cs="宋体"/>
                <w:sz w:val="24"/>
                <w:szCs w:val="24"/>
              </w:rPr>
            </w:pPr>
            <w:r>
              <w:rPr>
                <w:rFonts w:hint="eastAsia" w:ascii="宋体" w:hAnsi="宋体" w:cs="宋体"/>
                <w:sz w:val="24"/>
                <w:szCs w:val="24"/>
              </w:rPr>
              <w:t xml:space="preserve">序号</w:t>
            </w:r>
            <w:r/>
          </w:p>
        </w:tc>
        <w:tc>
          <w:tcPr>
            <w:tcW w:w="1649" w:type="dxa"/>
            <w:vAlign w:val="center"/>
            <w:textDirection w:val="lrTb"/>
            <w:noWrap w:val="false"/>
          </w:tcPr>
          <w:p>
            <w:pPr>
              <w:ind w:left="0"/>
              <w:jc w:val="center"/>
              <w:widowControl w:val="off"/>
              <w:rPr>
                <w:rFonts w:ascii="宋体" w:hAnsi="宋体" w:cs="宋体"/>
                <w:sz w:val="24"/>
                <w:szCs w:val="24"/>
              </w:rPr>
            </w:pPr>
            <w:r>
              <w:rPr>
                <w:rFonts w:hint="eastAsia" w:ascii="宋体" w:hAnsi="宋体" w:cs="宋体"/>
                <w:sz w:val="24"/>
                <w:szCs w:val="24"/>
              </w:rPr>
              <w:t xml:space="preserve">合同名称</w:t>
            </w:r>
            <w:r/>
          </w:p>
        </w:tc>
        <w:tc>
          <w:tcPr>
            <w:tcW w:w="1506" w:type="dxa"/>
            <w:vAlign w:val="center"/>
            <w:textDirection w:val="lrTb"/>
            <w:noWrap w:val="false"/>
          </w:tcPr>
          <w:p>
            <w:pPr>
              <w:ind w:left="0"/>
              <w:jc w:val="center"/>
              <w:widowControl w:val="off"/>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1506" w:type="dxa"/>
            <w:vAlign w:val="center"/>
            <w:textDirection w:val="lrTb"/>
            <w:noWrap w:val="false"/>
          </w:tcPr>
          <w:p>
            <w:pPr>
              <w:ind w:left="0"/>
              <w:jc w:val="center"/>
              <w:widowControl w:val="off"/>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757" w:type="dxa"/>
            <w:vAlign w:val="center"/>
            <w:textDirection w:val="lrTb"/>
            <w:noWrap w:val="false"/>
          </w:tcPr>
          <w:p>
            <w:pPr>
              <w:ind w:left="0"/>
              <w:jc w:val="center"/>
              <w:widowControl w:val="off"/>
              <w:tabs>
                <w:tab w:val="left" w:pos="6252" w:leader="none"/>
              </w:tabs>
              <w:rPr>
                <w:rFonts w:ascii="宋体" w:hAnsi="宋体" w:cs="宋体"/>
                <w:sz w:val="24"/>
                <w:szCs w:val="24"/>
              </w:rPr>
            </w:pPr>
            <w:r>
              <w:rPr>
                <w:rFonts w:hint="eastAsia" w:ascii="宋体" w:hAnsi="宋体" w:cs="宋体"/>
                <w:sz w:val="24"/>
                <w:szCs w:val="24"/>
              </w:rPr>
              <w:t xml:space="preserve">合同金额</w:t>
            </w:r>
            <w:r/>
          </w:p>
        </w:tc>
        <w:tc>
          <w:tcPr>
            <w:tcW w:w="1201" w:type="dxa"/>
            <w:vAlign w:val="center"/>
            <w:textDirection w:val="lrTb"/>
            <w:noWrap w:val="false"/>
          </w:tcPr>
          <w:p>
            <w:pPr>
              <w:ind w:left="0"/>
              <w:jc w:val="center"/>
              <w:widowControl w:val="off"/>
              <w:tabs>
                <w:tab w:val="left" w:pos="6252" w:leader="none"/>
              </w:tabs>
              <w:rPr>
                <w:rFonts w:ascii="宋体" w:hAnsi="宋体" w:cs="宋体"/>
                <w:sz w:val="24"/>
                <w:szCs w:val="24"/>
              </w:rPr>
            </w:pPr>
            <w:r>
              <w:rPr>
                <w:rFonts w:hint="eastAsia" w:ascii="宋体" w:hAnsi="宋体" w:cs="宋体"/>
                <w:sz w:val="24"/>
                <w:szCs w:val="24"/>
              </w:rPr>
              <w:t xml:space="preserve">备注</w:t>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1</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2</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3</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4</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5</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6</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7</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ascii="宋体" w:hAnsi="宋体" w:cs="宋体"/>
                <w:sz w:val="24"/>
                <w:szCs w:val="24"/>
              </w:rPr>
            </w:pPr>
            <w:r>
              <w:rPr>
                <w:rFonts w:hint="eastAsia" w:ascii="宋体" w:hAnsi="宋体" w:cs="宋体"/>
                <w:sz w:val="24"/>
                <w:szCs w:val="24"/>
              </w:rPr>
              <w:t xml:space="preserve">…</w:t>
            </w:r>
            <w:r/>
          </w:p>
        </w:tc>
        <w:tc>
          <w:tcPr>
            <w:tcW w:w="1649"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506"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757"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c>
          <w:tcPr>
            <w:tcW w:w="1201" w:type="dxa"/>
            <w:vAlign w:val="center"/>
            <w:textDirection w:val="lrTb"/>
            <w:noWrap w:val="false"/>
          </w:tcPr>
          <w:p>
            <w:pPr>
              <w:ind w:left="0"/>
              <w:jc w:val="center"/>
              <w:spacing w:line="400" w:lineRule="exact"/>
              <w:widowControl w:val="off"/>
              <w:rPr>
                <w:rFonts w:ascii="宋体" w:hAnsi="宋体" w:cs="宋体"/>
                <w:sz w:val="24"/>
                <w:szCs w:val="24"/>
              </w:rPr>
            </w:pPr>
            <w:r>
              <w:rPr>
                <w:rFonts w:ascii="宋体" w:hAnsi="宋体" w:cs="宋体"/>
                <w:sz w:val="24"/>
                <w:szCs w:val="24"/>
              </w:rPr>
            </w:r>
            <w:r/>
          </w:p>
        </w:tc>
      </w:tr>
    </w:tbl>
    <w:p>
      <w:pPr>
        <w:widowControl w:val="off"/>
        <w:rPr>
          <w:rFonts w:ascii="宋体" w:hAnsi="宋体" w:cs="宋体"/>
          <w:sz w:val="24"/>
          <w:szCs w:val="24"/>
        </w:rPr>
      </w:pPr>
      <w:r>
        <w:rPr>
          <w:rFonts w:ascii="宋体" w:hAnsi="宋体" w:cs="宋体"/>
          <w:sz w:val="24"/>
          <w:szCs w:val="24"/>
        </w:rPr>
      </w:r>
      <w:r/>
    </w:p>
    <w:p>
      <w:pPr>
        <w:pStyle w:val="1082"/>
        <w:ind w:firstLine="0"/>
        <w:jc w:val="both"/>
        <w:spacing w:line="360" w:lineRule="auto"/>
        <w:widowControl w:val="off"/>
        <w:rPr>
          <w:rStyle w:val="1081"/>
          <w:rFonts w:ascii="宋体" w:hAnsi="宋体" w:cs="宋体"/>
          <w:b/>
          <w:szCs w:val="24"/>
        </w:rPr>
      </w:pPr>
      <w:r>
        <w:rPr>
          <w:rFonts w:ascii="宋体" w:hAnsi="宋体" w:cs="宋体"/>
          <w:b/>
          <w:szCs w:val="24"/>
        </w:rPr>
      </w:r>
      <w:r/>
    </w:p>
    <w:p>
      <w:pPr>
        <w:pStyle w:val="1084"/>
        <w:widowControl w:val="off"/>
        <w:rPr>
          <w:rStyle w:val="1081"/>
          <w:rFonts w:ascii="宋体" w:hAnsi="宋体" w:cs="宋体"/>
        </w:rPr>
      </w:pPr>
      <w:r>
        <w:rPr>
          <w:rStyle w:val="1081"/>
          <w:rFonts w:hint="eastAsia" w:ascii="宋体" w:hAnsi="宋体" w:cs="宋体"/>
        </w:rPr>
        <w:t xml:space="preserve">供应商：（单位盖章）</w:t>
      </w:r>
      <w:r/>
    </w:p>
    <w:p>
      <w:pPr>
        <w:pStyle w:val="1084"/>
        <w:widowControl w:val="off"/>
        <w:rPr>
          <w:rStyle w:val="1081"/>
          <w:rFonts w:ascii="宋体" w:hAnsi="宋体" w:cs="宋体"/>
        </w:rPr>
      </w:pPr>
      <w:r>
        <w:rPr>
          <w:rStyle w:val="1081"/>
          <w:rFonts w:hint="eastAsia" w:ascii="宋体" w:hAnsi="宋体" w:cs="宋体"/>
        </w:rPr>
        <w:t xml:space="preserve">法定代表人或代理人：（签字或盖章）</w:t>
      </w:r>
      <w:r/>
    </w:p>
    <w:p>
      <w:pPr>
        <w:pStyle w:val="1084"/>
        <w:widowControl w:val="off"/>
        <w:rPr>
          <w:rStyle w:val="1081"/>
          <w:rFonts w:ascii="宋体" w:hAnsi="宋体" w:cs="宋体"/>
        </w:rPr>
      </w:pPr>
      <w:r>
        <w:rPr>
          <w:rStyle w:val="1081"/>
          <w:rFonts w:hint="eastAsia" w:ascii="宋体" w:hAnsi="宋体" w:cs="宋体"/>
        </w:rPr>
        <w:t xml:space="preserve">日期：   年   月   日</w:t>
      </w:r>
      <w:r/>
    </w:p>
    <w:p>
      <w:pPr>
        <w:pStyle w:val="1082"/>
        <w:ind w:left="0" w:firstLine="0"/>
        <w:jc w:val="both"/>
        <w:spacing w:line="360" w:lineRule="auto"/>
        <w:widowControl w:val="off"/>
        <w:rPr>
          <w:rFonts w:ascii="宋体" w:hAnsi="宋体" w:cs="宋体"/>
          <w:b/>
          <w:sz w:val="21"/>
          <w:szCs w:val="21"/>
        </w:rPr>
        <w:outlineLvl w:val="1"/>
      </w:pPr>
      <w:r>
        <w:rPr>
          <w:rFonts w:hint="eastAsia" w:ascii="宋体" w:hAnsi="宋体" w:cs="宋体"/>
          <w:b/>
          <w:sz w:val="21"/>
          <w:szCs w:val="21"/>
        </w:rPr>
        <w:br w:type="page" w:clear="all"/>
      </w:r>
      <w:r>
        <w:rPr>
          <w:rFonts w:hint="eastAsia" w:ascii="宋体" w:hAnsi="宋体" w:cs="宋体"/>
          <w:b/>
          <w:szCs w:val="24"/>
        </w:rPr>
        <w:t xml:space="preserve">附件12、中小企业声明函</w:t>
      </w:r>
      <w:bookmarkEnd w:id="48"/>
      <w:r/>
      <w:bookmarkEnd w:id="49"/>
      <w:r/>
      <w:bookmarkEnd w:id="53"/>
      <w:r/>
      <w:r/>
    </w:p>
    <w:p>
      <w:pPr>
        <w:ind w:left="0"/>
        <w:jc w:val="center"/>
        <w:spacing w:line="400" w:lineRule="exact"/>
        <w:widowControl w:val="off"/>
        <w:rPr>
          <w:rStyle w:val="1081"/>
          <w:rFonts w:ascii="宋体" w:hAnsi="宋体" w:cs="宋体"/>
          <w:sz w:val="24"/>
          <w:szCs w:val="24"/>
          <w:lang w:val="zh-CN"/>
        </w:rPr>
      </w:pPr>
      <w:r>
        <w:rPr>
          <w:rStyle w:val="1081"/>
          <w:rFonts w:hint="eastAsia" w:ascii="宋体" w:hAnsi="宋体" w:cs="宋体"/>
          <w:sz w:val="24"/>
          <w:szCs w:val="24"/>
          <w:lang w:val="zh-CN"/>
        </w:rPr>
        <w:t xml:space="preserve">中小企业声明函</w:t>
      </w:r>
      <w:r/>
    </w:p>
    <w:p>
      <w:pPr>
        <w:ind w:left="0" w:firstLine="480"/>
        <w:spacing w:line="360" w:lineRule="auto"/>
        <w:widowControl w:val="off"/>
        <w:rPr>
          <w:rStyle w:val="1081"/>
          <w:rFonts w:ascii="宋体" w:hAnsi="宋体" w:cs="宋体"/>
          <w:sz w:val="24"/>
          <w:szCs w:val="24"/>
          <w:lang w:val="zh-CN"/>
        </w:rPr>
      </w:pPr>
      <w:r>
        <w:rPr>
          <w:rFonts w:ascii="宋体" w:hAnsi="宋体" w:cs="宋体"/>
          <w:sz w:val="24"/>
          <w:szCs w:val="24"/>
          <w:lang w:val="zh-CN"/>
        </w:rPr>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b/>
          <w:sz w:val="24"/>
          <w:szCs w:val="24"/>
          <w:u w:val="single"/>
        </w:rPr>
        <w:t xml:space="preserve">                  </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，从业人员__人，营业收入为__万元，资产总额为__万元，属于（中型企业、小型企业、微型企业)；</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(采购文件中明确的所属行业)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人，营业收入为___万元，资产总额为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074"/>
        <w:ind w:firstLine="480"/>
        <w:rPr>
          <w:rFonts w:hAnsi="宋体" w:cs="宋体"/>
          <w:sz w:val="21"/>
          <w:szCs w:val="21"/>
        </w:rPr>
      </w:pPr>
      <w:r>
        <w:rPr>
          <w:rFonts w:hint="eastAsia" w:hAnsi="宋体" w:cs="宋体"/>
          <w:szCs w:val="24"/>
        </w:rPr>
        <w:t xml:space="preserve">本企业对上述声明内容的真实性负责。如有虚假，将依法承担相应责任。</w:t>
      </w:r>
      <w:r/>
    </w:p>
    <w:p>
      <w:pPr>
        <w:ind w:left="0" w:firstLine="420"/>
        <w:spacing w:line="360" w:lineRule="auto"/>
        <w:rPr>
          <w:rFonts w:ascii="宋体" w:hAnsi="宋体" w:cs="宋体"/>
          <w:sz w:val="21"/>
          <w:szCs w:val="21"/>
        </w:rPr>
      </w:pPr>
      <w:r>
        <w:rPr>
          <w:rFonts w:ascii="宋体" w:hAnsi="宋体" w:cs="宋体"/>
          <w:sz w:val="21"/>
          <w:szCs w:val="21"/>
        </w:rPr>
      </w:r>
      <w:r/>
    </w:p>
    <w:p>
      <w:pPr>
        <w:ind w:left="0" w:firstLine="480"/>
        <w:spacing w:line="360" w:lineRule="auto"/>
        <w:rPr>
          <w:rFonts w:ascii="宋体" w:hAnsi="宋体" w:cs="宋体"/>
          <w:sz w:val="24"/>
          <w:szCs w:val="24"/>
        </w:rPr>
      </w:pPr>
      <w:r>
        <w:rPr>
          <w:rFonts w:hint="eastAsia" w:ascii="宋体" w:hAnsi="宋体" w:cs="宋体"/>
          <w:sz w:val="24"/>
          <w:szCs w:val="24"/>
        </w:rPr>
        <w:t xml:space="preserve">注：从业人员、营业收入、资产总额填报上一年度数据，无上一年度数据的新成立企业可不填报。</w:t>
      </w:r>
      <w:r/>
    </w:p>
    <w:p>
      <w:pPr>
        <w:pStyle w:val="1051"/>
        <w:ind w:firstLine="480"/>
        <w:spacing w:line="360" w:lineRule="auto"/>
        <w:rPr>
          <w:rFonts w:ascii="宋体" w:hAnsi="宋体" w:cs="宋体"/>
          <w:sz w:val="24"/>
          <w:szCs w:val="24"/>
        </w:rPr>
      </w:pPr>
      <w:r>
        <w:rPr>
          <w:rFonts w:ascii="宋体" w:hAnsi="宋体" w:cs="宋体"/>
          <w:sz w:val="24"/>
          <w:szCs w:val="24"/>
        </w:rPr>
      </w:r>
      <w:r/>
    </w:p>
    <w:p>
      <w:pPr>
        <w:pStyle w:val="1051"/>
        <w:ind w:left="0" w:firstLine="0"/>
        <w:jc w:val="left"/>
        <w:spacing w:line="360" w:lineRule="auto"/>
        <w:rPr>
          <w:rFonts w:ascii="宋体" w:hAnsi="宋体" w:cs="宋体"/>
          <w:sz w:val="24"/>
          <w:szCs w:val="24"/>
        </w:rPr>
      </w:pPr>
      <w:r>
        <w:rPr>
          <w:rFonts w:ascii="宋体" w:hAnsi="宋体" w:cs="宋体"/>
          <w:sz w:val="24"/>
          <w:szCs w:val="24"/>
        </w:rPr>
      </w:r>
      <w:r/>
    </w:p>
    <w:p>
      <w:pPr>
        <w:pStyle w:val="1051"/>
        <w:ind w:left="0" w:firstLine="480"/>
        <w:jc w:val="left"/>
        <w:spacing w:line="360" w:lineRule="auto"/>
        <w:rPr>
          <w:rFonts w:ascii="宋体" w:hAnsi="宋体" w:cs="宋体"/>
          <w:sz w:val="24"/>
          <w:szCs w:val="24"/>
        </w:rPr>
      </w:pPr>
      <w:r>
        <w:rPr>
          <w:rFonts w:hint="eastAsia" w:ascii="宋体" w:hAnsi="宋体" w:cs="宋体"/>
          <w:sz w:val="24"/>
          <w:szCs w:val="24"/>
        </w:rPr>
        <w:t xml:space="preserve">企业名称（盖章）：</w:t>
      </w:r>
      <w:r/>
    </w:p>
    <w:p>
      <w:pPr>
        <w:pStyle w:val="1051"/>
        <w:ind w:left="0" w:firstLine="480"/>
        <w:jc w:val="left"/>
        <w:spacing w:line="360" w:lineRule="auto"/>
        <w:rPr>
          <w:rFonts w:ascii="宋体" w:hAnsi="宋体" w:cs="宋体"/>
          <w:sz w:val="24"/>
          <w:szCs w:val="24"/>
        </w:rPr>
      </w:pPr>
      <w:r>
        <w:rPr>
          <w:rFonts w:ascii="宋体" w:hAnsi="宋体" w:cs="宋体"/>
          <w:sz w:val="24"/>
          <w:szCs w:val="24"/>
        </w:rPr>
      </w:r>
      <w:r/>
    </w:p>
    <w:p>
      <w:pPr>
        <w:pStyle w:val="1051"/>
        <w:ind w:left="0" w:firstLine="480"/>
        <w:jc w:val="left"/>
        <w:spacing w:line="360" w:lineRule="auto"/>
        <w:rPr>
          <w:rFonts w:ascii="宋体" w:hAnsi="宋体" w:cs="宋体"/>
          <w:sz w:val="24"/>
          <w:szCs w:val="24"/>
        </w:rPr>
      </w:pPr>
      <w:r>
        <w:rPr>
          <w:rFonts w:hint="eastAsia" w:ascii="宋体" w:hAnsi="宋体" w:cs="宋体"/>
          <w:sz w:val="24"/>
          <w:szCs w:val="24"/>
        </w:rPr>
        <w:t xml:space="preserve">日  期：</w:t>
      </w:r>
      <w:r/>
    </w:p>
    <w:p>
      <w:pPr>
        <w:pStyle w:val="1051"/>
        <w:ind w:left="0" w:firstLine="0"/>
        <w:jc w:val="left"/>
        <w:spacing w:line="360" w:lineRule="auto"/>
        <w:rPr>
          <w:rFonts w:ascii="宋体" w:hAnsi="宋体" w:cs="宋体"/>
          <w:b/>
          <w:bCs/>
          <w:sz w:val="21"/>
          <w:szCs w:val="21"/>
        </w:rPr>
        <w:outlineLvl w:val="1"/>
      </w:pPr>
      <w:r>
        <w:rPr>
          <w:rFonts w:hint="eastAsia" w:ascii="宋体" w:hAnsi="宋体" w:cs="宋体"/>
          <w:b/>
          <w:bCs/>
          <w:sz w:val="21"/>
          <w:szCs w:val="21"/>
        </w:rPr>
        <w:br w:type="page" w:clear="all"/>
      </w:r>
      <w:bookmarkStart w:id="54" w:name="_Toc14042"/>
      <w:r>
        <w:rPr>
          <w:rFonts w:hint="eastAsia" w:ascii="宋体" w:hAnsi="宋体" w:cs="宋体"/>
          <w:b/>
          <w:bCs/>
          <w:sz w:val="21"/>
          <w:szCs w:val="21"/>
        </w:rPr>
        <w:t xml:space="preserve">附：中小企业划型标准规定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51"/>
        <w:ind w:left="0" w:firstLine="0"/>
        <w:jc w:val="left"/>
        <w:spacing w:line="360" w:lineRule="auto"/>
        <w:rPr>
          <w:rFonts w:ascii="宋体" w:hAnsi="宋体" w:cs="宋体"/>
          <w:sz w:val="21"/>
          <w:szCs w:val="21"/>
        </w:rPr>
        <w:outlineLvl w:val="1"/>
      </w:pPr>
      <w:r>
        <w:rPr>
          <w:rFonts w:hint="eastAsia" w:ascii="宋体" w:hAnsi="宋体" w:cs="宋体"/>
          <w:sz w:val="21"/>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1051"/>
        <w:ind w:left="0" w:firstLine="0"/>
        <w:jc w:val="left"/>
        <w:spacing w:line="360" w:lineRule="auto"/>
        <w:rPr>
          <w:rFonts w:ascii="宋体" w:hAnsi="宋体" w:cs="宋体"/>
          <w:b/>
          <w:bCs/>
          <w:sz w:val="24"/>
          <w:szCs w:val="24"/>
        </w:rPr>
        <w:outlineLvl w:val="1"/>
      </w:pPr>
      <w:r>
        <w:rPr>
          <w:rFonts w:hint="eastAsia" w:ascii="宋体" w:hAnsi="宋体" w:cs="宋体"/>
          <w:b/>
          <w:bCs/>
          <w:sz w:val="24"/>
          <w:szCs w:val="24"/>
        </w:rPr>
        <w:br w:type="page" w:clear="all"/>
      </w:r>
      <w:r>
        <w:rPr>
          <w:rFonts w:hint="eastAsia" w:ascii="宋体" w:hAnsi="宋体" w:cs="宋体"/>
          <w:b/>
          <w:bCs/>
          <w:sz w:val="24"/>
          <w:szCs w:val="24"/>
        </w:rPr>
        <w:t xml:space="preserve">附件13、</w:t>
      </w:r>
      <w:r>
        <w:rPr>
          <w:rFonts w:hint="eastAsia" w:ascii="宋体" w:hAnsi="宋体" w:cs="宋体"/>
          <w:b/>
          <w:bCs/>
          <w:sz w:val="24"/>
          <w:szCs w:val="24"/>
          <w:lang w:val="zh-CN"/>
        </w:rPr>
        <w:t xml:space="preserve">残疾人福利性单位声明函</w:t>
      </w:r>
      <w:bookmarkEnd w:id="54"/>
      <w:r/>
      <w:r/>
    </w:p>
    <w:p>
      <w:pPr>
        <w:pStyle w:val="1075"/>
        <w:ind w:left="0"/>
        <w:rPr>
          <w:rFonts w:ascii="宋体" w:hAnsi="宋体" w:cs="宋体"/>
          <w:sz w:val="24"/>
          <w:szCs w:val="24"/>
        </w:rPr>
      </w:pPr>
      <w:r>
        <w:rPr>
          <w:rFonts w:ascii="宋体" w:hAnsi="宋体" w:cs="宋体"/>
          <w:sz w:val="24"/>
          <w:szCs w:val="24"/>
        </w:rPr>
      </w:r>
      <w:r/>
    </w:p>
    <w:p>
      <w:pPr>
        <w:ind w:left="0" w:firstLine="482"/>
        <w:jc w:val="center"/>
        <w:spacing w:line="360" w:lineRule="auto"/>
        <w:rPr>
          <w:rFonts w:ascii="宋体" w:hAnsi="宋体" w:cs="宋体"/>
          <w:b/>
          <w:bCs/>
          <w:sz w:val="24"/>
          <w:szCs w:val="24"/>
        </w:rPr>
      </w:pPr>
      <w:r>
        <w:rPr>
          <w:rFonts w:ascii="宋体" w:hAnsi="宋体" w:cs="宋体"/>
          <w:b/>
          <w:bCs/>
          <w:sz w:val="24"/>
          <w:szCs w:val="24"/>
        </w:rPr>
      </w:r>
      <w:r/>
    </w:p>
    <w:p>
      <w:pPr>
        <w:ind w:left="0"/>
        <w:jc w:val="center"/>
        <w:spacing w:line="360" w:lineRule="auto"/>
        <w:rPr>
          <w:rFonts w:ascii="宋体" w:hAnsi="宋体" w:cs="宋体"/>
          <w:b/>
          <w:bCs/>
          <w:sz w:val="24"/>
          <w:szCs w:val="24"/>
        </w:rPr>
      </w:pPr>
      <w:r>
        <w:rPr>
          <w:rFonts w:hint="eastAsia" w:ascii="宋体" w:hAnsi="宋体" w:cs="宋体"/>
          <w:b/>
          <w:bCs/>
          <w:sz w:val="24"/>
          <w:szCs w:val="24"/>
        </w:rPr>
        <w:t xml:space="preserve">残疾人福利性单位声明函</w:t>
      </w:r>
      <w:r/>
    </w:p>
    <w:p>
      <w:pPr>
        <w:ind w:left="0" w:firstLine="480"/>
        <w:spacing w:line="360" w:lineRule="auto"/>
        <w:rPr>
          <w:rFonts w:ascii="宋体" w:hAnsi="宋体" w:cs="宋体"/>
          <w:sz w:val="24"/>
          <w:szCs w:val="24"/>
          <w:lang w:val="zh-CN"/>
        </w:rPr>
      </w:pPr>
      <w:r>
        <w:rPr>
          <w:rFonts w:ascii="宋体" w:hAnsi="宋体" w:cs="宋体"/>
          <w:sz w:val="24"/>
          <w:szCs w:val="24"/>
          <w:lang w:val="zh-CN"/>
        </w:rPr>
      </w:r>
      <w:r/>
    </w:p>
    <w:p>
      <w:pPr>
        <w:ind w:left="0"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szCs w:val="24"/>
          <w:lang w:val="zh-CN"/>
        </w:rPr>
        <w:t xml:space="preserve">贵中心组织实施的编号为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号的采购活动</w:t>
      </w:r>
      <w:r>
        <w:rPr>
          <w:rFonts w:hint="eastAsia" w:ascii="宋体" w:hAnsi="宋体" w:cs="宋体"/>
          <w:sz w:val="24"/>
          <w:szCs w:val="24"/>
        </w:rPr>
        <w:t xml:space="preserve">提供本单位制造的货物（由本单位承担工程/提供服务），或者提供其他残疾人福利性单位制造的货物（不包括使用非残疾人福利性单位注册商标的货物）。</w:t>
      </w:r>
      <w:r/>
    </w:p>
    <w:p>
      <w:pPr>
        <w:ind w:left="0"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pStyle w:val="1077"/>
        <w:ind w:left="0" w:firstLine="480"/>
        <w:spacing w:line="360" w:lineRule="auto"/>
        <w:rPr>
          <w:rFonts w:hAnsi="宋体" w:cs="宋体"/>
          <w:sz w:val="24"/>
          <w:szCs w:val="24"/>
        </w:rPr>
      </w:pPr>
      <w:r>
        <w:rPr>
          <w:rFonts w:hAnsi="宋体" w:cs="宋体"/>
          <w:sz w:val="24"/>
          <w:szCs w:val="24"/>
        </w:rPr>
      </w:r>
      <w:r/>
    </w:p>
    <w:p>
      <w:pPr>
        <w:ind w:left="0" w:firstLine="482"/>
        <w:spacing w:line="360" w:lineRule="auto"/>
        <w:rPr>
          <w:rFonts w:ascii="宋体" w:hAnsi="宋体" w:cs="宋体"/>
          <w:b/>
          <w:sz w:val="24"/>
          <w:szCs w:val="24"/>
        </w:rPr>
      </w:pPr>
      <w:r>
        <w:rPr>
          <w:rFonts w:ascii="宋体" w:hAnsi="宋体" w:cs="宋体"/>
          <w:b/>
          <w:sz w:val="24"/>
          <w:szCs w:val="24"/>
        </w:rPr>
      </w:r>
      <w:r/>
    </w:p>
    <w:p>
      <w:pPr>
        <w:ind w:left="0" w:firstLine="482"/>
        <w:spacing w:line="360" w:lineRule="auto"/>
        <w:rPr>
          <w:rFonts w:ascii="宋体" w:hAnsi="宋体" w:cs="宋体"/>
          <w:b/>
          <w:sz w:val="24"/>
          <w:szCs w:val="24"/>
        </w:rPr>
      </w:pPr>
      <w:r>
        <w:rPr>
          <w:rFonts w:ascii="宋体" w:hAnsi="宋体" w:cs="宋体"/>
          <w:b/>
          <w:sz w:val="24"/>
          <w:szCs w:val="24"/>
        </w:rPr>
      </w:r>
      <w:r/>
    </w:p>
    <w:p>
      <w:pPr>
        <w:ind w:left="0" w:firstLine="482"/>
        <w:spacing w:line="360" w:lineRule="auto"/>
        <w:rPr>
          <w:rFonts w:ascii="宋体" w:hAnsi="宋体" w:cs="宋体"/>
          <w:b/>
          <w:sz w:val="24"/>
          <w:szCs w:val="24"/>
        </w:rPr>
      </w:pPr>
      <w:r>
        <w:rPr>
          <w:rFonts w:ascii="宋体" w:hAnsi="宋体" w:cs="宋体"/>
          <w:b/>
          <w:sz w:val="24"/>
          <w:szCs w:val="24"/>
        </w:rPr>
      </w:r>
      <w:r/>
    </w:p>
    <w:p>
      <w:pPr>
        <w:ind w:left="0" w:firstLine="480"/>
        <w:jc w:val="left"/>
        <w:spacing w:line="360" w:lineRule="auto"/>
        <w:rPr>
          <w:rFonts w:ascii="宋体" w:hAnsi="宋体" w:cs="宋体"/>
          <w:sz w:val="24"/>
          <w:szCs w:val="24"/>
        </w:rPr>
      </w:pPr>
      <w:r>
        <w:rPr>
          <w:rFonts w:hint="eastAsia" w:ascii="宋体" w:hAnsi="宋体" w:cs="宋体"/>
          <w:sz w:val="24"/>
          <w:szCs w:val="24"/>
        </w:rPr>
        <w:t xml:space="preserve">供应商名称：（盖章）</w:t>
      </w:r>
      <w:r/>
    </w:p>
    <w:p>
      <w:pPr>
        <w:ind w:left="0" w:firstLine="480"/>
        <w:jc w:val="left"/>
        <w:spacing w:line="360" w:lineRule="auto"/>
        <w:rPr>
          <w:rFonts w:ascii="宋体" w:hAnsi="宋体" w:cs="宋体"/>
          <w:sz w:val="24"/>
          <w:szCs w:val="24"/>
        </w:rPr>
      </w:pPr>
      <w:r>
        <w:rPr>
          <w:rFonts w:ascii="宋体" w:hAnsi="宋体" w:cs="宋体"/>
          <w:sz w:val="24"/>
          <w:szCs w:val="24"/>
        </w:rPr>
      </w:r>
      <w:r/>
    </w:p>
    <w:p>
      <w:pPr>
        <w:ind w:left="0" w:firstLine="480"/>
        <w:jc w:val="left"/>
        <w:spacing w:line="360" w:lineRule="auto"/>
        <w:rPr>
          <w:rFonts w:ascii="宋体" w:hAnsi="宋体" w:cs="宋体"/>
          <w:b/>
          <w:sz w:val="24"/>
          <w:szCs w:val="24"/>
        </w:rPr>
      </w:pPr>
      <w:r>
        <w:rPr>
          <w:rFonts w:hint="eastAsia" w:ascii="宋体" w:hAnsi="宋体" w:cs="宋体"/>
          <w:sz w:val="24"/>
          <w:szCs w:val="24"/>
        </w:rPr>
        <w:t xml:space="preserve">日期:       年      月     日</w:t>
      </w:r>
      <w:r/>
    </w:p>
    <w:p>
      <w:pPr>
        <w:ind w:left="0"/>
        <w:spacing w:line="360" w:lineRule="auto"/>
        <w:widowControl w:val="off"/>
        <w:rPr>
          <w:rFonts w:ascii="宋体" w:hAnsi="宋体" w:cs="宋体"/>
          <w:b/>
          <w:sz w:val="21"/>
          <w:szCs w:val="21"/>
        </w:rPr>
      </w:pPr>
      <w:r>
        <w:rPr>
          <w:rFonts w:ascii="宋体" w:hAnsi="宋体" w:cs="宋体"/>
          <w:b/>
          <w:sz w:val="21"/>
          <w:szCs w:val="21"/>
        </w:rPr>
      </w:r>
      <w:r/>
    </w:p>
    <w:p>
      <w:pPr>
        <w:ind w:left="0" w:right="480"/>
        <w:spacing w:line="400" w:lineRule="exact"/>
        <w:rPr>
          <w:rFonts w:ascii="宋体" w:hAnsi="宋体" w:cs="宋体"/>
          <w:sz w:val="21"/>
          <w:szCs w:val="21"/>
          <w:lang w:val="zh-CN"/>
        </w:rPr>
      </w:pPr>
      <w:r>
        <w:rPr>
          <w:rFonts w:ascii="宋体" w:hAnsi="宋体" w:cs="宋体"/>
          <w:sz w:val="21"/>
          <w:szCs w:val="21"/>
          <w:lang w:val="zh-CN"/>
        </w:rPr>
      </w:r>
      <w:r/>
    </w:p>
    <w:p>
      <w:pPr>
        <w:ind w:left="0"/>
        <w:jc w:val="left"/>
        <w:rPr>
          <w:rFonts w:ascii="宋体" w:hAnsi="宋体" w:cs="宋体"/>
          <w:sz w:val="21"/>
          <w:szCs w:val="21"/>
        </w:rPr>
      </w:pPr>
      <w:r>
        <w:rPr>
          <w:rFonts w:ascii="宋体" w:hAnsi="宋体" w:cs="宋体"/>
          <w:sz w:val="21"/>
          <w:szCs w:val="21"/>
        </w:rPr>
      </w:r>
      <w:r/>
    </w:p>
    <w:p>
      <w:pPr>
        <w:ind w:left="0" w:right="480"/>
        <w:spacing w:line="400" w:lineRule="exact"/>
        <w:rPr>
          <w:rFonts w:ascii="宋体" w:hAnsi="宋体" w:cs="宋体"/>
          <w:sz w:val="21"/>
          <w:szCs w:val="21"/>
          <w:lang w:val="zh-CN"/>
        </w:rPr>
      </w:pPr>
      <w:r>
        <w:rPr>
          <w:rFonts w:ascii="宋体" w:hAnsi="宋体" w:cs="宋体"/>
          <w:sz w:val="21"/>
          <w:szCs w:val="21"/>
          <w:lang w:val="zh-CN"/>
        </w:rPr>
      </w:r>
      <w:r/>
    </w:p>
    <w:p>
      <w:pPr>
        <w:ind w:left="0"/>
        <w:jc w:val="center"/>
        <w:spacing w:line="480" w:lineRule="exact"/>
        <w:rPr>
          <w:rFonts w:ascii="宋体" w:hAnsi="宋体" w:cs="宋体"/>
          <w:sz w:val="21"/>
          <w:szCs w:val="21"/>
        </w:rPr>
      </w:pPr>
      <w:r>
        <w:rPr>
          <w:rFonts w:ascii="宋体" w:hAnsi="宋体" w:cs="宋体"/>
          <w:sz w:val="21"/>
          <w:szCs w:val="21"/>
        </w:rPr>
      </w:r>
      <w:r/>
    </w:p>
    <w:p>
      <w:pPr>
        <w:ind w:left="0"/>
        <w:spacing w:line="480" w:lineRule="exact"/>
        <w:rPr>
          <w:rFonts w:ascii="宋体" w:hAnsi="宋体" w:cs="宋体"/>
          <w:sz w:val="21"/>
          <w:szCs w:val="21"/>
        </w:rPr>
      </w:pPr>
      <w:r>
        <w:rPr>
          <w:rFonts w:ascii="宋体" w:hAnsi="宋体" w:cs="宋体"/>
          <w:sz w:val="21"/>
          <w:szCs w:val="21"/>
        </w:rPr>
      </w:r>
      <w:r/>
    </w:p>
    <w:p>
      <w:pPr>
        <w:ind w:left="0"/>
        <w:spacing w:line="400" w:lineRule="exact"/>
        <w:rPr>
          <w:rFonts w:ascii="宋体" w:hAnsi="宋体" w:cs="宋体"/>
          <w:b/>
          <w:sz w:val="24"/>
          <w:szCs w:val="24"/>
        </w:rPr>
        <w:outlineLvl w:val="1"/>
      </w:pPr>
      <w:r>
        <w:rPr>
          <w:rFonts w:hint="eastAsia" w:ascii="宋体" w:hAnsi="宋体" w:cs="宋体"/>
          <w:sz w:val="21"/>
          <w:szCs w:val="21"/>
        </w:rPr>
        <w:br w:type="page" w:clear="all"/>
      </w:r>
      <w:bookmarkStart w:id="55" w:name="_Toc7573"/>
      <w:r>
        <w:rPr>
          <w:rFonts w:hint="eastAsia" w:ascii="宋体" w:hAnsi="宋体" w:cs="宋体"/>
          <w:b/>
          <w:sz w:val="24"/>
          <w:szCs w:val="24"/>
        </w:rPr>
        <w:t xml:space="preserve">附件14、响应保证承诺书</w:t>
      </w:r>
      <w:bookmarkEnd w:id="55"/>
      <w:r/>
      <w:r/>
    </w:p>
    <w:p>
      <w:pPr>
        <w:ind w:left="0"/>
        <w:jc w:val="center"/>
        <w:widowControl w:val="off"/>
        <w:rPr>
          <w:rFonts w:ascii="宋体" w:hAnsi="宋体" w:cs="宋体"/>
          <w:b/>
          <w:bCs/>
          <w:sz w:val="24"/>
          <w:szCs w:val="24"/>
        </w:rPr>
      </w:pPr>
      <w:r>
        <w:rPr>
          <w:rFonts w:ascii="宋体" w:hAnsi="宋体" w:cs="宋体"/>
          <w:b/>
          <w:bCs/>
          <w:sz w:val="24"/>
          <w:szCs w:val="24"/>
        </w:rPr>
      </w:r>
      <w:r/>
    </w:p>
    <w:p>
      <w:pPr>
        <w:ind w:left="0"/>
        <w:jc w:val="center"/>
        <w:widowControl w:val="off"/>
        <w:rPr>
          <w:rFonts w:ascii="宋体" w:hAnsi="宋体" w:cs="宋体"/>
          <w:b/>
          <w:bCs/>
          <w:sz w:val="24"/>
          <w:szCs w:val="24"/>
        </w:rPr>
      </w:pPr>
      <w:r>
        <w:rPr>
          <w:rFonts w:hint="eastAsia" w:ascii="宋体" w:hAnsi="宋体" w:cs="宋体"/>
          <w:b/>
          <w:bCs/>
          <w:sz w:val="24"/>
          <w:szCs w:val="24"/>
        </w:rPr>
        <w:t xml:space="preserve">响应保证承诺书</w:t>
      </w:r>
      <w:r/>
    </w:p>
    <w:p>
      <w:pPr>
        <w:ind w:left="0"/>
        <w:widowControl w:val="off"/>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：（采购代理机构名称）</w:t>
      </w:r>
      <w:r/>
    </w:p>
    <w:p>
      <w:pPr>
        <w:ind w:left="0" w:firstLine="480"/>
        <w:widowControl w:val="off"/>
        <w:rPr>
          <w:rFonts w:ascii="宋体" w:hAnsi="宋体" w:cs="宋体"/>
          <w:sz w:val="24"/>
          <w:szCs w:val="24"/>
        </w:rPr>
      </w:pPr>
      <w:r>
        <w:rPr>
          <w:rFonts w:ascii="宋体" w:hAnsi="宋体" w:cs="宋体"/>
          <w:sz w:val="24"/>
          <w:szCs w:val="24"/>
        </w:rPr>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我（单位/本人，以下统称我单位）自愿参加</w:t>
      </w:r>
      <w:r>
        <w:rPr>
          <w:rFonts w:hint="eastAsia" w:ascii="宋体" w:hAnsi="宋体" w:cs="宋体"/>
          <w:sz w:val="24"/>
          <w:szCs w:val="24"/>
          <w:u w:val="single"/>
        </w:rPr>
        <w:t xml:space="preserve">              </w:t>
      </w:r>
      <w:r>
        <w:rPr>
          <w:rFonts w:hint="eastAsia" w:ascii="宋体" w:hAnsi="宋体" w:cs="宋体"/>
          <w:sz w:val="24"/>
          <w:szCs w:val="24"/>
        </w:rPr>
        <w:t xml:space="preserve">（项目名称和采购编号）的响应,并做出如下承诺：</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1.自响应截止时间至本项目发布成交公告为止，撤销响应；</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2.成交后不依法与采购人签订合同；</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3.成交后不按本采购文件规定向采购人提交履约保证金；</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4.成交后不按本采购文件规定向贵方缴纳采购代理费。</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二、我单位知晓上述行为的法律后果，承认本承诺书作为贵方（或采购人）要求我单位履行违约赔偿义务的依据作用。</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 </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投标（响应）人：        （盖公章）</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地址：                                                                </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电话：                     传真：                      </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电子邮件：                 邮编：                      </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法定代表人或委托代理人(签字或签章)：                                 </w:t>
      </w:r>
      <w:r/>
    </w:p>
    <w:p>
      <w:pPr>
        <w:ind w:left="0"/>
        <w:widowControl w:val="off"/>
        <w:rPr>
          <w:rFonts w:ascii="宋体" w:hAnsi="宋体" w:cs="宋体"/>
          <w:sz w:val="24"/>
          <w:szCs w:val="24"/>
        </w:rPr>
      </w:pPr>
      <w:r>
        <w:rPr>
          <w:rFonts w:ascii="宋体" w:hAnsi="宋体" w:cs="宋体"/>
          <w:sz w:val="24"/>
          <w:szCs w:val="24"/>
        </w:rPr>
      </w:r>
      <w:r/>
    </w:p>
    <w:p>
      <w:pPr>
        <w:ind w:left="0"/>
        <w:widowControl w:val="off"/>
        <w:rPr>
          <w:rFonts w:ascii="宋体" w:hAnsi="宋体" w:cs="宋体"/>
          <w:sz w:val="24"/>
          <w:szCs w:val="24"/>
        </w:rPr>
      </w:pPr>
      <w:r>
        <w:rPr>
          <w:rFonts w:hint="eastAsia" w:ascii="宋体" w:hAnsi="宋体" w:cs="宋体"/>
          <w:sz w:val="24"/>
          <w:szCs w:val="24"/>
        </w:rPr>
        <w:t xml:space="preserve">日期： </w:t>
      </w:r>
      <w:r/>
    </w:p>
    <w:p>
      <w:pPr>
        <w:ind w:left="0"/>
        <w:widowControl w:val="off"/>
        <w:rPr>
          <w:rFonts w:ascii="宋体" w:hAnsi="宋体" w:cs="宋体"/>
          <w:b/>
          <w:sz w:val="24"/>
          <w:szCs w:val="24"/>
        </w:rPr>
        <w:outlineLvl w:val="1"/>
      </w:pPr>
      <w:r>
        <w:rPr>
          <w:rFonts w:hint="eastAsia" w:ascii="宋体" w:hAnsi="宋体" w:cs="宋体"/>
          <w:sz w:val="21"/>
          <w:szCs w:val="21"/>
        </w:rPr>
        <w:br w:type="page" w:clear="all"/>
      </w:r>
      <w:bookmarkStart w:id="56" w:name="_Toc9516"/>
      <w:r>
        <w:rPr>
          <w:rFonts w:hint="eastAsia" w:ascii="宋体" w:hAnsi="宋体" w:cs="宋体"/>
          <w:b/>
          <w:sz w:val="24"/>
          <w:szCs w:val="24"/>
        </w:rPr>
        <w:t xml:space="preserve">附件15、响应单位与其他单位存在控股、管理关系情况表</w:t>
      </w:r>
      <w:bookmarkEnd w:id="56"/>
      <w:r/>
      <w:r/>
    </w:p>
    <w:p>
      <w:pPr>
        <w:pStyle w:val="1053"/>
        <w:ind w:firstLine="0"/>
        <w:jc w:val="left"/>
        <w:rPr>
          <w:rFonts w:ascii="宋体" w:hAnsi="宋体" w:cs="宋体"/>
          <w:sz w:val="24"/>
          <w:szCs w:val="24"/>
        </w:rPr>
      </w:pPr>
      <w:r>
        <w:rPr>
          <w:rFonts w:ascii="宋体" w:hAnsi="宋体" w:cs="宋体"/>
          <w:sz w:val="24"/>
          <w:szCs w:val="24"/>
        </w:rPr>
      </w:r>
      <w:r/>
    </w:p>
    <w:p>
      <w:pPr>
        <w:ind w:left="0"/>
        <w:jc w:val="center"/>
        <w:spacing w:line="300" w:lineRule="auto"/>
        <w:rPr>
          <w:rFonts w:ascii="宋体" w:hAnsi="宋体" w:cs="宋体"/>
          <w:b/>
          <w:bCs/>
          <w:sz w:val="24"/>
          <w:szCs w:val="24"/>
        </w:rPr>
      </w:pPr>
      <w:r>
        <w:rPr>
          <w:rFonts w:hint="eastAsia" w:ascii="宋体" w:hAnsi="宋体" w:cs="宋体"/>
          <w:b/>
          <w:bCs/>
          <w:sz w:val="24"/>
          <w:szCs w:val="24"/>
        </w:rPr>
        <w:t xml:space="preserve">响应单位与其他单位存在控股、管理关系情况表</w:t>
      </w:r>
      <w:r/>
    </w:p>
    <w:p>
      <w:pPr>
        <w:pStyle w:val="1053"/>
        <w:rPr>
          <w:rFonts w:ascii="宋体" w:hAnsi="宋体" w:cs="宋体"/>
        </w:rPr>
      </w:pPr>
      <w:r>
        <w:rPr>
          <w:rFonts w:ascii="宋体" w:hAnsi="宋体" w:cs="宋体"/>
        </w:rPr>
      </w:r>
      <w:r/>
    </w:p>
    <w:tbl>
      <w:tblPr>
        <w:tblStyle w:val="869"/>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rPr>
                <w:rFonts w:ascii="宋体" w:hAnsi="宋体" w:cs="宋体"/>
                <w:b/>
                <w:bCs/>
                <w:sz w:val="24"/>
                <w:szCs w:val="24"/>
              </w:rPr>
            </w:pPr>
            <w:r>
              <w:rPr>
                <w:rFonts w:hint="eastAsia" w:ascii="宋体" w:hAnsi="宋体" w:cs="宋体"/>
                <w:b/>
                <w:bCs/>
                <w:sz w:val="24"/>
                <w:szCs w:val="24"/>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rPr>
                <w:rFonts w:ascii="宋体" w:hAnsi="宋体" w:cs="宋体"/>
                <w:b/>
                <w:bCs/>
                <w:sz w:val="24"/>
                <w:szCs w:val="24"/>
              </w:rPr>
            </w:pPr>
            <w:r>
              <w:rPr>
                <w:rFonts w:hint="eastAsia" w:ascii="宋体" w:hAnsi="宋体" w:cs="宋体"/>
                <w:b/>
                <w:bCs/>
                <w:sz w:val="24"/>
                <w:szCs w:val="24"/>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ascii="宋体" w:hAnsi="宋体" w:cs="宋体"/>
                <w:b/>
                <w:bCs/>
                <w:sz w:val="24"/>
                <w:szCs w:val="24"/>
              </w:rPr>
            </w:pPr>
            <w:r>
              <w:rPr>
                <w:rFonts w:ascii="宋体" w:hAnsi="宋体" w:cs="宋体"/>
                <w:b/>
                <w:bCs/>
                <w:sz w:val="24"/>
                <w:szCs w:val="24"/>
              </w:rPr>
            </w:r>
            <w:r/>
          </w:p>
        </w:tc>
      </w:tr>
    </w:tbl>
    <w:p>
      <w:pPr>
        <w:ind w:left="0" w:firstLine="482"/>
        <w:jc w:val="left"/>
        <w:spacing w:line="300" w:lineRule="auto"/>
        <w:rPr>
          <w:rFonts w:ascii="宋体" w:hAnsi="宋体" w:cs="宋体"/>
          <w:b/>
          <w:bCs/>
          <w:sz w:val="24"/>
          <w:szCs w:val="24"/>
        </w:rPr>
      </w:pPr>
      <w:r>
        <w:rPr>
          <w:rFonts w:hint="eastAsia" w:ascii="宋体" w:hAnsi="宋体" w:cs="宋体"/>
          <w:b/>
          <w:bCs/>
          <w:sz w:val="24"/>
          <w:szCs w:val="24"/>
        </w:rPr>
        <w:t xml:space="preserve">注：响应单位应当按实填写所有与之有控股、管理关系的情况。</w:t>
      </w:r>
      <w:r/>
    </w:p>
    <w:p>
      <w:pPr>
        <w:jc w:val="left"/>
        <w:spacing w:line="300" w:lineRule="auto"/>
        <w:rPr>
          <w:rFonts w:ascii="宋体" w:hAnsi="宋体" w:cs="宋体"/>
          <w:b/>
          <w:bCs/>
          <w:sz w:val="24"/>
          <w:szCs w:val="24"/>
        </w:rPr>
      </w:pPr>
      <w:r>
        <w:rPr>
          <w:rFonts w:ascii="宋体" w:hAnsi="宋体" w:cs="宋体"/>
          <w:b/>
          <w:bCs/>
          <w:sz w:val="24"/>
          <w:szCs w:val="24"/>
        </w:rPr>
      </w:r>
      <w:r/>
    </w:p>
    <w:p>
      <w:pPr>
        <w:pStyle w:val="1084"/>
        <w:ind w:left="0"/>
        <w:widowControl w:val="off"/>
        <w:rPr>
          <w:rStyle w:val="1081"/>
          <w:rFonts w:ascii="宋体" w:hAnsi="宋体" w:cs="宋体"/>
          <w:szCs w:val="24"/>
        </w:rPr>
      </w:pPr>
      <w:r>
        <w:rPr>
          <w:rStyle w:val="1081"/>
          <w:rFonts w:hint="eastAsia" w:ascii="宋体" w:hAnsi="宋体" w:cs="宋体"/>
          <w:szCs w:val="24"/>
        </w:rPr>
        <w:t xml:space="preserve">供应商：（单位盖章）</w:t>
      </w:r>
      <w:r/>
    </w:p>
    <w:p>
      <w:pPr>
        <w:pStyle w:val="1084"/>
        <w:ind w:left="0"/>
        <w:widowControl w:val="off"/>
        <w:rPr>
          <w:rStyle w:val="1081"/>
          <w:rFonts w:ascii="宋体" w:hAnsi="宋体" w:cs="宋体"/>
          <w:szCs w:val="24"/>
        </w:rPr>
      </w:pPr>
      <w:r>
        <w:rPr>
          <w:rStyle w:val="1081"/>
          <w:rFonts w:hint="eastAsia" w:ascii="宋体" w:hAnsi="宋体" w:cs="宋体"/>
          <w:szCs w:val="24"/>
        </w:rPr>
        <w:t xml:space="preserve">法定代表人或代理人：（签字或盖章）</w:t>
      </w:r>
      <w:r/>
    </w:p>
    <w:p>
      <w:pPr>
        <w:pStyle w:val="1084"/>
        <w:ind w:left="0"/>
        <w:widowControl w:val="off"/>
        <w:rPr>
          <w:rStyle w:val="1081"/>
          <w:rFonts w:ascii="宋体" w:hAnsi="宋体" w:cs="宋体"/>
          <w:szCs w:val="24"/>
        </w:rPr>
      </w:pPr>
      <w:r>
        <w:rPr>
          <w:rStyle w:val="1081"/>
          <w:rFonts w:hint="eastAsia" w:ascii="宋体" w:hAnsi="宋体" w:cs="宋体"/>
          <w:szCs w:val="24"/>
        </w:rPr>
        <w:t xml:space="preserve">日期：   年   月   日</w:t>
      </w:r>
      <w:r/>
    </w:p>
    <w:p>
      <w:pPr>
        <w:pStyle w:val="1053"/>
        <w:ind w:firstLine="0"/>
        <w:rPr>
          <w:rFonts w:ascii="宋体" w:hAnsi="宋体" w:cs="宋体"/>
        </w:rPr>
      </w:pPr>
      <w:r>
        <w:rPr>
          <w:rFonts w:ascii="宋体" w:hAnsi="宋体" w:cs="宋体"/>
        </w:rPr>
      </w:r>
      <w:r/>
    </w:p>
    <w:p>
      <w:pPr>
        <w:ind w:left="0"/>
        <w:jc w:val="center"/>
        <w:spacing w:line="360" w:lineRule="auto"/>
        <w:rPr>
          <w:rFonts w:ascii="宋体" w:hAnsi="宋体" w:cs="宋体"/>
          <w:b/>
          <w:sz w:val="44"/>
          <w:szCs w:val="44"/>
        </w:rPr>
      </w:pPr>
      <w:r/>
      <w:bookmarkStart w:id="57" w:name="_Toc58248882"/>
      <w:r/>
      <w:bookmarkStart w:id="58" w:name="_Toc4098"/>
      <w:r/>
      <w:bookmarkStart w:id="59" w:name="_Toc57376408"/>
      <w:r/>
      <w:bookmarkStart w:id="60" w:name="_Toc23660"/>
      <w:r/>
      <w:bookmarkStart w:id="61" w:name="_Toc6898"/>
      <w:r>
        <w:rPr>
          <w:rFonts w:hint="eastAsia" w:ascii="宋体" w:hAnsi="宋体" w:cs="宋体"/>
          <w:b/>
          <w:sz w:val="44"/>
          <w:szCs w:val="44"/>
        </w:rPr>
        <w:br w:type="page" w:clear="all"/>
      </w:r>
      <w:r/>
    </w:p>
    <w:p>
      <w:pPr>
        <w:ind w:left="0"/>
        <w:jc w:val="center"/>
        <w:spacing w:line="360" w:lineRule="auto"/>
        <w:rPr>
          <w:rFonts w:ascii="宋体" w:hAnsi="宋体" w:cs="宋体"/>
          <w:b/>
          <w:sz w:val="44"/>
          <w:szCs w:val="44"/>
        </w:rPr>
      </w:pPr>
      <w:r>
        <w:rPr>
          <w:rFonts w:ascii="宋体" w:hAnsi="宋体" w:cs="宋体"/>
          <w:b/>
          <w:sz w:val="44"/>
          <w:szCs w:val="44"/>
        </w:rPr>
      </w:r>
      <w:r/>
    </w:p>
    <w:p>
      <w:pPr>
        <w:ind w:left="0"/>
        <w:jc w:val="center"/>
        <w:spacing w:line="360" w:lineRule="auto"/>
        <w:rPr>
          <w:rFonts w:ascii="宋体" w:hAnsi="宋体" w:cs="宋体"/>
          <w:b/>
          <w:sz w:val="44"/>
          <w:szCs w:val="44"/>
        </w:rPr>
      </w:pPr>
      <w:r>
        <w:rPr>
          <w:rFonts w:ascii="宋体" w:hAnsi="宋体" w:cs="宋体"/>
          <w:b/>
          <w:sz w:val="44"/>
          <w:szCs w:val="44"/>
        </w:rPr>
      </w:r>
      <w:r/>
    </w:p>
    <w:p>
      <w:pPr>
        <w:ind w:left="0"/>
        <w:jc w:val="center"/>
        <w:spacing w:line="360" w:lineRule="auto"/>
        <w:rPr>
          <w:rFonts w:ascii="宋体" w:hAnsi="宋体" w:cs="宋体"/>
          <w:b/>
          <w:sz w:val="44"/>
          <w:szCs w:val="44"/>
        </w:rPr>
      </w:pPr>
      <w:r>
        <w:rPr>
          <w:rFonts w:ascii="宋体" w:hAnsi="宋体" w:cs="宋体"/>
          <w:b/>
          <w:sz w:val="44"/>
          <w:szCs w:val="44"/>
        </w:rPr>
      </w:r>
      <w:r/>
    </w:p>
    <w:p>
      <w:pPr>
        <w:ind w:left="0"/>
        <w:jc w:val="center"/>
        <w:spacing w:line="360" w:lineRule="auto"/>
        <w:rPr>
          <w:rFonts w:ascii="宋体" w:hAnsi="宋体" w:cs="宋体"/>
          <w:b/>
          <w:sz w:val="44"/>
          <w:szCs w:val="44"/>
        </w:rPr>
      </w:pPr>
      <w:r>
        <w:rPr>
          <w:rFonts w:ascii="宋体" w:hAnsi="宋体" w:cs="宋体"/>
          <w:b/>
          <w:sz w:val="44"/>
          <w:szCs w:val="44"/>
        </w:rPr>
      </w:r>
      <w:r/>
    </w:p>
    <w:p>
      <w:pPr>
        <w:ind w:left="0"/>
        <w:jc w:val="center"/>
        <w:spacing w:line="360" w:lineRule="auto"/>
        <w:rPr>
          <w:rFonts w:ascii="宋体" w:hAnsi="宋体" w:cs="宋体"/>
          <w:b/>
          <w:sz w:val="44"/>
          <w:szCs w:val="44"/>
        </w:rPr>
      </w:pPr>
      <w:r>
        <w:rPr>
          <w:rFonts w:ascii="宋体" w:hAnsi="宋体" w:cs="宋体"/>
          <w:b/>
          <w:sz w:val="44"/>
          <w:szCs w:val="44"/>
        </w:rPr>
      </w:r>
      <w:bookmarkEnd w:id="57"/>
      <w:r/>
      <w:bookmarkEnd w:id="58"/>
      <w:r/>
      <w:bookmarkEnd w:id="59"/>
      <w:r/>
      <w:bookmarkEnd w:id="60"/>
      <w:r/>
      <w:r/>
    </w:p>
    <w:p>
      <w:pPr>
        <w:numPr>
          <w:ilvl w:val="0"/>
          <w:numId w:val="3"/>
        </w:numPr>
        <w:ind w:left="0"/>
        <w:jc w:val="center"/>
        <w:spacing w:line="360" w:lineRule="auto"/>
        <w:rPr>
          <w:rFonts w:ascii="宋体" w:hAnsi="宋体" w:cs="宋体"/>
          <w:b/>
          <w:sz w:val="44"/>
          <w:szCs w:val="44"/>
        </w:rPr>
        <w:outlineLvl w:val="0"/>
      </w:pPr>
      <w:r/>
      <w:bookmarkStart w:id="62" w:name="招标书"/>
      <w:r/>
      <w:bookmarkEnd w:id="62"/>
      <w:r/>
      <w:bookmarkStart w:id="63" w:name="_Toc19236"/>
      <w:r>
        <w:rPr>
          <w:rFonts w:hint="eastAsia" w:ascii="宋体" w:hAnsi="宋体" w:cs="宋体"/>
          <w:b/>
          <w:sz w:val="44"/>
          <w:szCs w:val="44"/>
        </w:rPr>
        <w:t xml:space="preserve"> </w:t>
      </w:r>
      <w:bookmarkStart w:id="64" w:name="_Toc23981"/>
      <w:r>
        <w:rPr>
          <w:rFonts w:hint="eastAsia" w:ascii="宋体" w:hAnsi="宋体" w:cs="宋体"/>
          <w:b/>
          <w:sz w:val="44"/>
          <w:szCs w:val="44"/>
        </w:rPr>
        <w:t xml:space="preserve">采购内容</w:t>
      </w:r>
      <w:bookmarkEnd w:id="61"/>
      <w:r/>
      <w:bookmarkEnd w:id="63"/>
      <w:r/>
      <w:bookmarkEnd w:id="64"/>
      <w:r/>
      <w:r/>
    </w:p>
    <w:p>
      <w:pPr>
        <w:pStyle w:val="1053"/>
        <w:ind w:firstLine="400"/>
        <w:rPr>
          <w:rFonts w:ascii="宋体" w:hAnsi="宋体" w:cs="宋体"/>
        </w:rPr>
      </w:pPr>
      <w:r>
        <w:rPr>
          <w:rFonts w:ascii="宋体" w:hAnsi="宋体" w:cs="宋体"/>
        </w:rPr>
      </w:r>
      <w:r/>
    </w:p>
    <w:p>
      <w:pPr>
        <w:ind w:left="0"/>
        <w:jc w:val="center"/>
        <w:spacing w:line="360" w:lineRule="auto"/>
        <w:rPr>
          <w:rFonts w:ascii="宋体" w:hAnsi="宋体" w:cs="宋体"/>
          <w:b/>
          <w:sz w:val="44"/>
          <w:szCs w:val="44"/>
        </w:rPr>
      </w:pPr>
      <w:r>
        <w:rPr>
          <w:rFonts w:hint="eastAsia" w:ascii="宋体" w:hAnsi="宋体" w:cs="宋体"/>
          <w:b/>
          <w:sz w:val="44"/>
          <w:szCs w:val="44"/>
        </w:rPr>
        <w:br w:type="page" w:clear="all"/>
      </w:r>
      <w:r>
        <w:rPr>
          <w:rStyle w:val="1081"/>
          <w:rFonts w:hint="eastAsia" w:ascii="宋体" w:hAnsi="宋体" w:cs="宋体"/>
          <w:b/>
          <w:sz w:val="28"/>
          <w:szCs w:val="28"/>
        </w:rPr>
        <w:t xml:space="preserve">采购内容</w:t>
      </w:r>
      <w:r/>
    </w:p>
    <w:p>
      <w:pPr>
        <w:ind w:left="0" w:firstLine="480"/>
        <w:spacing w:line="360" w:lineRule="auto"/>
        <w:rPr>
          <w:rFonts w:ascii="宋体" w:hAnsi="宋体" w:cs="宋体"/>
          <w:sz w:val="21"/>
          <w:szCs w:val="21"/>
        </w:rPr>
      </w:pPr>
      <w:r>
        <w:rPr>
          <w:rFonts w:hint="eastAsia" w:ascii="宋体" w:hAnsi="宋体" w:cs="宋体"/>
          <w:sz w:val="24"/>
          <w:szCs w:val="24"/>
        </w:rPr>
        <w:t xml:space="preserve">江苏仁禾中衡工程咨询房地产估价有限公司受</w:t>
      </w:r>
      <w:r>
        <w:rPr>
          <w:rFonts w:hint="eastAsia" w:ascii="宋体" w:hAnsi="宋体" w:cs="宋体"/>
          <w:sz w:val="24"/>
          <w:szCs w:val="24"/>
          <w:u w:val="single"/>
        </w:rPr>
        <w:t xml:space="preserve">苏州相城经济技术开发区管理委员会</w:t>
      </w:r>
      <w:r>
        <w:rPr>
          <w:rFonts w:hint="eastAsia" w:ascii="宋体" w:hAnsi="宋体" w:cs="宋体"/>
          <w:sz w:val="24"/>
          <w:szCs w:val="24"/>
        </w:rPr>
        <w:t xml:space="preserve">的委托，就其拟采购的</w:t>
      </w:r>
      <w:r>
        <w:rPr>
          <w:rFonts w:hint="eastAsia" w:ascii="宋体" w:hAnsi="宋体" w:cs="宋体"/>
          <w:sz w:val="24"/>
          <w:szCs w:val="24"/>
          <w:u w:val="single"/>
        </w:rPr>
        <w:t xml:space="preserve">经开区电力管线咨询服务</w:t>
      </w:r>
      <w:r>
        <w:rPr>
          <w:rFonts w:hint="eastAsia" w:ascii="宋体" w:hAnsi="宋体" w:cs="宋体"/>
          <w:sz w:val="24"/>
          <w:szCs w:val="24"/>
        </w:rPr>
        <w:t xml:space="preserve">采用竞争性磋商方式进行采购。欢迎符合资格条件的供应商前来报名参加磋商。</w:t>
      </w:r>
      <w:r/>
    </w:p>
    <w:p>
      <w:pPr>
        <w:ind w:left="0" w:firstLine="482"/>
        <w:spacing w:line="360" w:lineRule="auto"/>
        <w:widowControl w:val="off"/>
        <w:rPr>
          <w:rFonts w:ascii="宋体" w:hAnsi="宋体" w:cs="宋体"/>
          <w:b/>
          <w:bCs/>
          <w:sz w:val="24"/>
          <w:szCs w:val="24"/>
        </w:rPr>
        <w:outlineLvl w:val="1"/>
      </w:pPr>
      <w:r/>
      <w:bookmarkStart w:id="65" w:name="_Toc30080"/>
      <w:r/>
      <w:bookmarkStart w:id="66" w:name="_Toc14261"/>
      <w:r/>
      <w:bookmarkStart w:id="67" w:name="_Toc63066515"/>
      <w:r/>
      <w:bookmarkStart w:id="68" w:name="_Toc8564"/>
      <w:r/>
      <w:bookmarkStart w:id="69" w:name="_Toc58248884"/>
      <w:r/>
      <w:bookmarkStart w:id="70" w:name="_Toc27667"/>
      <w:r/>
      <w:bookmarkStart w:id="71" w:name="_Toc57376410"/>
      <w:r>
        <w:rPr>
          <w:rFonts w:hint="eastAsia" w:ascii="宋体" w:hAnsi="宋体" w:cs="宋体"/>
          <w:b/>
          <w:bCs/>
          <w:sz w:val="24"/>
          <w:szCs w:val="24"/>
        </w:rPr>
        <w:t xml:space="preserve">一、磋商编号：JSZC-320507-RHHH-C2024-0163号</w:t>
      </w:r>
      <w:bookmarkEnd w:id="65"/>
      <w:r/>
      <w:bookmarkEnd w:id="66"/>
      <w:r/>
      <w:r/>
    </w:p>
    <w:p>
      <w:pPr>
        <w:ind w:left="0" w:firstLine="482"/>
        <w:spacing w:line="360" w:lineRule="auto"/>
        <w:widowControl w:val="off"/>
        <w:rPr>
          <w:rFonts w:ascii="宋体" w:hAnsi="宋体" w:cs="宋体"/>
          <w:sz w:val="24"/>
          <w:szCs w:val="24"/>
        </w:rPr>
        <w:outlineLvl w:val="1"/>
      </w:pPr>
      <w:r/>
      <w:bookmarkStart w:id="72" w:name="_Toc8029"/>
      <w:r/>
      <w:bookmarkStart w:id="73" w:name="_Toc22665"/>
      <w:r>
        <w:rPr>
          <w:rFonts w:hint="eastAsia" w:ascii="宋体" w:hAnsi="宋体" w:cs="宋体"/>
          <w:b/>
          <w:bCs/>
          <w:sz w:val="24"/>
          <w:szCs w:val="24"/>
        </w:rPr>
        <w:t xml:space="preserve">二、项目名称：</w:t>
      </w:r>
      <w:bookmarkEnd w:id="72"/>
      <w:r/>
      <w:bookmarkEnd w:id="73"/>
      <w:r>
        <w:rPr>
          <w:rFonts w:hint="eastAsia" w:ascii="宋体" w:hAnsi="宋体" w:cs="宋体"/>
          <w:b/>
          <w:bCs/>
          <w:sz w:val="24"/>
          <w:szCs w:val="24"/>
        </w:rPr>
        <w:t xml:space="preserve">经开区电力管线咨询服务</w:t>
      </w:r>
      <w:r/>
    </w:p>
    <w:p>
      <w:pPr>
        <w:ind w:left="0" w:firstLine="482"/>
        <w:spacing w:line="360" w:lineRule="auto"/>
        <w:widowControl w:val="off"/>
        <w:rPr>
          <w:rFonts w:ascii="宋体" w:hAnsi="宋体" w:cs="宋体"/>
          <w:b/>
          <w:bCs/>
          <w:sz w:val="24"/>
          <w:szCs w:val="24"/>
        </w:rPr>
        <w:outlineLvl w:val="1"/>
      </w:pPr>
      <w:r/>
      <w:bookmarkStart w:id="74" w:name="_Toc31907"/>
      <w:r>
        <w:rPr>
          <w:rFonts w:hint="eastAsia" w:ascii="宋体" w:hAnsi="宋体" w:cs="宋体"/>
          <w:b/>
          <w:bCs/>
          <w:sz w:val="24"/>
          <w:szCs w:val="24"/>
        </w:rPr>
        <w:t xml:space="preserve">三、采购需求：</w:t>
      </w:r>
      <w:bookmarkEnd w:id="74"/>
      <w:r/>
      <w:r/>
    </w:p>
    <w:p>
      <w:pPr>
        <w:contextualSpacing/>
        <w:ind w:left="0" w:firstLine="482"/>
        <w:spacing w:line="360" w:lineRule="auto"/>
        <w:widowControl w:val="off"/>
        <w:rPr>
          <w:rFonts w:ascii="宋体" w:hAnsi="宋体" w:cs="宋体"/>
          <w:b/>
          <w:sz w:val="24"/>
          <w:szCs w:val="22"/>
        </w:rPr>
      </w:pPr>
      <w:r>
        <w:rPr>
          <w:rFonts w:hint="eastAsia" w:ascii="宋体" w:hAnsi="宋体" w:cs="宋体"/>
          <w:b/>
          <w:sz w:val="24"/>
          <w:szCs w:val="22"/>
        </w:rPr>
        <w:t xml:space="preserve">（一）项目概述：</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随着城市建设的快速发展和能源结构的优化调整，电力服务需求日益增长，对电力供应的安全性、稳定性和经济性提出了更高要求。为提升政府部门的电力服务水平，提高能源利用效率，降低项目成本，现决定开展电力咨询服务政府采购项目。本项目旨在通过引进专业的电力咨询服务单位，为政府部门提供全面、系统、高效的电力服务解决方案，包括不同电压等级的线路迁改项目的前期电力咨询和方案优化、供电流程代办等。</w:t>
      </w:r>
      <w:r/>
    </w:p>
    <w:p>
      <w:pPr>
        <w:contextualSpacing/>
        <w:ind w:left="0" w:firstLine="482"/>
        <w:spacing w:line="360" w:lineRule="auto"/>
        <w:widowControl w:val="off"/>
        <w:rPr>
          <w:rFonts w:ascii="宋体" w:hAnsi="宋体" w:cs="宋体"/>
          <w:b/>
          <w:bCs/>
          <w:sz w:val="24"/>
          <w:szCs w:val="22"/>
        </w:rPr>
      </w:pPr>
      <w:r>
        <w:rPr>
          <w:rFonts w:hint="eastAsia" w:ascii="宋体" w:hAnsi="宋体" w:cs="宋体"/>
          <w:b/>
          <w:sz w:val="24"/>
          <w:szCs w:val="22"/>
        </w:rPr>
        <w:t xml:space="preserve">（二）</w:t>
      </w:r>
      <w:r>
        <w:rPr>
          <w:rFonts w:hint="eastAsia" w:ascii="宋体" w:hAnsi="宋体" w:cs="宋体"/>
          <w:b/>
          <w:bCs/>
          <w:sz w:val="24"/>
          <w:szCs w:val="22"/>
        </w:rPr>
        <w:t xml:space="preserve">采购内容：</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1、项目前期规划阶段，提供合理、可行的迁改或入地建议方案，为整体规划方案提供有力支持。</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2、项目设计阶段，优化线路路径，制定较为经济合理的方案。</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3、根据优化方案作出相对精确的项目估算，为项目投资预算提供有力的支撑材料。</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4、根据项目现场实际情况，制定详实、可行的供电项目节点计划书，严格按照项目节点计划书推进项目进展。</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5、根据项目进度节点要求办理迁改及供配电项目的供电申请、审图、验收等流程。</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6、按照工程进度节点联系并跟进项目供电外部施工进度，协调各物资生产及施工单位。</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7、根据各项目实际情况，配备专业的设计、咨询和工程团队，提高项目的高效性。</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备注：</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1.迁改及供配电项目进度节点是按照采购单位资料齐全的前提下按期完成，若采购单位资料缺失而影响项目进度，项目进度节点则作相应顺延。</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2.服务提供方不负责办理供配电项目相关测绘、规划、开挖、电缆盘占位等手续，该手续由采购单位自行办理。</w:t>
      </w:r>
      <w:r/>
    </w:p>
    <w:p>
      <w:pPr>
        <w:contextualSpacing/>
        <w:ind w:left="0" w:firstLine="480"/>
        <w:spacing w:line="360" w:lineRule="auto"/>
        <w:widowControl w:val="off"/>
        <w:rPr>
          <w:rFonts w:ascii="宋体" w:hAnsi="宋体" w:cs="宋体"/>
          <w:bCs/>
          <w:sz w:val="24"/>
          <w:szCs w:val="22"/>
        </w:rPr>
      </w:pPr>
      <w:r>
        <w:rPr>
          <w:rFonts w:hint="eastAsia" w:ascii="宋体" w:hAnsi="宋体" w:cs="宋体"/>
          <w:bCs/>
          <w:sz w:val="24"/>
          <w:szCs w:val="22"/>
        </w:rPr>
        <w:t xml:space="preserve">3.服务清单：</w:t>
      </w:r>
      <w:r/>
    </w:p>
    <w:tbl>
      <w:tblPr>
        <w:tblStyle w:val="892"/>
        <w:tblW w:w="46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517"/>
        <w:gridCol w:w="3655"/>
        <w:gridCol w:w="1060"/>
        <w:gridCol w:w="862"/>
        <w:gridCol w:w="1086"/>
      </w:tblGrid>
      <w:tr>
        <w:trPr>
          <w:jc w:val="center"/>
          <w:trHeight w:val="641"/>
        </w:trPr>
        <w:tc>
          <w:tcPr>
            <w:shd w:val="clear" w:color="auto" w:fill="auto"/>
            <w:tcW w:w="632"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项目种类</w:t>
            </w:r>
            <w:r/>
          </w:p>
        </w:tc>
        <w:tc>
          <w:tcPr>
            <w:shd w:val="clear" w:color="auto" w:fill="auto"/>
            <w:tcW w:w="809"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项目类型</w:t>
            </w:r>
            <w:r/>
          </w:p>
        </w:tc>
        <w:tc>
          <w:tcPr>
            <w:shd w:val="clear" w:color="auto" w:fill="auto"/>
            <w:tcW w:w="1949" w:type="pct"/>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流程内容</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单价最高限价（元）</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拟工程量（个）</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单项最高限价（元）</w:t>
            </w:r>
            <w:r/>
          </w:p>
        </w:tc>
      </w:tr>
      <w:tr>
        <w:trPr>
          <w:jc w:val="center"/>
          <w:trHeight w:val="90"/>
        </w:trPr>
        <w:tc>
          <w:tcPr>
            <w:shd w:val="clear" w:color="auto" w:fill="auto"/>
            <w:tcW w:w="632"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一、优化阶段</w:t>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及以下</w:t>
            </w:r>
            <w:r/>
          </w:p>
        </w:tc>
        <w:tc>
          <w:tcPr>
            <w:shd w:val="clear" w:color="auto" w:fill="auto"/>
            <w:tcW w:w="194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1.线路现状踏勘现场。</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2.根据周边线路情况，线路走向等拟定初步方案。</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3.根据初步方案，商讨优化可行性并绘制图纸。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4.将优化后方案与业主管理部门进行沟通→修改→再确定。</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5.依据优化后方案，编制材料清单，做出初步的估算。</w:t>
            </w:r>
            <w:r/>
          </w:p>
          <w:p>
            <w:pPr>
              <w:ind w:left="0"/>
              <w:rPr>
                <w:b/>
                <w:bCs/>
              </w:rPr>
            </w:pPr>
            <w:r>
              <w:rPr>
                <w:rFonts w:hint="eastAsia" w:asciiTheme="minorEastAsia" w:hAnsiTheme="minorEastAsia" w:eastAsiaTheme="minorEastAsia" w:cstheme="minorEastAsia"/>
              </w:rPr>
              <w:t xml:space="preserve">6.估算金额给予主业单位项目负责人参考并讨论。</w:t>
            </w:r>
            <w:r/>
          </w:p>
        </w:tc>
        <w:tc>
          <w:tcPr>
            <w:shd w:val="clear" w:color="auto" w:fill="auto"/>
            <w:tcW w:w="566"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18000</w:t>
            </w:r>
            <w:r/>
          </w:p>
        </w:tc>
        <w:tc>
          <w:tcPr>
            <w:shd w:val="clear" w:color="auto" w:fill="auto"/>
            <w:tcW w:w="460"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W w:w="580"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126000</w:t>
            </w:r>
            <w:r/>
          </w:p>
        </w:tc>
      </w:tr>
      <w:tr>
        <w:trPr>
          <w:jc w:val="center"/>
          <w:trHeight w:val="3808"/>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35kV以上</w:t>
            </w:r>
            <w:r/>
          </w:p>
        </w:tc>
        <w:tc>
          <w:tcPr>
            <w:shd w:val="clear" w:color="auto" w:fill="auto"/>
            <w:tcW w:w="194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1.高压现状踏勘现场。</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2.根据周边线路情况，线路走向等拟定初步方案。</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3.根据初步方案，商讨优化可行性并绘制图纸。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4.将优化后方案与业主管理部门进行沟通→修改→再确定。</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5.依据优化后方案，编制材料清单，做出初步的估算。</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6.估算金额给予主业单位项目负责人参考并讨论。</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45000</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90000</w:t>
            </w:r>
            <w:r/>
          </w:p>
        </w:tc>
      </w:tr>
      <w:tr>
        <w:trPr>
          <w:jc w:val="center"/>
          <w:trHeight w:val="1102"/>
        </w:trPr>
        <w:tc>
          <w:tcPr>
            <w:shd w:val="clear" w:color="auto" w:fill="auto"/>
            <w:tcW w:w="632"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二、流程阶段</w:t>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以下</w:t>
            </w:r>
            <w:r/>
          </w:p>
        </w:tc>
        <w:tc>
          <w:tcPr>
            <w:shd w:val="clear" w:color="auto" w:fill="auto"/>
            <w:tcW w:w="1949" w:type="pct"/>
            <w:vAlign w:val="center"/>
            <w:vMerge w:val="restart"/>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1.收集甲方资料，代表业主提交供电申请。</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2.协调业主签订设计合同，全程跟踪设计单位，与设计单位沟通优化设计方案，控制成本；协调图纸审核。</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3.协调业主单位与供电单位签定施工合同并缴费。</w:t>
            </w:r>
            <w:r/>
          </w:p>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4.协调供电施工单位进行物资采购等施工准备（包含物资招标）</w:t>
            </w:r>
            <w:r/>
          </w:p>
          <w:p>
            <w:pPr>
              <w:ind w:left="0"/>
              <w:rPr>
                <w:b/>
                <w:bCs/>
              </w:rPr>
            </w:pPr>
            <w:r>
              <w:rPr>
                <w:rFonts w:hint="eastAsia" w:asciiTheme="minorEastAsia" w:hAnsiTheme="minorEastAsia" w:eastAsiaTheme="minorEastAsia" w:cstheme="minorEastAsia"/>
              </w:rPr>
              <w:t xml:space="preserve">5.施工过程中协调各施工单位，并办理相关停送电事宜，确保通电时间节点。</w:t>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25000</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175000</w:t>
            </w:r>
            <w:r/>
          </w:p>
        </w:tc>
      </w:tr>
      <w:tr>
        <w:trPr>
          <w:jc w:val="center"/>
          <w:trHeight w:val="1202"/>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35kV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60000</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240000</w:t>
            </w:r>
            <w:r/>
          </w:p>
        </w:tc>
      </w:tr>
      <w:tr>
        <w:trPr>
          <w:jc w:val="center"/>
          <w:trHeight w:val="1587"/>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asciiTheme="minorEastAsia" w:hAnsiTheme="minorEastAsia" w:eastAsiaTheme="minorEastAsia" w:cstheme="minorEastAsia"/>
              </w:rPr>
              <w:t xml:space="preserve">110kV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80000</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160000</w:t>
            </w:r>
            <w:r/>
          </w:p>
        </w:tc>
      </w:tr>
      <w:tr>
        <w:trPr>
          <w:jc w:val="center"/>
          <w:trHeight w:val="1054"/>
        </w:trPr>
        <w:tc>
          <w:tcPr>
            <w:shd w:val="clear" w:color="auto" w:fill="auto"/>
            <w:tcW w:w="632"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809"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220kV</w:t>
            </w:r>
            <w:r/>
          </w:p>
        </w:tc>
        <w:tc>
          <w:tcPr>
            <w:shd w:val="clear" w:color="auto" w:fill="auto"/>
            <w:tcW w:w="1949" w:type="pct"/>
            <w:vAlign w:val="center"/>
            <w:vMerge w:val="continue"/>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100000</w:t>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100000</w:t>
            </w:r>
            <w:r/>
          </w:p>
        </w:tc>
      </w:tr>
      <w:tr>
        <w:trPr>
          <w:jc w:val="center"/>
          <w:trHeight w:val="404"/>
        </w:trPr>
        <w:tc>
          <w:tcPr>
            <w:shd w:val="clear" w:color="auto" w:fill="auto"/>
            <w:tcW w:w="632" w:type="pct"/>
            <w:vAlign w:val="center"/>
            <w:textDirection w:val="lrTb"/>
            <w:noWrap w:val="false"/>
          </w:tcPr>
          <w:p>
            <w:pPr>
              <w:ind w:left="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合计</w:t>
            </w:r>
            <w:r/>
          </w:p>
        </w:tc>
        <w:tc>
          <w:tcPr>
            <w:shd w:val="clear" w:color="auto" w:fill="auto"/>
            <w:tcW w:w="809" w:type="pct"/>
            <w:vAlign w:val="center"/>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1949" w:type="pct"/>
            <w:vAlign w:val="center"/>
            <w:textDirection w:val="lrTb"/>
            <w:noWrap w:val="false"/>
          </w:tcPr>
          <w:p>
            <w:pP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566" w:type="pct"/>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r>
            <w:r/>
          </w:p>
        </w:tc>
        <w:tc>
          <w:tcPr>
            <w:shd w:val="clear" w:color="auto" w:fill="auto"/>
            <w:tcW w:w="46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23</w:t>
            </w:r>
            <w:r/>
          </w:p>
        </w:tc>
        <w:tc>
          <w:tcPr>
            <w:shd w:val="clear" w:color="auto" w:fill="auto"/>
            <w:tcW w:w="580" w:type="pct"/>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891000</w:t>
            </w:r>
            <w:r/>
          </w:p>
        </w:tc>
      </w:tr>
    </w:tbl>
    <w:p>
      <w:pPr>
        <w:contextualSpacing/>
        <w:ind w:left="0" w:firstLine="482"/>
        <w:spacing w:line="360" w:lineRule="auto"/>
        <w:widowControl w:val="off"/>
        <w:rPr>
          <w:rFonts w:ascii="宋体" w:hAnsi="宋体" w:cs="宋体"/>
          <w:b/>
          <w:sz w:val="24"/>
          <w:szCs w:val="22"/>
        </w:rPr>
      </w:pPr>
      <w:r>
        <w:rPr>
          <w:rFonts w:hint="eastAsia" w:ascii="宋体" w:hAnsi="宋体" w:cs="宋体"/>
          <w:b/>
          <w:sz w:val="24"/>
          <w:szCs w:val="22"/>
        </w:rPr>
        <w:t xml:space="preserve">备注：任一类型的项目报价均不得超过对应的单价最高限价，否则按无效响应处理。</w:t>
      </w:r>
      <w:r/>
    </w:p>
    <w:p>
      <w:pPr>
        <w:contextualSpacing/>
        <w:ind w:left="400"/>
        <w:spacing w:line="360" w:lineRule="auto"/>
        <w:widowControl w:val="off"/>
        <w:rPr>
          <w:rFonts w:ascii="宋体" w:hAnsi="宋体" w:cs="宋体"/>
          <w:bCs/>
          <w:sz w:val="24"/>
          <w:szCs w:val="22"/>
        </w:rPr>
      </w:pPr>
      <w:r>
        <w:rPr>
          <w:rFonts w:hint="eastAsia" w:ascii="宋体" w:hAnsi="宋体" w:cs="宋体"/>
          <w:bCs/>
          <w:sz w:val="24"/>
          <w:szCs w:val="22"/>
        </w:rPr>
        <w:t xml:space="preserve">4.项目服务内容及时间进度节点（实际天数不得超过所需时间)：</w:t>
      </w:r>
      <w:r/>
    </w:p>
    <w:tbl>
      <w:tblPr>
        <w:tblStyle w:val="892"/>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5165"/>
        <w:gridCol w:w="1457"/>
        <w:gridCol w:w="2603"/>
      </w:tblGrid>
      <w:tr>
        <w:trPr>
          <w:jc w:val="center"/>
        </w:trPr>
        <w:tc>
          <w:tcPr>
            <w:gridSpan w:val="4"/>
            <w:tcW w:w="9975"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及以上项目</w:t>
            </w:r>
            <w:r/>
          </w:p>
        </w:tc>
      </w:tr>
      <w:tr>
        <w:trPr>
          <w:jc w:val="center"/>
          <w:trHeight w:val="792"/>
        </w:trPr>
        <w:tc>
          <w:tcPr>
            <w:tcW w:w="750"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步骤</w:t>
            </w:r>
            <w:r/>
          </w:p>
        </w:tc>
        <w:tc>
          <w:tcPr>
            <w:tcW w:w="5165"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流程内容</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所需时间</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1</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高压现状踏勘现场</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2</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根据周边线路情况，线路走向等拟定初步方案</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根据初步方案，商讨优化可行性并绘制图纸</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4</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将优化后方案与业主管理部门进行沟通→修改→再确定</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7天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341"/>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5</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依据优化后方案，编制材料清单，做出初步的估算</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6</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估算金额给予采购单位项目负责人参考并讨论</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90"/>
        </w:trPr>
        <w:tc>
          <w:tcPr>
            <w:gridSpan w:val="2"/>
            <w:tcW w:w="5915"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项目优化阶段总天数</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17天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gridSpan w:val="4"/>
            <w:tcW w:w="9975" w:type="dxa"/>
            <w:vAlign w:val="center"/>
            <w:textDirection w:val="lrTb"/>
            <w:noWrap w:val="false"/>
          </w:tcPr>
          <w:p>
            <w:pPr>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项目正式阶段流程</w:t>
            </w:r>
            <w:r/>
          </w:p>
        </w:tc>
      </w:tr>
      <w:tr>
        <w:trPr>
          <w:jc w:val="center"/>
          <w:trHeight w:val="977"/>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1</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收集甲方资料，代表业主提交供电申请</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lang w:bidi="ar"/>
              </w:rPr>
              <w:t xml:space="preserve">具体根据甲方的盖章时间</w:t>
            </w:r>
            <w:r/>
          </w:p>
        </w:tc>
      </w:tr>
      <w:tr>
        <w:trPr>
          <w:jc w:val="center"/>
          <w:trHeight w:val="1394"/>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2</w:t>
            </w:r>
            <w:r/>
          </w:p>
        </w:tc>
        <w:tc>
          <w:tcPr>
            <w:tcW w:w="5165" w:type="dxa"/>
            <w:vAlign w:val="center"/>
            <w:textDirection w:val="lrTb"/>
            <w:noWrap w:val="false"/>
          </w:tcPr>
          <w:p>
            <w:pPr>
              <w:ind w:left="0"/>
              <w:jc w:val="center"/>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协调业主签订设计合同，全程跟踪设计单位，与设计单位沟通优化设计方案,控制成本;协调图纸审核</w:t>
            </w:r>
            <w:r/>
          </w:p>
        </w:tc>
        <w:tc>
          <w:tcPr>
            <w:tcW w:w="1457" w:type="dxa"/>
            <w:vAlign w:val="center"/>
            <w:textDirection w:val="lrTb"/>
            <w:noWrap w:val="false"/>
          </w:tcPr>
          <w:p>
            <w:pPr>
              <w:ind w:left="0"/>
              <w:jc w:val="center"/>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30-60天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具体根据甲方的盖章和付款时间</w:t>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w:t>
            </w:r>
            <w:r/>
          </w:p>
        </w:tc>
        <w:tc>
          <w:tcPr>
            <w:tcW w:w="5165" w:type="dxa"/>
            <w:vAlign w:val="center"/>
            <w:textDirection w:val="lrTb"/>
            <w:noWrap w:val="false"/>
          </w:tcPr>
          <w:p>
            <w:pPr>
              <w:ind w:left="0"/>
              <w:jc w:val="center"/>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协调业主单位与供电单位签定施工合同并缴费</w:t>
            </w:r>
            <w:r/>
          </w:p>
        </w:tc>
        <w:tc>
          <w:tcPr>
            <w:tcW w:w="1457" w:type="dxa"/>
            <w:vAlign w:val="center"/>
            <w:textDirection w:val="lrTb"/>
            <w:noWrap w:val="false"/>
          </w:tcPr>
          <w:p>
            <w:pPr>
              <w:ind w:left="0"/>
              <w:jc w:val="center"/>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7天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具体根据甲方实际用印时间及付款时间</w:t>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4</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协调供电施工单位进行物资采购等施工准备(包含物资招标)</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5</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施工过程中协调各施工单位，并办理相关停送电事宜，确保通电时间节点</w:t>
            </w:r>
            <w:r/>
          </w:p>
        </w:tc>
        <w:tc>
          <w:tcPr>
            <w:tcW w:w="1457" w:type="dxa"/>
            <w:vAlign w:val="center"/>
            <w:textDirection w:val="lrTb"/>
            <w:noWrap w:val="false"/>
          </w:tcPr>
          <w:p>
            <w:pPr>
              <w:ind w:left="0"/>
              <w:jc w:val="center"/>
              <w:widowControl w:val="off"/>
              <w:rPr>
                <w:rFonts w:asciiTheme="minorEastAsia" w:hAnsiTheme="minorEastAsia" w:eastAsiaTheme="minorEastAsia" w:cstheme="minorEastAsia"/>
              </w:rPr>
            </w:pPr>
            <w:r>
              <w:rPr>
                <w:rFonts w:hint="eastAsia" w:asciiTheme="minorEastAsia" w:hAnsiTheme="minorEastAsia" w:eastAsiaTheme="minorEastAsia" w:cstheme="minorEastAsia"/>
              </w:rPr>
              <w:t xml:space="preserve">60天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672"/>
        </w:trPr>
        <w:tc>
          <w:tcPr>
            <w:gridSpan w:val="2"/>
            <w:tcW w:w="591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项目正式阶段</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流程</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总天数</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130-160天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497"/>
        </w:trPr>
        <w:tc>
          <w:tcPr>
            <w:gridSpan w:val="4"/>
            <w:tcW w:w="9975"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35kV</w:t>
            </w:r>
            <w:r>
              <w:rPr>
                <w:rFonts w:hint="eastAsia" w:asciiTheme="minorEastAsia" w:hAnsiTheme="minorEastAsia" w:eastAsiaTheme="minorEastAsia" w:cstheme="minorEastAsia"/>
              </w:rPr>
              <w:t xml:space="preserve">以下项目</w:t>
            </w:r>
            <w:r/>
          </w:p>
        </w:tc>
      </w:tr>
      <w:tr>
        <w:trPr>
          <w:jc w:val="center"/>
          <w:trHeight w:val="230"/>
        </w:trPr>
        <w:tc>
          <w:tcPr>
            <w:tcW w:w="750"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步骤</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流程内容</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所需时间</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备注</w:t>
            </w:r>
            <w:r/>
          </w:p>
        </w:tc>
      </w:tr>
      <w:tr>
        <w:trPr>
          <w:jc w:val="center"/>
          <w:trHeight w:val="522"/>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1</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高压现状踏勘现场</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1</w:t>
            </w:r>
            <w:r>
              <w:rPr>
                <w:rFonts w:hint="eastAsia" w:asciiTheme="minorEastAsia" w:hAnsiTheme="minorEastAsia" w:eastAsiaTheme="minorEastAsia" w:cstheme="minorEastAsia"/>
              </w:rPr>
              <w:t xml:space="preserve">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根据周边线路情况，线路走向等拟定初步方案</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527"/>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根据初步方案，商讨优化可行性并绘制图纸</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4</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将优化后方案与业主管理部门进行沟通→修改→再确定</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3天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5</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依据优化后方案，编制材料清单，做出初步的估算</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6</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估算金额给予采购单位项目负责人参考并讨论</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499"/>
        </w:trPr>
        <w:tc>
          <w:tcPr>
            <w:gridSpan w:val="2"/>
            <w:tcW w:w="591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项目优化阶段总天数</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w:t>
            </w:r>
            <w:r>
              <w:rPr>
                <w:rFonts w:asciiTheme="minorEastAsia" w:hAnsiTheme="minorEastAsia" w:eastAsiaTheme="minorEastAsia" w:cstheme="minorEastAsia"/>
              </w:rPr>
              <w:t xml:space="preserve">0</w:t>
            </w:r>
            <w:r>
              <w:rPr>
                <w:rFonts w:hint="eastAsia" w:asciiTheme="minorEastAsia" w:hAnsiTheme="minorEastAsia" w:eastAsiaTheme="minorEastAsia" w:cstheme="minorEastAsia"/>
              </w:rPr>
              <w:t xml:space="preserve">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527"/>
        </w:trPr>
        <w:tc>
          <w:tcPr>
            <w:gridSpan w:val="4"/>
            <w:tcW w:w="997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项目正式阶段流程</w:t>
            </w:r>
            <w:r/>
          </w:p>
        </w:tc>
      </w:tr>
      <w:tr>
        <w:trPr>
          <w:jc w:val="center"/>
          <w:trHeight w:val="820"/>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1</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收集甲方资料，代表业主提交供电申请</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具体根据甲方的盖章时间</w:t>
            </w:r>
            <w:r/>
          </w:p>
        </w:tc>
      </w:tr>
      <w:tr>
        <w:trPr>
          <w:jc w:val="center"/>
          <w:trHeight w:val="1007"/>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2</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协调业主签订设计合同，全程跟踪设计单位，与设计单位沟通优化设计方案</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控制成本</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协调图纸审核</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21天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具体根据甲方的盖章和付款时间</w:t>
            </w:r>
            <w:r/>
          </w:p>
        </w:tc>
      </w:tr>
      <w:tr>
        <w:trPr>
          <w:jc w:val="center"/>
          <w:trHeight w:val="90"/>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3</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协调业主单位与供电单位签定施工合同并缴费</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7</w:t>
            </w:r>
            <w:r>
              <w:rPr>
                <w:rFonts w:hint="eastAsia" w:asciiTheme="minorEastAsia" w:hAnsiTheme="minorEastAsia" w:eastAsiaTheme="minorEastAsia" w:cstheme="minorEastAsia"/>
              </w:rPr>
              <w:t xml:space="preserve">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具体根据甲方实际用印时间及付款时间</w:t>
            </w:r>
            <w:r/>
          </w:p>
        </w:tc>
      </w:tr>
      <w:tr>
        <w:trPr>
          <w:jc w:val="center"/>
          <w:trHeight w:val="646"/>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4</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协调供电施工单位进行物资采购等施工准备</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包含物资招标</w:t>
            </w:r>
            <w:r>
              <w:rPr>
                <w:rFonts w:asciiTheme="minorEastAsia" w:hAnsiTheme="minorEastAsia" w:eastAsiaTheme="minorEastAsia" w:cstheme="minorEastAsia"/>
              </w:rPr>
              <w:t xml:space="preserve">)</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15天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r>
        <w:trPr>
          <w:jc w:val="center"/>
          <w:trHeight w:val="97"/>
        </w:trPr>
        <w:tc>
          <w:tcPr>
            <w:tcW w:w="750" w:type="dxa"/>
            <w:vAlign w:val="center"/>
            <w:textDirection w:val="lrTb"/>
            <w:noWrap w:val="false"/>
          </w:tcPr>
          <w:p>
            <w:pPr>
              <w:ind w:left="0"/>
              <w:jc w:val="center"/>
              <w:rPr>
                <w:rFonts w:asciiTheme="minorEastAsia" w:hAnsiTheme="minorEastAsia" w:eastAsiaTheme="minorEastAsia" w:cstheme="minorEastAsia"/>
              </w:rPr>
            </w:pPr>
            <w:r>
              <w:rPr>
                <w:rFonts w:asciiTheme="minorEastAsia" w:hAnsiTheme="minorEastAsia" w:eastAsiaTheme="minorEastAsia" w:cstheme="minorEastAsia"/>
              </w:rPr>
              <w:t xml:space="preserve">5</w:t>
            </w:r>
            <w:r/>
          </w:p>
        </w:tc>
        <w:tc>
          <w:tcPr>
            <w:tcW w:w="516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施工过程中协调各施工单位，并办理相关停送电事宜，确保通电时间节点</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40天</w:t>
            </w:r>
            <w:r/>
          </w:p>
        </w:tc>
        <w:tc>
          <w:tcPr>
            <w:tcW w:w="2603"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停电时间需要提前一个月报计划</w:t>
            </w:r>
            <w:r/>
          </w:p>
        </w:tc>
      </w:tr>
      <w:tr>
        <w:trPr>
          <w:jc w:val="center"/>
          <w:trHeight w:val="500"/>
        </w:trPr>
        <w:tc>
          <w:tcPr>
            <w:gridSpan w:val="2"/>
            <w:tcW w:w="5915"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项目正式阶段</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流程</w:t>
            </w:r>
            <w:r>
              <w:rPr>
                <w:rFonts w:asciiTheme="minorEastAsia" w:hAnsiTheme="minorEastAsia" w:eastAsiaTheme="minorEastAsia" w:cstheme="minorEastAsia"/>
              </w:rPr>
              <w:t xml:space="preserve">)</w:t>
            </w:r>
            <w:r>
              <w:rPr>
                <w:rFonts w:hint="eastAsia" w:asciiTheme="minorEastAsia" w:hAnsiTheme="minorEastAsia" w:eastAsiaTheme="minorEastAsia" w:cstheme="minorEastAsia"/>
              </w:rPr>
              <w:t xml:space="preserve">总天数</w:t>
            </w:r>
            <w:r/>
          </w:p>
        </w:tc>
        <w:tc>
          <w:tcPr>
            <w:tcW w:w="1457" w:type="dxa"/>
            <w:vAlign w:val="center"/>
            <w:textDirection w:val="lrTb"/>
            <w:noWrap w:val="false"/>
          </w:tcPr>
          <w:p>
            <w:pPr>
              <w:ind w:left="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85天</w:t>
            </w:r>
            <w:r/>
          </w:p>
        </w:tc>
        <w:tc>
          <w:tcPr>
            <w:tcW w:w="2603" w:type="dxa"/>
            <w:vAlign w:val="center"/>
            <w:textDirection w:val="lrTb"/>
            <w:noWrap w:val="false"/>
          </w:tcPr>
          <w:p>
            <w:pPr>
              <w:jc w:val="center"/>
              <w:rPr>
                <w:rFonts w:asciiTheme="minorEastAsia" w:hAnsiTheme="minorEastAsia" w:eastAsiaTheme="minorEastAsia" w:cstheme="minorEastAsia"/>
              </w:rPr>
            </w:pPr>
            <w:r>
              <w:rPr>
                <w:rFonts w:asciiTheme="minorEastAsia" w:hAnsiTheme="minorEastAsia" w:eastAsiaTheme="minorEastAsia" w:cstheme="minorEastAsia"/>
              </w:rPr>
            </w:r>
            <w:r/>
          </w:p>
        </w:tc>
      </w:tr>
    </w:tbl>
    <w:p>
      <w:pPr>
        <w:contextualSpacing/>
        <w:ind w:left="0" w:firstLine="480"/>
        <w:spacing w:line="360" w:lineRule="auto"/>
        <w:widowControl w:val="off"/>
        <w:rPr>
          <w:rFonts w:ascii="宋体" w:hAnsi="宋体" w:cs="宋体"/>
          <w:bCs/>
          <w:sz w:val="24"/>
          <w:szCs w:val="22"/>
        </w:rPr>
      </w:pPr>
      <w:r>
        <w:rPr>
          <w:rFonts w:ascii="宋体" w:hAnsi="宋体" w:cs="宋体"/>
          <w:bCs/>
          <w:sz w:val="24"/>
          <w:szCs w:val="22"/>
        </w:rPr>
      </w:r>
      <w:r/>
    </w:p>
    <w:p>
      <w:pPr>
        <w:ind w:left="400"/>
        <w:spacing w:line="360" w:lineRule="auto"/>
        <w:widowControl w:val="off"/>
        <w:rPr>
          <w:rFonts w:ascii="宋体" w:hAnsi="宋体" w:cs="宋体"/>
          <w:b/>
          <w:bCs/>
          <w:sz w:val="24"/>
          <w:szCs w:val="24"/>
        </w:rPr>
      </w:pPr>
      <w:r>
        <w:rPr>
          <w:rFonts w:hint="eastAsia" w:ascii="宋体" w:hAnsi="宋体" w:cs="宋体"/>
          <w:b/>
          <w:bCs/>
          <w:sz w:val="24"/>
          <w:szCs w:val="24"/>
        </w:rPr>
        <w:t xml:space="preserve">四、综合说明：</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1、磋商供应商需在响应文件中明确服务内容和服务方案。</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2、磋商供应商必须承诺文件中提出的全部要求，如果其中某些条款不响应时，应在文件中逐条列出，未列出的视同响应。</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3、磋商供应商应对所投项目的全部内容进行报价，只投其中部分内容者或出现选择性报价的，其响应文件将被拒绝。</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4、其他要求：</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4.1供应商在项目进行过程中产生的任何安全、损坏等责任事故一律由供应商自行承担。如遇突发情况，供应商需协助采购人完成需要配合的服务。</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4.2供应商需严格按采购文件中规定的时间完成项目全部工作内容，如在实施的过程中出现错误、误差的，供应商需及时更正至采购人确认并经主管部门验收合格。</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4.3本项目不允许转包、分包，发现查实者一律取消合同。</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4.4供应商应对服务危险性、潜在危险认真考虑周全，对所有项目安全负责，并承担由此可能产生的一切费用，采购人不承担任何责任；如需采购人配合的工作，供应商需及时通知采购方。</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5、本项目报价包括完成本项目所需的全部服务内容、师资、交通、食宿、教材及辅材、管理、协调、人工、保险、利润、税金、政策性文件规定及本项目包含的所有风险、责任、代理服务费等各项应有费用</w:t>
      </w:r>
      <w:r>
        <w:rPr>
          <w:rFonts w:hint="eastAsia" w:ascii="宋体" w:hAnsi="宋体" w:cs="宋体"/>
          <w:bCs/>
          <w:sz w:val="24"/>
          <w:szCs w:val="24"/>
        </w:rPr>
        <w:t xml:space="preserve">。</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6、知识产权：成交单位须保障采购人在使用该服务或其任何一部分时不受到第三方关于侵犯专利权、商标权的指控。如果任何第三方提出侵权指控，成交单位须与第三方交涉，并承担由此而产生的索赔、损失、损害、支出等一切费用（含律师费）。如采购人因此而遭致损失的，成交单位应赔偿该损失。</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7、服务时间：合同签订后2年或完成合同内项目委托完毕。</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8、服务地点：采购人指定地点。</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9、验收：</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（1）验收时间：采购方根据实际情况在合理时间内进行验收。</w:t>
      </w:r>
      <w:r/>
    </w:p>
    <w:p>
      <w:pPr>
        <w:pStyle w:val="1051"/>
        <w:ind w:left="0" w:firstLine="480"/>
        <w:spacing w:line="360" w:lineRule="auto"/>
        <w:widowControl w:val="off"/>
        <w:rPr>
          <w:rFonts w:ascii="宋体" w:hAnsi="宋体" w:cs="宋体"/>
          <w:sz w:val="24"/>
          <w:szCs w:val="24"/>
        </w:rPr>
      </w:pPr>
      <w:r>
        <w:rPr>
          <w:rFonts w:hint="eastAsia" w:ascii="宋体" w:hAnsi="宋体" w:cs="宋体"/>
          <w:sz w:val="24"/>
          <w:szCs w:val="24"/>
        </w:rPr>
        <w:t xml:space="preserve">（2）验收标准：项目完工后，需方按国家标准、采购文件及工程量清单进行验收。</w:t>
      </w:r>
      <w:r/>
    </w:p>
    <w:p>
      <w:pPr>
        <w:ind w:left="0" w:firstLine="480"/>
        <w:spacing w:line="360" w:lineRule="auto"/>
        <w:widowControl w:val="off"/>
        <w:rPr>
          <w:rStyle w:val="1081"/>
          <w:rFonts w:ascii="宋体" w:hAnsi="宋体" w:cs="宋体"/>
          <w:sz w:val="24"/>
          <w:szCs w:val="24"/>
        </w:rPr>
      </w:pPr>
      <w:r>
        <w:rPr>
          <w:rFonts w:hint="eastAsia" w:ascii="宋体" w:hAnsi="宋体" w:cs="宋体"/>
          <w:sz w:val="24"/>
          <w:szCs w:val="24"/>
        </w:rPr>
        <w:t xml:space="preserve">10、</w:t>
      </w:r>
      <w:r>
        <w:rPr>
          <w:rStyle w:val="1081"/>
          <w:rFonts w:hint="eastAsia" w:ascii="宋体" w:hAnsi="宋体" w:cs="宋体"/>
          <w:sz w:val="24"/>
          <w:szCs w:val="24"/>
        </w:rPr>
        <w:t xml:space="preserve">对实施后无法进行复核的施工内容，成交单位必须留下可证明相应工程量的影像资料，结算时如无影像资料或提供资料无法反映相应的工作量，结算审核时有权按照有利于发包方的原则进行处理。</w:t>
      </w:r>
      <w:r/>
    </w:p>
    <w:p>
      <w:pPr>
        <w:ind w:left="0" w:firstLine="480"/>
        <w:spacing w:line="360" w:lineRule="auto"/>
        <w:widowControl w:val="off"/>
        <w:rPr>
          <w:rFonts w:asciiTheme="minorEastAsia" w:hAnsiTheme="minorEastAsia" w:eastAsiaTheme="minorEastAsia" w:cstheme="minorEastAsia"/>
          <w:sz w:val="24"/>
          <w:szCs w:val="24"/>
        </w:rPr>
      </w:pPr>
      <w:r>
        <w:rPr>
          <w:rStyle w:val="1081"/>
          <w:rFonts w:hint="eastAsia" w:ascii="宋体" w:hAnsi="宋体" w:cs="宋体"/>
          <w:sz w:val="24"/>
          <w:szCs w:val="24"/>
        </w:rPr>
        <w:t xml:space="preserve">11、</w:t>
      </w:r>
      <w:r>
        <w:rPr>
          <w:rFonts w:hint="eastAsia" w:asciiTheme="minorEastAsia" w:hAnsiTheme="minorEastAsia" w:eastAsiaTheme="minorEastAsia" w:cstheme="minorEastAsia"/>
          <w:sz w:val="24"/>
          <w:szCs w:val="24"/>
        </w:rPr>
        <w:t xml:space="preserve">凡涉及采购文件的补充说明和修改，均以苏州政府采购网上最后发布的公告为准。</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12、服务费</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（1）成交单位须按前附表的规定计算并支付服务费，该费用应在领取成交通知书时付清。</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（2）成交单位如果未按规定缴纳服务费，磋商采购单位将保留诉讼的权利。</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cstheme="minorEastAsia"/>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w:t>
      </w:r>
      <w:r>
        <w:rPr>
          <w:rFonts w:hint="eastAsia" w:asciiTheme="minorEastAsia" w:hAnsiTheme="minorEastAsia" w:eastAsiaTheme="minorEastAsia" w:cstheme="minorEastAsia"/>
          <w:sz w:val="24"/>
          <w:szCs w:val="24"/>
        </w:rPr>
        <w:t xml:space="preserve">漏等而导致的后果，由供应商自行承担。）</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13、付款方式：银行转账等。</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sz w:val="24"/>
          <w:szCs w:val="24"/>
        </w:rPr>
        <w:t xml:space="preserve">14、付款步骤：详见合同</w:t>
      </w:r>
      <w:r/>
    </w:p>
    <w:p>
      <w:pPr>
        <w:ind w:left="0" w:firstLine="480"/>
        <w:spacing w:line="360" w:lineRule="auto"/>
        <w:widowControl w:val="off"/>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五、项目的终止</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出现下列情形之一的，将终止竞争性磋商采购活动：</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1、因情况变化，不再符合规定的竞争性磋商采购方式适用情形的；</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2、出现影响采购公正的违法、违规行为的；</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3、在采购过程中符合要求的供应商或者报价未超过采购预算的供应商不足3家的；</w:t>
      </w:r>
      <w:r/>
    </w:p>
    <w:p>
      <w:pPr>
        <w:ind w:left="0" w:firstLine="480"/>
        <w:spacing w:line="360" w:lineRule="auto"/>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4、在采购活动中因重大变故，采购任务取消的。</w:t>
      </w:r>
      <w:r/>
    </w:p>
    <w:p>
      <w:pPr>
        <w:ind w:left="0" w:firstLine="480"/>
        <w:spacing w:line="360" w:lineRule="auto"/>
        <w:widowControl w:val="off"/>
        <w:rPr>
          <w:rFonts w:asciiTheme="minorEastAsia" w:hAnsiTheme="minorEastAsia" w:cstheme="minorEastAsia"/>
          <w:sz w:val="24"/>
          <w:szCs w:val="24"/>
        </w:rPr>
      </w:pPr>
      <w:r>
        <w:rPr>
          <w:rFonts w:hint="eastAsia" w:asciiTheme="minorEastAsia" w:hAnsiTheme="minorEastAsia" w:cstheme="minorEastAsia"/>
          <w:b/>
          <w:bCs/>
          <w:sz w:val="24"/>
          <w:szCs w:val="24"/>
        </w:rPr>
        <w:t xml:space="preserve">六</w:t>
      </w:r>
      <w:r>
        <w:rPr>
          <w:rFonts w:asciiTheme="minorEastAsia" w:hAnsiTheme="minorEastAsia" w:cstheme="minorEastAsia"/>
          <w:b/>
          <w:bCs/>
          <w:sz w:val="24"/>
          <w:szCs w:val="24"/>
        </w:rPr>
        <w:t xml:space="preserve">、政府采购节能产品、环境标志产品实施品目清单管理</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根据政府采购等相关法律法规的规定，现对相关政府采购政策的具体实施规定如下：</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（一）政府采购节能产品、环境标志产品</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根据《关于贯彻执行绿色采购、促进残疾人就业和支持监狱企业发</w:t>
      </w:r>
      <w:r>
        <w:rPr>
          <w:rFonts w:asciiTheme="minorEastAsia" w:hAnsiTheme="minorEastAsia" w:cstheme="minorEastAsia"/>
          <w:sz w:val="24"/>
          <w:szCs w:val="24"/>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left="0" w:firstLine="48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七</w:t>
      </w:r>
      <w:r>
        <w:rPr>
          <w:rFonts w:asciiTheme="minorEastAsia" w:hAnsiTheme="minorEastAsia" w:cstheme="minorEastAsia"/>
          <w:b/>
          <w:bCs/>
          <w:sz w:val="24"/>
          <w:szCs w:val="24"/>
        </w:rPr>
        <w:t xml:space="preserve">、进一步明确政府采购促进残疾人就业政策</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符合《关于促进残疾人就业政府采购政策的通知》（财库〔2017〕141号）规定条件的残疾人福利性单位在参加本次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8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八</w:t>
      </w:r>
      <w:r>
        <w:rPr>
          <w:rFonts w:asciiTheme="minorEastAsia" w:hAnsiTheme="minorEastAsia" w:cstheme="minorEastAsia"/>
          <w:b/>
          <w:bCs/>
          <w:sz w:val="24"/>
          <w:szCs w:val="24"/>
        </w:rPr>
        <w:t xml:space="preserve">、进一步明确政府采购支持监狱企业发展政策</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符合《关于政府采购支持监狱企业发展有关问题的通知》（财库〔2014〕68号）条件的监狱企业参加本次政府采购活动时，应当提供由省级以上监狱管理局、戒毒管理局（含新疆生产建设兵团）出具的属于监狱企业的证明文件。</w:t>
      </w:r>
      <w:r/>
    </w:p>
    <w:p>
      <w:pPr>
        <w:ind w:left="0" w:firstLine="480"/>
        <w:spacing w:line="360" w:lineRule="auto"/>
        <w:widowControl w:val="off"/>
        <w:rPr>
          <w:rFonts w:asciiTheme="minorEastAsia" w:hAnsiTheme="minorEastAsia" w:cstheme="minorEastAsia"/>
          <w:b/>
          <w:bCs/>
          <w:sz w:val="24"/>
          <w:szCs w:val="24"/>
        </w:rPr>
      </w:pPr>
      <w:r>
        <w:rPr>
          <w:rFonts w:hint="eastAsia" w:asciiTheme="minorEastAsia" w:hAnsiTheme="minorEastAsia" w:cstheme="minorEastAsia"/>
          <w:b/>
          <w:bCs/>
          <w:sz w:val="24"/>
          <w:szCs w:val="24"/>
        </w:rPr>
        <w:t xml:space="preserve">九</w:t>
      </w:r>
      <w:r>
        <w:rPr>
          <w:rFonts w:asciiTheme="minorEastAsia" w:hAnsiTheme="minorEastAsia" w:cstheme="minorEastAsia"/>
          <w:b/>
          <w:bCs/>
          <w:sz w:val="24"/>
          <w:szCs w:val="24"/>
        </w:rPr>
        <w:t xml:space="preserve">、针对中小型企业、残疾人福利企业和监狱企业的评审：</w:t>
      </w:r>
      <w:r/>
    </w:p>
    <w:p>
      <w:pPr>
        <w:ind w:left="0" w:firstLine="480"/>
        <w:spacing w:line="360" w:lineRule="auto"/>
        <w:widowControl w:val="off"/>
        <w:rPr>
          <w:rFonts w:asciiTheme="minorEastAsia" w:hAnsiTheme="minorEastAsia" w:cstheme="minorEastAsia"/>
          <w:sz w:val="24"/>
          <w:szCs w:val="24"/>
        </w:rPr>
      </w:pPr>
      <w:r>
        <w:rPr>
          <w:rFonts w:asciiTheme="minorEastAsia" w:hAnsiTheme="minorEastAsia" w:cstheme="minorEastAsia"/>
          <w:sz w:val="24"/>
          <w:szCs w:val="24"/>
        </w:rPr>
        <w:t xml:space="preserve">本项目为专门面向中小企业采购的项目，故不执行价格评审优惠的扶持政策。</w:t>
      </w:r>
      <w:r/>
    </w:p>
    <w:p>
      <w:pPr>
        <w:jc w:val="center"/>
        <w:spacing w:before="340" w:after="330" w:line="578" w:lineRule="auto"/>
        <w:rPr>
          <w:rFonts w:ascii="宋体" w:hAnsi="宋体" w:cs="宋体"/>
          <w:b/>
          <w:sz w:val="44"/>
          <w:szCs w:val="44"/>
        </w:rPr>
      </w:pPr>
      <w:r>
        <w:rPr>
          <w:rFonts w:hint="eastAsia" w:ascii="宋体" w:hAnsi="宋体" w:cs="宋体"/>
          <w:b/>
          <w:sz w:val="44"/>
          <w:szCs w:val="44"/>
        </w:rPr>
        <w:br w:type="page" w:clear="all"/>
      </w:r>
      <w:r/>
    </w:p>
    <w:p>
      <w:pPr>
        <w:jc w:val="center"/>
        <w:spacing w:before="340" w:after="330" w:line="578" w:lineRule="auto"/>
        <w:rPr>
          <w:rFonts w:ascii="宋体" w:hAnsi="宋体" w:cs="宋体"/>
          <w:b/>
          <w:sz w:val="44"/>
          <w:szCs w:val="44"/>
        </w:rPr>
      </w:pPr>
      <w:r>
        <w:rPr>
          <w:rFonts w:ascii="宋体" w:hAnsi="宋体" w:cs="宋体"/>
          <w:b/>
          <w:sz w:val="44"/>
          <w:szCs w:val="44"/>
        </w:rPr>
      </w:r>
      <w:r/>
    </w:p>
    <w:p>
      <w:pPr>
        <w:jc w:val="center"/>
        <w:spacing w:before="340" w:after="330" w:line="578" w:lineRule="auto"/>
        <w:rPr>
          <w:rFonts w:ascii="宋体" w:hAnsi="宋体" w:cs="宋体"/>
          <w:b/>
          <w:sz w:val="44"/>
          <w:szCs w:val="44"/>
        </w:rPr>
      </w:pPr>
      <w:r>
        <w:rPr>
          <w:rFonts w:ascii="宋体" w:hAnsi="宋体" w:cs="宋体"/>
          <w:b/>
          <w:sz w:val="44"/>
          <w:szCs w:val="44"/>
        </w:rPr>
      </w:r>
      <w:r/>
    </w:p>
    <w:p>
      <w:pPr>
        <w:jc w:val="center"/>
        <w:spacing w:before="340" w:after="330" w:line="578" w:lineRule="auto"/>
        <w:rPr>
          <w:rFonts w:ascii="宋体" w:hAnsi="宋体" w:cs="宋体"/>
          <w:b/>
          <w:sz w:val="44"/>
          <w:szCs w:val="44"/>
        </w:rPr>
      </w:pPr>
      <w:r>
        <w:rPr>
          <w:rFonts w:ascii="宋体" w:hAnsi="宋体" w:cs="宋体"/>
          <w:b/>
          <w:sz w:val="44"/>
          <w:szCs w:val="44"/>
        </w:rPr>
      </w:r>
      <w:r/>
    </w:p>
    <w:p>
      <w:pPr>
        <w:numPr>
          <w:ilvl w:val="0"/>
          <w:numId w:val="3"/>
        </w:numPr>
        <w:ind w:left="0"/>
        <w:jc w:val="center"/>
        <w:spacing w:before="340" w:after="330" w:line="579" w:lineRule="auto"/>
        <w:rPr>
          <w:rFonts w:ascii="宋体" w:hAnsi="宋体" w:cs="宋体"/>
          <w:b/>
          <w:sz w:val="44"/>
          <w:szCs w:val="44"/>
        </w:rPr>
        <w:outlineLvl w:val="0"/>
      </w:pPr>
      <w:r/>
      <w:bookmarkStart w:id="75" w:name="合同的特殊条款"/>
      <w:r/>
      <w:bookmarkEnd w:id="75"/>
      <w:r/>
      <w:bookmarkStart w:id="76" w:name="_Toc3589"/>
      <w:r>
        <w:rPr>
          <w:rFonts w:hint="eastAsia" w:ascii="宋体" w:hAnsi="宋体" w:cs="宋体"/>
          <w:b/>
          <w:sz w:val="44"/>
          <w:szCs w:val="44"/>
        </w:rPr>
        <w:t xml:space="preserve"> </w:t>
      </w:r>
      <w:bookmarkStart w:id="77" w:name="_Toc26481"/>
      <w:r>
        <w:rPr>
          <w:rFonts w:hint="eastAsia" w:ascii="宋体" w:hAnsi="宋体" w:cs="宋体"/>
          <w:b/>
          <w:sz w:val="44"/>
          <w:szCs w:val="44"/>
        </w:rPr>
        <w:t xml:space="preserve">合同及主要条款</w:t>
      </w:r>
      <w:bookmarkEnd w:id="67"/>
      <w:r/>
      <w:bookmarkEnd w:id="76"/>
      <w:r/>
      <w:bookmarkEnd w:id="77"/>
      <w:r/>
      <w:r/>
    </w:p>
    <w:p>
      <w:pPr>
        <w:pStyle w:val="1053"/>
        <w:ind w:firstLine="0"/>
        <w:rPr>
          <w:rFonts w:ascii="宋体" w:hAnsi="宋体" w:cs="宋体"/>
        </w:rPr>
      </w:pPr>
      <w:r>
        <w:rPr>
          <w:rFonts w:ascii="宋体" w:hAnsi="宋体" w:cs="宋体"/>
        </w:rPr>
      </w:r>
      <w:r/>
    </w:p>
    <w:p>
      <w:pPr>
        <w:ind w:left="0"/>
        <w:jc w:val="center"/>
        <w:spacing w:line="360" w:lineRule="auto"/>
        <w:widowControl w:val="off"/>
        <w:rPr>
          <w:rFonts w:ascii="宋体" w:hAnsi="宋体" w:cs="宋体"/>
          <w:b/>
          <w:sz w:val="44"/>
          <w:szCs w:val="44"/>
        </w:rPr>
      </w:pPr>
      <w:r>
        <w:rPr>
          <w:rFonts w:hint="eastAsia" w:ascii="宋体" w:hAnsi="宋体" w:cs="宋体"/>
          <w:b/>
          <w:sz w:val="44"/>
          <w:szCs w:val="44"/>
        </w:rPr>
        <w:br w:type="page" w:clear="all"/>
      </w:r>
      <w:bookmarkStart w:id="78" w:name="_Toc32730"/>
      <w:r>
        <w:rPr>
          <w:rFonts w:hint="eastAsia" w:ascii="宋体" w:hAnsi="宋体" w:cs="宋体"/>
          <w:b/>
          <w:sz w:val="32"/>
          <w:szCs w:val="32"/>
        </w:rPr>
        <w:t xml:space="preserve">合同主要条款</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委托方（甲方）：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顾问方（乙方）：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甲方委托乙方就</w:t>
      </w:r>
      <w:r>
        <w:rPr>
          <w:rFonts w:hint="eastAsia" w:ascii="宋体" w:hAnsi="宋体" w:cs="宋体"/>
          <w:sz w:val="24"/>
          <w:szCs w:val="24"/>
          <w:u w:val="single"/>
        </w:rPr>
        <w:t xml:space="preserve">经开区电力管线咨询服务</w:t>
      </w:r>
      <w:r>
        <w:rPr>
          <w:rFonts w:hint="eastAsia" w:ascii="宋体" w:hAnsi="宋体" w:cs="宋体"/>
          <w:sz w:val="24"/>
          <w:szCs w:val="24"/>
          <w:lang w:val="zh-CN"/>
        </w:rPr>
        <w:t xml:space="preserve">提供技术咨询，并支付技术咨询报酬，乙方接受委托提供此项技术咨询工作。根据《中华人民共和国民法典》及相关法律法规的规定，双方经过平等协商，达成如下合同条款，共同遵守。</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一、项目名称：经开区电力管线咨询服务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二、咨询的内容、形式和要求</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 咨询内容：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2.1.1项目前期规划阶段，提供合理、可行的迁改或入地建议方案，为整体规划方案提供有力支持。</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2.1.2项目设计阶段，优化线路路径，制定较为经济合理的方案。</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2.1.3根据优化方案作出相对精确的项目估算，为项目投资预算提供有力的支撑材料。</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2.1.4根据项目现场实际情况，制定详实、可行的供电项目节点计划书，严格按照项目节点计划书推进项目进展。</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2.1.5根据项目进度节点要求办理迁改及供配电项目的供电申请、审图、验收等流程。</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2.1.6按照工程进度节点联系并跟进项目供电外部施工进度，协调各物资生产及施工单位。</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2.1.7根据各项目实际情况，配备专业的设计、咨询和工程团队，提高项目的高效性。</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2.2时间要求：自本合同签订之日起，按照不同电压等级的单个项目的时间节点进度计划表，严格执行，并在项目竣工验收后取得甲方的成果验收许可。</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2.4 人员配置</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乙方指派技术人员</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组成技术咨询团队，同时指派</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作为本项目的负责人。乙方指派的项目负责人和技术咨询人员应实际参与本合同的技术咨询工作。</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未经甲方事先书面同意，乙方不得随意更换技术咨询人员。若乙方需变更技术咨询人员或负责人，乙方须提前3个工作日书面通知甲方并取得甲方同意。若不经甲方书面同意，乙方私自变更技术</w:t>
      </w:r>
      <w:r>
        <w:rPr>
          <w:rFonts w:hint="eastAsia" w:ascii="宋体" w:hAnsi="宋体" w:cs="宋体"/>
          <w:sz w:val="24"/>
          <w:szCs w:val="24"/>
          <w:lang w:val="zh-CN"/>
        </w:rPr>
        <w:t xml:space="preserve">人员的，每发生一次，甲方有权要求乙方支付5000元/人的违约金，若因此出现的其他损害甲方权益的情形，乙方须进行赔偿；若甲方认为乙方指派的技术咨询人员不能胜任的，乙方应在3个工作日内及时予以更换。如在3个工作日内不能及时更换到位的，委托方有权按500元/人/日作为违约金从合同支付款中扣除，给甲方造成其他损失的，乙方应当赔偿。乙方指派的项目负责人和技术服务人员应实际参与本合同的技术服务工作。且无论因何种原因引起技术咨询人员更换的，乙方应确保更换后的技术咨询人员资质、能力不低于变更前的技术咨询人员且满足甲方要求。</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三、完成期限、地点和方式</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3.1 乙方应按本合同第二条的约定，在指定时间内完成相应的工作。除不可抗力或本合同另有约定之外，本合同约定的期限一律不予顺延。</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3.2 合同生效期以双方签订合同日期为准，乙方应在上述约定期限内应完成最终实际工作，完成相关部门的审批。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四、委托方的协作事项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在合同签订后，甲方应在其能力范围内及时向乙方提供进行各项工作所需的资料或界定条件。</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五、技术情报和资料的保密</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乙方应对服务过程中接触和知悉的甲方资料和信息以及其在服务期间所获得的所有分析数据及文件严格保密，未经甲方事先书面同意，乙方或乙方雇员均不得发表、引用或向第三者提供或泄露与本项目、服务、合同或甲方的业务活动有关的任何资料或信息以及双方为履行合同而形成的工作成果和意见，也不得用于与本咨询项目无关的任何其他项目或目的。即使乙方或乙方雇员并非为了营利目的，也必须经甲方事先书面同意。否则，甲方有权要求乙方承担由此遭受的全部损失。</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甲方对乙方提供文件，承担不向第三方泄露的责任，但用于实施本项目有关事项时除外。</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本保密条款独立存在和生效，不因本合同的无效、被撤销、解除或终止而消灭，上述义务在本合同有效期及终止后持续有效。</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六、验收、评价方法</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乙方工作成果的验收以甲方最终的书面确认为准，即乙方交付之所有正式工作成果必须经甲方书面确认同意方可视为验收合格。甲方未对乙方工作成果予以书面确认的，视为不予认可，不得视为对工作成果的默认。</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七、报酬及其支付方式:</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7.1 合同价款：含税总金额为人民币</w:t>
      </w:r>
      <w:r>
        <w:rPr>
          <w:rFonts w:hint="eastAsia" w:ascii="宋体" w:hAnsi="宋体" w:cs="宋体"/>
          <w:sz w:val="24"/>
          <w:szCs w:val="24"/>
          <w:u w:val="single"/>
          <w:lang w:val="zh-CN"/>
        </w:rPr>
        <w:t xml:space="preserve">    元（大写  ）</w:t>
      </w:r>
      <w:r>
        <w:rPr>
          <w:rFonts w:hint="eastAsia" w:ascii="宋体" w:hAnsi="宋体" w:cs="宋体"/>
          <w:sz w:val="24"/>
          <w:szCs w:val="24"/>
          <w:lang w:val="zh-CN"/>
        </w:rPr>
        <w:t xml:space="preserve">，不含税总金额为人民币</w:t>
      </w:r>
      <w:r>
        <w:rPr>
          <w:rFonts w:hint="eastAsia" w:ascii="宋体" w:hAnsi="宋体" w:cs="宋体"/>
          <w:sz w:val="24"/>
          <w:szCs w:val="24"/>
          <w:u w:val="single"/>
          <w:lang w:val="zh-CN"/>
        </w:rPr>
        <w:t xml:space="preserve">      元（大写    ）</w:t>
      </w:r>
      <w:r>
        <w:rPr>
          <w:rFonts w:hint="eastAsia" w:ascii="宋体" w:hAnsi="宋体" w:cs="宋体"/>
          <w:sz w:val="24"/>
          <w:szCs w:val="24"/>
          <w:lang w:val="zh-CN"/>
        </w:rPr>
        <w:t xml:space="preserve">，税率为</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，本合同不含税金额固定，税金若因增值税税率变化，以适行税率为准。</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上述合同费用包括为完成所有合同内容以及本项目所需的劳务支出、咨询费、保险、配套费用、税费、专家评审费、调查费、纸质费、通讯费、交通费、专利技术费及服务相关等所发生的全部费用以及乙方企业利润、税金和政策性文件规定及合同包含的所有风险、责任等各项应有费用。除非因特殊原因并经双方事先书面协商同意，乙方不得再要求追加任何费用。同时，除非合同条款中另有规定，否则，乙方所报价格在合同实施期间不因市场变化因素、规则、规章、政策等其他变化因素而变动。</w:t>
      </w:r>
      <w:r/>
    </w:p>
    <w:p>
      <w:pPr>
        <w:pStyle w:val="1051"/>
        <w:ind w:left="0"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7.2 付款步骤：</w:t>
      </w:r>
      <w:r/>
    </w:p>
    <w:p>
      <w:pPr>
        <w:ind w:left="0" w:firstLine="480"/>
        <w:spacing w:line="85" w:lineRule="atLeast"/>
        <w:rPr>
          <w:rFonts w:ascii="宋体" w:hAnsi="宋体" w:cs="宋体"/>
          <w:sz w:val="24"/>
          <w:szCs w:val="24"/>
          <w:lang w:val="zh-CN"/>
        </w:rPr>
      </w:pPr>
      <w:r/>
      <w:bookmarkStart w:id="79" w:name="OLE_LINK23"/>
      <w:r/>
      <w:bookmarkStart w:id="80" w:name="OLE_LINK22"/>
      <w:r>
        <w:rPr>
          <w:rFonts w:hint="eastAsia" w:ascii="宋体" w:hAnsi="宋体" w:cs="宋体"/>
          <w:color w:val="auto"/>
          <w:sz w:val="24"/>
          <w:szCs w:val="24"/>
          <w:lang w:val="zh-CN"/>
        </w:rPr>
        <w:t xml:space="preserve">合同生效后</w:t>
      </w:r>
      <w:r>
        <w:rPr>
          <w:rFonts w:hint="eastAsia" w:ascii="宋体" w:hAnsi="宋体" w:cs="宋体"/>
          <w:sz w:val="24"/>
          <w:szCs w:val="24"/>
          <w:lang w:val="zh-CN"/>
        </w:rPr>
        <w:t xml:space="preserve">，</w:t>
      </w:r>
      <w:r>
        <w:rPr>
          <w:rFonts w:hint="eastAsia" w:ascii="宋体" w:hAnsi="宋体" w:cs="宋体"/>
          <w:color w:val="auto"/>
          <w:sz w:val="24"/>
          <w:szCs w:val="24"/>
          <w:lang w:val="zh-CN"/>
        </w:rPr>
        <w:t xml:space="preserve">甲方</w:t>
      </w:r>
      <w:r>
        <w:rPr>
          <w:rFonts w:hint="eastAsia" w:ascii="宋体" w:hAnsi="宋体" w:cs="宋体"/>
          <w:sz w:val="24"/>
          <w:szCs w:val="24"/>
          <w:lang w:val="zh-CN"/>
        </w:rPr>
        <w:t xml:space="preserve">按季度</w:t>
      </w:r>
      <w:r>
        <w:rPr>
          <w:rFonts w:hint="eastAsia" w:ascii="宋体" w:hAnsi="宋体" w:cs="宋体"/>
          <w:color w:val="auto"/>
          <w:sz w:val="24"/>
          <w:szCs w:val="24"/>
          <w:lang w:val="zh-CN"/>
        </w:rPr>
        <w:t xml:space="preserve">向乙方支付进度款</w:t>
      </w:r>
      <w:r>
        <w:rPr>
          <w:rFonts w:hint="eastAsia" w:ascii="宋体" w:hAnsi="宋体" w:cs="宋体"/>
          <w:sz w:val="24"/>
          <w:szCs w:val="24"/>
          <w:lang w:val="zh-CN"/>
        </w:rPr>
        <w:t xml:space="preserve">，根据当季度的工作验收报告，支付当季度完成项目对应金额的50%</w:t>
      </w:r>
      <w:r>
        <w:rPr>
          <w:rFonts w:hint="eastAsia" w:ascii="宋体" w:hAnsi="宋体" w:cs="宋体"/>
          <w:color w:val="auto"/>
          <w:sz w:val="24"/>
          <w:szCs w:val="24"/>
          <w:lang w:val="zh-CN"/>
        </w:rPr>
        <w:t xml:space="preserve">，</w:t>
      </w:r>
      <w:r>
        <w:rPr>
          <w:rFonts w:hint="eastAsia" w:ascii="宋体" w:hAnsi="宋体" w:cs="宋体"/>
          <w:sz w:val="24"/>
          <w:szCs w:val="24"/>
          <w:lang w:val="zh-CN"/>
        </w:rPr>
        <w:t xml:space="preserve">项目</w:t>
      </w:r>
      <w:r>
        <w:rPr>
          <w:rFonts w:hint="eastAsia" w:ascii="宋体" w:hAnsi="宋体" w:cs="宋体"/>
          <w:color w:val="auto"/>
          <w:sz w:val="24"/>
          <w:szCs w:val="24"/>
          <w:lang w:val="zh-CN"/>
        </w:rPr>
        <w:t xml:space="preserve">经验收合格后甲方向乙方支付余款</w:t>
      </w:r>
      <w:r>
        <w:rPr>
          <w:rFonts w:hint="eastAsia" w:ascii="宋体" w:hAnsi="宋体" w:cs="宋体"/>
          <w:sz w:val="24"/>
          <w:szCs w:val="24"/>
          <w:lang w:val="zh-CN"/>
        </w:rPr>
        <w:t xml:space="preserve">至70%，剩余尾款在1年内付清</w:t>
      </w:r>
      <w:r>
        <w:rPr>
          <w:rFonts w:hint="eastAsia" w:ascii="宋体" w:hAnsi="宋体" w:cs="宋体"/>
          <w:color w:val="auto"/>
          <w:sz w:val="24"/>
          <w:szCs w:val="24"/>
          <w:lang w:val="zh-CN"/>
        </w:rPr>
        <w:t xml:space="preserve">。</w:t>
      </w:r>
      <w:bookmarkEnd w:id="79"/>
      <w:r/>
      <w:bookmarkEnd w:id="80"/>
      <w:r/>
      <w:r/>
    </w:p>
    <w:p>
      <w:pPr>
        <w:pStyle w:val="1051"/>
        <w:ind w:left="0" w:firstLine="480"/>
        <w:spacing w:line="360" w:lineRule="auto"/>
        <w:rPr>
          <w:rFonts w:ascii="宋体" w:hAnsi="宋体" w:cs="宋体"/>
          <w:sz w:val="24"/>
          <w:szCs w:val="24"/>
          <w:lang w:val="zh-CN"/>
        </w:rPr>
      </w:pPr>
      <w:r>
        <w:rPr>
          <w:rFonts w:ascii="宋体" w:hAnsi="宋体" w:cs="宋体"/>
          <w:sz w:val="24"/>
          <w:szCs w:val="24"/>
          <w:lang w:val="zh-CN"/>
        </w:rPr>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7.3付款方式：银行转账等。</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八、甲乙双方权利义务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（一）甲方权利义务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阐明咨询的问题、按照合同约定和乙方的书面要求在甲方能力范围内提供技术背景材料及有关资料，并对其完整性、真实性、时效性负责。甲方不得要求乙方提供违反国家有关法律、法规、行业标准的咨询服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2.在合同履行过程中，对于乙方按约定提交的优化设计方案、数据成果等，甲方应及时审批验收。</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3.在乙方不存在违约的情况下，按照本合同约定日期按时支付价款。</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4.甲方对合同约定的收费标准和支付时间已充分了解。</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5.当咨询进度中，有需要增加或变更咨询内容时，甲方应向乙方提出书面的变更通知单。</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6.甲方有权监督和了解乙方的咨询服务进度，有权随时查看乙方的服务进度，甲方如对乙方的咨询服务有任何意见或认为服务不符合甲方要求的，乙方应在甲方指定的期限内及时予以改正。</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（二）乙方权利义务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乙方应保证具备履行并完成本合同约定内容的国家规定资质、许可和备案及符合本项目要求的资质条件，乙方项目组中具备资质的人员数量和专业应满足本项目要求，确保具备实施咨询服务的资质和专业技能，且没有被列入行业主管部门的不良信用记录。如因乙方或乙方项目组人员资质、备案、许可等事宜，而导致本合同无法实施的，则责任全部由乙方予以承担，且甲方有权立即解除本合同、要求乙方退还全部费用，并有权要求乙方赔偿合同总价的30%作为违约金，给甲方造成其他损失的，乙方还应予以赔偿。</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乙方应利用自己的知识和经验，按照合同约定的目标、内容及范围开展咨询服务工作，甲方或政府部门或其委托的相关单位对乙方工作的任何形式的审查、确认，均不免除或减轻乙方应依法、依约承担的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乙方应提前以书面形式通知甲方需要提供的资料清单、内容和形式，并协助甲方准备相应的资料。乙方对甲方提供的资料具有审核义务，如需甲方调整、补充提供相关材料，乙方须于收到甲方资料24小时内书面告知甲方，以便于甲方及时补充。否则，视为甲方已提供完整并符合要求的资料，乙方不得以甲方未按约提供资料或提供的资料不符合要求为由拖延合同履行。</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4．乙方应根据本合同约定完成委托事务和进度安排，积极主动向甲方通报工作进展情况，接受甲方的工作进展监督和指导，按期完成咨询服务或者解答甲方的问题。</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5．因履行本合同产生的工作成果，包括为履行委托事务而编制文件资料的所有权及其知识产权等权益均归甲方所有。乙方提供的工作成果，不得侵犯其他任何第三方的任何权利，否则，乙方应承担由此引起的一切后果并赔偿因此给甲方造成的损失。乙方对于甲方提供的技术背景材料、技术资料、数据应当妥善保管，并只能用于本合同项下的咨询工作。</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6．未经甲方事先书面同意，乙方将本合同项下的任何工作以任何方式分包、转包或委托给任何第三方实施，甲方有权选择单方解除本合同，不再另行向乙方支付任何费用，且有权要求乙方退还全部已支付的费用，并有权要求乙方赔偿合同总价的30%作为违约金，乙方应承担由此引起的一切后果并赔偿给甲方造成的损失。</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7．乙方项目组人员进入项目现场开展调查工作时，应遵守甲方及现场的安全管理制度和规定，注意自身及他人的安全，在现场工作过程中发生安全事故的，乙方应自行承担全部责任。如因乙方在现场的工作给甲方或第三方造成损失的（包括但不限于人身损害和财产损失），亦应由乙方承担全部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8.乙方人员在为甲方服务期间的安全责任由乙方予以负责，乙方应为其人员购买保险并保持有效，如服务过程中发生任何人身伤害或财产损失事故的，应由乙方予以承担或通过保险进行处理，甲方不承担乙方的人员为本项目工作而发生的用工、医疗、保险及财产和人身伤害赔偿等一切费用。</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本合同履行完毕或不论任何原因解除或终止时，乙方应在双方终止合作时或甲方要求的期限内将与本合同履行相关的一切资料（包括但不限于甲方所提供的，及乙方应甲方要求所编制的文件等）移交给甲方。乙方逾期移交，应承担相应违约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九、违约金或损失赔偿额的计算方法</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9.1 甲方违约责任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甲方无正当理由擅自中止合同时(不可抗力或乙方违约除外)，乙方未开始服务工作的，退还甲方已付的服务服务费；乙方已开始咨询工作的，甲方应根据乙方已完成的且经甲方验收通过的实际工作量支付费用。</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（2）合同履行期间，若本合同项目停缓建，双方均有权解除合同，乙方未开始服务工作的，退还甲方已付的服务服务费；已进行咨询工作的，按乙方实际完成且经甲方验收通过的工作量及时结算咨询费。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9.2 乙方违约责任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若出现以下事件，乙方应按合同总价款30%向甲方支付违约金。如出现以下第（2）-（8）项事件，甲方还有权书面通知乙方解除本合同，且不再另行向乙方支付任何费用，且有权要求乙方退还全部已支付的费用，并有权要求乙方赔偿甲方由此所遭受的损失：</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（1）合同生效后，如乙方擅自中途终止或解除合同。</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（2）乙方丧失履约能力或明确表示不能为甲方提供技术咨询服务的。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（3）若乙方指派的负责人或技术人员未实际参与本合同技术咨询工作或者乙方擅自更换上述人员，经甲方通知后3天内仍未纠正或已严重影响本合同履行的。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（4）乙方技术咨询工作进度或者工作内容不符合本合同约定，经甲方通知后3天内仍未纠正的。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（5）乙方违反合同约定擅自将其合同项下的任何义务转委托、转包、分包给任何第三人或者乙方擅自将技术咨询成果转让给第三人的。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（6）乙方提交的工作成果弄虚作假，不能如实反映实际情况，误导甲方后续工作的。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（7）因乙方疏忽出现商业机密或其他需要保密的信息泄露的。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（8）在合同履行期限内，因乙方过错导致甲方被相关部门问责，或者造成负面社会影响的。</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9.3一方违约后，另一方要求违约方继续履行合同时，违约方承担上述违约责任并继续履行合同。</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9.4乙方按国家、行业设计标准、技术规程和江苏省政府部门的相关要求，开展咨询服务工作，及时完成任务。</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9.5乙方对所承担的咨询服务工作的质量负责，在满足安全质量的前提下，应尽量优化工程技术方案，合理控制工程造价。由于乙方原因造成工程质量事故损失，乙方除负责采取补救措施外，视损失程度应减收相应的咨询服务费，并根据责任赔偿甲方相应损失。</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9.6乙方如未能按照协议约定时间节点实现供电目标，每延迟1日应向甲方支付合同总金额1%;单个项目延迟15日以上或各个项目累计延迟达30日及以上的，甲方有权解除本协议，不再另行向乙方支付任何费用，且有权要求乙方退还全部已支付的费用，并有权要求乙方赔偿合同总价的30%作为违约金，乙方应承担由此引起的一切后果并赔偿给甲方造成的损失。</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十、不可抗力</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10.1 除非合同另有约定，不可抗力系指甲方和乙方都不可预见、不可避免、不能克服的超出认识控制和防范能力的事件。这类事件使合同一方的履约已变得不可能。不可抗力可以包括(但不限于)下列情况：</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（1）战争、敌对行动(不论宣战与否)、入侵、外敌行动；</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（2）叛乱、革命、暴动或军事政变或篡夺政权，或内战；</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（3）暴乱、骚乱或混乱，但对于完全局限在承包商或乙方雇用人员内部并且是由于从事本工程而发生的事件除外；</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（4）离子辐射或放射性污染：</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（5）以音速或超音速飞行的飞机或其他飞行装置产生的压力波，飞行器坠落；</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（6）自然灾害（地震、洪水、海啸、飓风、超强台风、雷击等）；</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（7）瘟疫或大规模的传染病。</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10.2 遇有不可抗力事件的一方因此影响合同执行时，应在不可抗力事件发生后3日内以书面形式通知对方，并应在不可抗力事件发生后7天内，提供事件详情及合同不能履行、或者部分不能履行、或者需要延期履行的理由以及权威机构签发的书面证明材料的。按照事件对履行合同的影响程度，由双方协商解决是否解除合同，或者部分免除履行合同的责任，或者延期履行。</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10.3 因合同一方拖延履行合同而发生不可抗力的，不能免除拖延履行方的责任。</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十一、合同生效、变更、中止、解除和终止</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11.1本合同自甲乙双方盖章后生效；履行完合同规定的义务后，本合同终止。</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11.2对本合同条款的任何变更、修改或增减，须经双方协商同意后由法定代表人或委托代理人签署书面补充文件，作为本合同的组成部分，与本合同具有同等效力。</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11.3甲方如非因乙方原因单方要求乙方全部或部分中止执行或终止合同，则应当提前5日书面通知乙方，乙方应当立即安排停止执行咨询工作。已进行咨询工作的，按实际完成并经甲方验收通过的工作量及时结算咨询费。</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十二、争议的解决</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本合同在履行过程中发生的争议，由双方当事人协商解决，协商不成的，任何一方均可向甲方所在地人民法院起诉。实现债权的费用（包括但不限于诉讼费、查档费、律师费、差旅费等）由违约方承担。</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在合同双方或与第三人之间进行诉讼过程中，除法律法规或国家司法机关依职权要求中止双方有争议的事项以外，本合同约定的其他事项应当继续履行。</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有权解除合同的一方，应当在违约事实或不可抗力发生之后三十天内书面通知对方提出解除合同，合同在书面通知到达对方时解除。</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十三、其它</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本合同一式肆份，具有同等法律效力。甲方执贰份，乙方执贰份。</w:t>
      </w:r>
      <w:r/>
    </w:p>
    <w:p>
      <w:pPr>
        <w:pStyle w:val="1051"/>
        <w:ind w:left="0" w:firstLine="480"/>
        <w:spacing w:line="360" w:lineRule="auto"/>
        <w:rPr>
          <w:rFonts w:ascii="宋体" w:hAnsi="宋体" w:cs="宋体"/>
          <w:sz w:val="24"/>
          <w:szCs w:val="24"/>
          <w:lang w:val="zh-CN"/>
        </w:rPr>
      </w:pPr>
      <w:r>
        <w:rPr>
          <w:rFonts w:hint="eastAsia" w:ascii="宋体" w:hAnsi="宋体" w:cs="宋体"/>
          <w:sz w:val="24"/>
          <w:szCs w:val="24"/>
          <w:lang w:val="zh-CN"/>
        </w:rPr>
        <w:t xml:space="preserve">本合同如有未尽事宜，双方可以签订补充协议予以明确，补充协议与本合同具有同等法律效力。</w:t>
      </w:r>
      <w:r/>
    </w:p>
    <w:p>
      <w:pPr>
        <w:pStyle w:val="1051"/>
        <w:ind w:left="0" w:firstLine="0"/>
        <w:rPr>
          <w:rFonts w:ascii="宋体" w:hAnsi="宋体" w:cs="宋体"/>
          <w:sz w:val="24"/>
          <w:szCs w:val="24"/>
          <w:lang w:val="zh-CN"/>
        </w:rPr>
      </w:pPr>
      <w:r>
        <w:rPr>
          <w:rFonts w:ascii="宋体" w:hAnsi="宋体" w:cs="宋体"/>
          <w:sz w:val="24"/>
          <w:szCs w:val="24"/>
          <w:lang w:val="zh-CN"/>
        </w:rPr>
      </w:r>
      <w:r/>
    </w:p>
    <w:p>
      <w:pPr>
        <w:pStyle w:val="1051"/>
        <w:ind w:left="0" w:firstLine="0"/>
        <w:rPr>
          <w:rFonts w:ascii="宋体" w:hAnsi="宋体" w:cs="宋体"/>
          <w:sz w:val="24"/>
          <w:szCs w:val="24"/>
          <w:lang w:val="zh-CN"/>
        </w:rPr>
      </w:pPr>
      <w:r>
        <w:rPr>
          <w:rFonts w:ascii="宋体" w:hAnsi="宋体" w:cs="宋体"/>
          <w:sz w:val="24"/>
          <w:szCs w:val="24"/>
          <w:lang w:val="zh-CN"/>
        </w:rPr>
      </w:r>
      <w:r/>
    </w:p>
    <w:p>
      <w:pPr>
        <w:pStyle w:val="1051"/>
        <w:ind w:left="0" w:firstLine="0"/>
        <w:rPr>
          <w:rFonts w:ascii="宋体" w:hAnsi="宋体" w:cs="宋体"/>
          <w:sz w:val="24"/>
          <w:szCs w:val="24"/>
          <w:lang w:val="zh-CN"/>
        </w:rPr>
      </w:pPr>
      <w:r>
        <w:rPr>
          <w:rFonts w:ascii="宋体" w:hAnsi="宋体" w:cs="宋体"/>
          <w:sz w:val="24"/>
          <w:szCs w:val="24"/>
          <w:lang w:val="zh-CN"/>
        </w:rPr>
      </w:r>
      <w:r/>
    </w:p>
    <w:p>
      <w:pPr>
        <w:pStyle w:val="1051"/>
        <w:ind w:left="0" w:firstLine="960"/>
        <w:rPr>
          <w:rFonts w:ascii="宋体" w:hAnsi="宋体" w:cs="宋体"/>
          <w:sz w:val="24"/>
          <w:szCs w:val="24"/>
          <w:lang w:val="zh-CN"/>
        </w:rPr>
      </w:pPr>
      <w:r>
        <w:rPr>
          <w:rFonts w:hint="eastAsia" w:ascii="宋体" w:hAnsi="宋体" w:cs="宋体"/>
          <w:sz w:val="24"/>
          <w:szCs w:val="24"/>
          <w:lang w:val="zh-CN"/>
        </w:rPr>
        <w:t xml:space="preserve">甲方（盖章）：                 乙方（盖章）： </w:t>
      </w:r>
      <w:r/>
    </w:p>
    <w:p>
      <w:pPr>
        <w:pStyle w:val="1051"/>
        <w:ind w:left="0" w:firstLine="960"/>
        <w:rPr>
          <w:rFonts w:ascii="宋体" w:hAnsi="宋体" w:cs="宋体"/>
          <w:sz w:val="24"/>
          <w:szCs w:val="24"/>
          <w:lang w:val="zh-CN"/>
        </w:rPr>
      </w:pPr>
      <w:r>
        <w:rPr>
          <w:rFonts w:hint="eastAsia" w:ascii="宋体" w:hAnsi="宋体" w:cs="宋体"/>
          <w:sz w:val="24"/>
          <w:szCs w:val="24"/>
          <w:lang w:val="zh-CN"/>
        </w:rPr>
        <w:t xml:space="preserve">法定代表人或                   法定代表人或</w:t>
      </w:r>
      <w:r/>
    </w:p>
    <w:p>
      <w:pPr>
        <w:pStyle w:val="1051"/>
        <w:ind w:left="0" w:firstLine="960"/>
        <w:rPr>
          <w:rFonts w:ascii="宋体" w:hAnsi="宋体" w:cs="宋体"/>
          <w:sz w:val="24"/>
          <w:szCs w:val="24"/>
          <w:lang w:val="zh-CN"/>
        </w:rPr>
      </w:pPr>
      <w:r>
        <w:rPr>
          <w:rFonts w:hint="eastAsia" w:ascii="宋体" w:hAnsi="宋体" w:cs="宋体"/>
          <w:sz w:val="24"/>
          <w:szCs w:val="24"/>
          <w:lang w:val="zh-CN"/>
        </w:rPr>
        <w:t xml:space="preserve">授权代表人（签章）：            授权代表人（签章）：</w:t>
      </w:r>
      <w:r/>
    </w:p>
    <w:p>
      <w:pPr>
        <w:pStyle w:val="1051"/>
        <w:ind w:left="0" w:firstLine="0"/>
        <w:rPr>
          <w:rFonts w:ascii="宋体" w:hAnsi="宋体" w:cs="宋体"/>
          <w:sz w:val="24"/>
          <w:szCs w:val="24"/>
        </w:rPr>
      </w:pPr>
      <w:r>
        <w:rPr>
          <w:rFonts w:hint="eastAsia" w:ascii="宋体" w:hAnsi="宋体" w:cs="宋体"/>
          <w:sz w:val="24"/>
          <w:szCs w:val="24"/>
        </w:rPr>
        <w:t xml:space="preserve"> </w:t>
      </w:r>
      <w:r/>
    </w:p>
    <w:p>
      <w:pPr>
        <w:pStyle w:val="1051"/>
        <w:ind w:left="0" w:firstLine="960"/>
        <w:rPr>
          <w:rFonts w:ascii="宋体" w:hAnsi="宋体" w:cs="宋体"/>
          <w:sz w:val="24"/>
          <w:szCs w:val="24"/>
          <w:lang w:val="zh-CN"/>
        </w:rPr>
      </w:pPr>
      <w:r>
        <w:rPr>
          <w:rFonts w:hint="eastAsia" w:ascii="宋体" w:hAnsi="宋体" w:cs="宋体"/>
          <w:sz w:val="24"/>
          <w:szCs w:val="24"/>
          <w:lang w:val="zh-CN"/>
        </w:rPr>
        <w:t xml:space="preserve">签约日期：                      签约日期：</w:t>
      </w:r>
      <w:r/>
    </w:p>
    <w:p>
      <w:pPr>
        <w:pStyle w:val="1051"/>
        <w:ind w:left="0" w:firstLine="0"/>
        <w:rPr>
          <w:rFonts w:ascii="宋体" w:hAnsi="宋体" w:cs="宋体"/>
          <w:sz w:val="24"/>
          <w:szCs w:val="24"/>
          <w:lang w:val="zh-CN"/>
        </w:rPr>
      </w:pPr>
      <w:r>
        <w:rPr>
          <w:rFonts w:ascii="宋体" w:hAnsi="宋体" w:cs="宋体"/>
          <w:sz w:val="24"/>
          <w:szCs w:val="24"/>
          <w:lang w:val="zh-CN"/>
        </w:rPr>
      </w:r>
      <w:r/>
    </w:p>
    <w:p>
      <w:pPr>
        <w:pStyle w:val="1051"/>
        <w:ind w:left="0" w:firstLine="0"/>
        <w:rPr>
          <w:rFonts w:ascii="宋体" w:hAnsi="宋体" w:cs="宋体"/>
        </w:rPr>
      </w:pPr>
      <w:r>
        <w:rPr>
          <w:rFonts w:ascii="宋体" w:hAnsi="宋体" w:cs="宋体"/>
        </w:rPr>
      </w:r>
      <w:r/>
    </w:p>
    <w:p>
      <w:pPr>
        <w:pStyle w:val="1047"/>
        <w:ind w:left="0" w:firstLine="0"/>
        <w:jc w:val="center"/>
        <w:rPr>
          <w:rFonts w:ascii="宋体" w:hAnsi="宋体" w:cs="宋体"/>
          <w:b/>
          <w:sz w:val="44"/>
          <w:szCs w:val="44"/>
        </w:rPr>
      </w:pPr>
      <w:r>
        <w:rPr>
          <w:rFonts w:hint="eastAsia" w:ascii="宋体" w:hAnsi="宋体" w:cs="宋体"/>
          <w:b/>
          <w:sz w:val="44"/>
          <w:szCs w:val="44"/>
        </w:rPr>
        <w:br w:type="page" w:clear="all"/>
      </w:r>
      <w:bookmarkStart w:id="81" w:name="评分要点"/>
      <w:r/>
      <w:bookmarkEnd w:id="81"/>
      <w:r/>
      <w:r/>
    </w:p>
    <w:p>
      <w:pPr>
        <w:pStyle w:val="1047"/>
        <w:ind w:left="0" w:firstLine="0"/>
        <w:jc w:val="center"/>
        <w:rPr>
          <w:rFonts w:ascii="宋体" w:hAnsi="宋体" w:cs="宋体"/>
          <w:b/>
          <w:sz w:val="44"/>
          <w:szCs w:val="44"/>
        </w:rPr>
      </w:pPr>
      <w:r>
        <w:rPr>
          <w:rFonts w:ascii="宋体" w:hAnsi="宋体" w:cs="宋体"/>
          <w:b/>
          <w:sz w:val="44"/>
          <w:szCs w:val="44"/>
        </w:rPr>
      </w:r>
      <w:r/>
    </w:p>
    <w:p>
      <w:pPr>
        <w:pStyle w:val="1047"/>
        <w:ind w:left="0" w:firstLine="0"/>
        <w:rPr>
          <w:rFonts w:ascii="宋体" w:hAnsi="宋体" w:cs="宋体"/>
          <w:b/>
          <w:sz w:val="44"/>
          <w:szCs w:val="44"/>
        </w:rPr>
      </w:pPr>
      <w:r>
        <w:rPr>
          <w:rFonts w:ascii="宋体" w:hAnsi="宋体" w:cs="宋体"/>
          <w:b/>
          <w:sz w:val="44"/>
          <w:szCs w:val="44"/>
        </w:rPr>
      </w:r>
      <w:r/>
    </w:p>
    <w:p>
      <w:pPr>
        <w:pStyle w:val="1047"/>
        <w:numPr>
          <w:ilvl w:val="0"/>
          <w:numId w:val="3"/>
        </w:numPr>
        <w:ind w:left="0" w:firstLine="0"/>
        <w:jc w:val="center"/>
        <w:spacing w:line="579" w:lineRule="auto"/>
        <w:rPr>
          <w:rFonts w:ascii="宋体" w:hAnsi="宋体" w:cs="宋体"/>
          <w:b/>
          <w:sz w:val="44"/>
          <w:szCs w:val="44"/>
        </w:rPr>
      </w:pPr>
      <w:r>
        <w:rPr>
          <w:rFonts w:hint="eastAsia" w:ascii="宋体" w:hAnsi="宋体" w:cs="宋体"/>
          <w:b/>
          <w:sz w:val="44"/>
          <w:szCs w:val="44"/>
        </w:rPr>
        <w:t xml:space="preserve"> </w:t>
      </w:r>
      <w:bookmarkStart w:id="82" w:name="_Toc16154"/>
      <w:r/>
      <w:bookmarkStart w:id="83" w:name="_Toc27775"/>
      <w:r>
        <w:rPr>
          <w:rFonts w:hint="eastAsia" w:ascii="宋体" w:hAnsi="宋体" w:cs="宋体"/>
          <w:b/>
          <w:sz w:val="44"/>
          <w:szCs w:val="44"/>
        </w:rPr>
        <w:t xml:space="preserve">评审办法</w:t>
      </w:r>
      <w:bookmarkEnd w:id="68"/>
      <w:r/>
      <w:bookmarkEnd w:id="69"/>
      <w:r/>
      <w:bookmarkEnd w:id="70"/>
      <w:r/>
      <w:bookmarkEnd w:id="71"/>
      <w:r/>
      <w:bookmarkEnd w:id="78"/>
      <w:r/>
      <w:bookmarkEnd w:id="82"/>
      <w:r/>
      <w:bookmarkEnd w:id="83"/>
      <w:r/>
      <w:r/>
    </w:p>
    <w:p>
      <w:pPr>
        <w:rPr>
          <w:rFonts w:ascii="宋体" w:hAnsi="宋体" w:cs="宋体"/>
          <w:b/>
          <w:sz w:val="24"/>
          <w:szCs w:val="24"/>
        </w:rPr>
      </w:pPr>
      <w:r>
        <w:rPr>
          <w:rFonts w:ascii="宋体" w:hAnsi="宋体" w:cs="宋体"/>
          <w:b/>
          <w:sz w:val="24"/>
          <w:szCs w:val="24"/>
        </w:rPr>
      </w:r>
      <w:r/>
    </w:p>
    <w:p>
      <w:pPr>
        <w:pStyle w:val="1053"/>
        <w:rPr>
          <w:rFonts w:ascii="宋体" w:hAnsi="宋体" w:cs="宋体"/>
          <w:sz w:val="24"/>
          <w:szCs w:val="24"/>
        </w:rPr>
      </w:pPr>
      <w:r>
        <w:rPr>
          <w:rFonts w:ascii="宋体" w:hAnsi="宋体" w:cs="宋体"/>
          <w:sz w:val="24"/>
          <w:szCs w:val="24"/>
        </w:rPr>
      </w:r>
      <w:r/>
    </w:p>
    <w:p>
      <w:pPr>
        <w:ind w:left="0" w:firstLine="480"/>
        <w:spacing w:line="360" w:lineRule="auto"/>
        <w:rPr>
          <w:rStyle w:val="1081"/>
          <w:rFonts w:ascii="宋体" w:hAnsi="宋体" w:cs="宋体"/>
          <w:b/>
          <w:bCs/>
          <w:sz w:val="24"/>
        </w:rPr>
      </w:pPr>
      <w:r>
        <w:rPr>
          <w:rFonts w:hint="eastAsia" w:ascii="宋体" w:hAnsi="宋体" w:cs="宋体"/>
          <w:sz w:val="24"/>
          <w:szCs w:val="24"/>
        </w:rPr>
        <w:br w:type="page" w:clear="all"/>
      </w:r>
      <w:r>
        <w:rPr>
          <w:rStyle w:val="1081"/>
          <w:rFonts w:hint="eastAsia" w:ascii="宋体" w:hAnsi="宋体" w:cs="宋体"/>
          <w:b/>
          <w:bCs/>
          <w:sz w:val="24"/>
        </w:rPr>
        <w:t xml:space="preserve">一、评审方法</w:t>
      </w:r>
      <w:r/>
    </w:p>
    <w:p>
      <w:pPr>
        <w:ind w:left="0" w:firstLine="480"/>
        <w:spacing w:line="360" w:lineRule="auto"/>
        <w:widowControl w:val="off"/>
        <w:rPr>
          <w:rStyle w:val="1081"/>
          <w:rFonts w:ascii="宋体" w:hAnsi="宋体" w:cs="宋体"/>
          <w:sz w:val="24"/>
        </w:rPr>
      </w:pPr>
      <w:r>
        <w:rPr>
          <w:rStyle w:val="1081"/>
          <w:rFonts w:hint="eastAsia" w:ascii="宋体" w:hAnsi="宋体" w:cs="宋体"/>
          <w:sz w:val="24"/>
        </w:rPr>
        <w:t xml:space="preserve">1、本次磋商采用综合评分法，即在响应文件满足采购文件全部实质性要求且按评审因素的量化指标评审得分最高的供应商为成交候选供应商。采购人书面授权磋商小组直接确定成交单位。</w:t>
      </w:r>
      <w:r/>
    </w:p>
    <w:p>
      <w:pPr>
        <w:ind w:left="0" w:firstLine="480"/>
        <w:spacing w:line="360" w:lineRule="auto"/>
        <w:widowControl w:val="off"/>
        <w:rPr>
          <w:rStyle w:val="1081"/>
          <w:rFonts w:ascii="宋体" w:hAnsi="宋体" w:cs="宋体"/>
          <w:sz w:val="24"/>
        </w:rPr>
      </w:pPr>
      <w:r>
        <w:rPr>
          <w:rStyle w:val="1081"/>
          <w:rFonts w:hint="eastAsia" w:ascii="宋体" w:hAnsi="宋体" w:cs="宋体"/>
          <w:sz w:val="24"/>
        </w:rPr>
        <w:t xml:space="preserve">2、评审小组各成员独立对每个进入打分程序的有效磋商供应商的响应文件技术和资质部分以打分的形式进行评审和评价。</w:t>
      </w:r>
      <w:r/>
    </w:p>
    <w:p>
      <w:pPr>
        <w:ind w:left="0" w:firstLine="480"/>
        <w:spacing w:line="360" w:lineRule="auto"/>
        <w:widowControl w:val="off"/>
        <w:rPr>
          <w:rStyle w:val="1081"/>
          <w:rFonts w:ascii="宋体" w:hAnsi="宋体" w:cs="宋体"/>
          <w:sz w:val="24"/>
        </w:rPr>
      </w:pPr>
      <w:r>
        <w:rPr>
          <w:rStyle w:val="1081"/>
          <w:rFonts w:hint="eastAsia" w:ascii="宋体" w:hAnsi="宋体" w:cs="宋体"/>
          <w:sz w:val="24"/>
        </w:rPr>
        <w:t xml:space="preserve">3、对评委的评分（除价格分外）进行统计汇总，直接算术平均计算出每个磋商供应商的得分，加上价格得分即为每个磋商供应商的综合得分。</w:t>
      </w:r>
      <w:r/>
    </w:p>
    <w:p>
      <w:pPr>
        <w:ind w:left="0" w:firstLine="480"/>
        <w:spacing w:line="360" w:lineRule="auto"/>
        <w:widowControl w:val="off"/>
        <w:rPr>
          <w:rStyle w:val="1081"/>
          <w:rFonts w:ascii="宋体" w:hAnsi="宋体" w:cs="宋体"/>
          <w:sz w:val="24"/>
        </w:rPr>
      </w:pPr>
      <w:r>
        <w:rPr>
          <w:rStyle w:val="1081"/>
          <w:rFonts w:hint="eastAsia" w:ascii="宋体" w:hAnsi="宋体" w:cs="宋体"/>
          <w:sz w:val="24"/>
        </w:rPr>
        <w:t xml:space="preserve">4、如出现评审总得分最高的磋商供应商有两个或两个以上的，以磋商报价较低者优先作为成交候选人，如果磋商报价也相同的，则由采购人组织以抽签方式确定成交候选人。</w:t>
      </w:r>
      <w:r/>
    </w:p>
    <w:p>
      <w:pPr>
        <w:pStyle w:val="1082"/>
        <w:ind w:left="0" w:firstLine="482"/>
        <w:jc w:val="both"/>
        <w:spacing w:line="360" w:lineRule="auto"/>
        <w:widowControl w:val="off"/>
        <w:rPr>
          <w:rStyle w:val="1081"/>
          <w:rFonts w:ascii="宋体" w:hAnsi="宋体" w:cs="宋体"/>
          <w:b/>
        </w:rPr>
      </w:pPr>
      <w:r>
        <w:rPr>
          <w:rStyle w:val="1081"/>
          <w:rFonts w:hint="eastAsia" w:ascii="宋体" w:hAnsi="宋体" w:cs="宋体"/>
          <w:b/>
        </w:rPr>
        <w:t xml:space="preserve">二、评分标准</w:t>
      </w:r>
      <w:r/>
    </w:p>
    <w:p>
      <w:pPr>
        <w:ind w:left="0" w:firstLine="482"/>
        <w:spacing w:line="360" w:lineRule="auto"/>
        <w:widowControl w:val="off"/>
        <w:rPr>
          <w:rFonts w:ascii="宋体" w:hAnsi="宋体" w:cs="宋体"/>
          <w:b/>
          <w:bCs/>
          <w:sz w:val="24"/>
          <w:szCs w:val="24"/>
        </w:rPr>
      </w:pPr>
      <w:r>
        <w:rPr>
          <w:rFonts w:hint="eastAsia" w:ascii="宋体" w:hAnsi="宋体" w:cs="宋体"/>
          <w:b/>
          <w:bCs/>
          <w:sz w:val="24"/>
          <w:szCs w:val="24"/>
        </w:rPr>
        <w:t xml:space="preserve">（一）价格基准分：20分</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第一步：磋商报价低于或等于财政预算价格的，为有效磋商报价。超财政预算的磋商报价文件为未实质性响应文件，不参与评审。</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left="0" w:firstLine="480"/>
        <w:spacing w:line="360" w:lineRule="auto"/>
        <w:widowControl w:val="off"/>
        <w:rPr>
          <w:rFonts w:ascii="宋体" w:hAnsi="宋体" w:cs="宋体"/>
          <w:sz w:val="24"/>
          <w:szCs w:val="24"/>
        </w:rPr>
      </w:pPr>
      <w:r>
        <w:rPr>
          <w:rFonts w:hint="eastAsia" w:ascii="宋体" w:hAnsi="宋体" w:cs="宋体"/>
          <w:sz w:val="24"/>
          <w:szCs w:val="24"/>
        </w:rPr>
        <w:t xml:space="preserve">磋商报价得分＝（评标基准价/磋商报价）×20%×100。</w:t>
      </w:r>
      <w:r/>
    </w:p>
    <w:p>
      <w:pPr>
        <w:ind w:left="0" w:firstLine="482"/>
        <w:jc w:val="left"/>
        <w:spacing w:line="348" w:lineRule="auto"/>
        <w:rPr>
          <w:rFonts w:ascii="宋体" w:hAnsi="宋体" w:cs="宋体"/>
          <w:b/>
          <w:bCs/>
          <w:sz w:val="24"/>
          <w:szCs w:val="22"/>
        </w:rPr>
      </w:pPr>
      <w:r>
        <w:rPr>
          <w:rFonts w:hint="eastAsia" w:ascii="宋体" w:hAnsi="宋体" w:cs="宋体"/>
          <w:b/>
          <w:bCs/>
          <w:sz w:val="24"/>
          <w:szCs w:val="22"/>
        </w:rPr>
        <w:t xml:space="preserve">（二）服务内容方案(49分)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1、针对本项目的整体可行性方案制定比较：方案依据较为充分、详尽具体、针对性强、可操作性强的得7分；方案依据一般，部分内容有针对性、可操作性的得5分；方案依据较差，针对性较差，可操作性较差得3分；未提供方案依据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2、针对本项目的线路路径设计方案比较：方案详尽具体、针对性强、可操作性强的得7分；方案一般，部分内容有针对性、可操作性的得5分；方案较差，针对性较差，可操作性较差得3分；未提供方案说明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3、项目估算的精确性比较：项目估算方案精确性高、合理性强、可行性强的得7分；项目估算方案精确性一般，部分内容有合理性、可行性的得5分；项目估算方案精确性低，合理性较差，可行性较差得3分；未提供方案说明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4、项目进度计划比较：进度计划具体、清晰划分的得7分；进度计划模糊，部分内容有针对性、可操作性的得5分；进度计划较差，针对性较差得3分；未提供进度计划说明或者不具备可操作性的不得分。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5、供电流程进度比较：流程进度方案详尽具体、针对性强、可操作性强的得7分；方案一般，部分内容有针对性、可操作性的得5分；方案较差，针对性较差，可操作性较差得3分；未提供方案说明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6、外线施工物资协调及现场管控进度比较：物资协调及现场管控进度方案详尽具体、针对性强、可操作性强的得7分；方案一般，部分内容有针对性、可操作性的得5分；方案较差，针对性较差，可操作性较差得3分；未提供方案说明或者不具备可操作性的不得分。</w:t>
      </w:r>
      <w:r/>
    </w:p>
    <w:p>
      <w:pPr>
        <w:ind w:left="0" w:firstLine="480"/>
        <w:spacing w:line="360" w:lineRule="auto"/>
        <w:widowControl w:val="off"/>
        <w:rPr>
          <w:rFonts w:ascii="宋体" w:hAnsi="宋体"/>
          <w:sz w:val="24"/>
          <w:szCs w:val="22"/>
        </w:rPr>
      </w:pPr>
      <w:r>
        <w:rPr>
          <w:rFonts w:hint="eastAsia" w:ascii="宋体" w:hAnsi="宋体"/>
          <w:sz w:val="24"/>
          <w:szCs w:val="22"/>
        </w:rPr>
        <w:t xml:space="preserve">7、人员配备（人员资格、项目班子配备合理性和完整性等）：人员配置综合素质高，配置人员种类完整的得7分；人员配置综合素质较高，配置人员种类较完整得5分；人员配置综合素质一般，配置人员种类完整较差得3分；未提供人员配置说明不得分。</w:t>
      </w:r>
      <w:r/>
    </w:p>
    <w:p>
      <w:pPr>
        <w:ind w:left="0" w:firstLine="482"/>
        <w:spacing w:line="360" w:lineRule="auto"/>
        <w:widowControl w:val="off"/>
        <w:rPr>
          <w:rFonts w:ascii="宋体" w:hAnsi="宋体"/>
          <w:b/>
          <w:sz w:val="24"/>
          <w:szCs w:val="22"/>
        </w:rPr>
      </w:pPr>
      <w:r>
        <w:rPr>
          <w:rFonts w:hint="eastAsia" w:ascii="宋体" w:hAnsi="宋体"/>
          <w:b/>
          <w:sz w:val="24"/>
          <w:szCs w:val="22"/>
        </w:rPr>
        <w:t xml:space="preserve">（三）拟投入项目人员（15分）</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1、项目负责人：具有注册电气工程师证书得3分，具有电气或机电类中级工程师及以上职称证书的得2分，最高得5分。需提供社保机构出具的近三个月投标人为其缴纳的养老保险金缴费证明材料。</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2、其他项目组成员（项目负责人除外）：</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2.1、具有电力专业注册咨询工程师证书的得2分，具有注册电气工程师证书的得2分，最高得4分；</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2.2、具有中级工程师及以上职称证书的，有1个得2分，最高得6分。</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需提供社保机构出具的近三个月投标人为其缴纳的养老保险金缴费证明材料。</w:t>
      </w:r>
      <w:r/>
    </w:p>
    <w:p>
      <w:pPr>
        <w:ind w:left="0" w:firstLine="482"/>
        <w:spacing w:line="360" w:lineRule="auto"/>
        <w:widowControl w:val="off"/>
        <w:rPr>
          <w:rFonts w:ascii="宋体" w:hAnsi="宋体"/>
          <w:b/>
          <w:sz w:val="24"/>
          <w:szCs w:val="22"/>
        </w:rPr>
      </w:pPr>
      <w:r>
        <w:rPr>
          <w:rFonts w:hint="eastAsia" w:ascii="宋体" w:hAnsi="宋体"/>
          <w:b/>
          <w:sz w:val="24"/>
          <w:szCs w:val="22"/>
        </w:rPr>
        <w:t xml:space="preserve">（四）企业综合实力比较（16分）</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1、投标人具有有效期内的质量管理体系认证、环境管理体系认证、职业健康安全管理体系认证证书，有一个得1分，最高3分。（响应文件中提供有效证书原件扫描件及证书在中国国家认证认可监督委员会网站（www.cnca.gov.cn）查询有效的网页截图，否则不得分。）</w:t>
      </w:r>
      <w:r/>
    </w:p>
    <w:p>
      <w:pPr>
        <w:ind w:left="0" w:firstLine="480"/>
        <w:spacing w:line="360" w:lineRule="auto"/>
        <w:widowControl w:val="off"/>
        <w:rPr>
          <w:rFonts w:ascii="宋体" w:hAnsi="宋体"/>
          <w:bCs/>
          <w:sz w:val="24"/>
          <w:szCs w:val="22"/>
        </w:rPr>
      </w:pPr>
      <w:r>
        <w:rPr>
          <w:rFonts w:hint="eastAsia" w:ascii="宋体" w:hAnsi="宋体"/>
          <w:bCs/>
          <w:sz w:val="24"/>
          <w:szCs w:val="22"/>
        </w:rPr>
        <w:t xml:space="preserve">2、投标人具有电力行业(送电工程、变电工程)专业的乙级及以上工程设计资质的，得3分。（响应文件中提供资质证书扫描件，否则不得分。）</w:t>
      </w:r>
      <w:r/>
    </w:p>
    <w:p>
      <w:pPr>
        <w:ind w:left="0" w:firstLine="480"/>
        <w:spacing w:line="360" w:lineRule="auto"/>
        <w:widowControl w:val="off"/>
        <w:rPr>
          <w:rFonts w:ascii="宋体" w:hAnsi="宋体" w:cs="宋体"/>
          <w:sz w:val="24"/>
          <w:szCs w:val="22"/>
        </w:rPr>
      </w:pPr>
      <w:r>
        <w:rPr>
          <w:rFonts w:hint="eastAsia" w:ascii="宋体" w:hAnsi="宋体"/>
          <w:bCs/>
          <w:sz w:val="24"/>
          <w:szCs w:val="22"/>
        </w:rPr>
        <w:t xml:space="preserve">3、投标人自2021年01月至今承担过类似电力咨询业绩（</w:t>
      </w:r>
      <w:r>
        <w:rPr>
          <w:rFonts w:hint="eastAsia" w:ascii="宋体" w:hAnsi="宋体" w:cs="宋体"/>
          <w:bCs/>
          <w:sz w:val="24"/>
          <w:szCs w:val="22"/>
        </w:rPr>
        <w:t xml:space="preserve">时间以合同签订日期为准）</w:t>
      </w:r>
      <w:r>
        <w:rPr>
          <w:rFonts w:hint="eastAsia" w:ascii="宋体" w:hAnsi="宋体"/>
          <w:bCs/>
          <w:sz w:val="24"/>
          <w:szCs w:val="22"/>
        </w:rPr>
        <w:t xml:space="preserve">，有1个得5分，最高得10分，需提供：①采购合同扫描件；②验收报告或验收合格证明扫描件。不提供或提供的业绩不符的不得分。</w:t>
      </w:r>
      <w:r/>
    </w:p>
    <w:p>
      <w:pPr>
        <w:ind w:left="0" w:firstLine="482"/>
        <w:spacing w:line="360" w:lineRule="auto"/>
        <w:widowControl w:val="off"/>
        <w:rPr>
          <w:rStyle w:val="1081"/>
          <w:rFonts w:ascii="宋体" w:hAnsi="宋体" w:cs="宋体"/>
          <w:b/>
          <w:bCs/>
          <w:sz w:val="24"/>
          <w:szCs w:val="24"/>
        </w:rPr>
      </w:pPr>
      <w:r>
        <w:rPr>
          <w:rFonts w:hint="eastAsia" w:ascii="宋体" w:hAnsi="宋体" w:cs="宋体"/>
          <w:b/>
          <w:sz w:val="24"/>
          <w:szCs w:val="24"/>
        </w:rPr>
        <w:t xml:space="preserve">注：针对评分标准中评分的每一条，响应单位在响应文件中均应提供清晰明了的相关资料并做出相应说明供评委评判，不提供相关资料的视为不具备该项得分的条件。</w:t>
      </w:r>
      <w:r/>
    </w:p>
    <w:p>
      <w:pPr>
        <w:ind w:left="0" w:firstLine="482"/>
        <w:spacing w:line="360" w:lineRule="auto"/>
        <w:widowControl w:val="off"/>
        <w:rPr>
          <w:rFonts w:ascii="宋体" w:hAnsi="宋体" w:cs="宋体"/>
          <w:b/>
          <w:sz w:val="24"/>
          <w:szCs w:val="24"/>
        </w:rPr>
      </w:pPr>
      <w:r>
        <w:rPr>
          <w:rFonts w:ascii="宋体" w:hAnsi="宋体" w:cs="宋体"/>
          <w:b/>
          <w:sz w:val="24"/>
          <w:szCs w:val="24"/>
        </w:rPr>
      </w:r>
      <w:r/>
    </w:p>
    <w:p>
      <w:pPr>
        <w:ind w:left="0" w:firstLine="482"/>
        <w:jc w:val="right"/>
        <w:spacing w:line="360" w:lineRule="auto"/>
        <w:widowControl w:val="off"/>
        <w:rPr>
          <w:rFonts w:ascii="宋体" w:hAnsi="宋体" w:cs="宋体"/>
          <w:b/>
          <w:sz w:val="24"/>
          <w:szCs w:val="24"/>
        </w:rPr>
      </w:pPr>
      <w:r>
        <w:rPr>
          <w:rFonts w:hint="eastAsia" w:ascii="宋体" w:hAnsi="宋体" w:cs="宋体"/>
          <w:b/>
          <w:sz w:val="24"/>
          <w:szCs w:val="24"/>
        </w:rPr>
        <w:t xml:space="preserve">（全文完）</w:t>
      </w:r>
      <w:r/>
    </w:p>
    <w:sectPr>
      <w:footerReference w:type="default" r:id="rId18"/>
      <w:footerReference w:type="first" r:id="rId19"/>
      <w:footnotePr/>
      <w:endnotePr/>
      <w:type w:val="nextPage"/>
      <w:pgSz w:w="11906" w:h="16838" w:orient="portrait"/>
      <w:pgMar w:top="1418" w:right="1021" w:bottom="1418" w:left="1021" w:header="794"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等线">
    <w:panose1 w:val="02010600030101010101"/>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69"/>
      </w:rPr>
      <w:framePr w:wrap="around" w:vAnchor="text" w:hAnchor="margin" w:xAlign="center" w:y="1"/>
    </w:pPr>
    <w:r>
      <w:rPr>
        <w:rStyle w:val="1069"/>
      </w:rPr>
      <w:fldChar w:fldCharType="begin"/>
    </w:r>
    <w:r>
      <w:rPr>
        <w:rStyle w:val="1069"/>
      </w:rPr>
      <w:instrText xml:space="preserve"> PAGE </w:instrText>
    </w:r>
    <w:r>
      <w:rPr>
        <w:rStyle w:val="1069"/>
      </w:rPr>
      <w:fldChar w:fldCharType="end"/>
    </w:r>
    <w:r/>
  </w:p>
  <w:p>
    <w:pPr>
      <w:pStyle w:val="10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rPr>
        <w:rFonts w:ascii="Times New Roman" w:hAnsi="Times New Roman"/>
        <w:sz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2384425</wp:posOffset>
              </wp:positionH>
              <wp:positionV relativeFrom="paragraph">
                <wp:posOffset>-126365</wp:posOffset>
              </wp:positionV>
              <wp:extent cx="1494155" cy="21844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494155" cy="218440"/>
                      </a:xfrm>
                      <a:prstGeom prst="rect">
                        <a:avLst/>
                      </a:prstGeom>
                      <a:noFill/>
                      <a:ln w="6350">
                        <a:noFill/>
                      </a:ln>
                    </wps:spPr>
                    <wps:txbx>
                      <w:txbxContent>
                        <w:p>
                          <w:pPr>
                            <w:pStyle w:val="1060"/>
                            <w:ind w:firstLine="0"/>
                          </w:pPr>
                          <w:r>
                            <w:t xml:space="preserve">第 </w:t>
                          </w:r>
                          <w:r>
                            <w:fldChar w:fldCharType="begin"/>
                          </w:r>
                          <w:r>
                            <w:instrText xml:space="preserve"> PAGE  \* MERGEFORMAT </w:instrText>
                          </w:r>
                          <w:r>
                            <w:fldChar w:fldCharType="separate"/>
                          </w:r>
                          <w:r>
                            <w:t xml:space="preserve">42</w:t>
                          </w:r>
                          <w:r>
                            <w:fldChar w:fldCharType="end"/>
                          </w:r>
                          <w:r>
                            <w:t xml:space="preserve"> 页 共 </w:t>
                          </w:r>
                          <w:r>
                            <w:rPr>
                              <w:rFonts w:hint="eastAsia"/>
                            </w:rPr>
                            <w:t xml:space="preserve">43</w:t>
                          </w:r>
                          <w: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87.8pt;mso-position-horizontal:absolute;mso-position-vertical-relative:text;margin-top:-9.9pt;mso-position-vertical:absolute;width:117.6pt;height:17.2pt;mso-wrap-distance-left:9.0pt;mso-wrap-distance-top:0.0pt;mso-wrap-distance-right:9.0pt;mso-wrap-distance-bottom:0.0pt;visibility:visible;" filled="f" stroked="f" strokeweight="0.50pt">
              <v:textbox inset="0,0,0,0">
                <w:txbxContent>
                  <w:p>
                    <w:pPr>
                      <w:pStyle w:val="1060"/>
                      <w:ind w:firstLine="0"/>
                    </w:pPr>
                    <w:r>
                      <w:t xml:space="preserve">第 </w:t>
                    </w:r>
                    <w:r>
                      <w:fldChar w:fldCharType="begin"/>
                    </w:r>
                    <w:r>
                      <w:instrText xml:space="preserve"> PAGE  \* MERGEFORMAT </w:instrText>
                    </w:r>
                    <w:r>
                      <w:fldChar w:fldCharType="separate"/>
                    </w:r>
                    <w:r>
                      <w:t xml:space="preserve">42</w:t>
                    </w:r>
                    <w:r>
                      <w:fldChar w:fldCharType="end"/>
                    </w:r>
                    <w:r>
                      <w:t xml:space="preserve"> 页 共 </w:t>
                    </w:r>
                    <w:r>
                      <w:rPr>
                        <w:rFonts w:hint="eastAsia"/>
                      </w:rPr>
                      <w:t xml:space="preserve">43</w:t>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60"/>
                            <w:ind w:firstLine="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60"/>
                      <w:ind w:firstLine="0"/>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703"/>
      <w:tabs>
        <w:tab w:val="center" w:pos="4153" w:leader="none"/>
        <w:tab w:val="right" w:pos="8640" w:leader="none"/>
      </w:tabs>
      <w:rPr>
        <w:rFonts w:ascii="宋体" w:hAnsi="宋体"/>
        <w:sz w:val="18"/>
        <w:highlight w:val="yellow"/>
      </w:rPr>
      <w:pBdr>
        <w:bottom w:val="single" w:color="000000" w:sz="6" w:space="1"/>
      </w:pBdr>
    </w:pPr>
    <w:r>
      <w:rPr>
        <w:rFonts w:hint="eastAsia" w:ascii="宋体" w:hAnsi="宋体"/>
        <w:sz w:val="18"/>
      </w:rPr>
      <w:t xml:space="preserve">江苏仁禾中衡工程咨询房地产估价有限公司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w:t>
    </w:r>
    <w:r>
      <w:rPr>
        <w:rFonts w:hint="eastAsia" w:ascii="宋体" w:hAnsi="宋体"/>
        <w:sz w:val="18"/>
        <w:highlight w:val="yellow"/>
      </w:rPr>
      <w:t xml:space="preserve">JSZC-320507-SHYS-C2024-0068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0"/>
      <w:jc w:val="left"/>
      <w:pBdr>
        <w:bottom w:val="single" w:color="000000" w:sz="4"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jc w:val="center"/>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江苏仁禾中衡工程咨询房地产估价有限公司 </w:t>
    </w:r>
    <w:r>
      <w:rPr>
        <w:rFonts w:ascii="宋体" w:hAnsi="宋体"/>
        <w:sz w:val="18"/>
      </w:rPr>
      <w:t xml:space="preserve">                    </w:t>
    </w:r>
    <w:r>
      <w:rPr>
        <w:rFonts w:hint="eastAsia" w:ascii="宋体" w:hAnsi="宋体"/>
        <w:sz w:val="18"/>
      </w:rPr>
      <w:t xml:space="preserve">    项目编号：</w:t>
    </w:r>
    <w:r>
      <w:rPr>
        <w:rFonts w:ascii="Segoe UI" w:hAnsi="Segoe UI" w:eastAsia="Segoe UI" w:cs="Segoe UI"/>
        <w:sz w:val="21"/>
        <w:szCs w:val="21"/>
        <w:shd w:val="clear" w:color="auto" w:fill="ffffff"/>
      </w:rPr>
      <w:t xml:space="preserve">JSZC-320507-RHHH-C2024-0163</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0"/>
      <w:tabs>
        <w:tab w:val="clear" w:pos="7143" w:leader="none"/>
        <w:tab w:val="clear" w:pos="14287" w:leader="none"/>
      </w:tabs>
    </w:pPr>
    <w:r>
      <w:rPr>
        <w:rFonts w:hint="eastAsia" w:ascii="宋体" w:hAnsi="宋体"/>
        <w:sz w:val="18"/>
      </w:rPr>
      <w:t xml:space="preserve">江苏仁禾中衡工程咨询房地产估价有限公司 </w:t>
    </w:r>
    <w:r>
      <w:rPr>
        <w:rFonts w:ascii="宋体" w:hAnsi="宋体"/>
        <w:sz w:val="18"/>
      </w:rPr>
      <w:t xml:space="preserve">                </w:t>
    </w:r>
    <w:r>
      <w:rPr>
        <w:rFonts w:hint="eastAsia" w:ascii="宋体" w:hAnsi="宋体"/>
        <w:sz w:val="18"/>
      </w:rPr>
      <w:t xml:space="preserve">            </w:t>
    </w:r>
    <w:r>
      <w:rPr>
        <w:rFonts w:ascii="宋体" w:hAnsi="宋体"/>
        <w:sz w:val="18"/>
      </w:rPr>
      <w:t xml:space="preserve">  </w:t>
    </w:r>
    <w:r>
      <w:rPr>
        <w:rFonts w:hint="eastAsia" w:ascii="宋体" w:hAnsi="宋体"/>
        <w:sz w:val="18"/>
      </w:rPr>
      <w:t xml:space="preserve"> 项目编号：JSZC-320507-RHHH-C2024-0163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5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868"/>
    <w:link w:val="859"/>
    <w:uiPriority w:val="9"/>
    <w:rPr>
      <w:rFonts w:ascii="Arial" w:hAnsi="Arial" w:eastAsia="Arial" w:cs="Arial"/>
      <w:sz w:val="40"/>
      <w:szCs w:val="40"/>
    </w:rPr>
  </w:style>
  <w:style w:type="character" w:styleId="841">
    <w:name w:val="Heading 2 Char"/>
    <w:basedOn w:val="868"/>
    <w:link w:val="860"/>
    <w:uiPriority w:val="9"/>
    <w:rPr>
      <w:rFonts w:ascii="Arial" w:hAnsi="Arial" w:eastAsia="Arial" w:cs="Arial"/>
      <w:sz w:val="34"/>
    </w:rPr>
  </w:style>
  <w:style w:type="character" w:styleId="842">
    <w:name w:val="Heading 3 Char"/>
    <w:basedOn w:val="868"/>
    <w:link w:val="861"/>
    <w:uiPriority w:val="9"/>
    <w:rPr>
      <w:rFonts w:ascii="Arial" w:hAnsi="Arial" w:eastAsia="Arial" w:cs="Arial"/>
      <w:sz w:val="30"/>
      <w:szCs w:val="30"/>
    </w:rPr>
  </w:style>
  <w:style w:type="character" w:styleId="843">
    <w:name w:val="Heading 4 Char"/>
    <w:basedOn w:val="868"/>
    <w:link w:val="862"/>
    <w:uiPriority w:val="9"/>
    <w:rPr>
      <w:rFonts w:ascii="Arial" w:hAnsi="Arial" w:eastAsia="Arial" w:cs="Arial"/>
      <w:b/>
      <w:bCs/>
      <w:sz w:val="26"/>
      <w:szCs w:val="26"/>
    </w:rPr>
  </w:style>
  <w:style w:type="character" w:styleId="844">
    <w:name w:val="Heading 5 Char"/>
    <w:basedOn w:val="868"/>
    <w:link w:val="863"/>
    <w:uiPriority w:val="9"/>
    <w:rPr>
      <w:rFonts w:ascii="Arial" w:hAnsi="Arial" w:eastAsia="Arial" w:cs="Arial"/>
      <w:b/>
      <w:bCs/>
      <w:sz w:val="24"/>
      <w:szCs w:val="24"/>
    </w:rPr>
  </w:style>
  <w:style w:type="character" w:styleId="845">
    <w:name w:val="Heading 6 Char"/>
    <w:basedOn w:val="868"/>
    <w:link w:val="864"/>
    <w:uiPriority w:val="9"/>
    <w:rPr>
      <w:rFonts w:ascii="Arial" w:hAnsi="Arial" w:eastAsia="Arial" w:cs="Arial"/>
      <w:b/>
      <w:bCs/>
      <w:sz w:val="22"/>
      <w:szCs w:val="22"/>
    </w:rPr>
  </w:style>
  <w:style w:type="character" w:styleId="846">
    <w:name w:val="Heading 7 Char"/>
    <w:basedOn w:val="868"/>
    <w:link w:val="865"/>
    <w:uiPriority w:val="9"/>
    <w:rPr>
      <w:rFonts w:ascii="Arial" w:hAnsi="Arial" w:eastAsia="Arial" w:cs="Arial"/>
      <w:b/>
      <w:bCs/>
      <w:i/>
      <w:iCs/>
      <w:sz w:val="22"/>
      <w:szCs w:val="22"/>
    </w:rPr>
  </w:style>
  <w:style w:type="character" w:styleId="847">
    <w:name w:val="Heading 8 Char"/>
    <w:basedOn w:val="868"/>
    <w:link w:val="866"/>
    <w:uiPriority w:val="9"/>
    <w:rPr>
      <w:rFonts w:ascii="Arial" w:hAnsi="Arial" w:eastAsia="Arial" w:cs="Arial"/>
      <w:i/>
      <w:iCs/>
      <w:sz w:val="22"/>
      <w:szCs w:val="22"/>
    </w:rPr>
  </w:style>
  <w:style w:type="character" w:styleId="848">
    <w:name w:val="Heading 9 Char"/>
    <w:basedOn w:val="868"/>
    <w:link w:val="867"/>
    <w:uiPriority w:val="9"/>
    <w:rPr>
      <w:rFonts w:ascii="Arial" w:hAnsi="Arial" w:eastAsia="Arial" w:cs="Arial"/>
      <w:i/>
      <w:iCs/>
      <w:sz w:val="21"/>
      <w:szCs w:val="21"/>
    </w:rPr>
  </w:style>
  <w:style w:type="character" w:styleId="849">
    <w:name w:val="Title Char"/>
    <w:basedOn w:val="868"/>
    <w:link w:val="891"/>
    <w:uiPriority w:val="10"/>
    <w:rPr>
      <w:sz w:val="48"/>
      <w:szCs w:val="48"/>
    </w:rPr>
  </w:style>
  <w:style w:type="character" w:styleId="850">
    <w:name w:val="Subtitle Char"/>
    <w:basedOn w:val="868"/>
    <w:link w:val="885"/>
    <w:uiPriority w:val="11"/>
    <w:rPr>
      <w:sz w:val="24"/>
      <w:szCs w:val="24"/>
    </w:rPr>
  </w:style>
  <w:style w:type="character" w:styleId="851">
    <w:name w:val="Quote Char"/>
    <w:link w:val="912"/>
    <w:uiPriority w:val="29"/>
    <w:rPr>
      <w:i/>
    </w:rPr>
  </w:style>
  <w:style w:type="character" w:styleId="852">
    <w:name w:val="Intense Quote Char"/>
    <w:link w:val="914"/>
    <w:uiPriority w:val="30"/>
    <w:rPr>
      <w:i/>
    </w:rPr>
  </w:style>
  <w:style w:type="character" w:styleId="853">
    <w:name w:val="Header Char"/>
    <w:basedOn w:val="868"/>
    <w:link w:val="882"/>
    <w:uiPriority w:val="99"/>
  </w:style>
  <w:style w:type="character" w:styleId="854">
    <w:name w:val="Caption Char"/>
    <w:basedOn w:val="872"/>
    <w:link w:val="881"/>
    <w:uiPriority w:val="99"/>
  </w:style>
  <w:style w:type="character" w:styleId="855">
    <w:name w:val="Footnote Text Char"/>
    <w:link w:val="886"/>
    <w:uiPriority w:val="99"/>
    <w:rPr>
      <w:sz w:val="18"/>
    </w:rPr>
  </w:style>
  <w:style w:type="character" w:styleId="856">
    <w:name w:val="Endnote Text Char"/>
    <w:link w:val="879"/>
    <w:uiPriority w:val="99"/>
    <w:rPr>
      <w:sz w:val="20"/>
    </w:rPr>
  </w:style>
  <w:style w:type="paragraph" w:styleId="857">
    <w:name w:val="TOC Heading"/>
    <w:uiPriority w:val="39"/>
    <w:unhideWhenUsed/>
  </w:style>
  <w:style w:type="paragraph" w:styleId="858" w:default="1">
    <w:name w:val="Normal"/>
    <w:uiPriority w:val="0"/>
    <w:qFormat/>
    <w:pPr>
      <w:ind w:left="1024"/>
      <w:jc w:val="both"/>
    </w:pPr>
    <w:rPr>
      <w:rFonts w:ascii="Calibri" w:hAnsi="Calibri" w:eastAsia="宋体" w:cs="Times New Roman"/>
      <w:lang w:val="en-US" w:eastAsia="zh-CN" w:bidi="ar-SA"/>
    </w:rPr>
  </w:style>
  <w:style w:type="paragraph" w:styleId="859">
    <w:name w:val="Heading 1"/>
    <w:basedOn w:val="858"/>
    <w:next w:val="858"/>
    <w:link w:val="899"/>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58"/>
    <w:link w:val="900"/>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link w:val="901"/>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2"/>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3"/>
    <w:uiPriority w:val="9"/>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04"/>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6"/>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07"/>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style>
  <w:style w:type="table" w:styleId="869" w:default="1">
    <w:name w:val="Normal Table"/>
    <w:uiPriority w:val="99"/>
    <w:semiHidden/>
    <w:unhideWhenUsed/>
    <w:tblPr>
      <w:tblCellMar>
        <w:left w:w="108" w:type="dxa"/>
        <w:top w:w="0" w:type="dxa"/>
        <w:right w:w="108" w:type="dxa"/>
        <w:bottom w:w="0" w:type="dxa"/>
      </w:tblCellMar>
    </w:tblPr>
  </w:style>
  <w:style w:type="paragraph" w:styleId="870">
    <w:name w:val="toc 7"/>
    <w:basedOn w:val="858"/>
    <w:next w:val="858"/>
    <w:uiPriority w:val="39"/>
    <w:unhideWhenUsed/>
    <w:qFormat/>
    <w:pPr>
      <w:ind w:left="1701"/>
      <w:spacing w:after="57"/>
    </w:pPr>
  </w:style>
  <w:style w:type="paragraph" w:styleId="871">
    <w:name w:val="Normal Indent"/>
    <w:basedOn w:val="858"/>
    <w:next w:val="858"/>
    <w:uiPriority w:val="0"/>
    <w:qFormat/>
    <w:pPr>
      <w:ind w:left="420" w:firstLine="4772"/>
    </w:p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Body Text"/>
    <w:basedOn w:val="858"/>
    <w:uiPriority w:val="0"/>
    <w:semiHidden/>
    <w:qFormat/>
    <w:rPr>
      <w:rFonts w:ascii="仿宋" w:hAnsi="仿宋" w:eastAsia="仿宋" w:cs="仿宋"/>
      <w:sz w:val="22"/>
      <w:szCs w:val="22"/>
      <w:lang w:eastAsia="en-US"/>
    </w:rPr>
  </w:style>
  <w:style w:type="paragraph" w:styleId="874">
    <w:name w:val="Body Text Indent"/>
    <w:basedOn w:val="858"/>
    <w:next w:val="875"/>
    <w:uiPriority w:val="0"/>
    <w:qFormat/>
    <w:pPr>
      <w:ind w:left="420" w:firstLine="1188"/>
      <w:spacing w:line="360" w:lineRule="exact"/>
    </w:pPr>
  </w:style>
  <w:style w:type="paragraph" w:styleId="875">
    <w:name w:val="envelope return"/>
    <w:basedOn w:val="858"/>
    <w:uiPriority w:val="99"/>
    <w:unhideWhenUsed/>
    <w:qFormat/>
    <w:rPr>
      <w:rFonts w:ascii="Arial" w:hAnsi="Arial"/>
    </w:rPr>
  </w:style>
  <w:style w:type="paragraph" w:styleId="876">
    <w:name w:val="toc 5"/>
    <w:basedOn w:val="858"/>
    <w:next w:val="858"/>
    <w:uiPriority w:val="39"/>
    <w:unhideWhenUsed/>
    <w:qFormat/>
    <w:pPr>
      <w:ind w:left="1134"/>
      <w:spacing w:after="57"/>
    </w:pPr>
  </w:style>
  <w:style w:type="paragraph" w:styleId="877">
    <w:name w:val="toc 3"/>
    <w:basedOn w:val="858"/>
    <w:next w:val="858"/>
    <w:uiPriority w:val="39"/>
    <w:unhideWhenUsed/>
    <w:qFormat/>
    <w:pPr>
      <w:ind w:left="567"/>
      <w:spacing w:after="57"/>
    </w:pPr>
  </w:style>
  <w:style w:type="paragraph" w:styleId="878">
    <w:name w:val="toc 8"/>
    <w:basedOn w:val="858"/>
    <w:next w:val="858"/>
    <w:uiPriority w:val="39"/>
    <w:unhideWhenUsed/>
    <w:qFormat/>
    <w:pPr>
      <w:ind w:left="1984"/>
      <w:spacing w:after="57"/>
    </w:pPr>
  </w:style>
  <w:style w:type="paragraph" w:styleId="879">
    <w:name w:val="endnote text"/>
    <w:basedOn w:val="858"/>
    <w:link w:val="1045"/>
    <w:uiPriority w:val="99"/>
    <w:semiHidden/>
    <w:unhideWhenUsed/>
    <w:qFormat/>
  </w:style>
  <w:style w:type="paragraph" w:styleId="880">
    <w:name w:val="Balloon Text"/>
    <w:basedOn w:val="858"/>
    <w:link w:val="1096"/>
    <w:uiPriority w:val="99"/>
    <w:semiHidden/>
    <w:unhideWhenUsed/>
    <w:rPr>
      <w:sz w:val="18"/>
      <w:szCs w:val="18"/>
    </w:rPr>
  </w:style>
  <w:style w:type="paragraph" w:styleId="881">
    <w:name w:val="Footer"/>
    <w:basedOn w:val="858"/>
    <w:link w:val="918"/>
    <w:uiPriority w:val="99"/>
    <w:unhideWhenUsed/>
    <w:qFormat/>
    <w:pPr>
      <w:tabs>
        <w:tab w:val="center" w:pos="7143" w:leader="none"/>
        <w:tab w:val="right" w:pos="14287" w:leader="none"/>
      </w:tabs>
    </w:pPr>
  </w:style>
  <w:style w:type="paragraph" w:styleId="882">
    <w:name w:val="Header"/>
    <w:basedOn w:val="858"/>
    <w:link w:val="916"/>
    <w:uiPriority w:val="99"/>
    <w:unhideWhenUsed/>
    <w:qFormat/>
    <w:pPr>
      <w:tabs>
        <w:tab w:val="center" w:pos="7143" w:leader="none"/>
        <w:tab w:val="right" w:pos="14287" w:leader="none"/>
      </w:tabs>
    </w:pPr>
  </w:style>
  <w:style w:type="paragraph" w:styleId="883">
    <w:name w:val="toc 1"/>
    <w:basedOn w:val="858"/>
    <w:next w:val="858"/>
    <w:uiPriority w:val="39"/>
    <w:unhideWhenUsed/>
    <w:qFormat/>
    <w:pPr>
      <w:ind w:left="0"/>
      <w:spacing w:after="57"/>
    </w:pPr>
  </w:style>
  <w:style w:type="paragraph" w:styleId="884">
    <w:name w:val="toc 4"/>
    <w:basedOn w:val="858"/>
    <w:next w:val="858"/>
    <w:uiPriority w:val="39"/>
    <w:unhideWhenUsed/>
    <w:qFormat/>
    <w:pPr>
      <w:ind w:left="850"/>
      <w:spacing w:after="57"/>
    </w:pPr>
  </w:style>
  <w:style w:type="paragraph" w:styleId="885">
    <w:name w:val="Subtitle"/>
    <w:basedOn w:val="858"/>
    <w:next w:val="858"/>
    <w:link w:val="911"/>
    <w:uiPriority w:val="11"/>
    <w:qFormat/>
    <w:pPr>
      <w:spacing w:before="200" w:after="200"/>
    </w:pPr>
    <w:rPr>
      <w:sz w:val="24"/>
      <w:szCs w:val="24"/>
    </w:rPr>
  </w:style>
  <w:style w:type="paragraph" w:styleId="886">
    <w:name w:val="footnote text"/>
    <w:basedOn w:val="858"/>
    <w:link w:val="1044"/>
    <w:uiPriority w:val="99"/>
    <w:semiHidden/>
    <w:unhideWhenUsed/>
    <w:qFormat/>
    <w:pPr>
      <w:spacing w:after="40"/>
    </w:pPr>
    <w:rPr>
      <w:sz w:val="18"/>
    </w:rPr>
  </w:style>
  <w:style w:type="paragraph" w:styleId="887">
    <w:name w:val="toc 6"/>
    <w:basedOn w:val="858"/>
    <w:next w:val="858"/>
    <w:uiPriority w:val="39"/>
    <w:unhideWhenUsed/>
    <w:qFormat/>
    <w:pPr>
      <w:ind w:left="1417"/>
      <w:spacing w:after="57"/>
    </w:pPr>
  </w:style>
  <w:style w:type="paragraph" w:styleId="888">
    <w:name w:val="table of figures"/>
    <w:basedOn w:val="858"/>
    <w:next w:val="858"/>
    <w:uiPriority w:val="99"/>
    <w:unhideWhenUsed/>
    <w:qFormat/>
  </w:style>
  <w:style w:type="paragraph" w:styleId="889">
    <w:name w:val="toc 2"/>
    <w:basedOn w:val="858"/>
    <w:next w:val="858"/>
    <w:uiPriority w:val="39"/>
    <w:unhideWhenUsed/>
    <w:qFormat/>
    <w:pPr>
      <w:ind w:left="283"/>
      <w:spacing w:after="57"/>
    </w:pPr>
  </w:style>
  <w:style w:type="paragraph" w:styleId="890">
    <w:name w:val="toc 9"/>
    <w:basedOn w:val="858"/>
    <w:next w:val="858"/>
    <w:uiPriority w:val="39"/>
    <w:unhideWhenUsed/>
    <w:qFormat/>
    <w:pPr>
      <w:ind w:left="2268"/>
      <w:spacing w:after="57"/>
    </w:pPr>
  </w:style>
  <w:style w:type="paragraph" w:styleId="891">
    <w:name w:val="Title"/>
    <w:basedOn w:val="858"/>
    <w:next w:val="858"/>
    <w:link w:val="910"/>
    <w:uiPriority w:val="10"/>
    <w:qFormat/>
    <w:pPr>
      <w:contextualSpacing/>
      <w:spacing w:before="300" w:after="200"/>
    </w:pPr>
    <w:rPr>
      <w:sz w:val="48"/>
      <w:szCs w:val="48"/>
    </w:r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68"/>
    <w:uiPriority w:val="22"/>
    <w:qFormat/>
    <w:rPr>
      <w:b/>
    </w:rPr>
  </w:style>
  <w:style w:type="character" w:styleId="894">
    <w:name w:val="endnote reference"/>
    <w:uiPriority w:val="99"/>
    <w:semiHidden/>
    <w:unhideWhenUsed/>
    <w:qFormat/>
    <w:rPr>
      <w:vertAlign w:val="superscript"/>
    </w:rPr>
  </w:style>
  <w:style w:type="character" w:styleId="895">
    <w:name w:val="Hyperlink"/>
    <w:uiPriority w:val="99"/>
    <w:unhideWhenUsed/>
    <w:qFormat/>
    <w:rPr>
      <w:color w:val="0000ff" w:themeColor="hyperlink"/>
      <w:u w:val="single"/>
      <w14:textFill>
        <w14:solidFill>
          <w14:schemeClr w14:val="hlink"/>
        </w14:solidFill>
      </w14:textFill>
    </w:rPr>
  </w:style>
  <w:style w:type="character" w:styleId="896">
    <w:name w:val="footnote reference"/>
    <w:uiPriority w:val="99"/>
    <w:unhideWhenUsed/>
    <w:qFormat/>
    <w:rPr>
      <w:vertAlign w:val="superscript"/>
    </w:rPr>
  </w:style>
  <w:style w:type="paragraph" w:styleId="897" w:customStyle="1">
    <w:name w:val="标题 31"/>
    <w:basedOn w:val="858"/>
    <w:next w:val="858"/>
    <w:uiPriority w:val="0"/>
    <w:qFormat/>
    <w:pPr>
      <w:jc w:val="left"/>
      <w:spacing w:before="100" w:beforeAutospacing="1" w:after="100" w:afterAutospacing="1"/>
      <w:outlineLvl w:val="2"/>
    </w:pPr>
    <w:rPr>
      <w:rFonts w:hint="eastAsia" w:ascii="宋体" w:hAnsi="宋体"/>
      <w:b/>
      <w:bCs/>
      <w:sz w:val="27"/>
      <w:szCs w:val="27"/>
    </w:rPr>
  </w:style>
  <w:style w:type="paragraph" w:styleId="898" w:customStyle="1">
    <w:name w:val="正文文本缩进1"/>
    <w:basedOn w:val="858"/>
    <w:next w:val="858"/>
    <w:uiPriority w:val="0"/>
    <w:qFormat/>
    <w:pPr>
      <w:ind w:left="420" w:firstLine="1188"/>
      <w:spacing w:line="360" w:lineRule="exact"/>
    </w:pPr>
  </w:style>
  <w:style w:type="character" w:styleId="899" w:customStyle="1">
    <w:name w:val="标题 1 Char"/>
    <w:link w:val="859"/>
    <w:uiPriority w:val="9"/>
    <w:qFormat/>
    <w:rPr>
      <w:rFonts w:ascii="Arial" w:hAnsi="Arial" w:eastAsia="Arial" w:cs="Arial"/>
      <w:sz w:val="40"/>
      <w:szCs w:val="40"/>
    </w:rPr>
  </w:style>
  <w:style w:type="character" w:styleId="900" w:customStyle="1">
    <w:name w:val="标题 2 Char"/>
    <w:link w:val="860"/>
    <w:uiPriority w:val="9"/>
    <w:qFormat/>
    <w:rPr>
      <w:rFonts w:ascii="Arial" w:hAnsi="Arial" w:eastAsia="Arial" w:cs="Arial"/>
      <w:sz w:val="34"/>
    </w:rPr>
  </w:style>
  <w:style w:type="character" w:styleId="901" w:customStyle="1">
    <w:name w:val="标题 3 Char"/>
    <w:link w:val="861"/>
    <w:uiPriority w:val="9"/>
    <w:qFormat/>
    <w:rPr>
      <w:rFonts w:ascii="Arial" w:hAnsi="Arial" w:eastAsia="Arial" w:cs="Arial"/>
      <w:sz w:val="30"/>
      <w:szCs w:val="30"/>
    </w:rPr>
  </w:style>
  <w:style w:type="character" w:styleId="902" w:customStyle="1">
    <w:name w:val="标题 4 Char"/>
    <w:link w:val="862"/>
    <w:uiPriority w:val="9"/>
    <w:qFormat/>
    <w:rPr>
      <w:rFonts w:ascii="Arial" w:hAnsi="Arial" w:eastAsia="Arial" w:cs="Arial"/>
      <w:b/>
      <w:bCs/>
      <w:sz w:val="26"/>
      <w:szCs w:val="26"/>
    </w:rPr>
  </w:style>
  <w:style w:type="character" w:styleId="903" w:customStyle="1">
    <w:name w:val="标题 5 Char"/>
    <w:link w:val="863"/>
    <w:uiPriority w:val="9"/>
    <w:qFormat/>
    <w:rPr>
      <w:rFonts w:ascii="Arial" w:hAnsi="Arial" w:eastAsia="Arial" w:cs="Arial"/>
      <w:b/>
      <w:bCs/>
      <w:sz w:val="24"/>
      <w:szCs w:val="24"/>
    </w:rPr>
  </w:style>
  <w:style w:type="character" w:styleId="904" w:customStyle="1">
    <w:name w:val="标题 6 Char"/>
    <w:link w:val="864"/>
    <w:uiPriority w:val="9"/>
    <w:qFormat/>
    <w:rPr>
      <w:rFonts w:ascii="Arial" w:hAnsi="Arial" w:eastAsia="Arial" w:cs="Arial"/>
      <w:b/>
      <w:bCs/>
      <w:sz w:val="22"/>
      <w:szCs w:val="22"/>
    </w:rPr>
  </w:style>
  <w:style w:type="character" w:styleId="905" w:customStyle="1">
    <w:name w:val="标题 7 Char"/>
    <w:link w:val="865"/>
    <w:uiPriority w:val="9"/>
    <w:qFormat/>
    <w:rPr>
      <w:rFonts w:ascii="Arial" w:hAnsi="Arial" w:eastAsia="Arial" w:cs="Arial"/>
      <w:b/>
      <w:bCs/>
      <w:i/>
      <w:iCs/>
      <w:sz w:val="22"/>
      <w:szCs w:val="22"/>
    </w:rPr>
  </w:style>
  <w:style w:type="character" w:styleId="906" w:customStyle="1">
    <w:name w:val="标题 8 Char"/>
    <w:link w:val="866"/>
    <w:uiPriority w:val="9"/>
    <w:qFormat/>
    <w:rPr>
      <w:rFonts w:ascii="Arial" w:hAnsi="Arial" w:eastAsia="Arial" w:cs="Arial"/>
      <w:i/>
      <w:iCs/>
      <w:sz w:val="22"/>
      <w:szCs w:val="22"/>
    </w:rPr>
  </w:style>
  <w:style w:type="character" w:styleId="907" w:customStyle="1">
    <w:name w:val="标题 9 Char"/>
    <w:link w:val="867"/>
    <w:uiPriority w:val="9"/>
    <w:qFormat/>
    <w:rPr>
      <w:rFonts w:ascii="Arial" w:hAnsi="Arial" w:eastAsia="Arial" w:cs="Arial"/>
      <w:i/>
      <w:iCs/>
      <w:sz w:val="21"/>
      <w:szCs w:val="21"/>
    </w:rPr>
  </w:style>
  <w:style w:type="paragraph" w:styleId="908">
    <w:name w:val="List Paragraph"/>
    <w:basedOn w:val="858"/>
    <w:uiPriority w:val="34"/>
    <w:qFormat/>
    <w:pPr>
      <w:contextualSpacing/>
      <w:ind w:left="720"/>
    </w:pPr>
  </w:style>
  <w:style w:type="paragraph" w:styleId="909">
    <w:name w:val="No Spacing"/>
    <w:uiPriority w:val="1"/>
    <w:qFormat/>
    <w:rPr>
      <w:rFonts w:ascii="Times New Roman" w:hAnsi="Times New Roman" w:eastAsia="宋体" w:cs="Times New Roman"/>
      <w:lang w:val="en-US" w:eastAsia="zh-CN" w:bidi="ar-SA"/>
    </w:rPr>
  </w:style>
  <w:style w:type="character" w:styleId="910" w:customStyle="1">
    <w:name w:val="标题 Char"/>
    <w:link w:val="891"/>
    <w:uiPriority w:val="10"/>
    <w:qFormat/>
    <w:rPr>
      <w:sz w:val="48"/>
      <w:szCs w:val="48"/>
    </w:rPr>
  </w:style>
  <w:style w:type="character" w:styleId="911" w:customStyle="1">
    <w:name w:val="副标题 Char"/>
    <w:link w:val="885"/>
    <w:uiPriority w:val="11"/>
    <w:qFormat/>
    <w:rPr>
      <w:sz w:val="24"/>
      <w:szCs w:val="24"/>
    </w:rPr>
  </w:style>
  <w:style w:type="paragraph" w:styleId="912">
    <w:name w:val="Quote"/>
    <w:basedOn w:val="858"/>
    <w:next w:val="858"/>
    <w:link w:val="913"/>
    <w:uiPriority w:val="29"/>
    <w:qFormat/>
    <w:pPr>
      <w:ind w:left="720" w:right="720"/>
    </w:pPr>
    <w:rPr>
      <w:i/>
    </w:rPr>
  </w:style>
  <w:style w:type="character" w:styleId="913" w:customStyle="1">
    <w:name w:val="引用 Char"/>
    <w:link w:val="912"/>
    <w:uiPriority w:val="29"/>
    <w:qFormat/>
    <w:rPr>
      <w:i/>
    </w:rPr>
  </w:style>
  <w:style w:type="paragraph" w:styleId="914">
    <w:name w:val="Intense Quote"/>
    <w:basedOn w:val="858"/>
    <w:next w:val="85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Char"/>
    <w:link w:val="914"/>
    <w:uiPriority w:val="30"/>
    <w:qFormat/>
    <w:rPr>
      <w:i/>
    </w:rPr>
  </w:style>
  <w:style w:type="character" w:styleId="916" w:customStyle="1">
    <w:name w:val="页眉 Char"/>
    <w:link w:val="882"/>
    <w:uiPriority w:val="99"/>
    <w:qFormat/>
  </w:style>
  <w:style w:type="character" w:styleId="917" w:customStyle="1">
    <w:name w:val="Footer Char"/>
    <w:uiPriority w:val="99"/>
    <w:qFormat/>
  </w:style>
  <w:style w:type="character" w:styleId="918" w:customStyle="1">
    <w:name w:val="页脚 Char"/>
    <w:link w:val="881"/>
    <w:uiPriority w:val="99"/>
    <w:qFormat/>
  </w:style>
  <w:style w:type="table" w:styleId="9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脚注文本 Char"/>
    <w:link w:val="886"/>
    <w:uiPriority w:val="99"/>
    <w:qFormat/>
    <w:rPr>
      <w:sz w:val="18"/>
    </w:rPr>
  </w:style>
  <w:style w:type="character" w:styleId="1045" w:customStyle="1">
    <w:name w:val="尾注文本 Char"/>
    <w:link w:val="879"/>
    <w:uiPriority w:val="99"/>
    <w:qFormat/>
    <w:rPr>
      <w:sz w:val="20"/>
    </w:rPr>
  </w:style>
  <w:style w:type="paragraph" w:styleId="1046" w:customStyle="1">
    <w:name w:val="TOC 标题1"/>
    <w:uiPriority w:val="39"/>
    <w:unhideWhenUsed/>
    <w:qFormat/>
    <w:rPr>
      <w:rFonts w:ascii="Times New Roman" w:hAnsi="Times New Roman" w:eastAsia="宋体" w:cs="Times New Roman"/>
      <w:lang w:val="en-US" w:eastAsia="zh-CN" w:bidi="ar-SA"/>
    </w:rPr>
  </w:style>
  <w:style w:type="paragraph" w:styleId="1047" w:customStyle="1">
    <w:name w:val="标题 11"/>
    <w:basedOn w:val="858"/>
    <w:next w:val="858"/>
    <w:uiPriority w:val="0"/>
    <w:qFormat/>
    <w:pPr>
      <w:ind w:left="432" w:firstLine="18"/>
      <w:spacing w:before="340" w:after="330" w:line="578" w:lineRule="auto"/>
      <w:outlineLvl w:val="0"/>
    </w:pPr>
  </w:style>
  <w:style w:type="paragraph" w:styleId="1048" w:customStyle="1">
    <w:name w:val="标题 21"/>
    <w:basedOn w:val="858"/>
    <w:next w:val="858"/>
    <w:uiPriority w:val="0"/>
    <w:qFormat/>
    <w:pPr>
      <w:keepNext/>
      <w:spacing w:before="240" w:after="60"/>
      <w:outlineLvl w:val="1"/>
    </w:pPr>
    <w:rPr>
      <w:rFonts w:ascii="Arial" w:hAnsi="Arial"/>
      <w:b/>
      <w:bCs/>
      <w:i/>
      <w:iCs/>
      <w:sz w:val="28"/>
      <w:szCs w:val="28"/>
    </w:rPr>
  </w:style>
  <w:style w:type="character" w:styleId="1049" w:customStyle="1">
    <w:name w:val="默认段落字体1"/>
    <w:uiPriority w:val="0"/>
    <w:semiHidden/>
    <w:qFormat/>
  </w:style>
  <w:style w:type="table" w:styleId="1050" w:customStyle="1">
    <w:name w:val="普通表格1"/>
    <w:uiPriority w:val="0"/>
    <w:semiHidden/>
    <w:qFormat/>
    <w:tblPr>
      <w:tblCellMar>
        <w:left w:w="0" w:type="dxa"/>
        <w:top w:w="0" w:type="dxa"/>
        <w:right w:w="0" w:type="dxa"/>
        <w:bottom w:w="0" w:type="dxa"/>
      </w:tblCellMar>
    </w:tblPr>
  </w:style>
  <w:style w:type="paragraph" w:styleId="1051" w:customStyle="1">
    <w:name w:val="正文缩进1"/>
    <w:basedOn w:val="858"/>
    <w:next w:val="858"/>
    <w:uiPriority w:val="0"/>
    <w:qFormat/>
    <w:pPr>
      <w:ind w:left="420" w:firstLine="4772"/>
    </w:pPr>
  </w:style>
  <w:style w:type="paragraph" w:styleId="1052" w:customStyle="1">
    <w:name w:val="批注文字1"/>
    <w:basedOn w:val="858"/>
    <w:next w:val="858"/>
    <w:uiPriority w:val="0"/>
    <w:qFormat/>
    <w:pPr>
      <w:ind w:left="0" w:firstLine="3584"/>
      <w:spacing w:line="360" w:lineRule="auto"/>
    </w:pPr>
  </w:style>
  <w:style w:type="paragraph" w:styleId="1053" w:customStyle="1">
    <w:name w:val="正文文本1"/>
    <w:basedOn w:val="858"/>
    <w:next w:val="858"/>
    <w:uiPriority w:val="0"/>
    <w:qFormat/>
    <w:pPr>
      <w:ind w:left="0" w:firstLine="2560"/>
    </w:pPr>
  </w:style>
  <w:style w:type="paragraph" w:styleId="1054" w:customStyle="1">
    <w:name w:val="列表编号 31"/>
    <w:basedOn w:val="1047"/>
    <w:next w:val="858"/>
    <w:uiPriority w:val="0"/>
    <w:qFormat/>
    <w:pPr>
      <w:numPr>
        <w:ilvl w:val="0"/>
        <w:numId w:val="1"/>
      </w:numPr>
    </w:pPr>
  </w:style>
  <w:style w:type="paragraph" w:styleId="1055" w:customStyle="1">
    <w:name w:val="纯文本11"/>
    <w:basedOn w:val="858"/>
    <w:uiPriority w:val="0"/>
    <w:qFormat/>
    <w:rPr>
      <w:rFonts w:hAnsi="Courier New"/>
      <w:sz w:val="21"/>
    </w:rPr>
  </w:style>
  <w:style w:type="paragraph" w:styleId="1056" w:customStyle="1">
    <w:name w:val="列表项目符号 51"/>
    <w:basedOn w:val="1047"/>
    <w:next w:val="1057"/>
    <w:uiPriority w:val="0"/>
    <w:qFormat/>
    <w:pPr>
      <w:numPr>
        <w:ilvl w:val="0"/>
        <w:numId w:val="2"/>
      </w:numPr>
    </w:pPr>
  </w:style>
  <w:style w:type="paragraph" w:styleId="1057" w:customStyle="1">
    <w:name w:val="正文首行缩进1"/>
    <w:next w:val="1054"/>
    <w:uiPriority w:val="0"/>
    <w:qFormat/>
    <w:pPr>
      <w:ind w:left="420" w:firstLine="2724"/>
      <w:spacing w:after="120" w:line="360" w:lineRule="auto"/>
    </w:pPr>
    <w:rPr>
      <w:rFonts w:ascii="Calibri" w:hAnsi="Calibri" w:eastAsia="宋体" w:cs="Times New Roman"/>
      <w:lang w:val="en-US" w:eastAsia="zh-CN" w:bidi="ar-SA"/>
    </w:rPr>
  </w:style>
  <w:style w:type="paragraph" w:styleId="1058" w:customStyle="1">
    <w:name w:val="日期1"/>
    <w:basedOn w:val="1047"/>
    <w:next w:val="858"/>
    <w:uiPriority w:val="0"/>
    <w:qFormat/>
    <w:pPr>
      <w:ind w:left="0" w:firstLine="2560"/>
      <w:spacing w:before="0" w:after="0" w:line="240" w:lineRule="auto"/>
    </w:pPr>
  </w:style>
  <w:style w:type="paragraph" w:styleId="1059" w:customStyle="1">
    <w:name w:val="批注框文本1"/>
    <w:basedOn w:val="858"/>
    <w:uiPriority w:val="0"/>
    <w:unhideWhenUsed/>
    <w:qFormat/>
    <w:rPr>
      <w:sz w:val="18"/>
      <w:szCs w:val="18"/>
    </w:rPr>
  </w:style>
  <w:style w:type="paragraph" w:styleId="1060" w:customStyle="1">
    <w:name w:val="页脚1"/>
    <w:basedOn w:val="1047"/>
    <w:next w:val="1061"/>
    <w:uiPriority w:val="99"/>
    <w:qFormat/>
    <w:pPr>
      <w:ind w:left="0" w:firstLine="3584"/>
      <w:spacing w:before="0" w:after="0" w:line="240" w:lineRule="auto"/>
    </w:pPr>
  </w:style>
  <w:style w:type="paragraph" w:styleId="1061" w:customStyle="1">
    <w:name w:val="Char Char Char Char Char Char Char Char Char Char Char Char Char"/>
    <w:basedOn w:val="1047"/>
    <w:next w:val="858"/>
    <w:uiPriority w:val="0"/>
    <w:qFormat/>
    <w:pPr>
      <w:ind w:left="0" w:firstLine="3584"/>
      <w:spacing w:before="0" w:after="160" w:line="240" w:lineRule="exact"/>
    </w:pPr>
  </w:style>
  <w:style w:type="paragraph" w:styleId="1062" w:customStyle="1">
    <w:name w:val="寄信人地址1"/>
    <w:basedOn w:val="858"/>
    <w:uiPriority w:val="99"/>
    <w:unhideWhenUsed/>
    <w:qFormat/>
    <w:rPr>
      <w:rFonts w:ascii="Arial" w:hAnsi="Arial"/>
    </w:rPr>
  </w:style>
  <w:style w:type="paragraph" w:styleId="1063" w:customStyle="1">
    <w:name w:val="页眉1"/>
    <w:basedOn w:val="1047"/>
    <w:next w:val="1058"/>
    <w:uiPriority w:val="99"/>
    <w:qFormat/>
    <w:pPr>
      <w:ind w:left="0" w:firstLine="3584"/>
      <w:jc w:val="center"/>
      <w:spacing w:before="0" w:after="0" w:line="240" w:lineRule="auto"/>
      <w:pBdr>
        <w:bottom w:val="none" w:color="000000" w:sz="0" w:space="0"/>
      </w:pBdr>
    </w:pPr>
  </w:style>
  <w:style w:type="paragraph" w:styleId="1064" w:customStyle="1">
    <w:name w:val="目录 11"/>
    <w:basedOn w:val="1047"/>
    <w:next w:val="858"/>
    <w:uiPriority w:val="39"/>
    <w:qFormat/>
    <w:pPr>
      <w:ind w:left="0" w:firstLine="4608"/>
      <w:spacing w:before="0" w:after="0" w:line="240" w:lineRule="auto"/>
    </w:pPr>
  </w:style>
  <w:style w:type="paragraph" w:styleId="1065" w:customStyle="1">
    <w:name w:val="目录 21"/>
    <w:basedOn w:val="858"/>
    <w:next w:val="858"/>
    <w:uiPriority w:val="0"/>
    <w:qFormat/>
    <w:pPr>
      <w:ind w:left="420"/>
    </w:pPr>
  </w:style>
  <w:style w:type="paragraph" w:styleId="1066" w:customStyle="1">
    <w:name w:val="普通(网站)1"/>
    <w:basedOn w:val="858"/>
    <w:uiPriority w:val="0"/>
    <w:qFormat/>
    <w:rPr>
      <w:sz w:val="24"/>
    </w:rPr>
  </w:style>
  <w:style w:type="paragraph" w:styleId="1067" w:customStyle="1">
    <w:name w:val="正文首行缩进 21"/>
    <w:basedOn w:val="898"/>
    <w:uiPriority w:val="0"/>
    <w:qFormat/>
    <w:pPr>
      <w:ind w:firstLine="420"/>
      <w:spacing w:after="120" w:line="240" w:lineRule="auto"/>
    </w:pPr>
    <w:rPr>
      <w:rFonts w:ascii="等线"/>
      <w:sz w:val="21"/>
      <w:szCs w:val="24"/>
    </w:rPr>
  </w:style>
  <w:style w:type="table" w:styleId="1068" w:customStyle="1">
    <w:name w:val="网格型1"/>
    <w:basedOn w:val="1050"/>
    <w:uiPriority w:val="59"/>
    <w:qFormat/>
    <w:tblPr>
      <w:tblCellMar>
        <w:left w:w="0" w:type="dxa"/>
        <w:top w:w="0" w:type="dxa"/>
        <w:right w:w="0" w:type="dxa"/>
        <w:bottom w:w="0" w:type="dxa"/>
      </w:tblCellMar>
    </w:tblPr>
  </w:style>
  <w:style w:type="character" w:styleId="1069" w:customStyle="1">
    <w:name w:val="页码1"/>
    <w:uiPriority w:val="0"/>
    <w:qFormat/>
    <w:rPr>
      <w:sz w:val="20"/>
    </w:rPr>
  </w:style>
  <w:style w:type="character" w:styleId="1070" w:customStyle="1">
    <w:name w:val="已访问的超链接1"/>
    <w:uiPriority w:val="0"/>
    <w:qFormat/>
    <w:rPr>
      <w:color w:val="333333"/>
      <w:u w:val="none"/>
    </w:rPr>
  </w:style>
  <w:style w:type="character" w:styleId="1071" w:customStyle="1">
    <w:name w:val="强调1"/>
    <w:uiPriority w:val="0"/>
    <w:qFormat/>
  </w:style>
  <w:style w:type="character" w:styleId="1072" w:customStyle="1">
    <w:name w:val="超链接1"/>
    <w:uiPriority w:val="99"/>
    <w:qFormat/>
    <w:rPr>
      <w:color w:val="333333"/>
      <w:sz w:val="20"/>
      <w:u w:val="none"/>
    </w:rPr>
  </w:style>
  <w:style w:type="paragraph" w:styleId="1073" w:customStyle="1">
    <w:name w:val="Default"/>
    <w:next w:val="1056"/>
    <w:uiPriority w:val="0"/>
    <w:qFormat/>
    <w:pPr>
      <w:ind w:firstLine="5120"/>
      <w:widowControl w:val="off"/>
    </w:pPr>
    <w:rPr>
      <w:rFonts w:ascii="Calibri" w:hAnsi="Calibri" w:eastAsia="宋体" w:cs="Times New Roman"/>
      <w:lang w:val="en-US" w:eastAsia="zh-CN" w:bidi="ar-SA"/>
    </w:rPr>
  </w:style>
  <w:style w:type="paragraph" w:styleId="1074" w:customStyle="1">
    <w:name w:val="段"/>
    <w:next w:val="858"/>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75" w:customStyle="1">
    <w:name w:val="首行缩进"/>
    <w:basedOn w:val="858"/>
    <w:uiPriority w:val="0"/>
    <w:qFormat/>
    <w:pPr>
      <w:ind w:firstLine="480"/>
    </w:pPr>
    <w:rPr>
      <w:lang w:val="zh-CN"/>
    </w:rPr>
  </w:style>
  <w:style w:type="paragraph" w:styleId="1076" w:customStyle="1">
    <w:name w:val="_Style 6"/>
    <w:basedOn w:val="1047"/>
    <w:next w:val="85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077" w:customStyle="1">
    <w:name w:val="纯文本3"/>
    <w:basedOn w:val="858"/>
    <w:uiPriority w:val="0"/>
    <w:qFormat/>
    <w:rPr>
      <w:rFonts w:ascii="宋体" w:hAnsi="Courier New"/>
    </w:rPr>
  </w:style>
  <w:style w:type="character" w:styleId="1078" w:customStyle="1">
    <w:name w:val="font11"/>
    <w:uiPriority w:val="0"/>
    <w:qFormat/>
    <w:rPr>
      <w:rFonts w:ascii="Times New Roman" w:hAnsi="Times New Roman" w:cs="Times New Roman"/>
      <w:color w:val="000000"/>
      <w:sz w:val="21"/>
      <w:szCs w:val="21"/>
      <w:u w:val="none"/>
    </w:rPr>
  </w:style>
  <w:style w:type="character" w:styleId="1079" w:customStyle="1">
    <w:name w:val="font21"/>
    <w:uiPriority w:val="0"/>
    <w:qFormat/>
    <w:rPr>
      <w:rFonts w:hint="eastAsia" w:ascii="宋体" w:hAnsi="宋体" w:eastAsia="宋体" w:cs="宋体"/>
      <w:color w:val="000000"/>
      <w:sz w:val="21"/>
      <w:szCs w:val="21"/>
      <w:u w:val="none"/>
    </w:rPr>
  </w:style>
  <w:style w:type="paragraph" w:styleId="1080" w:customStyle="1">
    <w:name w:val="纯文本1"/>
    <w:basedOn w:val="858"/>
    <w:uiPriority w:val="0"/>
    <w:qFormat/>
    <w:rPr>
      <w:rFonts w:hAnsi="Courier New" w:eastAsia="楷体_GB2312"/>
      <w:sz w:val="28"/>
    </w:rPr>
  </w:style>
  <w:style w:type="character" w:styleId="1081" w:customStyle="1">
    <w:name w:val="NormalCharacter1"/>
    <w:uiPriority w:val="0"/>
    <w:semiHidden/>
    <w:qFormat/>
  </w:style>
  <w:style w:type="paragraph" w:styleId="1082" w:customStyle="1">
    <w:name w:val="NormalIndent1"/>
    <w:basedOn w:val="858"/>
    <w:uiPriority w:val="0"/>
    <w:qFormat/>
    <w:pPr>
      <w:ind w:firstLine="420"/>
      <w:jc w:val="left"/>
    </w:pPr>
    <w:rPr>
      <w:sz w:val="24"/>
    </w:rPr>
  </w:style>
  <w:style w:type="paragraph" w:styleId="1083" w:customStyle="1">
    <w:name w:val="UserStyle_34"/>
    <w:basedOn w:val="858"/>
    <w:uiPriority w:val="0"/>
    <w:qFormat/>
    <w:pPr>
      <w:ind w:firstLine="200"/>
      <w:spacing w:before="50" w:after="50" w:line="360" w:lineRule="auto"/>
    </w:pPr>
    <w:rPr>
      <w:sz w:val="24"/>
      <w:szCs w:val="24"/>
    </w:rPr>
  </w:style>
  <w:style w:type="paragraph" w:styleId="1084" w:customStyle="1">
    <w:name w:val="UserStyle_28"/>
    <w:basedOn w:val="858"/>
    <w:uiPriority w:val="0"/>
    <w:qFormat/>
    <w:pPr>
      <w:ind w:firstLine="480"/>
      <w:spacing w:line="360" w:lineRule="auto"/>
    </w:pPr>
    <w:rPr>
      <w:sz w:val="24"/>
    </w:rPr>
  </w:style>
  <w:style w:type="paragraph" w:styleId="1085" w:customStyle="1">
    <w:name w:val="Acetate1"/>
    <w:basedOn w:val="858"/>
    <w:uiPriority w:val="0"/>
    <w:semiHidden/>
    <w:qFormat/>
    <w:rPr>
      <w:sz w:val="18"/>
      <w:szCs w:val="18"/>
    </w:rPr>
  </w:style>
  <w:style w:type="paragraph" w:styleId="1086" w:customStyle="1">
    <w:name w:val="PlainText1"/>
    <w:basedOn w:val="858"/>
    <w:uiPriority w:val="0"/>
    <w:qFormat/>
    <w:rPr>
      <w:rFonts w:ascii="宋体" w:hAnsi="Courier New"/>
    </w:rPr>
  </w:style>
  <w:style w:type="paragraph" w:styleId="1087" w:customStyle="1">
    <w:name w:val="纯文本4"/>
    <w:basedOn w:val="858"/>
    <w:uiPriority w:val="0"/>
    <w:qFormat/>
    <w:pPr>
      <w:widowControl w:val="off"/>
    </w:pPr>
    <w:rPr>
      <w:rFonts w:ascii="宋体" w:hAnsi="Courier New"/>
      <w:lang w:val="zh-CN"/>
    </w:rPr>
  </w:style>
  <w:style w:type="paragraph" w:styleId="1088" w:customStyle="1">
    <w:name w:val="Andy_正文"/>
    <w:basedOn w:val="858"/>
    <w:uiPriority w:val="0"/>
    <w:qFormat/>
    <w:pPr>
      <w:ind w:firstLine="480"/>
      <w:spacing w:line="360" w:lineRule="auto"/>
      <w:widowControl w:val="off"/>
    </w:pPr>
    <w:rPr>
      <w:sz w:val="24"/>
    </w:rPr>
  </w:style>
  <w:style w:type="paragraph" w:styleId="1089" w:customStyle="1">
    <w:name w:val="WPSOffice手动目录 1"/>
    <w:uiPriority w:val="0"/>
    <w:qFormat/>
    <w:rPr>
      <w:rFonts w:ascii="Times New Roman" w:hAnsi="Times New Roman" w:eastAsia="宋体" w:cs="Times New Roman"/>
      <w:lang w:val="en-US" w:eastAsia="zh-CN" w:bidi="ar-SA"/>
    </w:rPr>
  </w:style>
  <w:style w:type="paragraph" w:styleId="1090" w:customStyle="1">
    <w:name w:val="UserStyle_62"/>
    <w:basedOn w:val="858"/>
    <w:uiPriority w:val="0"/>
    <w:qFormat/>
    <w:rPr>
      <w:rFonts w:ascii="宋体" w:hAnsi="Courier New"/>
    </w:rPr>
  </w:style>
  <w:style w:type="paragraph" w:styleId="1091" w:customStyle="1">
    <w:name w:val="Plain Text1"/>
    <w:basedOn w:val="858"/>
    <w:uiPriority w:val="0"/>
    <w:qFormat/>
    <w:pPr>
      <w:widowControl w:val="off"/>
    </w:pPr>
    <w:rPr>
      <w:rFonts w:hint="eastAsia" w:ascii="宋体" w:hAnsi="Courier New"/>
      <w:sz w:val="28"/>
    </w:rPr>
  </w:style>
  <w:style w:type="paragraph" w:styleId="1092" w:customStyle="1">
    <w:name w:val="Table Text"/>
    <w:basedOn w:val="858"/>
    <w:uiPriority w:val="0"/>
    <w:semiHidden/>
    <w:qFormat/>
    <w:rPr>
      <w:rFonts w:ascii="仿宋" w:hAnsi="仿宋" w:eastAsia="仿宋" w:cs="仿宋"/>
      <w:sz w:val="22"/>
      <w:szCs w:val="22"/>
      <w:lang w:eastAsia="en-US"/>
    </w:rPr>
  </w:style>
  <w:style w:type="table" w:styleId="1093" w:customStyle="1">
    <w:name w:val="Table Normal"/>
    <w:uiPriority w:val="0"/>
    <w:semiHidden/>
    <w:unhideWhenUsed/>
    <w:qFormat/>
    <w:tblPr>
      <w:tblCellMar>
        <w:left w:w="0" w:type="dxa"/>
        <w:top w:w="0" w:type="dxa"/>
        <w:right w:w="0" w:type="dxa"/>
        <w:bottom w:w="0" w:type="dxa"/>
      </w:tblCellMar>
    </w:tblPr>
  </w:style>
  <w:style w:type="character" w:styleId="1094" w:customStyle="1">
    <w:name w:val="NormalCharacter"/>
    <w:uiPriority w:val="0"/>
    <w:semiHidden/>
    <w:qFormat/>
  </w:style>
  <w:style w:type="paragraph" w:styleId="1095" w:customStyle="1">
    <w:name w:val="NormalIndent"/>
    <w:basedOn w:val="858"/>
    <w:uiPriority w:val="0"/>
    <w:qFormat/>
    <w:pPr>
      <w:ind w:firstLine="420"/>
      <w:jc w:val="left"/>
    </w:pPr>
    <w:rPr>
      <w:sz w:val="24"/>
    </w:rPr>
  </w:style>
  <w:style w:type="character" w:styleId="1096" w:customStyle="1">
    <w:name w:val="批注框文本 Char"/>
    <w:basedOn w:val="868"/>
    <w:link w:val="880"/>
    <w:uiPriority w:val="99"/>
    <w:semiHidden/>
    <w:rPr>
      <w:rFonts w:ascii="Calibri" w:hAnsi="Calibri"/>
      <w:sz w:val="18"/>
      <w:szCs w:val="18"/>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厉昆</cp:lastModifiedBy>
  <cp:revision>4</cp:revision>
  <dcterms:created xsi:type="dcterms:W3CDTF">2024-10-30T02:05:00Z</dcterms:created>
  <dcterms:modified xsi:type="dcterms:W3CDTF">2024-10-30T07:13:55Z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113478F9C4E44ECAB83977F20B824352_13</vt:lpwstr>
  </property>
</Properties>
</file>