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 xml:space="preserve">常州市政府采购项目公开招标文件示范文本</w:t>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 xml:space="preserve">（试行）（2022年版）</w:t>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5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221"/>
        <w:rPr>
          <w:rFonts w:hint="eastAsia"/>
        </w:rPr>
      </w:pPr>
      <w:r>
        <w:rPr>
          <w:rFonts w:hint="eastAsia"/>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5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238" w:hanging="1600"/>
        <w:jc w:val="left"/>
        <w:spacing w:line="360" w:lineRule="auto"/>
        <w:tabs>
          <w:tab w:val="left" w:pos="3240" w:leader="none"/>
          <w:tab w:val="left" w:pos="3420" w:leader="none"/>
        </w:tabs>
        <w:rPr>
          <w:rFonts w:hint="eastAsia" w:ascii="仿宋" w:hAnsi="仿宋" w:eastAsia="仿宋" w:cs="仿宋"/>
          <w:b/>
          <w:bCs w:val="0"/>
          <w:color w:val="000000"/>
          <w:sz w:val="32"/>
          <w:szCs w:val="32"/>
          <w:highlight w:val="none"/>
        </w:rPr>
      </w:pPr>
      <w:r>
        <w:rPr>
          <w:rFonts w:hint="eastAsia" w:ascii="仿宋" w:hAnsi="仿宋" w:eastAsia="仿宋" w:cs="仿宋"/>
          <w:b/>
          <w:bCs w:val="0"/>
          <w:sz w:val="32"/>
          <w:szCs w:val="32"/>
          <w:highlight w:val="none"/>
        </w:rPr>
        <w:t xml:space="preserve">项目名称：</w:t>
      </w:r>
      <w:r>
        <w:rPr>
          <w:rFonts w:hint="eastAsia" w:ascii="仿宋" w:hAnsi="仿宋" w:eastAsia="仿宋" w:cs="仿宋"/>
          <w:b/>
          <w:bCs w:val="0"/>
          <w:sz w:val="32"/>
          <w:szCs w:val="32"/>
          <w:u w:val="single"/>
          <w:lang w:val="en-US" w:eastAsia="zh-CN"/>
        </w:rPr>
        <w:t xml:space="preserve">2025年度尧塘街道城市保洁及绿化管养项目</w:t>
      </w:r>
      <w:r/>
    </w:p>
    <w:p>
      <w:pPr>
        <w:ind w:left="2238" w:hanging="1600"/>
        <w:jc w:val="left"/>
        <w:spacing w:line="360" w:lineRule="auto"/>
        <w:tabs>
          <w:tab w:val="left" w:pos="3240" w:leader="none"/>
          <w:tab w:val="left" w:pos="3420" w:leader="none"/>
        </w:tabs>
        <w:rPr>
          <w:rFonts w:hint="eastAsia" w:ascii="仿宋" w:hAnsi="仿宋" w:eastAsia="仿宋" w:cs="仿宋"/>
          <w:b/>
          <w:bCs w:val="0"/>
          <w:sz w:val="32"/>
          <w:szCs w:val="32"/>
          <w:u w:val="single"/>
          <w:lang w:val="en-US" w:eastAsia="zh-CN"/>
        </w:rPr>
      </w:pPr>
      <w:r>
        <w:rPr>
          <w:rFonts w:hint="eastAsia" w:ascii="仿宋" w:hAnsi="仿宋" w:eastAsia="仿宋" w:cs="仿宋"/>
          <w:b/>
          <w:bCs w:val="0"/>
          <w:color w:val="000000"/>
          <w:sz w:val="32"/>
          <w:szCs w:val="32"/>
          <w:highlight w:val="none"/>
        </w:rPr>
        <w:t xml:space="preserve">项目编号/</w:t>
      </w:r>
      <w:r>
        <w:rPr>
          <w:rFonts w:hint="eastAsia" w:ascii="仿宋" w:hAnsi="仿宋" w:eastAsia="仿宋" w:cs="仿宋"/>
          <w:b/>
          <w:bCs w:val="0"/>
          <w:color w:val="000000"/>
          <w:sz w:val="32"/>
          <w:szCs w:val="32"/>
          <w:highlight w:val="none"/>
          <w:lang w:eastAsia="zh-CN"/>
        </w:rPr>
        <w:t xml:space="preserve">包号：</w:t>
      </w:r>
      <w:r>
        <w:rPr>
          <w:rFonts w:hint="eastAsia" w:ascii="仿宋" w:hAnsi="仿宋" w:eastAsia="仿宋" w:cs="仿宋"/>
          <w:b/>
          <w:bCs w:val="0"/>
          <w:sz w:val="32"/>
          <w:szCs w:val="32"/>
          <w:u w:val="single"/>
          <w:lang w:val="en-US" w:eastAsia="zh-CN"/>
        </w:rPr>
        <w:t xml:space="preserve">JSZC-320413-JINX-G2025-0009</w:t>
      </w:r>
      <w:r/>
    </w:p>
    <w:p>
      <w:pPr>
        <w:ind w:left="2238" w:hanging="1600"/>
        <w:jc w:val="left"/>
        <w:spacing w:line="360" w:lineRule="auto"/>
        <w:tabs>
          <w:tab w:val="left" w:pos="3240" w:leader="none"/>
          <w:tab w:val="left" w:pos="3420" w:leader="none"/>
        </w:tabs>
        <w:rPr>
          <w:rFonts w:hint="eastAsia" w:ascii="仿宋" w:hAnsi="仿宋" w:eastAsia="仿宋" w:cs="仿宋"/>
          <w:b/>
          <w:bCs w:val="0"/>
          <w:sz w:val="32"/>
          <w:szCs w:val="32"/>
          <w:highlight w:val="none"/>
          <w:u w:val="single"/>
          <w:lang w:eastAsia="zh-CN"/>
        </w:rPr>
      </w:pPr>
      <w:r>
        <w:rPr>
          <w:rFonts w:hint="eastAsia" w:ascii="仿宋" w:hAnsi="仿宋" w:eastAsia="仿宋" w:cs="仿宋"/>
          <w:b/>
          <w:bCs w:val="0"/>
          <w:sz w:val="32"/>
          <w:szCs w:val="32"/>
          <w:highlight w:val="none"/>
        </w:rPr>
        <w:t xml:space="preserve">采 购 人：</w:t>
      </w:r>
      <w:r>
        <w:rPr>
          <w:rFonts w:hint="eastAsia" w:ascii="仿宋" w:hAnsi="仿宋" w:eastAsia="仿宋" w:cs="仿宋"/>
          <w:b/>
          <w:bCs w:val="0"/>
          <w:sz w:val="32"/>
          <w:szCs w:val="32"/>
          <w:highlight w:val="none"/>
          <w:u w:val="single"/>
          <w:lang w:eastAsia="zh-CN"/>
        </w:rPr>
        <w:t xml:space="preserve">常州市金坛区尧塘街道办事处</w:t>
      </w:r>
      <w:r/>
    </w:p>
    <w:p>
      <w:pPr>
        <w:ind w:firstLine="640"/>
        <w:spacing w:line="360" w:lineRule="auto"/>
        <w:rPr>
          <w:rFonts w:hint="eastAsia" w:ascii="仿宋" w:hAnsi="仿宋" w:eastAsia="仿宋" w:cs="仿宋"/>
          <w:b/>
          <w:sz w:val="24"/>
          <w:szCs w:val="24"/>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rFonts w:hint="eastAsia" w:ascii="仿宋" w:hAnsi="仿宋" w:eastAsia="仿宋" w:cs="仿宋"/>
          <w:b/>
          <w:bCs w:val="0"/>
          <w:sz w:val="32"/>
          <w:szCs w:val="32"/>
          <w:highlight w:val="none"/>
        </w:rPr>
        <w:t xml:space="preserve">采购代理机构：</w:t>
      </w:r>
      <w:r>
        <w:rPr>
          <w:rFonts w:hint="eastAsia" w:ascii="仿宋" w:hAnsi="仿宋" w:eastAsia="仿宋" w:cs="仿宋"/>
          <w:b/>
          <w:bCs w:val="0"/>
          <w:sz w:val="32"/>
          <w:szCs w:val="32"/>
          <w:u w:val="single"/>
          <w:lang w:val="en-US" w:eastAsia="zh-CN"/>
        </w:rPr>
        <w:t xml:space="preserve">江苏金喜项目管理有限公司</w:t>
      </w:r>
      <w:r>
        <w:rPr>
          <w:rFonts w:hint="eastAsia" w:ascii="仿宋" w:hAnsi="仿宋" w:eastAsia="仿宋" w:cs="仿宋"/>
          <w:b/>
          <w:bCs w:val="0"/>
          <w:sz w:val="32"/>
          <w:szCs w:val="32"/>
          <w:highlight w:val="none"/>
        </w:rPr>
        <w:br w:type="page" w:clear="all"/>
      </w:r>
      <w:r/>
    </w:p>
    <w:p>
      <w:pPr>
        <w:jc w:val="center"/>
        <w:spacing w:line="360" w:lineRule="auto"/>
        <w:rPr>
          <w:rFonts w:hint="eastAsia" w:ascii="仿宋" w:hAnsi="仿宋" w:eastAsia="仿宋" w:cs="仿宋"/>
          <w:b/>
          <w:sz w:val="30"/>
          <w:szCs w:val="30"/>
          <w:highlight w:val="none"/>
        </w:rPr>
        <w:outlineLvl w:val="0"/>
      </w:pPr>
      <w:r/>
      <w:bookmarkStart w:id="0" w:name="_Toc99301418"/>
      <w:r>
        <w:rPr>
          <w:rFonts w:hint="eastAsia" w:ascii="仿宋" w:hAnsi="仿宋" w:eastAsia="仿宋" w:cs="仿宋"/>
          <w:b/>
          <w:sz w:val="30"/>
          <w:szCs w:val="30"/>
          <w:highlight w:val="none"/>
        </w:rPr>
        <w:t xml:space="preserve">目      录</w:t>
      </w:r>
      <w:bookmarkEnd w:id="0"/>
      <w:r/>
      <w:r/>
    </w:p>
    <w:p>
      <w:pPr>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1478"/>
        <w:rPr>
          <w:rFonts w:hint="eastAsia" w:ascii="仿宋" w:hAnsi="仿宋" w:eastAsia="仿宋" w:cs="仿宋"/>
          <w:b w:val="0"/>
          <w:sz w:val="30"/>
          <w:szCs w:val="30"/>
          <w:highlight w:val="none"/>
        </w:rPr>
      </w:pPr>
      <w:r>
        <w:rPr>
          <w:rFonts w:hint="eastAsia" w:ascii="仿宋" w:hAnsi="仿宋" w:eastAsia="仿宋" w:cs="仿宋"/>
          <w:b w:val="0"/>
          <w:sz w:val="30"/>
          <w:szCs w:val="30"/>
          <w:highlight w:val="none"/>
        </w:rPr>
        <w:fldChar w:fldCharType="begin"/>
      </w:r>
      <w:r>
        <w:rPr>
          <w:rFonts w:hint="eastAsia" w:ascii="仿宋" w:hAnsi="仿宋" w:eastAsia="仿宋" w:cs="仿宋"/>
          <w:b w:val="0"/>
          <w:sz w:val="30"/>
          <w:szCs w:val="30"/>
          <w:highlight w:val="none"/>
        </w:rPr>
        <w:instrText xml:space="preserve"> TOC \o "1-1" \h \z \u </w:instrText>
      </w:r>
      <w:r>
        <w:rPr>
          <w:rFonts w:hint="eastAsia" w:ascii="仿宋" w:hAnsi="仿宋" w:eastAsia="仿宋" w:cs="仿宋"/>
          <w:b w:val="0"/>
          <w:sz w:val="30"/>
          <w:szCs w:val="30"/>
          <w:highlight w:val="none"/>
        </w:rPr>
        <w:fldChar w:fldCharType="separate"/>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"_Toc99301419"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第一章   投标邀请</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"_Toc99301420"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第二章   投标人须知</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"_Toc99301421"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第三章   资</w:t>
      </w:r>
      <w:bookmarkStart w:id="1" w:name="_Hlt100754117"/>
      <w:r>
        <w:rPr>
          <w:rStyle w:val="1502"/>
          <w:rFonts w:hint="eastAsia" w:ascii="仿宋" w:hAnsi="仿宋" w:eastAsia="仿宋" w:cs="仿宋"/>
          <w:sz w:val="30"/>
          <w:szCs w:val="30"/>
          <w:highlight w:val="none"/>
        </w:rPr>
        <w:t xml:space="preserve">格</w:t>
      </w:r>
      <w:bookmarkEnd w:id="1"/>
      <w:r>
        <w:rPr>
          <w:rStyle w:val="1502"/>
          <w:rFonts w:hint="eastAsia" w:ascii="仿宋" w:hAnsi="仿宋" w:eastAsia="仿宋" w:cs="仿宋"/>
          <w:sz w:val="30"/>
          <w:szCs w:val="30"/>
          <w:highlight w:val="none"/>
        </w:rPr>
        <w:t xml:space="preserve">审查</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"_Toc99301423"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第四章   评标程序、评标方法和评标标准</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"_Toc99301424"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第五章   采购</w:t>
      </w:r>
      <w:bookmarkStart w:id="2" w:name="_Hlt100754103"/>
      <w:r/>
      <w:bookmarkStart w:id="3" w:name="_Hlt100754102"/>
      <w:r>
        <w:rPr>
          <w:rStyle w:val="1502"/>
          <w:rFonts w:hint="eastAsia" w:ascii="仿宋" w:hAnsi="仿宋" w:eastAsia="仿宋" w:cs="仿宋"/>
          <w:sz w:val="30"/>
          <w:szCs w:val="30"/>
          <w:highlight w:val="none"/>
        </w:rPr>
        <w:t xml:space="preserve">需</w:t>
      </w:r>
      <w:bookmarkEnd w:id="2"/>
      <w:r/>
      <w:bookmarkEnd w:id="3"/>
      <w:r>
        <w:rPr>
          <w:rStyle w:val="1502"/>
          <w:rFonts w:hint="eastAsia" w:ascii="仿宋" w:hAnsi="仿宋" w:eastAsia="仿宋" w:cs="仿宋"/>
          <w:sz w:val="30"/>
          <w:szCs w:val="30"/>
          <w:highlight w:val="none"/>
        </w:rPr>
        <w:t xml:space="preserve">求</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"_Toc99301425"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第六章   拟签订的合同文本</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sz w:val="30"/>
          <w:szCs w:val="30"/>
          <w:highlight w:val="none"/>
        </w:rPr>
        <w:fldChar w:fldCharType="begin"/>
      </w:r>
      <w:r>
        <w:rPr>
          <w:rFonts w:hint="eastAsia" w:ascii="仿宋" w:hAnsi="仿宋" w:eastAsia="仿宋" w:cs="仿宋"/>
          <w:sz w:val="30"/>
          <w:szCs w:val="30"/>
          <w:highlight w:val="none"/>
        </w:rPr>
        <w:instrText xml:space="preserve"> HYPERLINK \l "_Toc99301426" </w:instrText>
      </w:r>
      <w:r>
        <w:rPr>
          <w:rFonts w:hint="eastAsia" w:ascii="仿宋" w:hAnsi="仿宋" w:eastAsia="仿宋" w:cs="仿宋"/>
          <w:sz w:val="30"/>
          <w:szCs w:val="30"/>
          <w:highlight w:val="none"/>
        </w:rPr>
        <w:fldChar w:fldCharType="separate"/>
      </w:r>
      <w:r>
        <w:rPr>
          <w:rStyle w:val="1502"/>
          <w:rFonts w:hint="eastAsia" w:ascii="仿宋" w:hAnsi="仿宋" w:eastAsia="仿宋" w:cs="仿宋"/>
          <w:sz w:val="30"/>
          <w:szCs w:val="30"/>
          <w:highlight w:val="none"/>
        </w:rPr>
        <w:t xml:space="preserve">第七章   投标文件格式</w:t>
      </w:r>
      <w:r>
        <w:rPr>
          <w:rFonts w:hint="eastAsia" w:ascii="仿宋" w:hAnsi="仿宋" w:eastAsia="仿宋" w:cs="仿宋"/>
          <w:sz w:val="30"/>
          <w:szCs w:val="30"/>
          <w:highlight w:val="none"/>
        </w:rPr>
        <w:fldChar w:fldCharType="end"/>
      </w:r>
      <w:r/>
    </w:p>
    <w:p>
      <w:pPr>
        <w:pStyle w:val="1478"/>
        <w:spacing w:line="360" w:lineRule="auto"/>
        <w:rPr>
          <w:rFonts w:hint="eastAsia" w:ascii="仿宋" w:hAnsi="仿宋" w:eastAsia="仿宋" w:cs="仿宋"/>
          <w:b w:val="0"/>
          <w:sz w:val="30"/>
          <w:szCs w:val="30"/>
          <w:highlight w:val="none"/>
        </w:rPr>
      </w:pPr>
      <w:r>
        <w:rPr>
          <w:rFonts w:hint="eastAsia" w:ascii="仿宋" w:hAnsi="仿宋" w:eastAsia="仿宋" w:cs="仿宋"/>
          <w:b w:val="0"/>
          <w:sz w:val="30"/>
          <w:szCs w:val="30"/>
          <w:highlight w:val="none"/>
        </w:rPr>
        <w:fldChar w:fldCharType="end"/>
      </w:r>
      <w:r/>
    </w:p>
    <w:p>
      <w:pPr>
        <w:jc w:val="center"/>
        <w:spacing w:line="360" w:lineRule="auto"/>
        <w:rPr>
          <w:rFonts w:hint="eastAsia" w:ascii="仿宋" w:hAnsi="仿宋" w:eastAsia="仿宋" w:cs="仿宋"/>
          <w:b/>
          <w:sz w:val="24"/>
          <w:szCs w:val="24"/>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rFonts w:hint="eastAsia" w:ascii="仿宋" w:hAnsi="仿宋" w:eastAsia="仿宋" w:cs="仿宋"/>
          <w:b/>
          <w:sz w:val="24"/>
          <w:szCs w:val="24"/>
          <w:highlight w:val="none"/>
        </w:rPr>
        <w:br w:type="page" w:clear="all"/>
      </w:r>
      <w:r/>
    </w:p>
    <w:p>
      <w:pPr>
        <w:jc w:val="center"/>
        <w:spacing w:line="360" w:lineRule="auto"/>
        <w:rPr>
          <w:rFonts w:hint="eastAsia" w:ascii="仿宋" w:hAnsi="仿宋" w:eastAsia="仿宋" w:cs="仿宋"/>
          <w:sz w:val="30"/>
          <w:szCs w:val="30"/>
          <w:highlight w:val="none"/>
        </w:rPr>
        <w:outlineLvl w:val="0"/>
      </w:pPr>
      <w:r>
        <w:rPr>
          <w:rFonts w:hint="eastAsia" w:ascii="仿宋" w:hAnsi="仿宋" w:eastAsia="仿宋" w:cs="仿宋"/>
          <w:b/>
          <w:sz w:val="30"/>
          <w:szCs w:val="30"/>
          <w:highlight w:val="none"/>
        </w:rPr>
        <w:t xml:space="preserve">第一章   投标邀请</w:t>
      </w:r>
      <w:bookmarkEnd w:id="4"/>
      <w:r/>
      <w:r/>
    </w:p>
    <w:p>
      <w:pPr>
        <w:pStyle w:val="1429"/>
        <w:jc w:val="left"/>
        <w:spacing w:before="0" w:line="360" w:lineRule="auto"/>
        <w:rPr>
          <w:rFonts w:hint="eastAsia" w:ascii="仿宋" w:hAnsi="仿宋" w:eastAsia="仿宋" w:cs="仿宋"/>
          <w:sz w:val="24"/>
          <w:szCs w:val="24"/>
          <w:highlight w:val="none"/>
        </w:rPr>
      </w:pPr>
      <w:r/>
      <w:bookmarkStart w:id="5" w:name="_Toc28359079"/>
      <w:r/>
      <w:bookmarkStart w:id="6" w:name="_Toc35393621"/>
      <w:r/>
      <w:bookmarkStart w:id="7" w:name="_Toc35393790"/>
      <w:r/>
      <w:bookmarkStart w:id="8" w:name="_Toc28359002"/>
      <w:r/>
      <w:bookmarkStart w:id="9" w:name="_Hlk24379207"/>
      <w:r/>
      <w:bookmarkStart w:id="10" w:name="_Toc35393796"/>
      <w:r/>
      <w:bookmarkStart w:id="11" w:name="_Toc7145"/>
      <w:r/>
      <w:bookmarkStart w:id="12" w:name="_Toc28359085"/>
      <w:r/>
      <w:bookmarkStart w:id="13" w:name="_Toc28359008"/>
      <w:r/>
      <w:bookmarkStart w:id="14" w:name="_Toc35393627"/>
      <w:r>
        <w:rPr>
          <w:rFonts w:hint="eastAsia" w:ascii="仿宋" w:hAnsi="仿宋" w:eastAsia="仿宋" w:cs="仿宋"/>
          <w:sz w:val="24"/>
          <w:szCs w:val="24"/>
          <w:highlight w:val="none"/>
        </w:rPr>
        <w:t xml:space="preserve">一、项目基本情况</w:t>
      </w:r>
      <w:bookmarkEnd w:id="5"/>
      <w:r/>
      <w:bookmarkEnd w:id="6"/>
      <w:r/>
      <w:bookmarkEnd w:id="7"/>
      <w:r/>
      <w:bookmarkEnd w:id="8"/>
      <w:r/>
      <w:r/>
    </w:p>
    <w:p>
      <w:pPr>
        <w:ind w:firstLine="42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1.项目编号/包号：</w:t>
      </w:r>
      <w:r>
        <w:rPr>
          <w:rFonts w:hint="eastAsia" w:ascii="仿宋" w:hAnsi="仿宋" w:eastAsia="仿宋" w:cs="仿宋"/>
          <w:color w:val="000000"/>
          <w:sz w:val="24"/>
          <w:szCs w:val="24"/>
          <w:highlight w:val="none"/>
          <w:lang w:val="en-US" w:eastAsia="zh-CN"/>
        </w:rPr>
        <w:t xml:space="preserve">JSZC-320413-JINX-G2025-0009</w:t>
      </w:r>
      <w:r/>
    </w:p>
    <w:p>
      <w:pPr>
        <w:ind w:firstLine="42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.项目名称：2025年度尧塘街道城市保洁及绿化管养项目</w:t>
      </w:r>
      <w:bookmarkEnd w:id="9"/>
      <w:r/>
      <w:r/>
    </w:p>
    <w:p>
      <w:pPr>
        <w:ind w:firstLine="42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3.项目预算金额：1168万元</w:t>
      </w:r>
      <w:r/>
    </w:p>
    <w:p>
      <w:pPr>
        <w:ind w:firstLine="420"/>
        <w:spacing w:line="360" w:lineRule="auto"/>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yellow"/>
          <w:lang w:val="en-US" w:eastAsia="zh-CN"/>
        </w:rPr>
        <w:t xml:space="preserve">最高限价：584万元/年</w:t>
      </w:r>
      <w:r/>
    </w:p>
    <w:p>
      <w:pPr>
        <w:numPr>
          <w:ilvl w:val="0"/>
          <w:numId w:val="0"/>
        </w:numPr>
        <w:ind w:firstLine="420"/>
        <w:jc w:val="left"/>
        <w:spacing w:line="48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5.采购需求：</w:t>
      </w:r>
      <w:r/>
    </w:p>
    <w:tbl>
      <w:tblPr>
        <w:tblStyle w:val="1220"/>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986"/>
        <w:gridCol w:w="2505"/>
        <w:gridCol w:w="1364"/>
        <w:gridCol w:w="2679"/>
      </w:tblGrid>
      <w:tr>
        <w:trPr>
          <w:trHeight w:val="90"/>
        </w:trPr>
        <w:tc>
          <w:tcPr>
            <w:tcW w:w="702" w:type="dxa"/>
            <w:vAlign w:val="center"/>
            <w:textDirection w:val="lrTb"/>
            <w:noWrap w:val="false"/>
          </w:tcPr>
          <w:p>
            <w:pPr>
              <w:jc w:val="center"/>
              <w:rPr>
                <w:rFonts w:hint="eastAsia" w:ascii="仿宋" w:hAnsi="仿宋" w:eastAsia="仿宋" w:cs="仿宋"/>
                <w:bCs/>
                <w:sz w:val="24"/>
                <w:szCs w:val="24"/>
              </w:rPr>
            </w:pPr>
            <w:r>
              <w:rPr>
                <w:rFonts w:hint="eastAsia" w:ascii="仿宋" w:hAnsi="仿宋" w:eastAsia="仿宋" w:cs="仿宋"/>
                <w:bCs/>
                <w:sz w:val="24"/>
                <w:szCs w:val="24"/>
              </w:rPr>
              <w:t xml:space="preserve">包号</w:t>
            </w:r>
            <w:r/>
          </w:p>
        </w:tc>
        <w:tc>
          <w:tcPr>
            <w:tcW w:w="1986" w:type="dxa"/>
            <w:vAlign w:val="center"/>
            <w:textDirection w:val="lrTb"/>
            <w:noWrap w:val="false"/>
          </w:tcPr>
          <w:p>
            <w:pPr>
              <w:jc w:val="center"/>
              <w:rPr>
                <w:rFonts w:hint="eastAsia" w:ascii="仿宋" w:hAnsi="仿宋" w:eastAsia="仿宋" w:cs="仿宋"/>
                <w:bCs/>
                <w:sz w:val="24"/>
                <w:szCs w:val="24"/>
              </w:rPr>
            </w:pPr>
            <w:r>
              <w:rPr>
                <w:rFonts w:hint="eastAsia" w:ascii="仿宋" w:hAnsi="仿宋" w:eastAsia="仿宋" w:cs="仿宋"/>
                <w:bCs/>
                <w:sz w:val="24"/>
                <w:szCs w:val="24"/>
              </w:rPr>
              <w:t xml:space="preserve">标的名称</w:t>
            </w:r>
            <w:r/>
          </w:p>
        </w:tc>
        <w:tc>
          <w:tcPr>
            <w:tcW w:w="2505" w:type="dxa"/>
            <w:vAlign w:val="center"/>
            <w:textDirection w:val="lrTb"/>
            <w:noWrap w:val="false"/>
          </w:tcPr>
          <w:p>
            <w:pPr>
              <w:jc w:val="center"/>
              <w:rPr>
                <w:rFonts w:hint="eastAsia" w:ascii="仿宋" w:hAnsi="仿宋" w:eastAsia="仿宋" w:cs="仿宋"/>
                <w:bCs/>
                <w:sz w:val="24"/>
                <w:szCs w:val="24"/>
              </w:rPr>
            </w:pPr>
            <w:r>
              <w:rPr>
                <w:rFonts w:hint="eastAsia" w:ascii="仿宋" w:hAnsi="仿宋" w:eastAsia="仿宋" w:cs="仿宋"/>
                <w:bCs/>
                <w:sz w:val="24"/>
                <w:szCs w:val="24"/>
              </w:rPr>
              <w:t xml:space="preserve">采购包预算金额</w:t>
            </w:r>
            <w:r/>
          </w:p>
          <w:p>
            <w:pPr>
              <w:jc w:val="center"/>
              <w:rPr>
                <w:rFonts w:hint="eastAsia" w:ascii="仿宋" w:hAnsi="仿宋" w:eastAsia="仿宋" w:cs="仿宋"/>
                <w:bCs/>
                <w:sz w:val="24"/>
                <w:szCs w:val="24"/>
              </w:rPr>
            </w:pPr>
            <w:r>
              <w:rPr>
                <w:rFonts w:hint="eastAsia" w:ascii="仿宋" w:hAnsi="仿宋" w:eastAsia="仿宋" w:cs="仿宋"/>
                <w:bCs/>
                <w:sz w:val="24"/>
                <w:szCs w:val="24"/>
              </w:rPr>
              <w:t xml:space="preserve">（万元</w:t>
            </w:r>
            <w:r>
              <w:rPr>
                <w:rFonts w:hint="eastAsia" w:ascii="仿宋" w:hAnsi="仿宋" w:eastAsia="仿宋" w:cs="仿宋"/>
                <w:bCs/>
                <w:sz w:val="24"/>
                <w:szCs w:val="24"/>
              </w:rPr>
              <w:t xml:space="preserve">）</w:t>
            </w:r>
            <w:r/>
          </w:p>
        </w:tc>
        <w:tc>
          <w:tcPr>
            <w:tcW w:w="1364" w:type="dxa"/>
            <w:vAlign w:val="center"/>
            <w:textDirection w:val="lrTb"/>
            <w:noWrap w:val="false"/>
          </w:tcPr>
          <w:p>
            <w:pPr>
              <w:jc w:val="center"/>
              <w:rPr>
                <w:rFonts w:hint="eastAsia" w:ascii="仿宋" w:hAnsi="仿宋" w:eastAsia="仿宋" w:cs="仿宋"/>
                <w:bCs/>
                <w:sz w:val="24"/>
                <w:szCs w:val="24"/>
              </w:rPr>
            </w:pPr>
            <w:r>
              <w:rPr>
                <w:rFonts w:hint="eastAsia" w:ascii="仿宋" w:hAnsi="仿宋" w:eastAsia="仿宋" w:cs="仿宋"/>
                <w:bCs/>
                <w:sz w:val="24"/>
                <w:szCs w:val="24"/>
              </w:rPr>
              <w:t xml:space="preserve">数量</w:t>
            </w:r>
            <w:r/>
          </w:p>
        </w:tc>
        <w:tc>
          <w:tcPr>
            <w:tcW w:w="26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简要技术需求或服务要求</w:t>
            </w:r>
            <w:r/>
          </w:p>
        </w:tc>
      </w:tr>
      <w:tr>
        <w:trPr>
          <w:trHeight w:val="454"/>
        </w:trPr>
        <w:tc>
          <w:tcPr>
            <w:tcW w:w="702" w:type="dxa"/>
            <w:vAlign w:val="center"/>
            <w:textDirection w:val="lrTb"/>
            <w:noWrap w:val="false"/>
          </w:tcPr>
          <w:p>
            <w:pPr>
              <w:jc w:val="center"/>
              <w:rPr>
                <w:rFonts w:hint="eastAsia" w:ascii="仿宋" w:hAnsi="仿宋" w:eastAsia="仿宋" w:cs="仿宋"/>
                <w:bCs/>
                <w:sz w:val="24"/>
                <w:szCs w:val="24"/>
              </w:rPr>
            </w:pPr>
            <w:r>
              <w:rPr>
                <w:rFonts w:hint="eastAsia" w:ascii="仿宋" w:hAnsi="仿宋" w:eastAsia="仿宋" w:cs="仿宋"/>
                <w:bCs/>
                <w:sz w:val="24"/>
                <w:szCs w:val="24"/>
              </w:rPr>
              <w:t xml:space="preserve">01</w:t>
            </w:r>
            <w:r/>
          </w:p>
        </w:tc>
        <w:tc>
          <w:tcPr>
            <w:tcW w:w="1986" w:type="dxa"/>
            <w:vAlign w:val="center"/>
            <w:textDirection w:val="lrTb"/>
            <w:noWrap w:val="false"/>
          </w:tcPr>
          <w:p>
            <w:pPr>
              <w:jc w:val="center"/>
              <w:rPr>
                <w:rFonts w:hint="eastAsia" w:ascii="仿宋" w:hAnsi="仿宋" w:eastAsia="仿宋" w:cs="仿宋"/>
                <w:bCs/>
                <w:sz w:val="24"/>
                <w:szCs w:val="24"/>
              </w:rPr>
            </w:pPr>
            <w:r>
              <w:rPr>
                <w:rFonts w:hint="eastAsia" w:ascii="仿宋" w:hAnsi="仿宋" w:eastAsia="仿宋" w:cs="仿宋"/>
                <w:color w:val="000000"/>
                <w:sz w:val="24"/>
                <w:szCs w:val="24"/>
                <w:highlight w:val="none"/>
                <w:lang w:val="en-US" w:eastAsia="zh-CN"/>
              </w:rPr>
              <w:t xml:space="preserve">2025年度尧塘街道城市保洁及绿化管养项目</w:t>
            </w:r>
            <w:r/>
          </w:p>
        </w:tc>
        <w:tc>
          <w:tcPr>
            <w:tcW w:w="2505" w:type="dxa"/>
            <w:vAlign w:val="center"/>
            <w:textDirection w:val="lrTb"/>
            <w:noWrap w:val="false"/>
          </w:tcPr>
          <w:p>
            <w:pPr>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1168</w:t>
            </w:r>
            <w:r/>
          </w:p>
        </w:tc>
        <w:tc>
          <w:tcPr>
            <w:tcW w:w="1364" w:type="dxa"/>
            <w:vAlign w:val="center"/>
            <w:textDirection w:val="lrTb"/>
            <w:noWrap w:val="false"/>
          </w:tcPr>
          <w:p>
            <w:pPr>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w:t>
            </w:r>
            <w:r/>
          </w:p>
        </w:tc>
        <w:tc>
          <w:tcPr>
            <w:tcW w:w="2679"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详见采购需求</w:t>
            </w:r>
            <w:r/>
          </w:p>
        </w:tc>
      </w:tr>
    </w:tbl>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合同履行期限：两年，（1+1）模式，第一年合同有效期从2025年7月1日起至2026年6月30日，第二年合同有效期从2026年7月1日起至2027年6月30日。当年合同期满，经采购人验收合格后，可续签下一年合同，否则采购人有权决定不续签下年合同。</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本项目是否接受联合体投标：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是  ■否 。</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.本项目是否接受进口产品投标：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是  ■否 。</w:t>
      </w:r>
      <w:r/>
    </w:p>
    <w:p>
      <w:pPr>
        <w:pStyle w:val="1429"/>
        <w:jc w:val="left"/>
        <w:spacing w:before="0" w:line="360" w:lineRule="auto"/>
        <w:rPr>
          <w:rFonts w:hint="eastAsia" w:ascii="仿宋" w:hAnsi="仿宋" w:eastAsia="仿宋" w:cs="仿宋"/>
          <w:sz w:val="24"/>
          <w:szCs w:val="24"/>
          <w:highlight w:val="none"/>
        </w:rPr>
      </w:pPr>
      <w:r/>
      <w:bookmarkStart w:id="15" w:name="_Toc28359080"/>
      <w:r/>
      <w:bookmarkStart w:id="16" w:name="_Toc28359003"/>
      <w:r/>
      <w:bookmarkStart w:id="17" w:name="_Toc35393791"/>
      <w:r/>
      <w:bookmarkStart w:id="18" w:name="_Toc35393622"/>
      <w:r>
        <w:rPr>
          <w:rFonts w:hint="eastAsia" w:ascii="仿宋" w:hAnsi="仿宋" w:eastAsia="仿宋" w:cs="仿宋"/>
          <w:sz w:val="24"/>
          <w:szCs w:val="24"/>
          <w:highlight w:val="none"/>
        </w:rPr>
        <w:t xml:space="preserve">二、申请人的资格要求（须同时满足）</w:t>
      </w:r>
      <w:bookmarkEnd w:id="15"/>
      <w:r/>
      <w:bookmarkEnd w:id="16"/>
      <w:r/>
      <w:bookmarkEnd w:id="17"/>
      <w:r/>
      <w:bookmarkEnd w:id="18"/>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1.满足《中华人民共和国政府采购法》第二十二条规定以及下列情形：</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仿宋" w:hAnsi="仿宋" w:eastAsia="仿宋" w:cs="仿宋"/>
          <w:sz w:val="24"/>
          <w:szCs w:val="24"/>
          <w:highlight w:val="none"/>
        </w:rPr>
      </w:pPr>
      <w:r/>
      <w:bookmarkStart w:id="19" w:name="_Toc28359004"/>
      <w:r/>
      <w:bookmarkStart w:id="20" w:name="_Toc28359081"/>
      <w:r>
        <w:rPr>
          <w:rFonts w:hint="eastAsia" w:ascii="仿宋" w:hAnsi="仿宋" w:eastAsia="仿宋" w:cs="仿宋"/>
          <w:sz w:val="24"/>
          <w:szCs w:val="24"/>
          <w:highlight w:val="none"/>
        </w:rPr>
        <w:t xml:space="preserve">2.落实政府采购政策需满足的资格要求：</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中小企业政策</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■本项目专门面向  ■中小 </w:t>
      </w:r>
      <w:r>
        <w:rPr>
          <w:rFonts w:hint="eastAsia" w:ascii="仿宋" w:hAnsi="仿宋" w:eastAsia="仿宋" w:cs="仿宋"/>
          <w:sz w:val="24"/>
          <w:szCs w:val="24"/>
          <w:highlight w:val="none"/>
        </w:rPr>
        <w:t xml:space="preserve">□</w:t>
      </w:r>
      <w:r>
        <w:rPr>
          <w:rFonts w:hint="eastAsia" w:ascii="仿宋" w:hAnsi="仿宋" w:eastAsia="仿宋" w:cs="仿宋"/>
          <w:sz w:val="24"/>
          <w:szCs w:val="24"/>
        </w:rPr>
        <w:t xml:space="preserve">小微企业  采购。即：提供的货物全部由符合政策要求的中小/小微企业制造、服务全部由符合政策要求的中小/小微企业承接。</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其它落实政府采购政策的资格要求（如有）：</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3.1本项目是否接受分支机构参与投标：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是   ■否；</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3.2本项目是否属于政府购买服务： ■</w:t>
      </w:r>
      <w:r>
        <w:rPr>
          <w:rFonts w:hint="eastAsia" w:ascii="仿宋" w:hAnsi="仿宋" w:eastAsia="仿宋" w:cs="仿宋"/>
          <w:sz w:val="24"/>
          <w:szCs w:val="24"/>
          <w:highlight w:val="none"/>
          <w:lang w:val="en-US" w:eastAsia="zh-CN"/>
        </w:rPr>
        <w:t xml:space="preserve">是</w:t>
      </w:r>
      <w:r>
        <w:rPr>
          <w:rFonts w:hint="eastAsia" w:ascii="仿宋" w:hAnsi="仿宋" w:eastAsia="仿宋" w:cs="仿宋"/>
          <w:sz w:val="24"/>
          <w:szCs w:val="24"/>
          <w:highlight w:val="none"/>
        </w:rPr>
        <w:t xml:space="preserve">，公益一类事业单位、使用事业编制且由财政拨款保障的群团组织，不得作为承接主体；</w:t>
      </w:r>
      <w:r/>
    </w:p>
    <w:p>
      <w:pPr>
        <w:ind w:firstLine="420"/>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3.3其他特定资格要求：</w:t>
      </w:r>
      <w:r>
        <w:rPr>
          <w:rFonts w:hint="eastAsia" w:ascii="仿宋" w:hAnsi="仿宋" w:eastAsia="仿宋" w:cs="仿宋"/>
          <w:sz w:val="24"/>
          <w:szCs w:val="24"/>
          <w:highlight w:val="none"/>
          <w:u w:val="single"/>
          <w:lang w:val="en-US" w:eastAsia="zh-CN"/>
        </w:rPr>
        <w:t xml:space="preserve">无</w:t>
      </w:r>
      <w:bookmarkEnd w:id="19"/>
      <w:r/>
      <w:bookmarkEnd w:id="20"/>
      <w:r/>
      <w:r/>
    </w:p>
    <w:p>
      <w:pPr>
        <w:pStyle w:val="1429"/>
        <w:jc w:val="left"/>
        <w:spacing w:before="0" w:line="360" w:lineRule="auto"/>
        <w:widowControl/>
        <w:rPr>
          <w:rFonts w:hint="eastAsia" w:ascii="仿宋" w:hAnsi="仿宋" w:eastAsia="仿宋" w:cs="仿宋"/>
          <w:sz w:val="24"/>
          <w:szCs w:val="24"/>
          <w:highlight w:val="none"/>
        </w:rPr>
      </w:pPr>
      <w:r/>
      <w:bookmarkStart w:id="21" w:name="_Toc35393792"/>
      <w:r/>
      <w:bookmarkStart w:id="22" w:name="_Toc35393623"/>
      <w:r>
        <w:rPr>
          <w:rFonts w:hint="eastAsia" w:ascii="仿宋" w:hAnsi="仿宋" w:eastAsia="仿宋" w:cs="仿宋"/>
          <w:sz w:val="24"/>
          <w:szCs w:val="24"/>
          <w:highlight w:val="none"/>
        </w:rPr>
        <w:t xml:space="preserve">三、获取招标文件</w:t>
      </w:r>
      <w:bookmarkEnd w:id="21"/>
      <w:r/>
      <w:bookmarkEnd w:id="22"/>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1.时间：自招标文件公告发布之日起5个工作日。</w:t>
      </w:r>
      <w:bookmarkStart w:id="23" w:name="_Toc35393624"/>
      <w:r/>
      <w:bookmarkStart w:id="24" w:name="_Toc28359005"/>
      <w:r/>
      <w:bookmarkStart w:id="25" w:name="_Toc28359082"/>
      <w:r/>
      <w:bookmarkStart w:id="26" w:name="_Toc35393793"/>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2.地点：“苏采云”政府采购一体化平台；</w:t>
      </w:r>
      <w:r/>
    </w:p>
    <w:p>
      <w:pPr>
        <w:ind w:firstLine="42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rPr>
        <w:t xml:space="preserve">3.方式：供应商持政务CA数字认证证书登录“苏采云”政府采购一体化平台（http://jszfcg.jsczt.cn/jszc/login）获取电子版招标文件。</w:t>
      </w:r>
      <w:r/>
    </w:p>
    <w:p>
      <w:pPr>
        <w:ind w:firstLine="42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rPr>
        <w:t xml:space="preserve">4.售价：</w:t>
      </w:r>
      <w:r>
        <w:rPr>
          <w:rFonts w:hint="eastAsia" w:ascii="仿宋" w:hAnsi="仿宋" w:eastAsia="仿宋" w:cs="仿宋"/>
          <w:sz w:val="24"/>
          <w:szCs w:val="24"/>
          <w:highlight w:val="none"/>
          <w:u w:val="single"/>
        </w:rPr>
        <w:t xml:space="preserve"> 0 </w:t>
      </w:r>
      <w:r>
        <w:rPr>
          <w:rFonts w:hint="eastAsia" w:ascii="仿宋" w:hAnsi="仿宋" w:eastAsia="仿宋" w:cs="仿宋"/>
          <w:sz w:val="24"/>
          <w:szCs w:val="24"/>
          <w:highlight w:val="none"/>
        </w:rPr>
        <w:t xml:space="preserve">元</w:t>
      </w:r>
      <w:r/>
    </w:p>
    <w:p>
      <w:pPr>
        <w:pStyle w:val="1429"/>
        <w:jc w:val="left"/>
        <w:spacing w:before="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w:t>
      </w:r>
      <w:bookmarkEnd w:id="23"/>
      <w:r/>
      <w:bookmarkEnd w:id="24"/>
      <w:r/>
      <w:bookmarkEnd w:id="25"/>
      <w:r/>
      <w:bookmarkEnd w:id="26"/>
      <w:r>
        <w:rPr>
          <w:rFonts w:hint="eastAsia" w:ascii="仿宋" w:hAnsi="仿宋" w:eastAsia="仿宋" w:cs="仿宋"/>
          <w:sz w:val="24"/>
          <w:szCs w:val="24"/>
          <w:highlight w:val="none"/>
        </w:rPr>
        <w:t xml:space="preserve">提交投标文件截止时间、开标时间和地点</w:t>
      </w:r>
      <w:r/>
    </w:p>
    <w:p>
      <w:pPr>
        <w:ind w:firstLine="420"/>
        <w:spacing w:line="360" w:lineRule="auto"/>
        <w:rPr>
          <w:rFonts w:hint="eastAsia" w:ascii="仿宋" w:hAnsi="仿宋" w:eastAsia="仿宋" w:cs="仿宋"/>
          <w:bCs/>
          <w:sz w:val="24"/>
          <w:szCs w:val="24"/>
          <w:highlight w:val="none"/>
          <w:u w:val="single"/>
        </w:rPr>
      </w:pPr>
      <w:r>
        <w:rPr>
          <w:rFonts w:hint="eastAsia" w:ascii="仿宋" w:hAnsi="仿宋" w:eastAsia="仿宋" w:cs="仿宋"/>
          <w:sz w:val="24"/>
          <w:szCs w:val="24"/>
          <w:highlight w:val="none"/>
          <w:lang w:bidi="ar"/>
        </w:rPr>
        <w:t xml:space="preserve">截止时间：</w:t>
      </w:r>
      <w:r>
        <w:rPr>
          <w:rFonts w:hint="eastAsia" w:ascii="仿宋" w:hAnsi="仿宋" w:eastAsia="仿宋" w:cs="仿宋"/>
          <w:color w:val="ff0000"/>
          <w:sz w:val="24"/>
          <w:szCs w:val="24"/>
          <w:highlight w:val="none"/>
          <w:lang w:bidi="ar"/>
        </w:rPr>
        <w:t xml:space="preserve">202</w:t>
      </w:r>
      <w:r>
        <w:rPr>
          <w:rFonts w:hint="eastAsia" w:ascii="仿宋" w:hAnsi="仿宋" w:eastAsia="仿宋" w:cs="仿宋"/>
          <w:color w:val="ff0000"/>
          <w:sz w:val="24"/>
          <w:szCs w:val="24"/>
          <w:highlight w:val="none"/>
          <w:lang w:val="en-US" w:eastAsia="zh-CN" w:bidi="ar"/>
        </w:rPr>
        <w:t xml:space="preserve">5</w:t>
      </w:r>
      <w:r>
        <w:rPr>
          <w:rFonts w:hint="eastAsia" w:ascii="仿宋" w:hAnsi="仿宋" w:eastAsia="仿宋" w:cs="仿宋"/>
          <w:color w:val="ff0000"/>
          <w:sz w:val="24"/>
          <w:szCs w:val="24"/>
          <w:highlight w:val="none"/>
          <w:lang w:bidi="ar"/>
        </w:rPr>
        <w:t xml:space="preserve">年</w:t>
      </w:r>
      <w:r>
        <w:rPr>
          <w:rFonts w:hint="eastAsia" w:ascii="仿宋" w:hAnsi="仿宋" w:eastAsia="仿宋" w:cs="仿宋"/>
          <w:color w:val="ff0000"/>
          <w:sz w:val="24"/>
          <w:szCs w:val="24"/>
          <w:highlight w:val="none"/>
          <w:lang w:val="en-US" w:eastAsia="zh-CN" w:bidi="ar"/>
        </w:rPr>
        <w:t xml:space="preserve">6</w:t>
      </w:r>
      <w:r>
        <w:rPr>
          <w:rFonts w:hint="eastAsia" w:ascii="仿宋" w:hAnsi="仿宋" w:eastAsia="仿宋" w:cs="仿宋"/>
          <w:color w:val="ff0000"/>
          <w:sz w:val="24"/>
          <w:szCs w:val="24"/>
          <w:highlight w:val="none"/>
          <w:lang w:bidi="ar"/>
        </w:rPr>
        <w:t xml:space="preserve">月</w:t>
      </w:r>
      <w:r>
        <w:rPr>
          <w:rFonts w:hint="eastAsia" w:ascii="仿宋" w:hAnsi="仿宋" w:eastAsia="仿宋" w:cs="仿宋"/>
          <w:color w:val="ff0000"/>
          <w:sz w:val="24"/>
          <w:szCs w:val="24"/>
          <w:highlight w:val="none"/>
          <w:lang w:val="en-US" w:eastAsia="zh-CN" w:bidi="ar"/>
        </w:rPr>
        <w:t xml:space="preserve">6</w:t>
      </w:r>
      <w:r>
        <w:rPr>
          <w:rFonts w:hint="eastAsia" w:ascii="仿宋" w:hAnsi="仿宋" w:eastAsia="仿宋" w:cs="仿宋"/>
          <w:color w:val="ff0000"/>
          <w:sz w:val="24"/>
          <w:szCs w:val="24"/>
          <w:highlight w:val="none"/>
          <w:lang w:bidi="ar"/>
        </w:rPr>
        <w:t xml:space="preserve">日</w:t>
      </w:r>
      <w:r>
        <w:rPr>
          <w:rFonts w:hint="eastAsia" w:ascii="仿宋" w:hAnsi="仿宋" w:eastAsia="仿宋" w:cs="仿宋"/>
          <w:color w:val="ff0000"/>
          <w:sz w:val="24"/>
          <w:szCs w:val="24"/>
          <w:highlight w:val="none"/>
          <w:lang w:val="en-US" w:eastAsia="zh-CN" w:bidi="ar"/>
        </w:rPr>
        <w:t xml:space="preserve">14时30分</w:t>
      </w:r>
      <w:r>
        <w:rPr>
          <w:rFonts w:hint="eastAsia" w:ascii="仿宋" w:hAnsi="仿宋" w:eastAsia="仿宋" w:cs="仿宋"/>
          <w:bCs/>
          <w:sz w:val="24"/>
          <w:szCs w:val="24"/>
          <w:highlight w:val="none"/>
          <w:lang w:bidi="ar"/>
        </w:rPr>
        <w:t xml:space="preserve">（北京时间）</w:t>
      </w:r>
      <w:r>
        <w:rPr>
          <w:rFonts w:hint="eastAsia" w:ascii="仿宋" w:hAnsi="仿宋" w:eastAsia="仿宋" w:cs="仿宋"/>
          <w:iCs/>
          <w:sz w:val="24"/>
          <w:szCs w:val="24"/>
          <w:highlight w:val="none"/>
          <w:lang w:bidi="ar"/>
        </w:rPr>
        <w:t xml:space="preserve">。</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地点：</w:t>
      </w:r>
      <w:bookmarkStart w:id="27" w:name="_Toc28359007"/>
      <w:r/>
      <w:bookmarkStart w:id="28" w:name="_Toc35393625"/>
      <w:r/>
      <w:bookmarkStart w:id="29" w:name="_Toc28359084"/>
      <w:r/>
      <w:bookmarkStart w:id="30" w:name="_Toc35393794"/>
      <w:r>
        <w:rPr>
          <w:rFonts w:hint="eastAsia" w:ascii="仿宋" w:hAnsi="仿宋" w:eastAsia="仿宋" w:cs="仿宋"/>
          <w:sz w:val="24"/>
          <w:szCs w:val="24"/>
          <w:highlight w:val="none"/>
          <w:u w:val="single"/>
        </w:rPr>
        <w:t xml:space="preserve">本项目采用不见面交易方式，无需到现场提交，响应人登录“苏采云”政府采购一体化平台供应商端，通过系统在线提交电子投标文件</w:t>
      </w: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五、公告期限</w:t>
      </w:r>
      <w:bookmarkEnd w:id="27"/>
      <w:r/>
      <w:bookmarkEnd w:id="28"/>
      <w:r/>
      <w:bookmarkEnd w:id="29"/>
      <w:r/>
      <w:bookmarkEnd w:id="30"/>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自本公告发布之日起5个工作日。</w:t>
      </w:r>
      <w:r/>
    </w:p>
    <w:p>
      <w:pPr>
        <w:pStyle w:val="1429"/>
        <w:jc w:val="left"/>
        <w:spacing w:before="0" w:line="360" w:lineRule="auto"/>
        <w:rPr>
          <w:rFonts w:hint="eastAsia" w:ascii="仿宋" w:hAnsi="仿宋" w:eastAsia="仿宋" w:cs="仿宋"/>
          <w:sz w:val="24"/>
          <w:szCs w:val="24"/>
          <w:highlight w:val="none"/>
        </w:rPr>
      </w:pPr>
      <w:r/>
      <w:bookmarkStart w:id="31" w:name="_Toc35393626"/>
      <w:r/>
      <w:bookmarkStart w:id="32" w:name="_Toc35393795"/>
      <w:r>
        <w:rPr>
          <w:rFonts w:hint="eastAsia" w:ascii="仿宋" w:hAnsi="仿宋" w:eastAsia="仿宋" w:cs="仿宋"/>
          <w:sz w:val="24"/>
          <w:szCs w:val="24"/>
          <w:highlight w:val="none"/>
        </w:rPr>
        <w:t xml:space="preserve">六、其他补充事宜</w:t>
      </w:r>
      <w:bookmarkEnd w:id="31"/>
      <w:r/>
      <w:bookmarkEnd w:id="32"/>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1.本项目需要落实的政府采购政策：</w:t>
      </w:r>
      <w:r>
        <w:rPr>
          <w:rFonts w:hint="eastAsia" w:ascii="仿宋" w:hAnsi="仿宋" w:eastAsia="仿宋" w:cs="仿宋"/>
          <w:sz w:val="24"/>
          <w:szCs w:val="24"/>
          <w:highlight w:val="none"/>
          <w:lang w:bidi="ar"/>
        </w:rPr>
        <w:t xml:space="preserve">/。</w:t>
      </w:r>
      <w:r>
        <w:rPr>
          <w:rFonts w:hint="eastAsia" w:ascii="仿宋" w:hAnsi="仿宋" w:eastAsia="仿宋" w:cs="仿宋"/>
          <w:sz w:val="24"/>
          <w:szCs w:val="24"/>
          <w:highlight w:val="none"/>
        </w:rPr>
        <w:t xml:space="preserve"> </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2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zh-TW" w:bidi="ar"/>
        </w:rPr>
        <w:t xml:space="preserve">技术支持服务热线    0519-85588210、0519-85588</w:t>
      </w:r>
      <w:r>
        <w:rPr>
          <w:rFonts w:hint="eastAsia" w:ascii="仿宋" w:hAnsi="仿宋" w:eastAsia="仿宋" w:cs="仿宋"/>
          <w:sz w:val="24"/>
          <w:szCs w:val="24"/>
          <w:highlight w:val="none"/>
          <w:lang w:bidi="ar"/>
        </w:rPr>
        <w:t xml:space="preserve">163</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CA认证证书办理（可邮寄）联系电话   0519-85588120</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2.1办理CA认证证书</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供应商登录常州市政府采购网“下载中心”下载并查阅 “江苏省政府采购数字证书CA及电子签章办理指南”，按照程序要求办理。</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2.2注册</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供应商登录常州市政府采购网“下载中心”-““苏采云”系统供应商操作手册”下载相关操作手册、操作视频等，查阅后进行自助注册。</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2.3控件、客户端下载</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供应商登录常州市政府采购网“下载中心”-“政府采购管理交易系统（苏采云）CA及签章控件驱动”下载相关控件和客户端。</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2.4 获取电子招标文件</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供应商持CA数字认证证书登录“苏采云”政府采购一体化平台获取电子招标文件。未在规定期限内通过“苏采云”政府采购一体化平台获取招标文件的投标无效。</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2.5编制电子投标文件</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2.6提交电子投标文件</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供应商应于投标截止时间前在“苏采云”政府采购一体化平台提交电子投标文件，上传电子投标文件过程中请保持与互联网的连接畅通。</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2.7电子开标</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供应商使用CA认证证书登录“苏采云”政府采购一体化平台进行电子化不见面开标。</w:t>
      </w:r>
      <w:r/>
    </w:p>
    <w:p>
      <w:pPr>
        <w:ind w:firstLine="420"/>
        <w:spacing w:line="360" w:lineRule="auto"/>
        <w:rPr>
          <w:rFonts w:hint="eastAsia" w:ascii="仿宋" w:hAnsi="仿宋" w:eastAsia="仿宋" w:cs="仿宋"/>
          <w:sz w:val="24"/>
          <w:szCs w:val="24"/>
          <w:highlight w:val="none"/>
          <w:lang w:val="zh-TW" w:bidi="ar"/>
        </w:rPr>
      </w:pPr>
      <w:r>
        <w:rPr>
          <w:rFonts w:hint="eastAsia" w:ascii="仿宋" w:hAnsi="仿宋" w:eastAsia="仿宋" w:cs="仿宋"/>
          <w:sz w:val="24"/>
          <w:szCs w:val="24"/>
          <w:highlight w:val="none"/>
          <w:lang w:val="zh-TW" w:bidi="ar"/>
        </w:rPr>
        <w:t xml:space="preserve">2.8注意事项</w:t>
      </w:r>
      <w:r/>
    </w:p>
    <w:p>
      <w:pPr>
        <w:ind w:firstLine="420"/>
        <w:spacing w:line="360" w:lineRule="auto"/>
        <w:rPr>
          <w:rFonts w:hint="eastAsia" w:ascii="仿宋" w:hAnsi="仿宋" w:eastAsia="仿宋" w:cs="仿宋"/>
          <w:sz w:val="24"/>
          <w:szCs w:val="24"/>
          <w:highlight w:val="none"/>
          <w:lang w:val="zh-TW" w:bidi="ar"/>
        </w:rPr>
        <w:outlineLvl w:val="1"/>
      </w:pPr>
      <w:r>
        <w:rPr>
          <w:rFonts w:hint="eastAsia" w:ascii="仿宋" w:hAnsi="仿宋" w:eastAsia="仿宋" w:cs="仿宋"/>
          <w:sz w:val="24"/>
          <w:szCs w:val="24"/>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p>
    <w:p>
      <w:pPr>
        <w:ind w:firstLine="420"/>
        <w:spacing w:line="360" w:lineRule="auto"/>
        <w:rPr>
          <w:rFonts w:hint="eastAsia" w:ascii="仿宋" w:hAnsi="仿宋" w:eastAsia="仿宋" w:cs="仿宋"/>
          <w:b/>
          <w:bCs/>
          <w:sz w:val="24"/>
          <w:szCs w:val="24"/>
          <w:highlight w:val="none"/>
        </w:rPr>
        <w:outlineLvl w:val="1"/>
      </w:pPr>
      <w:r>
        <w:rPr>
          <w:rFonts w:hint="eastAsia" w:ascii="仿宋" w:hAnsi="仿宋" w:eastAsia="仿宋" w:cs="仿宋"/>
          <w:sz w:val="24"/>
          <w:szCs w:val="24"/>
          <w:highlight w:val="none"/>
        </w:rPr>
        <w:t xml:space="preserve">3.关于常州市中小企业政府采购信用融资</w:t>
      </w:r>
      <w:r/>
    </w:p>
    <w:p>
      <w:pPr>
        <w:ind w:firstLine="420"/>
        <w:spacing w:line="360" w:lineRule="auto"/>
        <w:rPr>
          <w:rFonts w:hint="eastAsia"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p>
    <w:p>
      <w:pPr>
        <w:ind w:firstLine="420"/>
        <w:spacing w:line="360" w:lineRule="auto"/>
        <w:rPr>
          <w:rFonts w:hint="eastAsia" w:ascii="仿宋" w:hAnsi="仿宋" w:eastAsia="仿宋" w:cs="仿宋"/>
          <w:bCs/>
          <w:sz w:val="24"/>
          <w:szCs w:val="24"/>
          <w:highlight w:val="none"/>
        </w:rPr>
        <w:outlineLvl w:val="1"/>
      </w:pPr>
      <w:r>
        <w:rPr>
          <w:rFonts w:hint="eastAsia" w:ascii="仿宋" w:hAnsi="仿宋" w:eastAsia="仿宋" w:cs="仿宋"/>
          <w:bCs/>
          <w:sz w:val="24"/>
          <w:szCs w:val="24"/>
          <w:highlight w:val="none"/>
        </w:rPr>
        <w:t xml:space="preserve">申请条件及操作流程等事项详见《常州市财政局中国人民银行常州市中心支行关于进一步推进政府采购信用融资工作的通知》。</w:t>
      </w:r>
      <w:r/>
    </w:p>
    <w:p>
      <w:pPr>
        <w:ind w:firstLine="422"/>
        <w:spacing w:line="360" w:lineRule="auto"/>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七、对本次招标提出询问，请按以下方式联系</w:t>
      </w:r>
      <w:bookmarkEnd w:id="10"/>
      <w:r/>
      <w:bookmarkEnd w:id="11"/>
      <w:r/>
      <w:bookmarkEnd w:id="12"/>
      <w:r/>
      <w:bookmarkEnd w:id="13"/>
      <w:r/>
      <w:bookmarkEnd w:id="14"/>
      <w:r/>
      <w:r/>
    </w:p>
    <w:p>
      <w:pPr>
        <w:ind w:firstLine="420"/>
        <w:spacing w:line="360" w:lineRule="auto"/>
        <w:rPr>
          <w:rFonts w:hint="eastAsia" w:ascii="仿宋" w:hAnsi="仿宋" w:eastAsia="仿宋" w:cs="仿宋"/>
          <w:sz w:val="24"/>
          <w:szCs w:val="24"/>
          <w:highlight w:val="none"/>
        </w:rPr>
      </w:pPr>
      <w:r/>
      <w:bookmarkStart w:id="33" w:name="_Toc28358998"/>
      <w:r/>
      <w:bookmarkStart w:id="34" w:name="_Toc35393617"/>
      <w:r/>
      <w:bookmarkStart w:id="35" w:name="_Toc28359075"/>
      <w:r/>
      <w:bookmarkStart w:id="36" w:name="_Toc35393786"/>
      <w:r>
        <w:rPr>
          <w:rFonts w:hint="eastAsia" w:ascii="仿宋" w:hAnsi="仿宋" w:eastAsia="仿宋" w:cs="仿宋"/>
          <w:sz w:val="24"/>
          <w:szCs w:val="24"/>
          <w:highlight w:val="none"/>
        </w:rPr>
        <w:t xml:space="preserve">1.采购人信息</w:t>
      </w:r>
      <w:bookmarkEnd w:id="33"/>
      <w:r/>
      <w:bookmarkEnd w:id="34"/>
      <w:r/>
      <w:bookmarkEnd w:id="35"/>
      <w:r/>
      <w:bookmarkEnd w:id="36"/>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常州市金坛区尧塘街道办事处</w:t>
      </w:r>
      <w:r>
        <w:rPr>
          <w:rFonts w:hint="eastAsia" w:ascii="仿宋" w:hAnsi="仿宋" w:eastAsia="仿宋" w:cs="仿宋"/>
          <w:sz w:val="24"/>
          <w:szCs w:val="24"/>
          <w:highlight w:val="none"/>
        </w:rPr>
        <w:t xml:space="preserve">　　　　　　　　　　　</w:t>
      </w:r>
      <w:r/>
    </w:p>
    <w:p>
      <w:pPr>
        <w:ind w:firstLine="4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lang w:eastAsia="zh-CN"/>
        </w:rPr>
        <w:t xml:space="preserve">常州市金坛区尧塘镇尧塘街道尧汤路8号</w:t>
      </w:r>
      <w:r>
        <w:rPr>
          <w:rFonts w:hint="eastAsia" w:ascii="仿宋" w:hAnsi="仿宋" w:eastAsia="仿宋" w:cs="仿宋"/>
          <w:sz w:val="24"/>
          <w:szCs w:val="24"/>
          <w:highlight w:val="none"/>
          <w:lang w:eastAsia="zh-CN"/>
        </w:rPr>
        <w:t xml:space="preserve">　　　　　　　　　　</w:t>
      </w:r>
      <w:r/>
    </w:p>
    <w:p>
      <w:pPr>
        <w:ind w:firstLine="4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电　话：</w:t>
      </w:r>
      <w:r>
        <w:rPr>
          <w:rFonts w:hint="eastAsia" w:ascii="仿宋" w:hAnsi="仿宋" w:eastAsia="仿宋" w:cs="仿宋"/>
          <w:sz w:val="24"/>
          <w:szCs w:val="24"/>
          <w:lang w:eastAsia="zh-CN"/>
        </w:rPr>
        <w:t xml:space="preserve">0519-82595903</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r/>
    </w:p>
    <w:p>
      <w:pPr>
        <w:ind w:firstLine="42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val="en-US" w:eastAsia="zh-CN"/>
        </w:rPr>
        <w:t xml:space="preserve">江苏金喜项目管理有限公司</w:t>
      </w:r>
      <w:r/>
    </w:p>
    <w:p>
      <w:pPr>
        <w:ind w:firstLine="4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地 址：</w:t>
      </w:r>
      <w:r>
        <w:rPr>
          <w:rFonts w:hint="eastAsia" w:ascii="仿宋" w:hAnsi="仿宋" w:eastAsia="仿宋" w:cs="仿宋"/>
          <w:bCs/>
          <w:sz w:val="24"/>
          <w:szCs w:val="24"/>
          <w:highlight w:val="none"/>
          <w:lang w:val="en-US" w:eastAsia="zh-CN"/>
        </w:rPr>
        <w:t xml:space="preserve">常州市金坛区翠园新村333号</w:t>
      </w:r>
      <w:r/>
    </w:p>
    <w:p>
      <w:pPr>
        <w:ind w:firstLine="420"/>
        <w:spacing w:line="360" w:lineRule="auto"/>
        <w:rPr>
          <w:rFonts w:hint="eastAsia" w:ascii="仿宋" w:hAnsi="仿宋" w:eastAsia="仿宋" w:cs="仿宋"/>
          <w:sz w:val="24"/>
          <w:szCs w:val="24"/>
          <w:highlight w:val="none"/>
          <w:lang w:eastAsia="zh-CN"/>
        </w:rPr>
      </w:pPr>
      <w:r/>
      <w:bookmarkStart w:id="37" w:name="_Toc28359000"/>
      <w:r/>
      <w:bookmarkStart w:id="38" w:name="_Toc35393619"/>
      <w:r/>
      <w:bookmarkStart w:id="39" w:name="_Toc35393788"/>
      <w:r/>
      <w:bookmarkStart w:id="40" w:name="_Toc28359077"/>
      <w:r>
        <w:rPr>
          <w:rFonts w:hint="eastAsia" w:ascii="仿宋" w:hAnsi="仿宋" w:eastAsia="仿宋" w:cs="仿宋"/>
          <w:sz w:val="24"/>
          <w:szCs w:val="24"/>
          <w:highlight w:val="none"/>
          <w:lang w:eastAsia="zh-CN"/>
        </w:rPr>
        <w:t xml:space="preserve">3.项目联系方式</w:t>
      </w:r>
      <w:bookmarkEnd w:id="37"/>
      <w:r/>
      <w:bookmarkEnd w:id="38"/>
      <w:r/>
      <w:bookmarkEnd w:id="39"/>
      <w:r/>
      <w:bookmarkEnd w:id="40"/>
      <w:r/>
      <w:r/>
    </w:p>
    <w:p>
      <w:pPr>
        <w:ind w:firstLine="42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采购文件相关联系人：</w:t>
      </w:r>
      <w:r>
        <w:rPr>
          <w:rFonts w:hint="eastAsia" w:ascii="仿宋" w:hAnsi="仿宋" w:eastAsia="仿宋" w:cs="仿宋"/>
          <w:sz w:val="24"/>
          <w:szCs w:val="24"/>
          <w:highlight w:val="none"/>
          <w:lang w:val="en-US" w:eastAsia="zh-CN"/>
        </w:rPr>
        <w:t xml:space="preserve">汤女士</w:t>
      </w:r>
      <w:r>
        <w:rPr>
          <w:rFonts w:hint="eastAsia" w:ascii="仿宋" w:hAnsi="仿宋" w:eastAsia="仿宋" w:cs="仿宋"/>
          <w:sz w:val="24"/>
          <w:szCs w:val="24"/>
          <w:highlight w:val="none"/>
          <w:lang w:eastAsia="zh-CN"/>
        </w:rPr>
        <w:t xml:space="preserve">               </w:t>
      </w:r>
      <w:r/>
    </w:p>
    <w:p>
      <w:pPr>
        <w:ind w:firstLine="42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eastAsia="zh-CN"/>
        </w:rPr>
        <w:t xml:space="preserve">电　话：</w:t>
      </w:r>
      <w:r>
        <w:rPr>
          <w:rFonts w:hint="eastAsia" w:ascii="仿宋" w:hAnsi="仿宋" w:eastAsia="仿宋" w:cs="仿宋"/>
          <w:sz w:val="24"/>
          <w:szCs w:val="24"/>
          <w:lang w:val="en-US" w:eastAsia="zh-CN"/>
        </w:rPr>
        <w:t xml:space="preserve">13921012502</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lang w:bidi="zh-TW"/>
        </w:rPr>
        <w:t xml:space="preserve">　　　　　　</w:t>
      </w:r>
      <w:r/>
    </w:p>
    <w:p>
      <w:pPr>
        <w:spacing w:line="360" w:lineRule="auto"/>
        <w:rPr>
          <w:rFonts w:hint="eastAsia" w:ascii="仿宋" w:hAnsi="仿宋" w:eastAsia="仿宋" w:cs="仿宋"/>
          <w:b/>
          <w:sz w:val="24"/>
          <w:szCs w:val="24"/>
          <w:highlight w:val="none"/>
        </w:rPr>
        <w:outlineLvl w:val="0"/>
      </w:pPr>
      <w:r/>
      <w:bookmarkStart w:id="41" w:name="_Toc305158928"/>
      <w:r/>
      <w:bookmarkStart w:id="42" w:name="_Toc195842950"/>
      <w:r/>
      <w:bookmarkStart w:id="43" w:name="_Toc265228423"/>
      <w:r/>
      <w:bookmarkStart w:id="44" w:name="_Toc512937850"/>
      <w:r/>
      <w:bookmarkStart w:id="45" w:name="_Toc264969275"/>
      <w:r/>
      <w:bookmarkStart w:id="46" w:name="_Toc99301420"/>
      <w:r/>
      <w:bookmarkStart w:id="47" w:name="_Toc226965856"/>
      <w:r/>
      <w:bookmarkStart w:id="48" w:name="_Toc353873938"/>
      <w:r/>
      <w:bookmarkStart w:id="49" w:name="_Toc353825548"/>
      <w:r/>
      <w:bookmarkStart w:id="50" w:name="_Toc127151777"/>
      <w:r/>
      <w:bookmarkStart w:id="51" w:name="_Toc150774783"/>
      <w:r/>
      <w:bookmarkStart w:id="52" w:name="_Toc127161488"/>
      <w:r/>
      <w:bookmarkStart w:id="53" w:name="_Toc305158854"/>
      <w:r/>
      <w:r/>
    </w:p>
    <w:p>
      <w:pPr>
        <w:jc w:val="center"/>
        <w:spacing w:line="360" w:lineRule="auto"/>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r>
        <w:rPr>
          <w:rFonts w:hint="eastAsia" w:ascii="仿宋" w:hAnsi="仿宋" w:eastAsia="仿宋" w:cs="仿宋"/>
          <w:b/>
          <w:sz w:val="24"/>
          <w:szCs w:val="24"/>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1429"/>
        <w:spacing w:before="0" w:line="360" w:lineRule="auto"/>
        <w:tabs>
          <w:tab w:val="center" w:pos="4592" w:leader="none"/>
          <w:tab w:val="left" w:pos="7860" w:leader="none"/>
        </w:tabs>
        <w:rPr>
          <w:rFonts w:hint="eastAsia" w:ascii="仿宋" w:hAnsi="仿宋" w:eastAsia="仿宋" w:cs="仿宋"/>
          <w:sz w:val="24"/>
          <w:szCs w:val="24"/>
          <w:highlight w:val="none"/>
        </w:rPr>
      </w:pPr>
      <w:r/>
      <w:bookmarkStart w:id="54" w:name="_Toc520356144"/>
      <w:r/>
      <w:bookmarkStart w:id="55" w:name="_Toc151190146"/>
      <w:r/>
      <w:bookmarkStart w:id="56" w:name="_Toc164229360"/>
      <w:r/>
      <w:bookmarkStart w:id="57" w:name="_Toc151193761"/>
      <w:r/>
      <w:bookmarkStart w:id="58" w:name="_Toc164608788"/>
      <w:r/>
      <w:bookmarkStart w:id="59" w:name="_Toc150774619"/>
      <w:r/>
      <w:bookmarkStart w:id="60" w:name="_Toc151193833"/>
      <w:r/>
      <w:bookmarkStart w:id="61" w:name="_Toc226309763"/>
      <w:r/>
      <w:bookmarkStart w:id="62" w:name="_Toc151193689"/>
      <w:r/>
      <w:bookmarkStart w:id="63" w:name="_Toc150774724"/>
      <w:r/>
      <w:bookmarkStart w:id="64" w:name="_Toc151193907"/>
      <w:r/>
      <w:bookmarkStart w:id="65" w:name="_Toc226965709"/>
      <w:r/>
      <w:bookmarkStart w:id="66" w:name="_Toc195842884"/>
      <w:r/>
      <w:bookmarkStart w:id="67" w:name="_Toc142311021"/>
      <w:r/>
      <w:bookmarkStart w:id="68" w:name="_Toc164351613"/>
      <w:r/>
      <w:bookmarkStart w:id="69" w:name="_Toc164608633"/>
      <w:r/>
      <w:bookmarkStart w:id="70" w:name="_Toc127151720"/>
      <w:r/>
      <w:bookmarkStart w:id="71" w:name="_Toc127161433"/>
      <w:r/>
      <w:bookmarkStart w:id="72" w:name="_Toc164229214"/>
      <w:r/>
      <w:bookmarkStart w:id="73" w:name="_Toc151193617"/>
      <w:r/>
      <w:bookmarkStart w:id="74" w:name="_Toc149720812"/>
      <w:r/>
      <w:bookmarkStart w:id="75" w:name="_Toc226965792"/>
      <w:r/>
      <w:bookmarkStart w:id="76" w:name="_Toc226337215"/>
      <w:r/>
      <w:bookmarkStart w:id="77" w:name="_Toc150509270"/>
      <w:r/>
      <w:bookmarkStart w:id="78" w:name="_Toc150480757"/>
      <w:r/>
      <w:bookmarkStart w:id="79" w:name="_Toc127151519"/>
      <w:r>
        <w:rPr>
          <w:rFonts w:hint="eastAsia" w:ascii="仿宋" w:hAnsi="仿宋" w:eastAsia="仿宋" w:cs="仿宋"/>
          <w:sz w:val="24"/>
          <w:szCs w:val="24"/>
          <w:highlight w:val="none"/>
        </w:rPr>
        <w:t xml:space="preserve">投标人须知资料表</w:t>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本表是对供应商须知的具体补充和修改，如有矛盾，均以本资料表为准。标记</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t xml:space="preserve">的选项意为适用于本项目，标记“□”的选项意为不适用于本项目。</w:t>
      </w:r>
      <w:r/>
    </w:p>
    <w:tbl>
      <w:tblPr>
        <w:tblStyle w:val="1220"/>
        <w:tblW w:w="100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jc w:val="center"/>
          <w:trHeight w:val="649"/>
          <w:tblHeader/>
        </w:trPr>
        <w:tc>
          <w:tcPr>
            <w:tcW w:w="75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序号</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条目</w:t>
            </w:r>
            <w:r/>
          </w:p>
        </w:tc>
        <w:tc>
          <w:tcPr>
            <w:tcW w:w="755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内容</w:t>
            </w:r>
            <w:r/>
          </w:p>
        </w:tc>
      </w:tr>
      <w:tr>
        <w:trPr>
          <w:jc w:val="center"/>
          <w:trHeight w:val="22"/>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w:t>
            </w:r>
            <w:r/>
          </w:p>
          <w:p>
            <w:pPr>
              <w:jc w:val="left"/>
              <w:keepLines w:val="0"/>
              <w:keepNext w:val="0"/>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服务</w:t>
            </w:r>
            <w:r/>
          </w:p>
        </w:tc>
      </w:tr>
      <w:tr>
        <w:trPr>
          <w:jc w:val="center"/>
          <w:trHeight w:val="22"/>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科研仪器设备</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是否属于科研仪器设备采购项目：</w:t>
            </w:r>
            <w:r/>
          </w:p>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否</w:t>
            </w:r>
            <w:r/>
          </w:p>
        </w:tc>
      </w:tr>
      <w:tr>
        <w:trPr>
          <w:jc w:val="center"/>
          <w:trHeight w:val="417"/>
        </w:trPr>
        <w:tc>
          <w:tcPr>
            <w:tcW w:w="758" w:type="dxa"/>
            <w:vAlign w:val="center"/>
            <w:vMerge w:val="restart"/>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现场考察</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sz w:val="24"/>
                <w:szCs w:val="24"/>
                <w:highlight w:val="none"/>
              </w:rPr>
              <w:t xml:space="preserve">不组织</w:t>
            </w:r>
            <w:r/>
          </w:p>
        </w:tc>
      </w:tr>
      <w:tr>
        <w:trPr>
          <w:jc w:val="center"/>
          <w:trHeight w:val="439"/>
        </w:trPr>
        <w:tc>
          <w:tcPr>
            <w:tcW w:w="758" w:type="dxa"/>
            <w:vAlign w:val="center"/>
            <w:vMerge w:val="continue"/>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开标前答疑会</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sz w:val="24"/>
                <w:szCs w:val="24"/>
                <w:highlight w:val="none"/>
              </w:rPr>
              <w:t xml:space="preserve">不召开</w:t>
            </w:r>
            <w:r/>
          </w:p>
        </w:tc>
      </w:tr>
      <w:tr>
        <w:trPr>
          <w:jc w:val="center"/>
          <w:trHeight w:val="22"/>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样品</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投标样品递交：</w:t>
            </w:r>
            <w:r/>
          </w:p>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sz w:val="24"/>
                <w:szCs w:val="24"/>
                <w:highlight w:val="none"/>
              </w:rPr>
              <w:t xml:space="preserve">不需要</w:t>
            </w:r>
            <w:r/>
          </w:p>
        </w:tc>
      </w:tr>
      <w:tr>
        <w:trPr>
          <w:jc w:val="center"/>
          <w:trHeight w:val="593"/>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标的所属行业</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本项目采购标的对应的中小企业划分标准所属行业：</w:t>
            </w:r>
            <w:r>
              <w:rPr>
                <w:rFonts w:hint="eastAsia" w:ascii="仿宋" w:hAnsi="仿宋" w:eastAsia="仿宋" w:cs="仿宋"/>
                <w:b w:val="0"/>
                <w:bCs w:val="0"/>
                <w:sz w:val="24"/>
                <w:szCs w:val="24"/>
                <w:highlight w:val="yellow"/>
                <w:u w:val="single"/>
              </w:rPr>
              <w:t xml:space="preserve">其他未列明行业</w:t>
            </w:r>
            <w:r>
              <w:rPr>
                <w:rFonts w:hint="eastAsia" w:ascii="仿宋" w:hAnsi="仿宋" w:eastAsia="仿宋" w:cs="仿宋"/>
                <w:b w:val="0"/>
                <w:bCs w:val="0"/>
                <w:sz w:val="24"/>
                <w:szCs w:val="24"/>
                <w:highlight w:val="yellow"/>
                <w:u w:val="single"/>
                <w:lang w:eastAsia="zh-CN"/>
              </w:rPr>
              <w:t xml:space="preserve">。</w:t>
            </w:r>
            <w:r/>
          </w:p>
        </w:tc>
      </w:tr>
      <w:tr>
        <w:trPr>
          <w:jc w:val="center"/>
          <w:trHeight w:val="1549"/>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yellow"/>
                <w:lang w:eastAsia="zh-CN"/>
              </w:rPr>
            </w:pPr>
            <w:r>
              <w:rPr>
                <w:rFonts w:hint="eastAsia" w:ascii="仿宋" w:hAnsi="仿宋" w:eastAsia="仿宋" w:cs="仿宋"/>
                <w:sz w:val="24"/>
                <w:szCs w:val="24"/>
                <w:highlight w:val="none"/>
              </w:rPr>
              <w:t xml:space="preserve">投标报价的特殊规定：</w:t>
            </w:r>
            <w:r>
              <w:rPr>
                <w:rFonts w:hint="eastAsia" w:ascii="仿宋" w:hAnsi="仿宋" w:eastAsia="仿宋" w:cs="仿宋"/>
                <w:sz w:val="24"/>
                <w:szCs w:val="24"/>
                <w:highlight w:val="yellow"/>
              </w:rPr>
              <w:t xml:space="preserve">本项目投标报价为年度报价</w:t>
            </w:r>
            <w:r>
              <w:rPr>
                <w:rFonts w:hint="eastAsia" w:ascii="仿宋" w:hAnsi="仿宋" w:eastAsia="仿宋" w:cs="仿宋"/>
                <w:sz w:val="24"/>
                <w:szCs w:val="24"/>
                <w:highlight w:val="yellow"/>
                <w:lang w:eastAsia="zh-CN"/>
              </w:rPr>
              <w:t xml:space="preserve">。</w:t>
            </w:r>
            <w:r/>
          </w:p>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sz w:val="24"/>
                <w:szCs w:val="24"/>
                <w:highlight w:val="none"/>
              </w:rPr>
              <w:t xml:space="preserve">无</w:t>
            </w:r>
            <w:r/>
          </w:p>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yellow"/>
                <w:lang w:val="en-US" w:eastAsia="zh-CN"/>
              </w:rPr>
              <w:t xml:space="preserve">响应人</w:t>
            </w:r>
            <w:r>
              <w:rPr>
                <w:rFonts w:hint="eastAsia" w:ascii="仿宋" w:hAnsi="仿宋" w:eastAsia="仿宋" w:cs="仿宋"/>
                <w:sz w:val="24"/>
                <w:szCs w:val="24"/>
                <w:highlight w:val="yellow"/>
                <w:lang w:val="zh-TW" w:eastAsia="zh-CN"/>
              </w:rPr>
              <w:t xml:space="preserve">应有明确报价，</w:t>
            </w:r>
            <w:r>
              <w:rPr>
                <w:rFonts w:hint="eastAsia" w:ascii="仿宋" w:hAnsi="仿宋" w:eastAsia="仿宋" w:cs="仿宋"/>
                <w:sz w:val="24"/>
                <w:szCs w:val="24"/>
                <w:highlight w:val="yellow"/>
                <w:lang w:val="zh-CN" w:eastAsia="zh-CN"/>
              </w:rPr>
              <w:t xml:space="preserve">超过最高限价（</w:t>
            </w:r>
            <w:r>
              <w:rPr>
                <w:rFonts w:hint="eastAsia" w:ascii="仿宋" w:hAnsi="仿宋" w:eastAsia="仿宋" w:cs="仿宋"/>
                <w:color w:val="000000"/>
                <w:sz w:val="24"/>
                <w:szCs w:val="24"/>
                <w:highlight w:val="yellow"/>
                <w:lang w:val="en-US" w:eastAsia="zh-CN"/>
              </w:rPr>
              <w:t xml:space="preserve">584万元/年</w:t>
            </w:r>
            <w:r>
              <w:rPr>
                <w:rFonts w:hint="eastAsia" w:ascii="仿宋" w:hAnsi="仿宋" w:eastAsia="仿宋" w:cs="仿宋"/>
                <w:sz w:val="24"/>
                <w:szCs w:val="24"/>
                <w:highlight w:val="yellow"/>
                <w:lang w:val="zh-CN" w:eastAsia="zh-CN"/>
              </w:rPr>
              <w:t xml:space="preserve">）或者无报价投标的，作无效响应文件处理。</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投标保证金</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免收</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投标有效期</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自提交投标文件的截止之日起算60日历天。</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本项目的非主体、非关键性工作是否允许分包： </w:t>
            </w:r>
            <w:r/>
          </w:p>
          <w:p>
            <w:pPr>
              <w:jc w:val="left"/>
              <w:keepLines w:val="0"/>
              <w:keepNext w:val="0"/>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b/>
                <w:color w:val="000000"/>
                <w:sz w:val="24"/>
                <w:szCs w:val="24"/>
                <w:highlight w:val="none"/>
              </w:rPr>
              <w:t xml:space="preserve">■  </w:t>
            </w:r>
            <w:r>
              <w:rPr>
                <w:rFonts w:hint="eastAsia" w:ascii="仿宋" w:hAnsi="仿宋" w:eastAsia="仿宋" w:cs="仿宋"/>
                <w:sz w:val="24"/>
                <w:szCs w:val="24"/>
                <w:highlight w:val="none"/>
              </w:rPr>
              <w:t xml:space="preserve">不允许</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询问</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询问送达形式：投标人如对采购文件有疑问，须在</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5</w:t>
            </w:r>
            <w:r>
              <w:rPr>
                <w:rFonts w:hint="eastAsia" w:ascii="仿宋" w:hAnsi="仿宋" w:eastAsia="仿宋" w:cs="仿宋"/>
                <w:color w:val="ff0000"/>
                <w:sz w:val="24"/>
                <w:szCs w:val="24"/>
                <w:highlight w:val="none"/>
              </w:rPr>
              <w:t xml:space="preserve">年</w:t>
            </w:r>
            <w:r>
              <w:rPr>
                <w:rFonts w:hint="eastAsia" w:ascii="仿宋" w:hAnsi="仿宋" w:eastAsia="仿宋" w:cs="仿宋"/>
                <w:color w:val="ff0000"/>
                <w:sz w:val="24"/>
                <w:szCs w:val="24"/>
                <w:highlight w:val="none"/>
                <w:lang w:val="en-US" w:eastAsia="zh-CN"/>
              </w:rPr>
              <w:t xml:space="preserve">5</w:t>
            </w:r>
            <w:r>
              <w:rPr>
                <w:rFonts w:hint="eastAsia" w:ascii="仿宋" w:hAnsi="仿宋" w:eastAsia="仿宋" w:cs="仿宋"/>
                <w:color w:val="ff0000"/>
                <w:sz w:val="24"/>
                <w:szCs w:val="24"/>
                <w:highlight w:val="none"/>
              </w:rPr>
              <w:t xml:space="preserve">月</w:t>
            </w:r>
            <w:r>
              <w:rPr>
                <w:rFonts w:hint="eastAsia" w:ascii="仿宋" w:hAnsi="仿宋" w:eastAsia="仿宋" w:cs="仿宋"/>
                <w:color w:val="ff0000"/>
                <w:sz w:val="24"/>
                <w:szCs w:val="24"/>
                <w:highlight w:val="none"/>
                <w:lang w:val="en-US" w:eastAsia="zh-CN"/>
              </w:rPr>
              <w:t xml:space="preserve">21</w:t>
            </w:r>
            <w:r>
              <w:rPr>
                <w:rFonts w:hint="eastAsia" w:ascii="仿宋" w:hAnsi="仿宋" w:eastAsia="仿宋" w:cs="仿宋"/>
                <w:color w:val="ff0000"/>
                <w:sz w:val="24"/>
                <w:szCs w:val="24"/>
                <w:highlight w:val="none"/>
              </w:rPr>
              <w:t xml:space="preserve">日上午11：00时前</w:t>
            </w:r>
            <w:r>
              <w:rPr>
                <w:rFonts w:hint="eastAsia" w:ascii="仿宋" w:hAnsi="仿宋" w:eastAsia="仿宋" w:cs="仿宋"/>
                <w:sz w:val="24"/>
                <w:szCs w:val="24"/>
                <w:highlight w:val="none"/>
              </w:rPr>
              <w:t xml:space="preserve">，各投标单位将疑问以书面形式并加盖投标单位公章，以邮件传至</w:t>
            </w:r>
            <w:r>
              <w:rPr>
                <w:rFonts w:hint="eastAsia" w:ascii="仿宋" w:hAnsi="仿宋" w:eastAsia="仿宋" w:cs="仿宋"/>
                <w:sz w:val="24"/>
                <w:szCs w:val="24"/>
                <w:highlight w:val="none"/>
                <w:lang w:val="en-US" w:eastAsia="zh-CN"/>
              </w:rPr>
              <w:t xml:space="preserve">江苏金喜项目管理有限公司381720514</w:t>
            </w:r>
            <w:r>
              <w:rPr>
                <w:rFonts w:hint="eastAsia" w:ascii="仿宋" w:hAnsi="仿宋" w:eastAsia="仿宋" w:cs="仿宋"/>
                <w:sz w:val="24"/>
                <w:szCs w:val="24"/>
                <w:highlight w:val="none"/>
              </w:rPr>
              <w:t xml:space="preserve">@qq.com并电话</w:t>
            </w:r>
            <w:r>
              <w:rPr>
                <w:rFonts w:hint="eastAsia" w:ascii="仿宋" w:hAnsi="仿宋" w:eastAsia="仿宋" w:cs="仿宋"/>
                <w:sz w:val="24"/>
                <w:szCs w:val="24"/>
                <w:lang w:val="en-US" w:eastAsia="zh-CN"/>
              </w:rPr>
              <w:t xml:space="preserve">13921012502</w:t>
            </w:r>
            <w:r>
              <w:rPr>
                <w:rFonts w:hint="eastAsia" w:ascii="仿宋" w:hAnsi="仿宋" w:eastAsia="仿宋" w:cs="仿宋"/>
                <w:sz w:val="24"/>
                <w:szCs w:val="24"/>
                <w:highlight w:val="none"/>
              </w:rPr>
              <w:t xml:space="preserve">联系，并将疑问书面原件送至</w:t>
            </w:r>
            <w:r>
              <w:rPr>
                <w:rFonts w:hint="eastAsia" w:ascii="仿宋" w:hAnsi="仿宋" w:eastAsia="仿宋" w:cs="仿宋"/>
                <w:sz w:val="24"/>
                <w:szCs w:val="24"/>
                <w:highlight w:val="none"/>
                <w:lang w:val="en-US" w:eastAsia="zh-CN"/>
              </w:rPr>
              <w:t xml:space="preserve">江苏金喜项目管理有限公司</w:t>
            </w:r>
            <w:r>
              <w:rPr>
                <w:rFonts w:hint="eastAsia" w:ascii="仿宋" w:hAnsi="仿宋" w:eastAsia="仿宋" w:cs="仿宋"/>
                <w:sz w:val="24"/>
                <w:szCs w:val="24"/>
                <w:highlight w:val="none"/>
              </w:rPr>
              <w:t xml:space="preserve">，逾期不予受理。</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接收询问和质疑的联系方式</w:t>
            </w:r>
            <w:r/>
          </w:p>
          <w:p>
            <w:pPr>
              <w:jc w:val="left"/>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联系部门：</w:t>
            </w:r>
            <w:r>
              <w:rPr>
                <w:rFonts w:hint="eastAsia" w:ascii="仿宋" w:hAnsi="仿宋" w:eastAsia="仿宋" w:cs="仿宋"/>
                <w:sz w:val="24"/>
                <w:szCs w:val="24"/>
                <w:highlight w:val="none"/>
                <w:lang w:val="en-US" w:eastAsia="zh-CN"/>
              </w:rPr>
              <w:t xml:space="preserve">江苏金喜项目管理有限公司</w:t>
            </w:r>
            <w:r>
              <w:rPr>
                <w:rFonts w:hint="eastAsia" w:ascii="仿宋" w:hAnsi="仿宋" w:eastAsia="仿宋" w:cs="仿宋"/>
                <w:sz w:val="24"/>
                <w:szCs w:val="24"/>
                <w:highlight w:val="none"/>
                <w:lang w:eastAsia="zh-CN"/>
              </w:rPr>
              <w:t xml:space="preserve">；</w:t>
            </w:r>
            <w:r/>
          </w:p>
          <w:p>
            <w:pPr>
              <w:jc w:val="left"/>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联系电话：</w:t>
            </w:r>
            <w:r>
              <w:rPr>
                <w:rFonts w:hint="eastAsia" w:ascii="仿宋" w:hAnsi="仿宋" w:eastAsia="仿宋" w:cs="仿宋"/>
                <w:sz w:val="24"/>
                <w:szCs w:val="24"/>
                <w:lang w:val="en-US" w:eastAsia="zh-CN"/>
              </w:rPr>
              <w:t xml:space="preserve">13921012502</w:t>
            </w:r>
            <w:r>
              <w:rPr>
                <w:rFonts w:hint="eastAsia" w:ascii="仿宋" w:hAnsi="仿宋" w:eastAsia="仿宋" w:cs="仿宋"/>
                <w:sz w:val="24"/>
                <w:szCs w:val="24"/>
                <w:highlight w:val="none"/>
                <w:lang w:eastAsia="zh-CN"/>
              </w:rPr>
              <w:t xml:space="preserve">；</w:t>
            </w:r>
            <w:r/>
          </w:p>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通讯地址：</w:t>
            </w:r>
            <w:r>
              <w:rPr>
                <w:rFonts w:hint="eastAsia" w:ascii="仿宋" w:hAnsi="仿宋" w:eastAsia="仿宋" w:cs="仿宋"/>
                <w:bCs/>
                <w:sz w:val="24"/>
                <w:szCs w:val="24"/>
                <w:highlight w:val="none"/>
                <w:lang w:val="en-US" w:eastAsia="zh-CN"/>
              </w:rPr>
              <w:t xml:space="preserve">常州市金坛区翠园新村333号</w:t>
            </w:r>
            <w:r>
              <w:rPr>
                <w:rFonts w:hint="eastAsia" w:ascii="仿宋" w:hAnsi="仿宋" w:eastAsia="仿宋" w:cs="仿宋"/>
                <w:sz w:val="24"/>
                <w:szCs w:val="24"/>
                <w:highlight w:val="none"/>
                <w:lang w:eastAsia="zh-CN"/>
              </w:rPr>
              <w:t xml:space="preserve">。</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代理费</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收费对象：</w:t>
            </w:r>
            <w:r/>
          </w:p>
          <w:p>
            <w:pPr>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中标人</w:t>
            </w:r>
            <w:r/>
          </w:p>
          <w:p>
            <w:pPr>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收费标准：按差额定率累进法计算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pacing w:val="8"/>
                <w:sz w:val="24"/>
                <w:szCs w:val="24"/>
                <w:lang w:val="en-US" w:eastAsia="zh-CN"/>
              </w:rPr>
              <w:t xml:space="preserve">100（含）万元以下1.5%，100万元-500(含)万元0.8%,500万元-1000(含)万元0.45%。1000万元-5000(含)万元0.25%。</w:t>
            </w:r>
            <w:r>
              <w:rPr>
                <w:rFonts w:hint="eastAsia" w:ascii="仿宋" w:hAnsi="仿宋" w:eastAsia="仿宋" w:cs="仿宋"/>
                <w:color w:val="000000"/>
                <w:spacing w:val="8"/>
                <w:sz w:val="24"/>
                <w:szCs w:val="24"/>
              </w:rPr>
              <w:t xml:space="preserve">如按上述方法计算的金额低于人民币3000元整，则服务费按人民币3000元整计取</w:t>
            </w:r>
            <w:r>
              <w:rPr>
                <w:rFonts w:hint="eastAsia" w:ascii="仿宋" w:hAnsi="仿宋" w:eastAsia="仿宋" w:cs="仿宋"/>
                <w:color w:val="000000"/>
                <w:sz w:val="24"/>
                <w:szCs w:val="24"/>
                <w:highlight w:val="none"/>
                <w:lang w:val="en-US" w:eastAsia="zh-CN"/>
              </w:rPr>
              <w:t xml:space="preserve">。</w:t>
            </w:r>
            <w:r/>
          </w:p>
          <w:p>
            <w:pPr>
              <w:jc w:val="left"/>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缴纳时间：中标单位在领取中标通知书时一次性支付给招标代理单位。</w:t>
            </w:r>
            <w:r/>
          </w:p>
        </w:tc>
      </w:tr>
      <w:tr>
        <w:trPr>
          <w:jc w:val="center"/>
          <w:trHeight w:val="684"/>
        </w:trPr>
        <w:tc>
          <w:tcPr>
            <w:tcW w:w="758" w:type="dxa"/>
            <w:vAlign w:val="center"/>
            <w:textDirection w:val="lrTb"/>
            <w:noWrap w:val="false"/>
          </w:tcPr>
          <w:p>
            <w:pPr>
              <w:pStyle w:val="1465"/>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是否允许联合体投标</w:t>
            </w:r>
            <w:r/>
          </w:p>
        </w:tc>
        <w:tc>
          <w:tcPr>
            <w:tcW w:w="7551"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否</w:t>
            </w:r>
            <w:r>
              <w:rPr>
                <w:rFonts w:hint="eastAsia" w:ascii="仿宋" w:hAnsi="仿宋" w:eastAsia="仿宋" w:cs="仿宋"/>
                <w:sz w:val="24"/>
                <w:szCs w:val="24"/>
                <w:highlight w:val="none"/>
              </w:rPr>
              <w:t xml:space="preserve"> </w:t>
            </w:r>
            <w:r/>
          </w:p>
        </w:tc>
      </w:tr>
      <w:tr>
        <w:trPr>
          <w:jc w:val="center"/>
          <w:trHeight w:val="684"/>
        </w:trPr>
        <w:tc>
          <w:tcPr>
            <w:tcW w:w="75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采购人对招标文件澄清、修改时间</w:t>
            </w:r>
            <w:r/>
          </w:p>
        </w:tc>
        <w:tc>
          <w:tcPr>
            <w:tcW w:w="7551" w:type="dxa"/>
            <w:vAlign w:val="center"/>
            <w:textDirection w:val="lrTb"/>
            <w:noWrap w:val="false"/>
          </w:tcPr>
          <w:p>
            <w:pPr>
              <w:pStyle w:val="1468"/>
              <w:ind w:left="0"/>
              <w:jc w:val="left"/>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color w:val="ff0000"/>
                <w:sz w:val="24"/>
                <w:szCs w:val="24"/>
                <w:highlight w:val="none"/>
                <w:lang w:val="en-US" w:eastAsia="zh-CN"/>
              </w:rPr>
              <w:t xml:space="preserve">2025年5月15日至投标截止时间15日前</w:t>
            </w:r>
            <w:r/>
          </w:p>
        </w:tc>
      </w:tr>
      <w:tr>
        <w:trPr>
          <w:jc w:val="center"/>
          <w:trHeight w:val="684"/>
        </w:trPr>
        <w:tc>
          <w:tcPr>
            <w:tcW w:w="75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c>
          <w:tcPr>
            <w:tcW w:w="170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是否收取履约保证金</w:t>
            </w:r>
            <w:r/>
          </w:p>
        </w:tc>
        <w:tc>
          <w:tcPr>
            <w:tcW w:w="7551" w:type="dxa"/>
            <w:vAlign w:val="center"/>
            <w:textDirection w:val="lrTb"/>
            <w:noWrap w:val="false"/>
          </w:tcPr>
          <w:p>
            <w:pPr>
              <w:keepLines w:val="0"/>
              <w:keepNext w:val="0"/>
              <w:pageBreakBefore w:val="0"/>
              <w:spacing w:line="400" w:lineRule="exact"/>
              <w:widowControl w:val="off"/>
              <w:rPr>
                <w:rFonts w:hint="eastAsia" w:ascii="仿宋" w:hAnsi="仿宋" w:eastAsia="仿宋" w:cs="仿宋"/>
                <w:bCs/>
                <w:color w:val="000000"/>
                <w:sz w:val="24"/>
                <w:szCs w:val="24"/>
                <w:lang w:eastAsia="zh-CN"/>
              </w:rPr>
            </w:pPr>
            <w:r>
              <w:rPr>
                <w:rFonts w:hint="eastAsia" w:ascii="仿宋" w:hAnsi="仿宋" w:eastAsia="仿宋" w:cs="仿宋"/>
                <w:sz w:val="24"/>
                <w:szCs w:val="24"/>
                <w:highlight w:val="none"/>
                <w:lang w:val="zh-CN"/>
              </w:rPr>
              <w:t xml:space="preserve">■ </w:t>
            </w:r>
            <w:r>
              <w:rPr>
                <w:rFonts w:hint="eastAsia" w:ascii="仿宋" w:hAnsi="仿宋" w:eastAsia="仿宋" w:cs="仿宋"/>
                <w:bCs/>
                <w:sz w:val="24"/>
                <w:szCs w:val="24"/>
                <w:highlight w:val="none"/>
                <w:lang w:val="en-US" w:eastAsia="zh-CN"/>
              </w:rPr>
              <w:t xml:space="preserve">是，</w:t>
            </w:r>
            <w:r>
              <w:rPr>
                <w:rFonts w:hint="eastAsia" w:ascii="仿宋" w:hAnsi="仿宋" w:eastAsia="仿宋" w:cs="仿宋"/>
                <w:bCs/>
                <w:color w:val="000000"/>
                <w:sz w:val="24"/>
                <w:szCs w:val="24"/>
                <w:highlight w:val="none"/>
                <w:lang w:eastAsia="zh-CN"/>
              </w:rPr>
              <w:t xml:space="preserve">履约担保的</w:t>
            </w:r>
            <w:r>
              <w:rPr>
                <w:rFonts w:hint="eastAsia" w:ascii="仿宋" w:hAnsi="仿宋" w:eastAsia="仿宋" w:cs="仿宋"/>
                <w:bCs/>
                <w:color w:val="000000"/>
                <w:sz w:val="24"/>
                <w:szCs w:val="24"/>
                <w:lang w:eastAsia="zh-CN"/>
              </w:rPr>
              <w:t xml:space="preserve">形式：</w:t>
            </w:r>
            <w:r>
              <w:rPr>
                <w:rFonts w:hint="eastAsia" w:ascii="仿宋" w:hAnsi="仿宋" w:eastAsia="仿宋" w:cs="仿宋"/>
                <w:bCs/>
                <w:color w:val="000000"/>
                <w:sz w:val="24"/>
                <w:szCs w:val="24"/>
                <w:lang w:val="en-US" w:eastAsia="zh-CN"/>
              </w:rPr>
              <w:t xml:space="preserve">支票、汇票、本票、金融机构、担保机构出具的保函或者电子履约保函（保险）等非现金形式</w:t>
            </w:r>
            <w:r>
              <w:rPr>
                <w:rFonts w:hint="eastAsia" w:ascii="仿宋" w:hAnsi="仿宋" w:eastAsia="仿宋" w:cs="仿宋"/>
                <w:bCs/>
                <w:color w:val="000000"/>
                <w:sz w:val="24"/>
                <w:szCs w:val="24"/>
                <w:lang w:eastAsia="zh-CN"/>
              </w:rPr>
              <w:t xml:space="preserve">； </w:t>
            </w:r>
            <w:r/>
          </w:p>
          <w:p>
            <w:pPr>
              <w:keepLines w:val="0"/>
              <w:keepNext w:val="0"/>
              <w:pageBreakBefore w:val="0"/>
              <w:spacing w:line="400" w:lineRule="exact"/>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履约担保的金额：年度中标价的 </w:t>
            </w:r>
            <w:r>
              <w:rPr>
                <w:rFonts w:hint="eastAsia" w:ascii="仿宋" w:hAnsi="仿宋" w:eastAsia="仿宋" w:cs="仿宋"/>
                <w:bCs/>
                <w:color w:val="000000"/>
                <w:sz w:val="24"/>
                <w:szCs w:val="24"/>
                <w:lang w:val="en-US" w:eastAsia="zh-CN"/>
              </w:rPr>
              <w:t xml:space="preserve">5</w:t>
            </w:r>
            <w:r>
              <w:rPr>
                <w:rFonts w:hint="eastAsia" w:ascii="仿宋" w:hAnsi="仿宋" w:eastAsia="仿宋" w:cs="仿宋"/>
                <w:bCs/>
                <w:color w:val="000000"/>
                <w:sz w:val="24"/>
                <w:szCs w:val="24"/>
                <w:lang w:eastAsia="zh-CN"/>
              </w:rPr>
              <w:t xml:space="preserve">%； </w:t>
            </w:r>
            <w:r/>
          </w:p>
          <w:p>
            <w:pPr>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lang w:eastAsia="zh-CN"/>
              </w:rPr>
              <w:t xml:space="preserve">履约担保的期限：合同履行完毕后一次性退还（不计息）</w:t>
            </w:r>
            <w:r>
              <w:rPr>
                <w:rFonts w:hint="eastAsia" w:ascii="仿宋" w:hAnsi="仿宋" w:eastAsia="仿宋" w:cs="仿宋"/>
                <w:color w:val="000000"/>
                <w:sz w:val="24"/>
                <w:szCs w:val="24"/>
              </w:rPr>
              <w:t xml:space="preserve">。</w:t>
            </w:r>
            <w:r/>
          </w:p>
        </w:tc>
      </w:tr>
    </w:tbl>
    <w:p>
      <w:pPr>
        <w:jc w:val="both"/>
        <w:spacing w:line="360" w:lineRule="auto"/>
        <w:tabs>
          <w:tab w:val="left" w:pos="5580" w:leader="none"/>
        </w:tabs>
        <w:rPr>
          <w:rFonts w:hint="eastAsia" w:ascii="仿宋" w:hAnsi="仿宋" w:eastAsia="仿宋" w:cs="仿宋"/>
          <w:sz w:val="24"/>
          <w:szCs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rFonts w:hint="eastAsia" w:ascii="仿宋" w:hAnsi="仿宋" w:eastAsia="仿宋" w:cs="仿宋"/>
          <w:sz w:val="24"/>
          <w:szCs w:val="24"/>
          <w:highlight w:val="none"/>
        </w:rPr>
      </w:r>
      <w:r/>
    </w:p>
    <w:p>
      <w:pPr>
        <w:jc w:val="center"/>
        <w:spacing w:before="240" w:after="240"/>
        <w:rPr>
          <w:rFonts w:hint="eastAsia" w:ascii="仿宋" w:hAnsi="仿宋" w:eastAsia="仿宋" w:cs="仿宋"/>
          <w:b/>
          <w:sz w:val="24"/>
          <w:szCs w:val="24"/>
          <w:highlight w:val="none"/>
        </w:rPr>
      </w:pPr>
      <w:r/>
      <w:bookmarkStart w:id="80" w:name="_Toc150774722"/>
      <w:r/>
      <w:bookmarkStart w:id="81" w:name="_Toc305158859"/>
      <w:r/>
      <w:bookmarkStart w:id="82" w:name="_Toc150480755"/>
      <w:r/>
      <w:bookmarkStart w:id="83" w:name="_Toc127151517"/>
      <w:r/>
      <w:bookmarkStart w:id="84" w:name="_Toc353873932"/>
      <w:r/>
      <w:bookmarkStart w:id="85" w:name="_Toc265228355"/>
      <w:r/>
      <w:bookmarkStart w:id="86" w:name="_Toc226337213"/>
      <w:r/>
      <w:bookmarkStart w:id="87" w:name="_Toc353825542"/>
      <w:r/>
      <w:bookmarkStart w:id="88" w:name="_Toc264969207"/>
      <w:r/>
      <w:bookmarkStart w:id="89" w:name="_Toc195842882"/>
      <w:r/>
      <w:bookmarkStart w:id="90" w:name="_Toc353873662"/>
      <w:r/>
      <w:bookmarkStart w:id="91" w:name="_Toc226965790"/>
      <w:r/>
      <w:bookmarkStart w:id="92" w:name="_Toc305158785"/>
      <w:r/>
      <w:bookmarkStart w:id="93" w:name="_Toc142311019"/>
      <w:r>
        <w:rPr>
          <w:rFonts w:hint="eastAsia" w:ascii="仿宋" w:hAnsi="仿宋" w:eastAsia="仿宋" w:cs="仿宋"/>
          <w:b/>
          <w:sz w:val="24"/>
          <w:szCs w:val="24"/>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1429"/>
        <w:jc w:val="left"/>
        <w:spacing w:before="0" w:line="360" w:lineRule="auto"/>
        <w:tabs>
          <w:tab w:val="center" w:pos="4592" w:leader="none"/>
          <w:tab w:val="left" w:pos="7860" w:leader="none"/>
        </w:tabs>
        <w:rPr>
          <w:rFonts w:hint="eastAsia" w:ascii="仿宋" w:hAnsi="仿宋" w:eastAsia="仿宋" w:cs="仿宋"/>
          <w:sz w:val="24"/>
          <w:szCs w:val="24"/>
          <w:highlight w:val="none"/>
        </w:rPr>
      </w:pPr>
      <w:r/>
      <w:bookmarkStart w:id="94" w:name="_Toc127151518"/>
      <w:r/>
      <w:bookmarkStart w:id="95" w:name="_Toc520356143"/>
      <w:r>
        <w:rPr>
          <w:rFonts w:hint="eastAsia" w:ascii="仿宋" w:hAnsi="仿宋" w:eastAsia="仿宋" w:cs="仿宋"/>
          <w:sz w:val="24"/>
          <w:szCs w:val="24"/>
          <w:highlight w:val="none"/>
        </w:rPr>
        <w:tab/>
      </w:r>
      <w:bookmarkEnd w:id="94"/>
      <w:r/>
      <w:bookmarkEnd w:id="95"/>
      <w:r/>
      <w:bookmarkStart w:id="96" w:name="_Toc150509269"/>
      <w:r/>
      <w:bookmarkStart w:id="97" w:name="_Toc226309762"/>
      <w:r/>
      <w:bookmarkStart w:id="98" w:name="_Toc150480756"/>
      <w:r/>
      <w:bookmarkStart w:id="99" w:name="_Toc151193760"/>
      <w:r/>
      <w:bookmarkStart w:id="100" w:name="_Toc264969208"/>
      <w:r/>
      <w:bookmarkStart w:id="101" w:name="_Toc151193832"/>
      <w:r/>
      <w:bookmarkStart w:id="102" w:name="_Toc226965791"/>
      <w:r/>
      <w:bookmarkStart w:id="103" w:name="_Toc151193906"/>
      <w:r/>
      <w:bookmarkStart w:id="104" w:name="_Toc142311020"/>
      <w:r/>
      <w:bookmarkStart w:id="105" w:name="_Toc305158786"/>
      <w:r/>
      <w:bookmarkStart w:id="106" w:name="_Toc150774723"/>
      <w:r/>
      <w:bookmarkStart w:id="107" w:name="_Toc151193688"/>
      <w:r/>
      <w:bookmarkStart w:id="108" w:name="_Toc226337214"/>
      <w:r/>
      <w:bookmarkStart w:id="109" w:name="_Toc265228356"/>
      <w:r/>
      <w:bookmarkStart w:id="110" w:name="_Toc151190145"/>
      <w:r/>
      <w:bookmarkStart w:id="111" w:name="_Toc151193616"/>
      <w:r/>
      <w:bookmarkStart w:id="112" w:name="_Toc226965708"/>
      <w:r/>
      <w:bookmarkStart w:id="113" w:name="_Toc195842883"/>
      <w:r/>
      <w:bookmarkStart w:id="114" w:name="_Toc150774618"/>
      <w:r/>
      <w:bookmarkStart w:id="115" w:name="_Toc305158860"/>
      <w:r>
        <w:rPr>
          <w:rFonts w:hint="eastAsia" w:ascii="仿宋" w:hAnsi="仿宋" w:eastAsia="仿宋" w:cs="仿宋"/>
          <w:sz w:val="24"/>
          <w:szCs w:val="24"/>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仿宋" w:hAnsi="仿宋" w:eastAsia="仿宋" w:cs="仿宋"/>
          <w:sz w:val="24"/>
          <w:szCs w:val="24"/>
          <w:highlight w:val="none"/>
        </w:rPr>
        <w:tab/>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116" w:name="_Toc305158787"/>
      <w:r/>
      <w:bookmarkStart w:id="117" w:name="_Toc265228357"/>
      <w:r/>
      <w:bookmarkStart w:id="118" w:name="_Toc264969209"/>
      <w:r/>
      <w:bookmarkStart w:id="119" w:name="_Toc305158861"/>
      <w:r>
        <w:rPr>
          <w:rFonts w:hint="eastAsia" w:ascii="仿宋" w:hAnsi="仿宋" w:eastAsia="仿宋" w:cs="仿宋"/>
          <w:sz w:val="24"/>
          <w:szCs w:val="24"/>
          <w:highlight w:val="none"/>
        </w:rPr>
        <w:t xml:space="preserve">采购人、采购代理机构、投标人</w:t>
      </w:r>
      <w:bookmarkEnd w:id="116"/>
      <w:r/>
      <w:bookmarkEnd w:id="117"/>
      <w:r/>
      <w:bookmarkEnd w:id="118"/>
      <w:r/>
      <w:bookmarkEnd w:id="119"/>
      <w:r>
        <w:rPr>
          <w:rFonts w:hint="eastAsia" w:ascii="仿宋" w:hAnsi="仿宋" w:eastAsia="仿宋" w:cs="仿宋"/>
          <w:sz w:val="24"/>
          <w:szCs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120" w:name="_Toc151190147"/>
      <w:r/>
      <w:bookmarkStart w:id="121" w:name="_Toc151193908"/>
      <w:r/>
      <w:bookmarkStart w:id="122" w:name="_Toc265228358"/>
      <w:r/>
      <w:bookmarkStart w:id="123" w:name="_Toc151193618"/>
      <w:r/>
      <w:bookmarkStart w:id="124" w:name="_Toc264969210"/>
      <w:r/>
      <w:bookmarkStart w:id="125" w:name="_Toc151193690"/>
      <w:r/>
      <w:bookmarkStart w:id="126" w:name="_Toc226337216"/>
      <w:r/>
      <w:bookmarkStart w:id="127" w:name="_Toc226965710"/>
      <w:r/>
      <w:bookmarkStart w:id="128" w:name="_Toc164608789"/>
      <w:r/>
      <w:bookmarkStart w:id="129" w:name="_Toc151193834"/>
      <w:r/>
      <w:bookmarkStart w:id="130" w:name="_Toc195842885"/>
      <w:r/>
      <w:bookmarkStart w:id="131" w:name="_Toc150774725"/>
      <w:r/>
      <w:bookmarkStart w:id="132" w:name="_Toc226309764"/>
      <w:r/>
      <w:bookmarkStart w:id="133" w:name="_Toc127151520"/>
      <w:r/>
      <w:bookmarkStart w:id="134" w:name="_Toc305158862"/>
      <w:r/>
      <w:bookmarkStart w:id="135" w:name="_Toc150480758"/>
      <w:r/>
      <w:bookmarkStart w:id="136" w:name="_Toc127161434"/>
      <w:r/>
      <w:bookmarkStart w:id="137" w:name="_Toc149720813"/>
      <w:r/>
      <w:bookmarkStart w:id="138" w:name="_Toc305158788"/>
      <w:r/>
      <w:bookmarkStart w:id="139" w:name="_Toc150509271"/>
      <w:r/>
      <w:bookmarkStart w:id="140" w:name="_Toc151193762"/>
      <w:r/>
      <w:bookmarkStart w:id="141" w:name="_Toc142311022"/>
      <w:r/>
      <w:bookmarkStart w:id="142" w:name="_Toc164351614"/>
      <w:r/>
      <w:bookmarkStart w:id="143" w:name="_Toc164229215"/>
      <w:r/>
      <w:bookmarkStart w:id="144" w:name="_Toc164229361"/>
      <w:r/>
      <w:bookmarkStart w:id="145" w:name="_Toc127151721"/>
      <w:r/>
      <w:bookmarkStart w:id="146" w:name="_Toc226965793"/>
      <w:r/>
      <w:bookmarkStart w:id="147" w:name="_Toc150774620"/>
      <w:r/>
      <w:bookmarkStart w:id="148" w:name="_Toc164608634"/>
      <w:r>
        <w:rPr>
          <w:rFonts w:hint="eastAsia" w:ascii="仿宋" w:hAnsi="仿宋" w:eastAsia="仿宋" w:cs="仿宋"/>
          <w:sz w:val="24"/>
          <w:szCs w:val="24"/>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仿宋" w:hAnsi="仿宋" w:eastAsia="仿宋" w:cs="仿宋"/>
          <w:sz w:val="24"/>
          <w:szCs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核心产品见《投标人须知资料表》。</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若《投标人须知资料表》中规定了组织现场考察、召开开标前答疑会，则投标人应按要求在规定的时间和地点参加。</w:t>
      </w:r>
      <w:bookmarkStart w:id="149" w:name="_Toc127151522"/>
      <w:r/>
      <w:bookmarkStart w:id="150" w:name="_Toc150774727"/>
      <w:r/>
      <w:bookmarkStart w:id="151" w:name="_Toc151193910"/>
      <w:r/>
      <w:bookmarkStart w:id="152" w:name="_Toc265228360"/>
      <w:r/>
      <w:bookmarkStart w:id="153" w:name="_Toc226965795"/>
      <w:r/>
      <w:bookmarkStart w:id="154" w:name="_Toc226309766"/>
      <w:r/>
      <w:bookmarkStart w:id="155" w:name="_Toc151190149"/>
      <w:r/>
      <w:bookmarkStart w:id="156" w:name="_Toc226337218"/>
      <w:r/>
      <w:bookmarkStart w:id="157" w:name="_Toc226965712"/>
      <w:r/>
      <w:bookmarkStart w:id="158" w:name="_Toc195842887"/>
      <w:r/>
      <w:bookmarkStart w:id="159" w:name="_Toc520356146"/>
      <w:r/>
      <w:bookmarkStart w:id="160" w:name="_Toc142311024"/>
      <w:r/>
      <w:bookmarkStart w:id="161" w:name="_Toc305158864"/>
      <w:r/>
      <w:bookmarkStart w:id="162" w:name="_Toc151193692"/>
      <w:r/>
      <w:bookmarkStart w:id="163" w:name="_Toc150774622"/>
      <w:r/>
      <w:bookmarkStart w:id="164" w:name="_Toc150480760"/>
      <w:r/>
      <w:bookmarkStart w:id="165" w:name="_Toc151193836"/>
      <w:r/>
      <w:bookmarkStart w:id="166" w:name="_Toc150509273"/>
      <w:r/>
      <w:bookmarkStart w:id="167" w:name="_Toc305158790"/>
      <w:r/>
      <w:bookmarkStart w:id="168" w:name="_Toc264969212"/>
      <w:r/>
      <w:bookmarkStart w:id="169" w:name="_Toc151193764"/>
      <w:r/>
      <w:bookmarkStart w:id="170" w:name="_Toc151193620"/>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样品</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进口产品</w:t>
      </w:r>
      <w:r/>
    </w:p>
    <w:p>
      <w:pPr>
        <w:numPr>
          <w:ilvl w:val="2"/>
          <w:numId w:val="8"/>
        </w:numPr>
        <w:spacing w:line="360" w:lineRule="auto"/>
        <w:tabs>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中小企业、监狱企业及残疾人福利性单位</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中小企业定义：</w:t>
      </w:r>
      <w:r/>
    </w:p>
    <w:p>
      <w:pPr>
        <w:pStyle w:val="1522"/>
        <w:numPr>
          <w:ilvl w:val="0"/>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0"/>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0"/>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0"/>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0"/>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1"/>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1"/>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2"/>
          <w:numId w:val="9"/>
        </w:numPr>
        <w:spacing w:line="360" w:lineRule="auto"/>
        <w:tabs>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中小企业是</w:t>
      </w:r>
      <w:r>
        <w:rPr>
          <w:rFonts w:hint="eastAsia" w:ascii="仿宋" w:hAnsi="仿宋" w:eastAsia="仿宋" w:cs="仿宋"/>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残疾人福利单位定义：享受政府采购支持政策的残疾人福利性单位应当同时满足以下条件：</w:t>
      </w:r>
      <w:r/>
    </w:p>
    <w:p>
      <w:pPr>
        <w:pStyle w:val="1522"/>
        <w:numPr>
          <w:ilvl w:val="2"/>
          <w:numId w:val="9"/>
        </w:numPr>
        <w:spacing w:line="360" w:lineRule="auto"/>
        <w:tabs>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pStyle w:val="1522"/>
        <w:numPr>
          <w:ilvl w:val="2"/>
          <w:numId w:val="9"/>
        </w:numPr>
        <w:spacing w:line="360" w:lineRule="auto"/>
        <w:tabs>
          <w:tab w:val="left" w:pos="2035" w:leader="none"/>
          <w:tab w:val="left" w:pos="2977" w:leader="none"/>
        </w:tabs>
        <w:rPr>
          <w:rFonts w:hint="eastAsia" w:ascii="仿宋" w:hAnsi="仿宋" w:eastAsia="仿宋" w:cs="仿宋"/>
          <w:vanish/>
          <w:color w:val="000000"/>
          <w:sz w:val="24"/>
          <w:szCs w:val="24"/>
          <w:highlight w:val="none"/>
        </w:rPr>
      </w:pPr>
      <w:r>
        <w:rPr>
          <w:rFonts w:hint="eastAsia" w:ascii="仿宋" w:hAnsi="仿宋" w:eastAsia="仿宋" w:cs="仿宋"/>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本项目是否专门面向中小企业预留采购份额见第一章《投标邀请》。</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采购标的对应的中小企业划分标准所属行业见《投标人须知资料表》。</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政府采购节能产品、环境标志产品</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支持乡村产业振兴管理</w:t>
      </w:r>
      <w:r/>
    </w:p>
    <w:p>
      <w:pPr>
        <w:numPr>
          <w:ilvl w:val="2"/>
          <w:numId w:val="8"/>
        </w:numPr>
        <w:spacing w:line="360" w:lineRule="auto"/>
        <w:tabs>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正版软件</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政府采购创新产品政策</w:t>
      </w:r>
      <w:r/>
    </w:p>
    <w:p>
      <w:pPr>
        <w:numPr>
          <w:ilvl w:val="2"/>
          <w:numId w:val="8"/>
        </w:numPr>
        <w:spacing w:line="360" w:lineRule="auto"/>
        <w:tabs>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05"/>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5.7     绿色采购政策</w:t>
      </w:r>
      <w:r/>
    </w:p>
    <w:p>
      <w:pPr>
        <w:ind w:firstLine="1050"/>
        <w:spacing w:line="48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5.7.1  </w:t>
      </w:r>
      <w:r>
        <w:rPr>
          <w:rFonts w:hint="eastAsia" w:ascii="仿宋" w:hAnsi="仿宋" w:eastAsia="仿宋" w:cs="仿宋"/>
          <w:b/>
          <w:sz w:val="24"/>
          <w:szCs w:val="24"/>
          <w:highlight w:val="none"/>
        </w:rPr>
        <w:t xml:space="preserve">绿色数据中心政策 </w:t>
      </w:r>
      <w:r/>
    </w:p>
    <w:p>
      <w:pPr>
        <w:ind w:left="1197"/>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依据《绿色数据中心政府采购需求标准（试行）》（财办库〔2023〕7 号）文件精神，采购</w:t>
      </w:r>
      <w:r>
        <w:rPr>
          <w:rFonts w:hint="eastAsia" w:ascii="仿宋" w:hAnsi="仿宋" w:eastAsia="仿宋" w:cs="仿宋"/>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5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5.7.2 推广应用绿色建材</w:t>
      </w:r>
      <w:r/>
    </w:p>
    <w:p>
      <w:pPr>
        <w:ind w:left="1197"/>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945"/>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5.7.3 优先使用低挥发性有机化合物产品</w:t>
      </w:r>
      <w:r/>
    </w:p>
    <w:p>
      <w:pPr>
        <w:ind w:left="1004" w:hanging="525"/>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04" w:hanging="525"/>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投标费用</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仿宋" w:hAnsi="仿宋" w:eastAsia="仿宋" w:cs="仿宋"/>
          <w:sz w:val="24"/>
          <w:szCs w:val="24"/>
          <w:highlight w:val="none"/>
        </w:rPr>
      </w:pPr>
      <w:r/>
      <w:bookmarkStart w:id="171" w:name="_1.8_计量单位"/>
      <w:r/>
      <w:bookmarkEnd w:id="171"/>
      <w:r/>
      <w:r/>
    </w:p>
    <w:p>
      <w:pPr>
        <w:pStyle w:val="1429"/>
        <w:spacing w:before="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172" w:name="_Toc150774623"/>
      <w:r/>
      <w:bookmarkStart w:id="173" w:name="_Toc127151523"/>
      <w:r/>
      <w:bookmarkStart w:id="174" w:name="_Toc520356147"/>
      <w:r/>
      <w:bookmarkStart w:id="175" w:name="_Toc226309767"/>
      <w:r/>
      <w:bookmarkStart w:id="176" w:name="_Toc305158865"/>
      <w:r/>
      <w:bookmarkStart w:id="177" w:name="_Toc150774728"/>
      <w:r/>
      <w:bookmarkStart w:id="178" w:name="_Toc151193765"/>
      <w:r/>
      <w:bookmarkStart w:id="179" w:name="_Toc151193837"/>
      <w:r/>
      <w:bookmarkStart w:id="180" w:name="_Toc151193621"/>
      <w:r/>
      <w:bookmarkStart w:id="181" w:name="_Toc265228361"/>
      <w:r/>
      <w:bookmarkStart w:id="182" w:name="_Toc127161437"/>
      <w:r/>
      <w:bookmarkStart w:id="183" w:name="_Toc226965713"/>
      <w:r/>
      <w:bookmarkStart w:id="184" w:name="_Toc164229364"/>
      <w:r/>
      <w:bookmarkStart w:id="185" w:name="_Toc149720816"/>
      <w:r/>
      <w:bookmarkStart w:id="186" w:name="_Toc151193911"/>
      <w:r/>
      <w:bookmarkStart w:id="187" w:name="_Toc226337219"/>
      <w:r/>
      <w:bookmarkStart w:id="188" w:name="_Toc142311025"/>
      <w:r/>
      <w:bookmarkStart w:id="189" w:name="_Toc226965796"/>
      <w:r/>
      <w:bookmarkStart w:id="190" w:name="_Toc127151724"/>
      <w:r/>
      <w:bookmarkStart w:id="191" w:name="_Toc150480761"/>
      <w:r/>
      <w:bookmarkStart w:id="192" w:name="_Toc164608792"/>
      <w:r/>
      <w:bookmarkStart w:id="193" w:name="_Toc264969213"/>
      <w:r/>
      <w:bookmarkStart w:id="194" w:name="_Toc164608637"/>
      <w:r/>
      <w:bookmarkStart w:id="195" w:name="_Toc195842888"/>
      <w:r/>
      <w:bookmarkStart w:id="196" w:name="_Toc150509274"/>
      <w:r/>
      <w:bookmarkStart w:id="197" w:name="_Toc305158791"/>
      <w:r/>
      <w:bookmarkStart w:id="198" w:name="_Toc164229218"/>
      <w:r/>
      <w:bookmarkStart w:id="199" w:name="_Toc151190150"/>
      <w:r/>
      <w:bookmarkStart w:id="200" w:name="_Toc164351617"/>
      <w:r/>
      <w:bookmarkStart w:id="201" w:name="_Toc151193693"/>
      <w:r>
        <w:rPr>
          <w:rFonts w:hint="eastAsia" w:ascii="仿宋" w:hAnsi="仿宋" w:eastAsia="仿宋" w:cs="仿宋"/>
          <w:sz w:val="24"/>
          <w:szCs w:val="24"/>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仿宋" w:hAnsi="仿宋" w:eastAsia="仿宋" w:cs="仿宋"/>
          <w:sz w:val="24"/>
          <w:szCs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投标邀请</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资格审查</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仿宋" w:hAnsi="仿宋" w:eastAsia="仿宋" w:cs="仿宋"/>
          <w:sz w:val="24"/>
          <w:szCs w:val="24"/>
          <w:highlight w:val="none"/>
        </w:rPr>
      </w:pPr>
      <w:r/>
      <w:bookmarkStart w:id="202" w:name="_Toc516367020"/>
      <w:r/>
      <w:bookmarkStart w:id="203" w:name="_Toc226965716"/>
      <w:r/>
      <w:bookmarkStart w:id="204" w:name="_Toc151193914"/>
      <w:r/>
      <w:bookmarkStart w:id="205" w:name="_Toc151190153"/>
      <w:r/>
      <w:bookmarkStart w:id="206" w:name="_Toc151193768"/>
      <w:r/>
      <w:bookmarkStart w:id="207" w:name="_Toc226309770"/>
      <w:r/>
      <w:bookmarkStart w:id="208" w:name="_Toc195842891"/>
      <w:r/>
      <w:bookmarkStart w:id="209" w:name="_Toc151193840"/>
      <w:r/>
      <w:bookmarkStart w:id="210" w:name="_Toc265228364"/>
      <w:r/>
      <w:bookmarkStart w:id="211" w:name="_Toc226337222"/>
      <w:r/>
      <w:bookmarkStart w:id="212" w:name="_Toc226965799"/>
      <w:r/>
      <w:bookmarkStart w:id="213" w:name="_Toc150480764"/>
      <w:r/>
      <w:bookmarkStart w:id="214" w:name="_Toc151193624"/>
      <w:r/>
      <w:bookmarkStart w:id="215" w:name="_Toc264969216"/>
      <w:r/>
      <w:bookmarkStart w:id="216" w:name="_Toc520356150"/>
      <w:r/>
      <w:bookmarkStart w:id="217" w:name="_Toc150509277"/>
      <w:r/>
      <w:bookmarkStart w:id="218" w:name="_Toc305158794"/>
      <w:r/>
      <w:bookmarkStart w:id="219" w:name="_Toc142311028"/>
      <w:r/>
      <w:bookmarkStart w:id="220" w:name="_Toc150774731"/>
      <w:r/>
      <w:bookmarkStart w:id="221" w:name="_Toc305158868"/>
      <w:r/>
      <w:bookmarkStart w:id="222" w:name="_Toc151193696"/>
      <w:r/>
      <w:bookmarkStart w:id="223" w:name="_Toc127151526"/>
      <w:r/>
      <w:bookmarkStart w:id="224" w:name="_Toc150774626"/>
      <w:r/>
      <w:r/>
    </w:p>
    <w:p>
      <w:pPr>
        <w:pStyle w:val="1429"/>
        <w:spacing w:before="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   投标文件</w:t>
      </w:r>
      <w:bookmarkEnd w:id="202"/>
      <w:r>
        <w:rPr>
          <w:rFonts w:hint="eastAsia" w:ascii="仿宋" w:hAnsi="仿宋" w:eastAsia="仿宋" w:cs="仿宋"/>
          <w:sz w:val="24"/>
          <w:szCs w:val="24"/>
          <w:highlight w:val="none"/>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225" w:name="_Toc151193841"/>
      <w:r/>
      <w:bookmarkStart w:id="226" w:name="_Toc150480765"/>
      <w:r/>
      <w:bookmarkStart w:id="227" w:name="_Toc150509278"/>
      <w:r/>
      <w:bookmarkStart w:id="228" w:name="_Toc164608796"/>
      <w:r/>
      <w:bookmarkStart w:id="229" w:name="_Toc305158869"/>
      <w:r/>
      <w:bookmarkStart w:id="230" w:name="_Toc151193625"/>
      <w:r/>
      <w:bookmarkStart w:id="231" w:name="_Toc226965717"/>
      <w:r/>
      <w:bookmarkStart w:id="232" w:name="_Toc264969217"/>
      <w:r/>
      <w:bookmarkStart w:id="233" w:name="_Toc305158795"/>
      <w:r/>
      <w:bookmarkStart w:id="234" w:name="_Toc226337223"/>
      <w:r/>
      <w:bookmarkStart w:id="235" w:name="_Toc151193769"/>
      <w:r/>
      <w:bookmarkStart w:id="236" w:name="_Toc142311029"/>
      <w:r/>
      <w:bookmarkStart w:id="237" w:name="_Toc151193697"/>
      <w:r/>
      <w:bookmarkStart w:id="238" w:name="_Toc516367021"/>
      <w:r/>
      <w:bookmarkStart w:id="239" w:name="_Toc226965800"/>
      <w:r/>
      <w:bookmarkStart w:id="240" w:name="_Toc149720820"/>
      <w:r/>
      <w:bookmarkStart w:id="241" w:name="_Toc265228365"/>
      <w:r/>
      <w:bookmarkStart w:id="242" w:name="_Toc164229368"/>
      <w:r/>
      <w:bookmarkStart w:id="243" w:name="_Toc195842892"/>
      <w:r/>
      <w:bookmarkStart w:id="244" w:name="_Toc127161441"/>
      <w:r/>
      <w:bookmarkStart w:id="245" w:name="_Toc520356151"/>
      <w:r/>
      <w:bookmarkStart w:id="246" w:name="_Toc127151728"/>
      <w:r/>
      <w:bookmarkStart w:id="247" w:name="_Toc127151527"/>
      <w:r/>
      <w:bookmarkStart w:id="248" w:name="_Toc150774627"/>
      <w:r/>
      <w:bookmarkStart w:id="249" w:name="_Toc150774732"/>
      <w:r/>
      <w:bookmarkStart w:id="250" w:name="_Toc226309771"/>
      <w:r/>
      <w:bookmarkStart w:id="251" w:name="_Toc164351621"/>
      <w:r/>
      <w:bookmarkStart w:id="252" w:name="_Toc151190154"/>
      <w:r/>
      <w:bookmarkStart w:id="253" w:name="_Toc151193915"/>
      <w:r/>
      <w:bookmarkStart w:id="254" w:name="_Toc164608641"/>
      <w:r/>
      <w:bookmarkStart w:id="255" w:name="_Toc164229222"/>
      <w:r>
        <w:rPr>
          <w:rFonts w:hint="eastAsia" w:ascii="仿宋" w:hAnsi="仿宋" w:eastAsia="仿宋" w:cs="仿宋"/>
          <w:sz w:val="24"/>
          <w:szCs w:val="24"/>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仿宋" w:hAnsi="仿宋" w:eastAsia="仿宋" w:cs="仿宋"/>
          <w:sz w:val="24"/>
          <w:szCs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仿宋" w:hAnsi="仿宋" w:eastAsia="仿宋" w:cs="仿宋"/>
          <w:b/>
          <w:sz w:val="24"/>
          <w:szCs w:val="24"/>
          <w:highlight w:val="none"/>
        </w:rPr>
        <w:t xml:space="preserve">无效投标</w:t>
      </w:r>
      <w:r>
        <w:rPr>
          <w:rFonts w:hint="eastAsia" w:ascii="仿宋" w:hAnsi="仿宋" w:eastAsia="仿宋" w:cs="仿宋"/>
          <w:sz w:val="24"/>
          <w:szCs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256" w:name="_Toc516367022"/>
      <w:r/>
      <w:bookmarkStart w:id="257" w:name="_Ref467306676"/>
      <w:r/>
      <w:bookmarkStart w:id="258" w:name="_Ref467306195"/>
      <w:r/>
      <w:bookmarkStart w:id="259" w:name="_Toc127151528"/>
      <w:r/>
      <w:bookmarkStart w:id="260" w:name="_Toc142311030"/>
      <w:r/>
      <w:bookmarkStart w:id="261" w:name="_Toc305158870"/>
      <w:r/>
      <w:bookmarkStart w:id="262" w:name="_Toc127161442"/>
      <w:r/>
      <w:bookmarkStart w:id="263" w:name="_Toc164229369"/>
      <w:r/>
      <w:bookmarkStart w:id="264" w:name="_Toc150509279"/>
      <w:r/>
      <w:bookmarkStart w:id="265" w:name="_Toc264969218"/>
      <w:r/>
      <w:bookmarkStart w:id="266" w:name="_Toc150774733"/>
      <w:r/>
      <w:bookmarkStart w:id="267" w:name="_Toc164608642"/>
      <w:r/>
      <w:bookmarkStart w:id="268" w:name="_Toc150774628"/>
      <w:r/>
      <w:bookmarkStart w:id="269" w:name="_Toc226965801"/>
      <w:r/>
      <w:bookmarkStart w:id="270" w:name="_Toc265228366"/>
      <w:r/>
      <w:bookmarkStart w:id="271" w:name="_Toc226965718"/>
      <w:r/>
      <w:bookmarkStart w:id="272" w:name="_Toc151193770"/>
      <w:r/>
      <w:bookmarkStart w:id="273" w:name="_Toc164229223"/>
      <w:r/>
      <w:bookmarkStart w:id="274" w:name="_Toc164608797"/>
      <w:r/>
      <w:bookmarkStart w:id="275" w:name="_Toc151193698"/>
      <w:r/>
      <w:bookmarkStart w:id="276" w:name="_Toc127151729"/>
      <w:r/>
      <w:bookmarkStart w:id="277" w:name="_Toc164351622"/>
      <w:r/>
      <w:bookmarkStart w:id="278" w:name="_Toc151190155"/>
      <w:r/>
      <w:bookmarkStart w:id="279" w:name="_Toc149720821"/>
      <w:r/>
      <w:bookmarkStart w:id="280" w:name="_Toc226337224"/>
      <w:r/>
      <w:bookmarkStart w:id="281" w:name="_Toc226309772"/>
      <w:r/>
      <w:bookmarkStart w:id="282" w:name="_Toc151193916"/>
      <w:r/>
      <w:bookmarkStart w:id="283" w:name="_Toc151193626"/>
      <w:r/>
      <w:bookmarkStart w:id="284" w:name="_Toc195842893"/>
      <w:r/>
      <w:bookmarkStart w:id="285" w:name="_Toc520356152"/>
      <w:r/>
      <w:bookmarkStart w:id="286" w:name="_Toc305158796"/>
      <w:r/>
      <w:bookmarkStart w:id="287" w:name="_Toc150480766"/>
      <w:r/>
      <w:bookmarkStart w:id="288" w:name="_Toc151193842"/>
      <w:r>
        <w:rPr>
          <w:rFonts w:hint="eastAsia" w:ascii="仿宋" w:hAnsi="仿宋" w:eastAsia="仿宋" w:cs="仿宋"/>
          <w:sz w:val="24"/>
          <w:szCs w:val="24"/>
          <w:highlight w:val="none"/>
        </w:rPr>
        <w:t xml:space="preserve">投标文件</w:t>
      </w:r>
      <w:bookmarkEnd w:id="256"/>
      <w:r/>
      <w:bookmarkEnd w:id="257"/>
      <w:r/>
      <w:bookmarkEnd w:id="258"/>
      <w:r>
        <w:rPr>
          <w:rFonts w:hint="eastAsia" w:ascii="仿宋" w:hAnsi="仿宋" w:eastAsia="仿宋" w:cs="仿宋"/>
          <w:sz w:val="24"/>
          <w:szCs w:val="24"/>
          <w:highlight w:val="none"/>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bookmarkStart w:id="289" w:name="_Ref467052588"/>
      <w:r>
        <w:rPr>
          <w:rFonts w:hint="eastAsia" w:ascii="仿宋" w:hAnsi="仿宋" w:eastAsia="仿宋" w:cs="仿宋"/>
          <w:sz w:val="24"/>
          <w:szCs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投标人认为应附的其他材料。</w:t>
      </w:r>
      <w:bookmarkEnd w:id="289"/>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290" w:name="_Toc164351624"/>
      <w:r/>
      <w:bookmarkStart w:id="291" w:name="_Toc127161444"/>
      <w:r/>
      <w:bookmarkStart w:id="292" w:name="_Toc151193918"/>
      <w:r/>
      <w:bookmarkStart w:id="293" w:name="_Toc127151530"/>
      <w:r/>
      <w:bookmarkStart w:id="294" w:name="_Toc151193772"/>
      <w:r/>
      <w:bookmarkStart w:id="295" w:name="_Toc149720823"/>
      <w:r/>
      <w:bookmarkStart w:id="296" w:name="_Toc164229371"/>
      <w:r/>
      <w:bookmarkStart w:id="297" w:name="_Toc150480768"/>
      <w:r/>
      <w:bookmarkStart w:id="298" w:name="_Toc164608799"/>
      <w:r/>
      <w:bookmarkStart w:id="299" w:name="_Toc151193628"/>
      <w:r/>
      <w:bookmarkStart w:id="300" w:name="_Toc164229225"/>
      <w:r/>
      <w:bookmarkStart w:id="301" w:name="_Toc195842895"/>
      <w:r/>
      <w:bookmarkStart w:id="302" w:name="_Toc151190157"/>
      <w:r/>
      <w:bookmarkStart w:id="303" w:name="_Toc151193700"/>
      <w:r/>
      <w:bookmarkStart w:id="304" w:name="_Toc150774735"/>
      <w:r/>
      <w:bookmarkStart w:id="305" w:name="_Toc151193844"/>
      <w:r/>
      <w:bookmarkStart w:id="306" w:name="_Toc127151731"/>
      <w:r/>
      <w:bookmarkStart w:id="307" w:name="_Toc520356155"/>
      <w:r/>
      <w:bookmarkStart w:id="308" w:name="_Toc164608644"/>
      <w:r/>
      <w:bookmarkStart w:id="309" w:name="_Toc142311032"/>
      <w:r/>
      <w:bookmarkStart w:id="310" w:name="_Toc150774630"/>
      <w:r/>
      <w:bookmarkStart w:id="311" w:name="_Toc150509281"/>
      <w:r>
        <w:rPr>
          <w:rFonts w:hint="eastAsia" w:ascii="仿宋" w:hAnsi="仿宋" w:eastAsia="仿宋" w:cs="仿宋"/>
          <w:sz w:val="24"/>
          <w:szCs w:val="24"/>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投标人不能提供任何有选择性或可调整的报价，否则其</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312" w:name="_Toc150774631"/>
      <w:r/>
      <w:bookmarkStart w:id="313" w:name="_Toc164351625"/>
      <w:r/>
      <w:bookmarkStart w:id="314" w:name="_Toc127151732"/>
      <w:r/>
      <w:bookmarkStart w:id="315" w:name="_Toc151190158"/>
      <w:r/>
      <w:bookmarkStart w:id="316" w:name="_Toc151193701"/>
      <w:r/>
      <w:bookmarkStart w:id="317" w:name="_Toc164608645"/>
      <w:r/>
      <w:bookmarkStart w:id="318" w:name="_Toc151193919"/>
      <w:r/>
      <w:bookmarkStart w:id="319" w:name="_Toc127151531"/>
      <w:r/>
      <w:bookmarkStart w:id="320" w:name="_Toc127161445"/>
      <w:r/>
      <w:bookmarkStart w:id="321" w:name="_Toc149720824"/>
      <w:r/>
      <w:bookmarkStart w:id="322" w:name="_Toc520356156"/>
      <w:r/>
      <w:bookmarkStart w:id="323" w:name="_Ref467306513"/>
      <w:r/>
      <w:bookmarkStart w:id="324" w:name="_Toc151193629"/>
      <w:r/>
      <w:bookmarkStart w:id="325" w:name="_Toc164608800"/>
      <w:r/>
      <w:bookmarkStart w:id="326" w:name="_Toc264969221"/>
      <w:r/>
      <w:bookmarkStart w:id="327" w:name="_Toc150509282"/>
      <w:r/>
      <w:bookmarkStart w:id="328" w:name="_Toc265228369"/>
      <w:r/>
      <w:bookmarkStart w:id="329" w:name="_Toc226337227"/>
      <w:r/>
      <w:bookmarkStart w:id="330" w:name="_Toc164229372"/>
      <w:r/>
      <w:bookmarkStart w:id="331" w:name="_Toc226309775"/>
      <w:r/>
      <w:bookmarkStart w:id="332" w:name="_Toc226965804"/>
      <w:r/>
      <w:bookmarkStart w:id="333" w:name="_Toc305158873"/>
      <w:r/>
      <w:bookmarkStart w:id="334" w:name="_Toc164229226"/>
      <w:r/>
      <w:bookmarkStart w:id="335" w:name="_Toc195842896"/>
      <w:r/>
      <w:bookmarkStart w:id="336" w:name="_Toc151193845"/>
      <w:r/>
      <w:bookmarkStart w:id="337" w:name="_Toc150774736"/>
      <w:r/>
      <w:bookmarkStart w:id="338" w:name="_Toc151193773"/>
      <w:r/>
      <w:bookmarkStart w:id="339" w:name="_Toc305158799"/>
      <w:r/>
      <w:bookmarkStart w:id="340" w:name="_Toc226965721"/>
      <w:r/>
      <w:bookmarkStart w:id="341" w:name="_Toc150480769"/>
      <w:r/>
      <w:bookmarkStart w:id="342" w:name="_Toc142311033"/>
      <w:r>
        <w:rPr>
          <w:rFonts w:hint="eastAsia" w:ascii="仿宋" w:hAnsi="仿宋" w:eastAsia="仿宋" w:cs="仿宋"/>
          <w:sz w:val="24"/>
          <w:szCs w:val="24"/>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left="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343" w:name="_Toc226965805"/>
      <w:r/>
      <w:bookmarkStart w:id="344" w:name="_Toc127151733"/>
      <w:r/>
      <w:bookmarkStart w:id="345" w:name="_Toc195842897"/>
      <w:r/>
      <w:bookmarkStart w:id="346" w:name="_Toc264969222"/>
      <w:r/>
      <w:bookmarkStart w:id="347" w:name="_Toc164229373"/>
      <w:r/>
      <w:bookmarkStart w:id="348" w:name="_Toc520356157"/>
      <w:r/>
      <w:bookmarkStart w:id="349" w:name="_Toc151193630"/>
      <w:r/>
      <w:bookmarkStart w:id="350" w:name="_Toc265228370"/>
      <w:r/>
      <w:bookmarkStart w:id="351" w:name="_Toc164229227"/>
      <w:r/>
      <w:bookmarkStart w:id="352" w:name="_Toc305158874"/>
      <w:r/>
      <w:bookmarkStart w:id="353" w:name="_Toc305158800"/>
      <w:r/>
      <w:bookmarkStart w:id="354" w:name="_Toc164351626"/>
      <w:r/>
      <w:bookmarkStart w:id="355" w:name="_Toc151193774"/>
      <w:r/>
      <w:bookmarkStart w:id="356" w:name="_Toc226965722"/>
      <w:r/>
      <w:bookmarkStart w:id="357" w:name="_Toc150774632"/>
      <w:r/>
      <w:bookmarkStart w:id="358" w:name="_Toc226337228"/>
      <w:r/>
      <w:bookmarkStart w:id="359" w:name="_Toc226309776"/>
      <w:r/>
      <w:bookmarkStart w:id="360" w:name="_Toc142311034"/>
      <w:r/>
      <w:bookmarkStart w:id="361" w:name="_Toc127161446"/>
      <w:r/>
      <w:bookmarkStart w:id="362" w:name="_Toc151193920"/>
      <w:r/>
      <w:bookmarkStart w:id="363" w:name="_Toc164608801"/>
      <w:r/>
      <w:bookmarkStart w:id="364" w:name="_Toc150774737"/>
      <w:r/>
      <w:bookmarkStart w:id="365" w:name="_Toc150509283"/>
      <w:r/>
      <w:bookmarkStart w:id="366" w:name="_Toc151193702"/>
      <w:r/>
      <w:bookmarkStart w:id="367" w:name="_Toc127151532"/>
      <w:r/>
      <w:bookmarkStart w:id="368" w:name="_Toc150480770"/>
      <w:r/>
      <w:bookmarkStart w:id="369" w:name="_Toc149720825"/>
      <w:r/>
      <w:bookmarkStart w:id="370" w:name="_Toc151190159"/>
      <w:r/>
      <w:bookmarkStart w:id="371" w:name="_Toc151193846"/>
      <w:r/>
      <w:bookmarkStart w:id="372" w:name="_Toc164608646"/>
      <w:r>
        <w:rPr>
          <w:rFonts w:hint="eastAsia" w:ascii="仿宋" w:hAnsi="仿宋" w:eastAsia="仿宋" w:cs="仿宋"/>
          <w:sz w:val="24"/>
          <w:szCs w:val="24"/>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投标文件应在本招标文件《投标人须知资料表》中规定的投标有效期内保持有效，投标有效期少于招标文件规定期限的，其</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373" w:name="_Toc150480771"/>
      <w:r/>
      <w:bookmarkStart w:id="374" w:name="_Toc150774633"/>
      <w:r/>
      <w:bookmarkStart w:id="375" w:name="_Toc164229228"/>
      <w:r/>
      <w:bookmarkStart w:id="376" w:name="_Toc142311035"/>
      <w:r/>
      <w:bookmarkStart w:id="377" w:name="_Toc151193775"/>
      <w:r/>
      <w:bookmarkStart w:id="378" w:name="_Toc151193847"/>
      <w:r/>
      <w:bookmarkStart w:id="379" w:name="_Toc305158801"/>
      <w:r/>
      <w:bookmarkStart w:id="380" w:name="_Toc127151734"/>
      <w:r/>
      <w:bookmarkStart w:id="381" w:name="_Toc226309777"/>
      <w:r/>
      <w:bookmarkStart w:id="382" w:name="_Toc149720826"/>
      <w:r/>
      <w:bookmarkStart w:id="383" w:name="_Toc265228371"/>
      <w:r/>
      <w:bookmarkStart w:id="384" w:name="_Toc164351627"/>
      <w:r/>
      <w:bookmarkStart w:id="385" w:name="_Toc264969223"/>
      <w:r/>
      <w:bookmarkStart w:id="386" w:name="_Toc226337229"/>
      <w:r/>
      <w:bookmarkStart w:id="387" w:name="_Toc151193631"/>
      <w:r/>
      <w:bookmarkStart w:id="388" w:name="_Toc150774738"/>
      <w:r/>
      <w:bookmarkStart w:id="389" w:name="_Toc150509284"/>
      <w:r/>
      <w:bookmarkStart w:id="390" w:name="_Toc151193921"/>
      <w:r/>
      <w:bookmarkStart w:id="391" w:name="_Toc164608647"/>
      <w:r/>
      <w:bookmarkStart w:id="392" w:name="_Toc226965806"/>
      <w:r/>
      <w:bookmarkStart w:id="393" w:name="_Toc226965723"/>
      <w:r/>
      <w:bookmarkStart w:id="394" w:name="_Toc164608802"/>
      <w:r/>
      <w:bookmarkStart w:id="395" w:name="_Toc151193703"/>
      <w:r/>
      <w:bookmarkStart w:id="396" w:name="_Toc305158875"/>
      <w:r/>
      <w:bookmarkStart w:id="397" w:name="_Toc127151533"/>
      <w:r/>
      <w:bookmarkStart w:id="398" w:name="_Toc127161447"/>
      <w:r/>
      <w:bookmarkStart w:id="399" w:name="_Toc151190160"/>
      <w:r/>
      <w:bookmarkStart w:id="400" w:name="_Toc164229374"/>
      <w:r/>
      <w:bookmarkStart w:id="401" w:name="_Toc195842898"/>
      <w:r/>
      <w:bookmarkStart w:id="402" w:name="_Toc520356158"/>
      <w:r>
        <w:rPr>
          <w:rFonts w:hint="eastAsia" w:ascii="仿宋" w:hAnsi="仿宋" w:eastAsia="仿宋" w:cs="仿宋"/>
          <w:sz w:val="24"/>
          <w:szCs w:val="24"/>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仿宋" w:hAnsi="仿宋" w:eastAsia="仿宋" w:cs="仿宋"/>
          <w:sz w:val="24"/>
          <w:szCs w:val="24"/>
          <w:highlight w:val="none"/>
        </w:rPr>
        <w:t xml:space="preserve">、加盖公章</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bookmarkStart w:id="403" w:name="_Toc226337230"/>
      <w:r/>
      <w:bookmarkStart w:id="404" w:name="_Toc305158802"/>
      <w:r/>
      <w:bookmarkStart w:id="405" w:name="_Toc150774739"/>
      <w:r/>
      <w:bookmarkStart w:id="406" w:name="_Toc151190161"/>
      <w:r/>
      <w:bookmarkStart w:id="407" w:name="_Toc151193704"/>
      <w:r/>
      <w:bookmarkStart w:id="408" w:name="_Toc226965807"/>
      <w:r/>
      <w:bookmarkStart w:id="409" w:name="_Toc150509285"/>
      <w:r/>
      <w:bookmarkStart w:id="410" w:name="_Toc151193632"/>
      <w:r/>
      <w:bookmarkStart w:id="411" w:name="_Toc150774634"/>
      <w:r/>
      <w:bookmarkStart w:id="412" w:name="_Toc305158876"/>
      <w:r/>
      <w:bookmarkStart w:id="413" w:name="_Toc127151534"/>
      <w:r/>
      <w:bookmarkStart w:id="414" w:name="_Toc142311036"/>
      <w:r/>
      <w:bookmarkStart w:id="415" w:name="_Toc195842899"/>
      <w:r/>
      <w:bookmarkStart w:id="416" w:name="_Toc264969224"/>
      <w:r/>
      <w:bookmarkStart w:id="417" w:name="_Toc151193776"/>
      <w:r/>
      <w:bookmarkStart w:id="418" w:name="_Toc150480772"/>
      <w:r/>
      <w:bookmarkStart w:id="419" w:name="_Toc265228372"/>
      <w:r/>
      <w:bookmarkStart w:id="420" w:name="_Toc226965724"/>
      <w:r/>
      <w:bookmarkStart w:id="421" w:name="_Toc226309778"/>
      <w:r/>
      <w:bookmarkStart w:id="422" w:name="_Toc151193848"/>
      <w:r/>
      <w:bookmarkStart w:id="423" w:name="_Toc151193922"/>
      <w:r/>
      <w:bookmarkStart w:id="424" w:name="_Toc520356159"/>
      <w:r>
        <w:rPr>
          <w:rFonts w:hint="eastAsia" w:ascii="仿宋" w:hAnsi="仿宋" w:eastAsia="仿宋" w:cs="仿宋"/>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招标文件要求加盖公章的内容，一般通过投标文件编制工具加盖电子签章。</w:t>
      </w:r>
      <w:r/>
    </w:p>
    <w:p>
      <w:pPr>
        <w:ind w:left="357"/>
        <w:spacing w:line="360" w:lineRule="auto"/>
        <w:tabs>
          <w:tab w:val="left" w:pos="900" w:leader="none"/>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29"/>
        <w:spacing w:before="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425" w:name="_Toc127151535"/>
      <w:r/>
      <w:bookmarkStart w:id="426" w:name="_Toc265228373"/>
      <w:r/>
      <w:bookmarkStart w:id="427" w:name="_Toc164351629"/>
      <w:r/>
      <w:bookmarkStart w:id="428" w:name="_Toc127161449"/>
      <w:r/>
      <w:bookmarkStart w:id="429" w:name="_Toc164229230"/>
      <w:r/>
      <w:bookmarkStart w:id="430" w:name="_Toc164229376"/>
      <w:r/>
      <w:bookmarkStart w:id="431" w:name="_Toc150509286"/>
      <w:r/>
      <w:bookmarkStart w:id="432" w:name="_Toc151193633"/>
      <w:r/>
      <w:bookmarkStart w:id="433" w:name="_Toc226309779"/>
      <w:r/>
      <w:bookmarkStart w:id="434" w:name="_Toc150774740"/>
      <w:r/>
      <w:bookmarkStart w:id="435" w:name="_Toc305158803"/>
      <w:r/>
      <w:bookmarkStart w:id="436" w:name="_Toc226965808"/>
      <w:r/>
      <w:bookmarkStart w:id="437" w:name="_Toc151193777"/>
      <w:r/>
      <w:bookmarkStart w:id="438" w:name="_Toc164608649"/>
      <w:r/>
      <w:bookmarkStart w:id="439" w:name="_Toc520356160"/>
      <w:r/>
      <w:bookmarkStart w:id="440" w:name="_Toc164608804"/>
      <w:r/>
      <w:bookmarkStart w:id="441" w:name="_Toc226965725"/>
      <w:r/>
      <w:bookmarkStart w:id="442" w:name="_Toc226337231"/>
      <w:r/>
      <w:bookmarkStart w:id="443" w:name="_Toc305158877"/>
      <w:r/>
      <w:bookmarkStart w:id="444" w:name="_Toc151190162"/>
      <w:r/>
      <w:bookmarkStart w:id="445" w:name="_Toc150774635"/>
      <w:r/>
      <w:bookmarkStart w:id="446" w:name="_Toc151193923"/>
      <w:r/>
      <w:bookmarkStart w:id="447" w:name="_Toc264969225"/>
      <w:r/>
      <w:bookmarkStart w:id="448" w:name="_Toc142311037"/>
      <w:r/>
      <w:bookmarkStart w:id="449" w:name="_Toc195842900"/>
      <w:r/>
      <w:bookmarkStart w:id="450" w:name="_Toc151193705"/>
      <w:r/>
      <w:bookmarkStart w:id="451" w:name="_Toc149720828"/>
      <w:r/>
      <w:bookmarkStart w:id="452" w:name="_Toc150480773"/>
      <w:r/>
      <w:bookmarkStart w:id="453" w:name="_Toc127151736"/>
      <w:r/>
      <w:bookmarkStart w:id="454" w:name="_Toc151193849"/>
      <w:r>
        <w:rPr>
          <w:rFonts w:hint="eastAsia" w:ascii="仿宋" w:hAnsi="仿宋" w:eastAsia="仿宋" w:cs="仿宋"/>
          <w:sz w:val="24"/>
          <w:szCs w:val="24"/>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仿宋" w:hAnsi="仿宋" w:eastAsia="仿宋" w:cs="仿宋"/>
          <w:sz w:val="24"/>
          <w:szCs w:val="24"/>
          <w:highlight w:val="none"/>
        </w:rPr>
        <w:t xml:space="preserve">提交</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本项目使用</w:t>
      </w:r>
      <w:r>
        <w:rPr>
          <w:rFonts w:hint="eastAsia" w:ascii="仿宋" w:hAnsi="仿宋" w:eastAsia="仿宋" w:cs="仿宋"/>
          <w:sz w:val="24"/>
          <w:szCs w:val="24"/>
          <w:highlight w:val="none"/>
          <w:lang w:bidi="ar"/>
        </w:rPr>
        <w:t xml:space="preserve">常州市政府采购业务管理平台</w:t>
      </w:r>
      <w:r>
        <w:rPr>
          <w:rFonts w:hint="eastAsia" w:ascii="仿宋" w:hAnsi="仿宋" w:eastAsia="仿宋" w:cs="仿宋"/>
          <w:sz w:val="24"/>
          <w:szCs w:val="24"/>
          <w:highlight w:val="none"/>
        </w:rPr>
        <w:t xml:space="preserve">。投标人根据招标文件及</w:t>
      </w:r>
      <w:r>
        <w:rPr>
          <w:rFonts w:hint="eastAsia" w:ascii="仿宋" w:hAnsi="仿宋" w:eastAsia="仿宋" w:cs="仿宋"/>
          <w:sz w:val="24"/>
          <w:szCs w:val="24"/>
          <w:highlight w:val="none"/>
          <w:lang w:bidi="ar"/>
        </w:rPr>
        <w:t xml:space="preserve">常州市政府采购业务管理平台</w:t>
      </w:r>
      <w:r>
        <w:rPr>
          <w:rFonts w:hint="eastAsia" w:ascii="仿宋" w:hAnsi="仿宋" w:eastAsia="仿宋" w:cs="仿宋"/>
          <w:sz w:val="24"/>
          <w:szCs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采购人及采购代理机构拒绝接受通过常州市政府采购业务管理平台以外任何形式提交的投标文件。</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455" w:name="_Toc226337232"/>
      <w:r/>
      <w:bookmarkStart w:id="456" w:name="_Toc127151536"/>
      <w:r/>
      <w:bookmarkStart w:id="457" w:name="_Toc226965809"/>
      <w:r/>
      <w:bookmarkStart w:id="458" w:name="_Toc150774636"/>
      <w:r/>
      <w:bookmarkStart w:id="459" w:name="_Toc151190163"/>
      <w:r/>
      <w:bookmarkStart w:id="460" w:name="_Toc151193850"/>
      <w:r/>
      <w:bookmarkStart w:id="461" w:name="_Toc520356161"/>
      <w:r/>
      <w:bookmarkStart w:id="462" w:name="_Toc164229231"/>
      <w:r/>
      <w:bookmarkStart w:id="463" w:name="_Toc151193778"/>
      <w:r/>
      <w:bookmarkStart w:id="464" w:name="_Toc142311038"/>
      <w:r/>
      <w:bookmarkStart w:id="465" w:name="_Toc164608805"/>
      <w:r/>
      <w:bookmarkStart w:id="466" w:name="_Toc150509287"/>
      <w:r/>
      <w:bookmarkStart w:id="467" w:name="_Toc265228374"/>
      <w:r/>
      <w:bookmarkStart w:id="468" w:name="_Toc149720829"/>
      <w:r/>
      <w:bookmarkStart w:id="469" w:name="_Toc164608650"/>
      <w:r/>
      <w:bookmarkStart w:id="470" w:name="_Toc150774741"/>
      <w:r/>
      <w:bookmarkStart w:id="471" w:name="_Toc150480774"/>
      <w:r/>
      <w:bookmarkStart w:id="472" w:name="_Toc305158878"/>
      <w:r/>
      <w:bookmarkStart w:id="473" w:name="_Toc195842901"/>
      <w:r/>
      <w:bookmarkStart w:id="474" w:name="_Toc127161450"/>
      <w:r/>
      <w:bookmarkStart w:id="475" w:name="_Toc164351630"/>
      <w:r/>
      <w:bookmarkStart w:id="476" w:name="_Toc151193924"/>
      <w:r/>
      <w:bookmarkStart w:id="477" w:name="_Toc151193706"/>
      <w:r/>
      <w:bookmarkStart w:id="478" w:name="_Toc226309780"/>
      <w:r/>
      <w:bookmarkStart w:id="479" w:name="_Toc127151737"/>
      <w:r/>
      <w:bookmarkStart w:id="480" w:name="_Toc164229377"/>
      <w:r/>
      <w:bookmarkStart w:id="481" w:name="_Toc305158804"/>
      <w:r/>
      <w:bookmarkStart w:id="482" w:name="_Toc151193634"/>
      <w:r/>
      <w:bookmarkStart w:id="483" w:name="_Toc226965726"/>
      <w:r/>
      <w:bookmarkStart w:id="484" w:name="_Toc264969226"/>
      <w:r>
        <w:rPr>
          <w:rFonts w:hint="eastAsia" w:ascii="仿宋" w:hAnsi="仿宋" w:eastAsia="仿宋" w:cs="仿宋"/>
          <w:sz w:val="24"/>
          <w:szCs w:val="24"/>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仿宋" w:hAnsi="仿宋" w:eastAsia="仿宋" w:cs="仿宋"/>
          <w:sz w:val="24"/>
          <w:szCs w:val="24"/>
          <w:highlight w:val="none"/>
        </w:rPr>
        <w:t xml:space="preserve">时间</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投标人应在招标文件要求提交投标文件截止时间前，将电子投标文件提交至常州市政府采购业务管理平台。</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485" w:name="_Toc151193851"/>
      <w:r/>
      <w:bookmarkStart w:id="486" w:name="_Toc164608806"/>
      <w:r/>
      <w:bookmarkStart w:id="487" w:name="_Toc164229378"/>
      <w:r/>
      <w:bookmarkStart w:id="488" w:name="_Toc150774637"/>
      <w:r/>
      <w:bookmarkStart w:id="489" w:name="_Toc226337233"/>
      <w:r/>
      <w:bookmarkStart w:id="490" w:name="_Toc226965727"/>
      <w:r/>
      <w:bookmarkStart w:id="491" w:name="_Toc127151738"/>
      <w:r/>
      <w:bookmarkStart w:id="492" w:name="_Toc305158879"/>
      <w:r/>
      <w:bookmarkStart w:id="493" w:name="_Toc150774742"/>
      <w:r/>
      <w:bookmarkStart w:id="494" w:name="_Toc164351631"/>
      <w:r/>
      <w:bookmarkStart w:id="495" w:name="_Toc149720830"/>
      <w:r/>
      <w:bookmarkStart w:id="496" w:name="_Toc164229232"/>
      <w:r/>
      <w:bookmarkStart w:id="497" w:name="_Toc265228375"/>
      <w:r/>
      <w:bookmarkStart w:id="498" w:name="_Toc150480775"/>
      <w:r/>
      <w:bookmarkStart w:id="499" w:name="_Toc264969227"/>
      <w:r/>
      <w:bookmarkStart w:id="500" w:name="_Toc151193707"/>
      <w:r/>
      <w:bookmarkStart w:id="501" w:name="_Toc151190164"/>
      <w:r/>
      <w:bookmarkStart w:id="502" w:name="_Toc151193779"/>
      <w:r/>
      <w:bookmarkStart w:id="503" w:name="_Toc142311039"/>
      <w:r/>
      <w:bookmarkStart w:id="504" w:name="_Toc195842902"/>
      <w:r/>
      <w:bookmarkStart w:id="505" w:name="_Toc127161451"/>
      <w:r/>
      <w:bookmarkStart w:id="506" w:name="_Toc226309781"/>
      <w:r/>
      <w:bookmarkStart w:id="507" w:name="_Toc226965810"/>
      <w:r/>
      <w:bookmarkStart w:id="508" w:name="_Toc164608651"/>
      <w:r/>
      <w:bookmarkStart w:id="509" w:name="_Toc151193635"/>
      <w:r/>
      <w:bookmarkStart w:id="510" w:name="_Toc127151537"/>
      <w:r/>
      <w:bookmarkStart w:id="511" w:name="_Toc520356162"/>
      <w:r/>
      <w:bookmarkStart w:id="512" w:name="_Toc305158805"/>
      <w:r/>
      <w:bookmarkStart w:id="513" w:name="_Toc151193925"/>
      <w:r/>
      <w:bookmarkStart w:id="514" w:name="_Toc150509288"/>
      <w:r>
        <w:rPr>
          <w:rFonts w:hint="eastAsia" w:ascii="仿宋" w:hAnsi="仿宋" w:eastAsia="仿宋" w:cs="仿宋"/>
          <w:sz w:val="24"/>
          <w:szCs w:val="24"/>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投标截止时间前，投标人可以通过常州市政府采购业务管理平台对所提交的投标文件进行补充、修改或者撤回。</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投标人对投标文件的补充、修改的内容应当按照招标文件要求签署、加盖公章，作为投标文件的组成部分。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29"/>
        <w:spacing w:before="0" w:line="360" w:lineRule="auto"/>
        <w:rPr>
          <w:rFonts w:hint="eastAsia" w:ascii="仿宋" w:hAnsi="仿宋" w:eastAsia="仿宋" w:cs="仿宋"/>
          <w:sz w:val="24"/>
          <w:szCs w:val="24"/>
          <w:highlight w:val="none"/>
        </w:rPr>
      </w:pPr>
      <w:r/>
      <w:bookmarkStart w:id="515" w:name="_Toc305158806"/>
      <w:r/>
      <w:bookmarkStart w:id="516" w:name="_Toc264969228"/>
      <w:r/>
      <w:bookmarkStart w:id="517" w:name="_Toc265228376"/>
      <w:r/>
      <w:bookmarkStart w:id="518" w:name="_Toc142311040"/>
      <w:r/>
      <w:bookmarkStart w:id="519" w:name="_Toc226965728"/>
      <w:r/>
      <w:bookmarkStart w:id="520" w:name="_Toc151193708"/>
      <w:r/>
      <w:bookmarkStart w:id="521" w:name="_Toc150774638"/>
      <w:r/>
      <w:bookmarkStart w:id="522" w:name="_Toc305158880"/>
      <w:r/>
      <w:bookmarkStart w:id="523" w:name="_Toc150774743"/>
      <w:r/>
      <w:bookmarkStart w:id="524" w:name="_Toc150480776"/>
      <w:r/>
      <w:bookmarkStart w:id="525" w:name="_Toc226337234"/>
      <w:r/>
      <w:bookmarkStart w:id="526" w:name="_Toc151193852"/>
      <w:r/>
      <w:bookmarkStart w:id="527" w:name="_Toc151193636"/>
      <w:r/>
      <w:bookmarkStart w:id="528" w:name="_Toc226309782"/>
      <w:r/>
      <w:bookmarkStart w:id="529" w:name="_Toc150509289"/>
      <w:r/>
      <w:bookmarkStart w:id="530" w:name="_Toc151193926"/>
      <w:r/>
      <w:bookmarkStart w:id="531" w:name="_Toc151190165"/>
      <w:r/>
      <w:bookmarkStart w:id="532" w:name="_Toc127151538"/>
      <w:r/>
      <w:bookmarkStart w:id="533" w:name="_Toc226965811"/>
      <w:r/>
      <w:bookmarkStart w:id="534" w:name="_Toc195842903"/>
      <w:r/>
      <w:bookmarkStart w:id="535" w:name="_Toc520356163"/>
      <w:r/>
      <w:bookmarkStart w:id="536" w:name="_Toc151193780"/>
      <w:r>
        <w:rPr>
          <w:rFonts w:hint="eastAsia" w:ascii="仿宋" w:hAnsi="仿宋" w:eastAsia="仿宋" w:cs="仿宋"/>
          <w:sz w:val="24"/>
          <w:szCs w:val="24"/>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537" w:name="_Toc226965812"/>
      <w:r/>
      <w:bookmarkStart w:id="538" w:name="_Toc305158881"/>
      <w:r/>
      <w:bookmarkStart w:id="539" w:name="_Toc195842904"/>
      <w:r/>
      <w:bookmarkStart w:id="540" w:name="_Toc142311041"/>
      <w:r/>
      <w:bookmarkStart w:id="541" w:name="_Toc127151539"/>
      <w:r/>
      <w:bookmarkStart w:id="542" w:name="_Toc164229234"/>
      <w:r/>
      <w:bookmarkStart w:id="543" w:name="_Toc265228377"/>
      <w:r/>
      <w:bookmarkStart w:id="544" w:name="_Toc164351633"/>
      <w:r/>
      <w:bookmarkStart w:id="545" w:name="_Toc150774639"/>
      <w:r/>
      <w:bookmarkStart w:id="546" w:name="_Toc264969229"/>
      <w:r/>
      <w:bookmarkStart w:id="547" w:name="_Toc151193637"/>
      <w:r/>
      <w:bookmarkStart w:id="548" w:name="_Toc164608653"/>
      <w:r/>
      <w:bookmarkStart w:id="549" w:name="_Toc151193853"/>
      <w:r/>
      <w:bookmarkStart w:id="550" w:name="_Toc151193709"/>
      <w:r/>
      <w:bookmarkStart w:id="551" w:name="_Toc150774744"/>
      <w:r/>
      <w:bookmarkStart w:id="552" w:name="_Toc149720832"/>
      <w:r/>
      <w:bookmarkStart w:id="553" w:name="_Toc150480777"/>
      <w:r/>
      <w:bookmarkStart w:id="554" w:name="_Toc226337235"/>
      <w:r/>
      <w:bookmarkStart w:id="555" w:name="_Toc164229380"/>
      <w:r/>
      <w:bookmarkStart w:id="556" w:name="_Toc305158807"/>
      <w:r/>
      <w:bookmarkStart w:id="557" w:name="_Toc226965729"/>
      <w:r/>
      <w:bookmarkStart w:id="558" w:name="_Toc127151740"/>
      <w:r/>
      <w:bookmarkStart w:id="559" w:name="_Toc226309783"/>
      <w:r/>
      <w:bookmarkStart w:id="560" w:name="_Toc151190166"/>
      <w:r/>
      <w:bookmarkStart w:id="561" w:name="_Toc520356164"/>
      <w:r/>
      <w:bookmarkStart w:id="562" w:name="_Toc164608808"/>
      <w:r/>
      <w:bookmarkStart w:id="563" w:name="_Toc150509290"/>
      <w:r/>
      <w:bookmarkStart w:id="564" w:name="_Toc151193927"/>
      <w:r/>
      <w:bookmarkStart w:id="565" w:name="_Toc127161453"/>
      <w:r/>
      <w:bookmarkStart w:id="566" w:name="_Toc151193781"/>
      <w:r>
        <w:rPr>
          <w:rFonts w:hint="eastAsia" w:ascii="仿宋" w:hAnsi="仿宋" w:eastAsia="仿宋" w:cs="仿宋"/>
          <w:sz w:val="24"/>
          <w:szCs w:val="24"/>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仿宋" w:hAnsi="仿宋" w:eastAsia="仿宋" w:cs="仿宋"/>
          <w:sz w:val="24"/>
          <w:szCs w:val="24"/>
          <w:highlight w:val="none"/>
        </w:rPr>
        <w:t xml:space="preserve">。投标人超过规定时间未确认但是未提出疑义的，系统将视同已确认。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如果在采购活动过程中出现以下情形，导致“</w:t>
      </w:r>
      <w:r>
        <w:rPr>
          <w:rFonts w:hint="eastAsia" w:ascii="仿宋" w:hAnsi="仿宋" w:eastAsia="仿宋" w:cs="仿宋"/>
          <w:sz w:val="24"/>
          <w:szCs w:val="24"/>
          <w:highlight w:val="none"/>
          <w:lang w:bidi="ar"/>
        </w:rPr>
        <w:t xml:space="preserve">常州市政府采购业务管理平台</w:t>
      </w:r>
      <w:r>
        <w:rPr>
          <w:rFonts w:hint="eastAsia" w:ascii="仿宋" w:hAnsi="仿宋" w:eastAsia="仿宋" w:cs="仿宋"/>
          <w:sz w:val="24"/>
          <w:szCs w:val="24"/>
          <w:highlight w:val="none"/>
        </w:rPr>
        <w:t xml:space="preserve">”系统无法正常运行，或者无法保证本项目采购活动的公平、公正和安全时，代理机构可以延缓或者暂停采购活动，情况严重的可以终止采购活动：</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1)平台系统发生故障而无法登录访问的；</w:t>
      </w:r>
      <w:r/>
    </w:p>
    <w:p>
      <w:pPr>
        <w:ind w:left="357" w:firstLine="735"/>
        <w:spacing w:line="360" w:lineRule="auto"/>
        <w:tabs>
          <w:tab w:val="left" w:pos="1080" w:leader="none"/>
          <w:tab w:val="left" w:pos="1589"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2)平台系统应用或数据库出现错误，不能进行正常操作的；</w:t>
      </w:r>
      <w:r/>
    </w:p>
    <w:p>
      <w:pPr>
        <w:ind w:left="357" w:firstLine="735"/>
        <w:spacing w:line="360" w:lineRule="auto"/>
        <w:tabs>
          <w:tab w:val="left" w:pos="1080" w:leader="none"/>
          <w:tab w:val="left" w:pos="1589"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3)平台系统发现严重安全漏洞，有潜在泄密危险的；</w:t>
      </w:r>
      <w:r/>
    </w:p>
    <w:p>
      <w:pPr>
        <w:ind w:left="357" w:firstLine="735"/>
        <w:spacing w:line="360" w:lineRule="auto"/>
        <w:tabs>
          <w:tab w:val="left" w:pos="1080" w:leader="none"/>
          <w:tab w:val="left" w:pos="1589"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4)病毒发作导致平台系统不能进行正常操作的；</w:t>
      </w:r>
      <w:r/>
    </w:p>
    <w:p>
      <w:pPr>
        <w:ind w:left="357" w:firstLine="735"/>
        <w:spacing w:line="360" w:lineRule="auto"/>
        <w:tabs>
          <w:tab w:val="left" w:pos="1080" w:leader="none"/>
          <w:tab w:val="left" w:pos="1589"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资格审查</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见第三章《资格审查》。</w:t>
      </w:r>
      <w:bookmarkEnd w:id="567"/>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568" w:name="_Toc151193710"/>
      <w:r/>
      <w:bookmarkStart w:id="569" w:name="_Toc142311042"/>
      <w:r/>
      <w:bookmarkStart w:id="570" w:name="_Toc127161454"/>
      <w:r/>
      <w:bookmarkStart w:id="571" w:name="_Toc127151741"/>
      <w:r/>
      <w:bookmarkStart w:id="572" w:name="_Toc150509291"/>
      <w:r/>
      <w:bookmarkStart w:id="573" w:name="_Toc264969230"/>
      <w:r/>
      <w:bookmarkStart w:id="574" w:name="_Toc151190167"/>
      <w:r/>
      <w:bookmarkStart w:id="575" w:name="_Toc226965813"/>
      <w:r/>
      <w:bookmarkStart w:id="576" w:name="_Toc226309784"/>
      <w:r/>
      <w:bookmarkStart w:id="577" w:name="_Toc151193782"/>
      <w:r/>
      <w:bookmarkStart w:id="578" w:name="_Toc226337236"/>
      <w:r/>
      <w:bookmarkStart w:id="579" w:name="_Toc226965730"/>
      <w:r/>
      <w:bookmarkStart w:id="580" w:name="_Toc164229381"/>
      <w:r/>
      <w:bookmarkStart w:id="581" w:name="_Toc164608809"/>
      <w:r/>
      <w:bookmarkStart w:id="582" w:name="_Toc151193638"/>
      <w:r/>
      <w:bookmarkStart w:id="583" w:name="_Toc164608654"/>
      <w:r/>
      <w:bookmarkStart w:id="584" w:name="_Toc150774745"/>
      <w:r/>
      <w:bookmarkStart w:id="585" w:name="_Toc150774640"/>
      <w:r/>
      <w:bookmarkStart w:id="586" w:name="_Toc195842905"/>
      <w:r/>
      <w:bookmarkStart w:id="587" w:name="_Toc305158882"/>
      <w:r/>
      <w:bookmarkStart w:id="588" w:name="_Toc164229235"/>
      <w:r/>
      <w:bookmarkStart w:id="589" w:name="_Toc305158808"/>
      <w:r/>
      <w:bookmarkStart w:id="590" w:name="_Toc265228378"/>
      <w:r/>
      <w:bookmarkStart w:id="591" w:name="_Toc150480778"/>
      <w:r/>
      <w:bookmarkStart w:id="592" w:name="_Toc151193928"/>
      <w:r/>
      <w:bookmarkStart w:id="593" w:name="_Toc149720833"/>
      <w:r/>
      <w:bookmarkStart w:id="594" w:name="_Toc151193854"/>
      <w:r/>
      <w:bookmarkStart w:id="595" w:name="_Toc164351634"/>
      <w:r/>
      <w:bookmarkStart w:id="596" w:name="_Toc127151540"/>
      <w:r>
        <w:rPr>
          <w:rFonts w:hint="eastAsia" w:ascii="仿宋" w:hAnsi="仿宋" w:eastAsia="仿宋" w:cs="仿宋"/>
          <w:sz w:val="24"/>
          <w:szCs w:val="24"/>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评标委员会根据政府采购有关规定和本次招标采购项目的特点进行组建，并负责具体评标事务，独立履行职责。</w:t>
      </w:r>
      <w:bookmarkStart w:id="597" w:name="_Toc520356166"/>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29"/>
        <w:spacing w:before="0" w:line="360" w:lineRule="auto"/>
        <w:rPr>
          <w:rFonts w:hint="eastAsia" w:ascii="仿宋" w:hAnsi="仿宋" w:eastAsia="仿宋" w:cs="仿宋"/>
          <w:sz w:val="24"/>
          <w:szCs w:val="24"/>
          <w:highlight w:val="none"/>
        </w:rPr>
      </w:pPr>
      <w:r/>
      <w:bookmarkStart w:id="599" w:name="_Toc226337241"/>
      <w:r/>
      <w:bookmarkStart w:id="600" w:name="_Toc264969235"/>
      <w:r/>
      <w:bookmarkStart w:id="601" w:name="_Toc151190172"/>
      <w:r/>
      <w:bookmarkStart w:id="602" w:name="_Toc195842910"/>
      <w:r/>
      <w:bookmarkStart w:id="603" w:name="_Toc226309789"/>
      <w:r/>
      <w:bookmarkStart w:id="604" w:name="_Toc150509296"/>
      <w:r/>
      <w:bookmarkStart w:id="605" w:name="_Toc305158813"/>
      <w:r/>
      <w:bookmarkStart w:id="606" w:name="_Toc305158887"/>
      <w:r/>
      <w:bookmarkStart w:id="607" w:name="_Toc226965818"/>
      <w:r/>
      <w:bookmarkStart w:id="608" w:name="_Toc226965735"/>
      <w:r/>
      <w:bookmarkStart w:id="609" w:name="_Toc151193787"/>
      <w:r/>
      <w:bookmarkStart w:id="610" w:name="_Toc150774750"/>
      <w:r/>
      <w:bookmarkStart w:id="611" w:name="_Toc127151545"/>
      <w:r/>
      <w:bookmarkStart w:id="612" w:name="_Toc151193933"/>
      <w:r/>
      <w:bookmarkStart w:id="613" w:name="_Toc151193715"/>
      <w:r/>
      <w:bookmarkStart w:id="614" w:name="_Toc151193859"/>
      <w:r/>
      <w:bookmarkStart w:id="615" w:name="_Toc265228383"/>
      <w:r/>
      <w:bookmarkStart w:id="616" w:name="_Toc142311047"/>
      <w:r/>
      <w:bookmarkStart w:id="617" w:name="_Toc150774645"/>
      <w:r/>
      <w:bookmarkStart w:id="618" w:name="_Toc150480783"/>
      <w:r/>
      <w:bookmarkStart w:id="619" w:name="_Toc151193643"/>
      <w:r>
        <w:rPr>
          <w:rFonts w:hint="eastAsia" w:ascii="仿宋" w:hAnsi="仿宋" w:eastAsia="仿宋" w:cs="仿宋"/>
          <w:sz w:val="24"/>
          <w:szCs w:val="24"/>
          <w:highlight w:val="none"/>
        </w:rPr>
        <w:t xml:space="preserve">六   </w:t>
      </w:r>
      <w:bookmarkEnd w:id="598"/>
      <w:r>
        <w:rPr>
          <w:rFonts w:hint="eastAsia" w:ascii="仿宋" w:hAnsi="仿宋" w:eastAsia="仿宋" w:cs="仿宋"/>
          <w:sz w:val="24"/>
          <w:szCs w:val="24"/>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226965820"/>
      <w:r/>
      <w:bookmarkStart w:id="621" w:name="_Toc305158889"/>
      <w:r/>
      <w:bookmarkStart w:id="622" w:name="_Toc127151748"/>
      <w:r/>
      <w:bookmarkStart w:id="623" w:name="_Toc226965737"/>
      <w:r/>
      <w:bookmarkStart w:id="624" w:name="_Toc164229388"/>
      <w:r/>
      <w:bookmarkStart w:id="625" w:name="_Toc164608816"/>
      <w:r/>
      <w:bookmarkStart w:id="626" w:name="_Toc195842912"/>
      <w:r/>
      <w:bookmarkStart w:id="627" w:name="_Toc149720840"/>
      <w:r/>
      <w:bookmarkStart w:id="628" w:name="_Toc151193645"/>
      <w:r/>
      <w:bookmarkStart w:id="629" w:name="_Toc265228385"/>
      <w:r/>
      <w:bookmarkStart w:id="630" w:name="_Toc150774647"/>
      <w:r/>
      <w:bookmarkStart w:id="631" w:name="_Toc151193935"/>
      <w:r/>
      <w:bookmarkStart w:id="632" w:name="_Toc164229242"/>
      <w:r/>
      <w:bookmarkStart w:id="633" w:name="_Toc226309791"/>
      <w:r/>
      <w:bookmarkStart w:id="634" w:name="_Toc150774752"/>
      <w:r/>
      <w:bookmarkStart w:id="635" w:name="_Toc151193861"/>
      <w:r/>
      <w:bookmarkStart w:id="636" w:name="_Toc226337243"/>
      <w:r/>
      <w:bookmarkStart w:id="637" w:name="_Toc151193789"/>
      <w:r/>
      <w:bookmarkStart w:id="638" w:name="_Toc150480785"/>
      <w:r/>
      <w:bookmarkStart w:id="639" w:name="_Toc127161461"/>
      <w:r/>
      <w:bookmarkStart w:id="640" w:name="_Toc164608661"/>
      <w:r/>
      <w:bookmarkStart w:id="641" w:name="_Toc151193717"/>
      <w:r/>
      <w:bookmarkStart w:id="642" w:name="_Toc142311049"/>
      <w:r/>
      <w:bookmarkStart w:id="643" w:name="_Toc264969237"/>
      <w:r/>
      <w:bookmarkStart w:id="644" w:name="_Toc150509298"/>
      <w:r/>
      <w:bookmarkStart w:id="645" w:name="_Toc151190174"/>
      <w:r/>
      <w:bookmarkStart w:id="646" w:name="_Toc127151547"/>
      <w:r/>
      <w:bookmarkStart w:id="647" w:name="_Toc164351641"/>
      <w:r/>
      <w:bookmarkStart w:id="648" w:name="_Toc305158815"/>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采购人将在评标报告确定的中标候选人名单中按顺序确定中标人，中标候选人并列的，由采购人依法确定。</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649" w:name="_Toc305158891"/>
      <w:r/>
      <w:bookmarkStart w:id="650" w:name="_Toc305158817"/>
      <w:r/>
      <w:bookmarkStart w:id="651" w:name="_Toc265228387"/>
      <w:r/>
      <w:bookmarkStart w:id="652" w:name="_Toc164229244"/>
      <w:r/>
      <w:bookmarkStart w:id="653" w:name="_Toc127151549"/>
      <w:r/>
      <w:bookmarkStart w:id="654" w:name="_Toc151193863"/>
      <w:r/>
      <w:bookmarkStart w:id="655" w:name="_Toc150509300"/>
      <w:r/>
      <w:bookmarkStart w:id="656" w:name="_Toc150480787"/>
      <w:r/>
      <w:bookmarkStart w:id="657" w:name="_Toc151190176"/>
      <w:r/>
      <w:bookmarkStart w:id="658" w:name="_Toc151193647"/>
      <w:r/>
      <w:bookmarkStart w:id="659" w:name="_Toc151193719"/>
      <w:r/>
      <w:bookmarkStart w:id="660" w:name="_Toc127151750"/>
      <w:r/>
      <w:bookmarkStart w:id="661" w:name="_Toc226965739"/>
      <w:r/>
      <w:bookmarkStart w:id="662" w:name="_Toc142311051"/>
      <w:r/>
      <w:bookmarkStart w:id="663" w:name="_Toc226337245"/>
      <w:r/>
      <w:bookmarkStart w:id="664" w:name="_Toc226965822"/>
      <w:r/>
      <w:bookmarkStart w:id="665" w:name="_Toc151193791"/>
      <w:r/>
      <w:bookmarkStart w:id="666" w:name="_Toc164229390"/>
      <w:r/>
      <w:bookmarkStart w:id="667" w:name="_Toc195842914"/>
      <w:r/>
      <w:bookmarkStart w:id="668" w:name="_Toc164608663"/>
      <w:r/>
      <w:bookmarkStart w:id="669" w:name="_Toc264969239"/>
      <w:r/>
      <w:bookmarkStart w:id="670" w:name="_Toc164351643"/>
      <w:r/>
      <w:bookmarkStart w:id="671" w:name="_Toc151193937"/>
      <w:r/>
      <w:bookmarkStart w:id="672" w:name="_Toc149720842"/>
      <w:r/>
      <w:bookmarkStart w:id="673" w:name="_Toc150774754"/>
      <w:r/>
      <w:bookmarkStart w:id="674" w:name="_Toc150774649"/>
      <w:r/>
      <w:bookmarkStart w:id="675" w:name="_Toc164608818"/>
      <w:r/>
      <w:bookmarkStart w:id="676" w:name="_Toc226309793"/>
      <w:r/>
      <w:bookmarkStart w:id="677" w:name="_Toc127161463"/>
      <w:r/>
      <w:bookmarkStart w:id="678" w:name="_Ref467306425"/>
      <w:r/>
      <w:bookmarkStart w:id="679" w:name="_Ref467307090"/>
      <w:r/>
      <w:bookmarkStart w:id="680" w:name="_Toc520356176"/>
      <w:r>
        <w:rPr>
          <w:rFonts w:hint="eastAsia" w:ascii="仿宋" w:hAnsi="仿宋" w:eastAsia="仿宋" w:cs="仿宋"/>
          <w:sz w:val="24"/>
          <w:szCs w:val="24"/>
          <w:highlight w:val="none"/>
        </w:rPr>
        <w:t xml:space="preserve">中标公告与中标通知书</w:t>
      </w:r>
      <w:bookmarkEnd w:id="649"/>
      <w:r/>
      <w:bookmarkEnd w:id="650"/>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采购人或采购代理机构自中标人确定之日起2个工作日内，</w:t>
      </w:r>
      <w:r>
        <w:rPr>
          <w:rFonts w:hint="eastAsia" w:ascii="仿宋" w:hAnsi="仿宋" w:eastAsia="仿宋" w:cs="仿宋"/>
          <w:color w:val="000000"/>
          <w:sz w:val="24"/>
          <w:szCs w:val="24"/>
          <w:highlight w:val="none"/>
        </w:rPr>
        <w:t xml:space="preserve">在常州市政府采购网公告中标结果</w:t>
      </w:r>
      <w:r>
        <w:rPr>
          <w:rFonts w:hint="eastAsia" w:ascii="仿宋" w:hAnsi="仿宋" w:eastAsia="仿宋" w:cs="仿宋"/>
          <w:sz w:val="24"/>
          <w:szCs w:val="24"/>
          <w:highlight w:val="none"/>
        </w:rPr>
        <w:t xml:space="preserve">，同时向中标人发出中标通知书，中标公告期限为1个工作日。</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废标</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在招标采购中，出现下列情形之一的，应予废标：</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符合专业条件的供应商或者对招标文件作实质响应的供应商不足三家的；</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出现影响采购公正的违法、违规行为的；</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投标人的报价均超过了采购预算，采购人不能支付的；</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因重大变故，采购任务取消的。</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平台系统</w:t>
      </w:r>
      <w:r>
        <w:rPr>
          <w:rFonts w:hint="eastAsia" w:ascii="仿宋" w:hAnsi="仿宋" w:eastAsia="仿宋" w:cs="仿宋"/>
          <w:sz w:val="24"/>
          <w:szCs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废标后，采购人将废标理由通知所有投标人。</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bookmarkStart w:id="681" w:name="_Toc164229391"/>
      <w:r/>
      <w:bookmarkStart w:id="682" w:name="_Toc226309794"/>
      <w:r/>
      <w:bookmarkStart w:id="683" w:name="_Toc150774650"/>
      <w:r/>
      <w:bookmarkStart w:id="684" w:name="_Toc127161464"/>
      <w:r/>
      <w:bookmarkStart w:id="685" w:name="_Toc150509301"/>
      <w:r/>
      <w:bookmarkStart w:id="686" w:name="_Toc142311052"/>
      <w:r/>
      <w:bookmarkStart w:id="687" w:name="_Toc305158818"/>
      <w:r/>
      <w:bookmarkStart w:id="688" w:name="_Toc226965823"/>
      <w:r/>
      <w:bookmarkStart w:id="689" w:name="_Toc151190177"/>
      <w:r/>
      <w:bookmarkStart w:id="690" w:name="_Toc164351644"/>
      <w:r/>
      <w:bookmarkStart w:id="691" w:name="_Toc264969240"/>
      <w:r/>
      <w:bookmarkStart w:id="692" w:name="_Toc195842915"/>
      <w:r/>
      <w:bookmarkStart w:id="693" w:name="_Toc151193792"/>
      <w:r/>
      <w:bookmarkStart w:id="694" w:name="_Ref467306377"/>
      <w:r/>
      <w:bookmarkStart w:id="695" w:name="_Toc226337246"/>
      <w:r/>
      <w:bookmarkStart w:id="696" w:name="_Toc151193864"/>
      <w:r/>
      <w:bookmarkStart w:id="697" w:name="_Toc305158892"/>
      <w:r/>
      <w:bookmarkStart w:id="698" w:name="_Toc164229245"/>
      <w:r/>
      <w:bookmarkStart w:id="699" w:name="_Toc127151751"/>
      <w:r/>
      <w:bookmarkStart w:id="700" w:name="_Toc164608819"/>
      <w:r/>
      <w:bookmarkStart w:id="701" w:name="_Ref467307062"/>
      <w:r/>
      <w:bookmarkStart w:id="702" w:name="_Ref467306978"/>
      <w:r/>
      <w:bookmarkStart w:id="703" w:name="_Toc151193938"/>
      <w:r/>
      <w:bookmarkStart w:id="704" w:name="_Toc149720843"/>
      <w:r/>
      <w:bookmarkStart w:id="705" w:name="_Toc226965740"/>
      <w:r/>
      <w:bookmarkStart w:id="706" w:name="_Toc164608664"/>
      <w:r/>
      <w:bookmarkStart w:id="707" w:name="_Toc151193720"/>
      <w:r/>
      <w:bookmarkStart w:id="708" w:name="_Toc520356175"/>
      <w:r/>
      <w:bookmarkStart w:id="709" w:name="_Toc127151550"/>
      <w:r/>
      <w:bookmarkStart w:id="710" w:name="_Toc151193648"/>
      <w:r/>
      <w:bookmarkStart w:id="711" w:name="_Ref467307204"/>
      <w:r/>
      <w:bookmarkStart w:id="712" w:name="_Toc265228388"/>
      <w:r/>
      <w:bookmarkStart w:id="713" w:name="_Toc150774755"/>
      <w:r/>
      <w:bookmarkStart w:id="714" w:name="_Toc150480788"/>
      <w:r>
        <w:rPr>
          <w:rFonts w:hint="eastAsia" w:ascii="仿宋" w:hAnsi="仿宋" w:eastAsia="仿宋" w:cs="仿宋"/>
          <w:sz w:val="24"/>
          <w:szCs w:val="24"/>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中标人拒绝与采购人签订合同的</w:t>
      </w:r>
      <w:r>
        <w:rPr>
          <w:rFonts w:hint="eastAsia" w:ascii="仿宋" w:hAnsi="仿宋" w:eastAsia="仿宋" w:cs="仿宋"/>
          <w:sz w:val="24"/>
          <w:szCs w:val="24"/>
          <w:highlight w:val="none"/>
          <w:lang w:eastAsia="zh-CN"/>
        </w:rPr>
        <w:t xml:space="preserve">或者合同签订后拒不履行的</w:t>
      </w:r>
      <w:r>
        <w:rPr>
          <w:rFonts w:hint="eastAsia" w:ascii="仿宋" w:hAnsi="仿宋" w:eastAsia="仿宋" w:cs="仿宋"/>
          <w:sz w:val="24"/>
          <w:szCs w:val="24"/>
          <w:highlight w:val="none"/>
        </w:rPr>
        <w:t xml:space="preserve">，采购人可以按照评标报告推荐的中标候选人名单排序，确定下一候选人为中标人，也可以重新开展政府采购活动。</w:t>
      </w:r>
      <w:r>
        <w:rPr>
          <w:rFonts w:hint="eastAsia" w:ascii="仿宋" w:hAnsi="仿宋" w:eastAsia="仿宋" w:cs="仿宋"/>
          <w:sz w:val="24"/>
          <w:szCs w:val="24"/>
          <w:highlight w:val="none"/>
          <w:lang w:eastAsia="zh-CN"/>
        </w:rPr>
        <w:t xml:space="preserve">在采购人重新开展政府采购活动时，取消其再次参与投标的资格。</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rPr>
        <w:t xml:space="preserve">否则</w:t>
      </w:r>
      <w:r>
        <w:rPr>
          <w:rFonts w:hint="eastAsia" w:ascii="仿宋" w:hAnsi="仿宋" w:eastAsia="仿宋" w:cs="仿宋"/>
          <w:b/>
          <w:color w:val="000000"/>
          <w:sz w:val="24"/>
          <w:szCs w:val="24"/>
          <w:highlight w:val="none"/>
        </w:rPr>
        <w:t xml:space="preserve">投标无效</w:t>
      </w:r>
      <w:r>
        <w:rPr>
          <w:rFonts w:hint="eastAsia" w:ascii="仿宋" w:hAnsi="仿宋" w:eastAsia="仿宋" w:cs="仿宋"/>
          <w:color w:val="000000"/>
          <w:sz w:val="24"/>
          <w:szCs w:val="24"/>
          <w:highlight w:val="none"/>
        </w:rPr>
        <w:t xml:space="preserve">。中标人就采购项目和分包项目向采购人负责，分包供应商就分包项目承担责任。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标段项目负责人，需提供中标单位工资单及相关保险依据，不得未经采购人同意随意更换，否则一经发现处罚5000元。</w:t>
      </w:r>
      <w:r>
        <w:rPr>
          <w:rFonts w:hint="eastAsia" w:ascii="仿宋" w:hAnsi="仿宋" w:eastAsia="仿宋" w:cs="仿宋"/>
          <w:color w:val="000000"/>
          <w:sz w:val="24"/>
          <w:szCs w:val="24"/>
          <w:highlight w:val="none"/>
          <w:lang w:eastAsia="zh-CN"/>
        </w:rPr>
        <w:t xml:space="preserve">）</w:t>
      </w:r>
      <w:bookmarkEnd w:id="678"/>
      <w:r/>
      <w:bookmarkEnd w:id="679"/>
      <w:r/>
      <w:bookmarkEnd w:id="680"/>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询问</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质疑函须使用财政部制定的范本文件。（下载网址：</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"http://gks.mof.gov.cn/ztztz/zhengfucaigouguanli/201802/t20180201_2804589.htm" </w:instrText>
      </w:r>
      <w:r>
        <w:rPr>
          <w:rFonts w:hint="eastAsia" w:ascii="仿宋" w:hAnsi="仿宋" w:eastAsia="仿宋" w:cs="仿宋"/>
          <w:sz w:val="24"/>
          <w:szCs w:val="24"/>
          <w:highlight w:val="none"/>
        </w:rPr>
        <w:fldChar w:fldCharType="separate"/>
      </w:r>
      <w:r>
        <w:rPr>
          <w:rStyle w:val="1502"/>
          <w:rFonts w:hint="eastAsia" w:ascii="仿宋" w:hAnsi="仿宋" w:eastAsia="仿宋" w:cs="仿宋"/>
          <w:sz w:val="24"/>
          <w:szCs w:val="24"/>
          <w:highlight w:val="none"/>
        </w:rPr>
        <w:t xml:space="preserve">http://gk</w:t>
      </w:r>
      <w:bookmarkStart w:id="715" w:name="_Hlt100654014"/>
      <w:r>
        <w:rPr>
          <w:rStyle w:val="1502"/>
          <w:rFonts w:hint="eastAsia" w:ascii="仿宋" w:hAnsi="仿宋" w:eastAsia="仿宋" w:cs="仿宋"/>
          <w:sz w:val="24"/>
          <w:szCs w:val="24"/>
          <w:highlight w:val="none"/>
        </w:rPr>
        <w:t xml:space="preserve">s</w:t>
      </w:r>
      <w:bookmarkEnd w:id="715"/>
      <w:r>
        <w:rPr>
          <w:rStyle w:val="1502"/>
          <w:rFonts w:hint="eastAsia" w:ascii="仿宋" w:hAnsi="仿宋" w:eastAsia="仿宋" w:cs="仿宋"/>
          <w:sz w:val="24"/>
          <w:szCs w:val="24"/>
          <w:highlight w:val="none"/>
        </w:rPr>
        <w:t xml:space="preserve">.m</w:t>
      </w:r>
      <w:bookmarkStart w:id="716" w:name="_Hlt100653994"/>
      <w:r/>
      <w:bookmarkStart w:id="717" w:name="_Hlt100653993"/>
      <w:r>
        <w:rPr>
          <w:rStyle w:val="1502"/>
          <w:rFonts w:hint="eastAsia" w:ascii="仿宋" w:hAnsi="仿宋" w:eastAsia="仿宋" w:cs="仿宋"/>
          <w:sz w:val="24"/>
          <w:szCs w:val="24"/>
          <w:highlight w:val="none"/>
        </w:rPr>
        <w:t xml:space="preserve">o</w:t>
      </w:r>
      <w:bookmarkEnd w:id="716"/>
      <w:r/>
      <w:bookmarkEnd w:id="717"/>
      <w:r>
        <w:rPr>
          <w:rStyle w:val="1502"/>
          <w:rFonts w:hint="eastAsia" w:ascii="仿宋" w:hAnsi="仿宋" w:eastAsia="仿宋" w:cs="仿宋"/>
          <w:sz w:val="24"/>
          <w:szCs w:val="24"/>
          <w:highlight w:val="none"/>
        </w:rPr>
        <w:t xml:space="preserve">f.gov.cn/ztztz/zhengfucaigouguanli/201802/t20180201_2804589.htm</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hint="eastAsia" w:ascii="仿宋" w:hAnsi="仿宋" w:eastAsia="仿宋" w:cs="仿宋"/>
          <w:b/>
          <w:sz w:val="30"/>
          <w:szCs w:val="30"/>
          <w:highlight w:val="none"/>
        </w:rPr>
        <w:outlineLvl w:val="0"/>
      </w:pPr>
      <w:r/>
      <w:bookmarkStart w:id="718" w:name="_Toc353825544"/>
      <w:r/>
      <w:bookmarkStart w:id="719" w:name="_Toc127151554"/>
      <w:r/>
      <w:bookmarkStart w:id="720" w:name="_Toc142311056"/>
      <w:r/>
      <w:bookmarkStart w:id="721" w:name="_Toc264969244"/>
      <w:r/>
      <w:bookmarkStart w:id="722" w:name="_Toc150774759"/>
      <w:r/>
      <w:bookmarkStart w:id="723" w:name="_Toc305158896"/>
      <w:r/>
      <w:bookmarkStart w:id="724" w:name="_Toc353873934"/>
      <w:r/>
      <w:bookmarkStart w:id="725" w:name="_Toc150480792"/>
      <w:r/>
      <w:bookmarkStart w:id="726" w:name="_Toc226965827"/>
      <w:r/>
      <w:bookmarkStart w:id="727" w:name="_Toc305158822"/>
      <w:r/>
      <w:bookmarkStart w:id="728" w:name="_Toc265228392"/>
      <w:r/>
      <w:bookmarkStart w:id="729" w:name="_Toc353873664"/>
      <w:r/>
      <w:bookmarkStart w:id="730" w:name="_Toc226337250"/>
      <w:r>
        <w:rPr>
          <w:rFonts w:hint="eastAsia" w:ascii="仿宋" w:hAnsi="仿宋" w:eastAsia="仿宋" w:cs="仿宋"/>
          <w:sz w:val="24"/>
          <w:szCs w:val="24"/>
          <w:highlight w:val="none"/>
        </w:rPr>
        <w:br w:type="page" w:clear="all"/>
      </w:r>
      <w:bookmarkStart w:id="731" w:name="_Toc99301421"/>
      <w:r>
        <w:rPr>
          <w:rFonts w:hint="eastAsia" w:ascii="仿宋" w:hAnsi="仿宋" w:eastAsia="仿宋" w:cs="仿宋"/>
          <w:b/>
          <w:sz w:val="30"/>
          <w:szCs w:val="30"/>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仿宋" w:hAnsi="仿宋" w:eastAsia="仿宋" w:cs="仿宋"/>
          <w:b/>
          <w:sz w:val="30"/>
          <w:szCs w:val="30"/>
          <w:highlight w:val="none"/>
        </w:rPr>
        <w:t xml:space="preserve">资格审查</w:t>
      </w:r>
      <w:bookmarkEnd w:id="731"/>
      <w:r/>
      <w:bookmarkStart w:id="732" w:name="_Toc487900382"/>
      <w:r/>
      <w:r/>
    </w:p>
    <w:p>
      <w:pPr>
        <w:jc w:val="center"/>
        <w:spacing w:line="360" w:lineRule="auto"/>
        <w:tabs>
          <w:tab w:val="left" w:pos="360" w:leader="none"/>
          <w:tab w:val="left" w:pos="900" w:leader="none"/>
        </w:tabs>
        <w:rPr>
          <w:rFonts w:hint="eastAsia" w:ascii="仿宋" w:hAnsi="仿宋" w:eastAsia="仿宋" w:cs="仿宋"/>
          <w:b/>
          <w:sz w:val="24"/>
          <w:szCs w:val="24"/>
          <w:highlight w:val="none"/>
        </w:rPr>
        <w:outlineLvl w:val="1"/>
      </w:pPr>
      <w:r/>
      <w:bookmarkStart w:id="733" w:name="_Toc99301422"/>
      <w:r>
        <w:rPr>
          <w:rFonts w:hint="eastAsia" w:ascii="仿宋" w:hAnsi="仿宋" w:eastAsia="仿宋" w:cs="仿宋"/>
          <w:b/>
          <w:sz w:val="24"/>
          <w:szCs w:val="24"/>
          <w:highlight w:val="none"/>
        </w:rPr>
        <w:t xml:space="preserve">一、资格审查程序</w:t>
      </w:r>
      <w:bookmarkEnd w:id="733"/>
      <w:r/>
      <w:r/>
    </w:p>
    <w:p>
      <w:pPr>
        <w:numPr>
          <w:ilvl w:val="0"/>
          <w:numId w:val="11"/>
        </w:numPr>
        <w:ind w:left="426" w:hanging="426"/>
        <w:spacing w:line="360" w:lineRule="auto"/>
        <w:tabs>
          <w:tab w:val="left" w:pos="426" w:leader="none"/>
          <w:tab w:val="left" w:pos="851"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投标人《资格证明文件》有任何一项不符合《资格审查要求》的，资格审查不合格，其</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0"/>
          <w:numId w:val="11"/>
        </w:numPr>
        <w:ind w:left="426" w:hanging="426"/>
        <w:spacing w:line="360" w:lineRule="auto"/>
        <w:tabs>
          <w:tab w:val="left" w:pos="426" w:leader="none"/>
          <w:tab w:val="left" w:pos="851"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资格审查合格的投标人不足3家的，不进行评标。</w:t>
      </w:r>
      <w:r/>
    </w:p>
    <w:p>
      <w:pPr>
        <w:jc w:val="center"/>
        <w:spacing w:line="360" w:lineRule="auto"/>
        <w:tabs>
          <w:tab w:val="left" w:pos="360" w:leader="none"/>
          <w:tab w:val="left" w:pos="900" w:leader="none"/>
        </w:tabs>
        <w:rPr>
          <w:rFonts w:hint="eastAsia" w:ascii="仿宋" w:hAnsi="仿宋" w:eastAsia="仿宋" w:cs="仿宋"/>
          <w:b/>
          <w:sz w:val="24"/>
          <w:szCs w:val="24"/>
          <w:highlight w:val="none"/>
        </w:rPr>
        <w:outlineLvl w:val="1"/>
      </w:pPr>
      <w:r>
        <w:rPr>
          <w:rFonts w:hint="eastAsia" w:ascii="仿宋" w:hAnsi="仿宋" w:eastAsia="仿宋" w:cs="仿宋"/>
          <w:b/>
          <w:sz w:val="24"/>
          <w:szCs w:val="24"/>
          <w:highlight w:val="none"/>
        </w:rPr>
        <w:t xml:space="preserve">二、资格审查要求</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r/>
    </w:p>
    <w:tbl>
      <w:tblPr>
        <w:tblStyle w:val="1220"/>
        <w:tblW w:w="928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2480"/>
        <w:gridCol w:w="4326"/>
        <w:gridCol w:w="1638"/>
      </w:tblGrid>
      <w:tr>
        <w:trPr>
          <w:cantSplit/>
          <w:trHeight w:val="468"/>
          <w:tblHeader/>
        </w:trPr>
        <w:tc>
          <w:tcPr>
            <w:tcW w:w="844" w:type="dxa"/>
            <w:vAlign w:val="center"/>
            <w:textDirection w:val="lrTb"/>
            <w:noWrap w:val="false"/>
          </w:tcPr>
          <w:p>
            <w:pPr>
              <w:jc w:val="center"/>
              <w:spacing w:line="360" w:lineRule="auto"/>
              <w:tabs>
                <w:tab w:val="left" w:pos="1080" w:leader="none"/>
              </w:tabs>
              <w:rPr>
                <w:rFonts w:hint="eastAsia" w:ascii="仿宋" w:hAnsi="仿宋" w:eastAsia="仿宋" w:cs="仿宋"/>
                <w:b/>
                <w:sz w:val="24"/>
                <w:szCs w:val="24"/>
              </w:rPr>
            </w:pPr>
            <w:r/>
            <w:bookmarkStart w:id="734" w:name="_Hlt487972895"/>
            <w:r/>
            <w:bookmarkEnd w:id="734"/>
            <w:r/>
            <w:bookmarkStart w:id="735" w:name="_Toc226965858"/>
            <w:r/>
            <w:bookmarkStart w:id="736" w:name="_Toc127151779"/>
            <w:r/>
            <w:bookmarkStart w:id="737" w:name="_Toc353873940"/>
            <w:r/>
            <w:bookmarkStart w:id="738" w:name="_Toc127161490"/>
            <w:r/>
            <w:bookmarkStart w:id="739" w:name="_Toc353825550"/>
            <w:r>
              <w:rPr>
                <w:rFonts w:hint="eastAsia" w:ascii="仿宋" w:hAnsi="仿宋" w:eastAsia="仿宋" w:cs="仿宋"/>
                <w:b/>
                <w:sz w:val="24"/>
                <w:szCs w:val="24"/>
              </w:rPr>
              <w:t xml:space="preserve">序号</w:t>
            </w:r>
            <w:r/>
          </w:p>
        </w:tc>
        <w:tc>
          <w:tcPr>
            <w:tcW w:w="2480" w:type="dxa"/>
            <w:vAlign w:val="center"/>
            <w:textDirection w:val="lrTb"/>
            <w:noWrap w:val="false"/>
          </w:tcPr>
          <w:p>
            <w:pPr>
              <w:jc w:val="center"/>
              <w:spacing w:line="360" w:lineRule="auto"/>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审查因素</w:t>
            </w:r>
            <w:r/>
          </w:p>
        </w:tc>
        <w:tc>
          <w:tcPr>
            <w:tcW w:w="4326" w:type="dxa"/>
            <w:vAlign w:val="center"/>
            <w:textDirection w:val="lrTb"/>
            <w:noWrap w:val="false"/>
          </w:tcPr>
          <w:p>
            <w:pPr>
              <w:jc w:val="center"/>
              <w:spacing w:line="360" w:lineRule="auto"/>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审查内容</w:t>
            </w:r>
            <w:r/>
          </w:p>
        </w:tc>
        <w:tc>
          <w:tcPr>
            <w:tcW w:w="1638" w:type="dxa"/>
            <w:vAlign w:val="center"/>
            <w:textDirection w:val="lrTb"/>
            <w:noWrap w:val="false"/>
          </w:tcPr>
          <w:p>
            <w:pPr>
              <w:jc w:val="center"/>
              <w:spacing w:line="360" w:lineRule="auto"/>
              <w:tabs>
                <w:tab w:val="left" w:pos="1080" w:leader="none"/>
              </w:tabs>
              <w:rPr>
                <w:rFonts w:hint="eastAsia" w:ascii="仿宋" w:hAnsi="仿宋" w:eastAsia="仿宋" w:cs="仿宋"/>
                <w:b/>
                <w:sz w:val="24"/>
                <w:szCs w:val="24"/>
              </w:rPr>
            </w:pPr>
            <w:r>
              <w:rPr>
                <w:rFonts w:hint="eastAsia" w:ascii="仿宋" w:hAnsi="仿宋" w:eastAsia="仿宋" w:cs="仿宋"/>
                <w:b/>
                <w:sz w:val="24"/>
                <w:szCs w:val="24"/>
              </w:rPr>
              <w:t xml:space="preserve">格式要求</w:t>
            </w:r>
            <w:r/>
          </w:p>
        </w:tc>
      </w:tr>
      <w:tr>
        <w:trPr>
          <w:cantSplit/>
          <w:trHeight w:val="468"/>
        </w:trPr>
        <w:tc>
          <w:tcPr>
            <w:tcW w:w="844" w:type="dxa"/>
            <w:vAlign w:val="center"/>
            <w:textDirection w:val="lrTb"/>
            <w:noWrap w:val="false"/>
          </w:tcPr>
          <w:p>
            <w:pPr>
              <w:jc w:val="cente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w:t>
            </w:r>
            <w:r/>
          </w:p>
        </w:tc>
        <w:tc>
          <w:tcPr>
            <w:tcW w:w="2480"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满足《中华人民共和国政府采购法》第二十二条规定及法律法规的其他规定</w:t>
            </w:r>
            <w:r/>
          </w:p>
        </w:tc>
        <w:tc>
          <w:tcPr>
            <w:tcW w:w="4326"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具体规定见第一章《投标邀请》</w:t>
            </w:r>
            <w:r/>
          </w:p>
        </w:tc>
        <w:tc>
          <w:tcPr>
            <w:tcW w:w="1638"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r>
            <w:r/>
          </w:p>
        </w:tc>
      </w:tr>
      <w:tr>
        <w:trPr>
          <w:cantSplit/>
          <w:trHeight w:val="468"/>
        </w:trPr>
        <w:tc>
          <w:tcPr>
            <w:tcW w:w="844" w:type="dxa"/>
            <w:vAlign w:val="center"/>
            <w:textDirection w:val="lrTb"/>
            <w:noWrap w:val="false"/>
          </w:tcPr>
          <w:p>
            <w:pPr>
              <w:jc w:val="cente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480"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投标人资格声明函</w:t>
            </w:r>
            <w:r/>
          </w:p>
        </w:tc>
        <w:tc>
          <w:tcPr>
            <w:tcW w:w="4326"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提供了符合招标文件要求的《投标人资格声明函》。</w:t>
            </w:r>
            <w:r/>
          </w:p>
        </w:tc>
        <w:tc>
          <w:tcPr>
            <w:tcW w:w="1638" w:type="dxa"/>
            <w:vAlign w:val="center"/>
            <w:textDirection w:val="lrTb"/>
            <w:noWrap w:val="false"/>
          </w:tcPr>
          <w:p>
            <w:pPr>
              <w:spacing w:line="24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highlight w:val="yellow"/>
              </w:rPr>
              <w:t xml:space="preserve">格式见《投标文件格式》</w:t>
            </w:r>
            <w:r/>
          </w:p>
        </w:tc>
      </w:tr>
      <w:tr>
        <w:trPr>
          <w:cantSplit/>
          <w:trHeight w:val="468"/>
        </w:trPr>
        <w:tc>
          <w:tcPr>
            <w:tcW w:w="844" w:type="dxa"/>
            <w:vAlign w:val="center"/>
            <w:textDirection w:val="lrTb"/>
            <w:noWrap w:val="false"/>
          </w:tcPr>
          <w:p>
            <w:pPr>
              <w:jc w:val="cente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1-2</w:t>
            </w:r>
            <w:r/>
          </w:p>
        </w:tc>
        <w:tc>
          <w:tcPr>
            <w:tcW w:w="2480"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投标人信用记录</w:t>
            </w:r>
            <w:r/>
          </w:p>
        </w:tc>
        <w:tc>
          <w:tcPr>
            <w:tcW w:w="4326" w:type="dxa"/>
            <w:vAlign w:val="center"/>
            <w:textDirection w:val="lrTb"/>
            <w:noWrap w:val="false"/>
          </w:tcPr>
          <w:p>
            <w:pPr>
              <w:spacing w:line="24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查询渠道：信用中国网站和中国政府采购网www.creditchina.gov.cnwww.ccgp.gov.cn）；</w:t>
            </w:r>
            <w:r/>
          </w:p>
          <w:p>
            <w:pPr>
              <w:spacing w:line="24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截止时点：投标截止时间以后、资格审查阶段采购人或采购代理机构的实际查询时间；</w:t>
            </w:r>
            <w:r/>
          </w:p>
          <w:p>
            <w:pPr>
              <w:spacing w:line="24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信用信息查询记录和证据留存具体方式：查询结果网页打印页作为查询记录和证据，与其他采购文件一并保存；</w:t>
            </w:r>
            <w:r/>
          </w:p>
          <w:p>
            <w:pPr>
              <w:spacing w:line="24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信用信息的使用原则：经认定的被列入失信被执行人、重大税收违法案件当事人名单、政府采购严重违法失信行为记录名单的投标人，其</w:t>
            </w:r>
            <w:r>
              <w:rPr>
                <w:rFonts w:hint="eastAsia" w:ascii="仿宋" w:hAnsi="仿宋" w:eastAsia="仿宋" w:cs="仿宋"/>
                <w:b/>
                <w:sz w:val="24"/>
                <w:szCs w:val="24"/>
              </w:rPr>
              <w:t xml:space="preserve">投标无效</w:t>
            </w:r>
            <w:r>
              <w:rPr>
                <w:rFonts w:hint="eastAsia" w:ascii="仿宋" w:hAnsi="仿宋" w:eastAsia="仿宋" w:cs="仿宋"/>
                <w:sz w:val="24"/>
                <w:szCs w:val="24"/>
              </w:rPr>
              <w:t xml:space="preserve">。联合体形式投标的，联合体成员存在不良信用记录，视同联合体存在不良信用记录。</w:t>
            </w:r>
            <w:r/>
          </w:p>
        </w:tc>
        <w:tc>
          <w:tcPr>
            <w:tcW w:w="1638"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highlight w:val="yellow"/>
              </w:rPr>
              <w:t xml:space="preserve">无须投标人提供，由采购人或采购代理机构查询。</w:t>
            </w:r>
            <w:r/>
          </w:p>
        </w:tc>
      </w:tr>
      <w:tr>
        <w:trPr>
          <w:cantSplit/>
          <w:trHeight w:val="468"/>
        </w:trPr>
        <w:tc>
          <w:tcPr>
            <w:tcW w:w="844" w:type="dxa"/>
            <w:vAlign w:val="center"/>
            <w:textDirection w:val="lrTb"/>
            <w:noWrap w:val="false"/>
          </w:tcPr>
          <w:p>
            <w:pPr>
              <w:jc w:val="center"/>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w:t>
            </w:r>
            <w:r/>
          </w:p>
        </w:tc>
        <w:tc>
          <w:tcPr>
            <w:tcW w:w="2480"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落实政府采购政策需满足的资格要求</w:t>
            </w:r>
            <w:r/>
          </w:p>
        </w:tc>
        <w:tc>
          <w:tcPr>
            <w:tcW w:w="4326" w:type="dxa"/>
            <w:vAlign w:val="center"/>
            <w:textDirection w:val="lrTb"/>
            <w:noWrap w:val="false"/>
          </w:tcPr>
          <w:p>
            <w:pPr>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具体要求见第一章《采购邀请》</w:t>
            </w:r>
            <w:r/>
          </w:p>
        </w:tc>
        <w:tc>
          <w:tcPr>
            <w:tcW w:w="1638" w:type="dxa"/>
            <w:vAlign w:val="center"/>
            <w:textDirection w:val="lrTb"/>
            <w:noWrap w:val="false"/>
          </w:tcPr>
          <w:p>
            <w:pPr>
              <w:tabs>
                <w:tab w:val="left" w:pos="1080" w:leader="none"/>
              </w:tabs>
              <w:rPr>
                <w:rFonts w:hint="eastAsia" w:ascii="仿宋" w:hAnsi="仿宋" w:eastAsia="仿宋" w:cs="仿宋"/>
                <w:sz w:val="24"/>
                <w:szCs w:val="24"/>
              </w:rPr>
            </w:pPr>
            <w:r>
              <w:rPr>
                <w:rFonts w:hint="eastAsia" w:ascii="仿宋" w:hAnsi="仿宋" w:eastAsia="仿宋" w:cs="仿宋"/>
                <w:sz w:val="24"/>
                <w:szCs w:val="24"/>
              </w:rPr>
            </w:r>
            <w:r/>
          </w:p>
        </w:tc>
      </w:tr>
      <w:tr>
        <w:trPr>
          <w:cantSplit/>
          <w:trHeight w:val="468"/>
        </w:trPr>
        <w:tc>
          <w:tcPr>
            <w:tcW w:w="844" w:type="dxa"/>
            <w:vAlign w:val="center"/>
            <w:textDirection w:val="lrTb"/>
            <w:noWrap w:val="false"/>
          </w:tcPr>
          <w:p>
            <w:pPr>
              <w:jc w:val="center"/>
              <w:tabs>
                <w:tab w:val="left" w:pos="1080" w:leader="none"/>
              </w:tabs>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2-1</w:t>
            </w:r>
            <w:r/>
          </w:p>
        </w:tc>
        <w:tc>
          <w:tcPr>
            <w:tcW w:w="2480" w:type="dxa"/>
            <w:vAlign w:val="center"/>
            <w:textDirection w:val="lrTb"/>
            <w:noWrap w:val="false"/>
          </w:tcPr>
          <w:p>
            <w:pPr>
              <w:tabs>
                <w:tab w:val="left" w:pos="1080" w:leader="none"/>
              </w:tabs>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中小企业声明函</w:t>
            </w:r>
            <w:r/>
          </w:p>
        </w:tc>
        <w:tc>
          <w:tcPr>
            <w:tcW w:w="4326" w:type="dxa"/>
            <w:vAlign w:val="center"/>
            <w:textDirection w:val="lrTb"/>
            <w:noWrap w:val="false"/>
          </w:tcPr>
          <w:p>
            <w:pPr>
              <w:spacing w:line="240" w:lineRule="auto"/>
              <w:tabs>
                <w:tab w:val="left" w:pos="10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highlight w:val="none"/>
                <w:lang w:val="en-US" w:eastAsia="zh-CN"/>
              </w:rPr>
              <w:t xml:space="preserve">投标人单独投标的，</w:t>
            </w:r>
            <w:r>
              <w:rPr>
                <w:rFonts w:hint="eastAsia" w:ascii="仿宋" w:hAnsi="仿宋" w:eastAsia="仿宋" w:cs="仿宋"/>
                <w:sz w:val="24"/>
                <w:szCs w:val="24"/>
                <w:highlight w:val="yellow"/>
                <w:lang w:val="en-US" w:eastAsia="zh-CN"/>
              </w:rPr>
              <w:t xml:space="preserve">应提供中小企业声明函</w:t>
            </w:r>
            <w:r>
              <w:rPr>
                <w:rFonts w:hint="eastAsia" w:ascii="仿宋" w:hAnsi="仿宋" w:eastAsia="仿宋" w:cs="仿宋"/>
                <w:sz w:val="24"/>
                <w:szCs w:val="24"/>
                <w:highlight w:val="none"/>
                <w:lang w:val="en-US" w:eastAsia="zh-CN"/>
              </w:rPr>
              <w:t xml:space="preserve">；如为监狱企业或残疾人福利性单位，不必提供中小企业声明函，但须按注1或注2要求提供证明材料。</w:t>
            </w:r>
            <w:r/>
          </w:p>
          <w:p>
            <w:pPr>
              <w:spacing w:line="240" w:lineRule="auto"/>
              <w:tabs>
                <w:tab w:val="left" w:pos="1080" w:leader="none"/>
              </w:tabs>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2、如投标人为联合体的，则联合体中所有成员的中小企业具体情况须在《中小企业声明函》中如实填报。</w:t>
            </w:r>
            <w:r>
              <w:rPr>
                <w:rFonts w:hint="eastAsia" w:ascii="仿宋" w:hAnsi="仿宋" w:eastAsia="仿宋" w:cs="仿宋"/>
                <w:sz w:val="24"/>
                <w:szCs w:val="24"/>
                <w:lang w:val="en-US" w:eastAsia="zh-CN"/>
              </w:rPr>
              <w:t xml:space="preserve">上述中小企业如为监狱企业或残疾人福利性单位应在声明函中如实列明单位性质，并按注1或注2要求提供证明材料。</w:t>
            </w:r>
            <w:r/>
          </w:p>
          <w:p>
            <w:pPr>
              <w:spacing w:line="240" w:lineRule="auto"/>
              <w:tabs>
                <w:tab w:val="left" w:pos="108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注1：监狱企业须提供由省级以上监狱管理局（常州市含教育矫治局）、戒毒管理局（含新疆生产建设兵团）出具的属于监狱企业的证明文件。</w:t>
            </w:r>
            <w:r/>
          </w:p>
          <w:p>
            <w:pPr>
              <w:spacing w:line="240" w:lineRule="auto"/>
              <w:tabs>
                <w:tab w:val="left" w:pos="108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注2：残疾人福利性单位须按招标文件要求提供《残疾人福利性单位声明函》。</w:t>
            </w:r>
            <w:r/>
          </w:p>
        </w:tc>
        <w:tc>
          <w:tcPr>
            <w:tcW w:w="1638" w:type="dxa"/>
            <w:vAlign w:val="center"/>
            <w:textDirection w:val="lrTb"/>
            <w:noWrap w:val="false"/>
          </w:tcPr>
          <w:p>
            <w:pPr>
              <w:spacing w:line="360" w:lineRule="auto"/>
              <w:tabs>
                <w:tab w:val="left" w:pos="1080" w:leader="none"/>
              </w:tabs>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格式见《响应文件格式》</w:t>
            </w:r>
            <w:r/>
          </w:p>
        </w:tc>
      </w:tr>
      <w:tr>
        <w:trPr>
          <w:cantSplit/>
          <w:trHeight w:val="468"/>
        </w:trPr>
        <w:tc>
          <w:tcPr>
            <w:tcW w:w="844" w:type="dxa"/>
            <w:vAlign w:val="center"/>
            <w:textDirection w:val="lrTb"/>
            <w:noWrap w:val="false"/>
          </w:tcPr>
          <w:p>
            <w:pPr>
              <w:jc w:val="cente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3</w:t>
            </w:r>
            <w:r/>
          </w:p>
        </w:tc>
        <w:tc>
          <w:tcPr>
            <w:tcW w:w="2480"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本项目的特定资格要求</w:t>
            </w:r>
            <w:r/>
          </w:p>
        </w:tc>
        <w:tc>
          <w:tcPr>
            <w:tcW w:w="4326"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如有，见第一章《投标邀请》</w:t>
            </w:r>
            <w:r/>
          </w:p>
        </w:tc>
        <w:tc>
          <w:tcPr>
            <w:tcW w:w="1638"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r>
            <w:r/>
          </w:p>
        </w:tc>
      </w:tr>
      <w:tr>
        <w:trPr>
          <w:cantSplit/>
          <w:trHeight w:val="595"/>
        </w:trPr>
        <w:tc>
          <w:tcPr>
            <w:tcW w:w="844" w:type="dxa"/>
            <w:vAlign w:val="center"/>
            <w:textDirection w:val="lrTb"/>
            <w:noWrap w:val="false"/>
          </w:tcPr>
          <w:p>
            <w:pPr>
              <w:jc w:val="cente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3-2</w:t>
            </w:r>
            <w:r/>
          </w:p>
        </w:tc>
        <w:tc>
          <w:tcPr>
            <w:tcW w:w="2480"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其他特定资格要求</w:t>
            </w:r>
            <w:r/>
          </w:p>
        </w:tc>
        <w:tc>
          <w:tcPr>
            <w:tcW w:w="4326" w:type="dxa"/>
            <w:vAlign w:val="center"/>
            <w:textDirection w:val="lrTb"/>
            <w:noWrap w:val="false"/>
          </w:tcPr>
          <w:p>
            <w:pPr>
              <w:spacing w:line="360" w:lineRule="auto"/>
              <w:tabs>
                <w:tab w:val="left" w:pos="1080"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无</w:t>
            </w:r>
            <w:r/>
          </w:p>
        </w:tc>
        <w:tc>
          <w:tcPr>
            <w:tcW w:w="1638" w:type="dxa"/>
            <w:vAlign w:val="center"/>
            <w:textDirection w:val="lrTb"/>
            <w:noWrap w:val="false"/>
          </w:tcPr>
          <w:p>
            <w:pPr>
              <w:spacing w:line="360" w:lineRule="auto"/>
              <w:tabs>
                <w:tab w:val="left" w:pos="1080" w:leader="none"/>
              </w:tabs>
              <w:rPr>
                <w:rFonts w:hint="eastAsia" w:ascii="仿宋" w:hAnsi="仿宋" w:eastAsia="仿宋" w:cs="仿宋"/>
                <w:sz w:val="24"/>
                <w:szCs w:val="24"/>
              </w:rPr>
            </w:pPr>
            <w:r>
              <w:rPr>
                <w:rFonts w:hint="eastAsia" w:ascii="仿宋" w:hAnsi="仿宋" w:eastAsia="仿宋" w:cs="仿宋"/>
                <w:sz w:val="24"/>
                <w:szCs w:val="24"/>
              </w:rPr>
            </w:r>
            <w:r/>
          </w:p>
        </w:tc>
      </w:tr>
    </w:tbl>
    <w:p>
      <w:pPr>
        <w:ind w:firstLine="1506"/>
        <w:jc w:val="both"/>
        <w:spacing w:line="360" w:lineRule="auto"/>
        <w:rPr>
          <w:rFonts w:hint="eastAsia" w:ascii="仿宋" w:hAnsi="仿宋" w:eastAsia="仿宋" w:cs="仿宋"/>
          <w:b/>
          <w:sz w:val="30"/>
          <w:szCs w:val="30"/>
          <w:highlight w:val="none"/>
        </w:rPr>
        <w:outlineLvl w:val="0"/>
      </w:pPr>
      <w:r/>
      <w:bookmarkStart w:id="740" w:name="_Toc99301423"/>
      <w:r/>
      <w:r/>
    </w:p>
    <w:p>
      <w:pPr>
        <w:ind w:firstLine="1506"/>
        <w:jc w:val="both"/>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第四章   </w:t>
      </w:r>
      <w:bookmarkEnd w:id="735"/>
      <w:r/>
      <w:bookmarkEnd w:id="736"/>
      <w:r/>
      <w:bookmarkEnd w:id="737"/>
      <w:r/>
      <w:bookmarkEnd w:id="738"/>
      <w:r/>
      <w:bookmarkEnd w:id="739"/>
      <w:r/>
      <w:bookmarkStart w:id="741" w:name="_Hlt164229061"/>
      <w:r/>
      <w:bookmarkEnd w:id="741"/>
      <w:r>
        <w:rPr>
          <w:rFonts w:hint="eastAsia" w:ascii="仿宋" w:hAnsi="仿宋" w:eastAsia="仿宋" w:cs="仿宋"/>
          <w:b/>
          <w:sz w:val="30"/>
          <w:szCs w:val="30"/>
          <w:highlight w:val="none"/>
        </w:rPr>
        <w:t xml:space="preserve">评标程序、评标方法和评标标准</w:t>
      </w:r>
      <w:bookmarkEnd w:id="740"/>
      <w:r/>
      <w:r/>
    </w:p>
    <w:p>
      <w:pPr>
        <w:jc w:val="center"/>
        <w:spacing w:line="360" w:lineRule="auto"/>
        <w:tabs>
          <w:tab w:val="left" w:pos="360" w:leader="none"/>
          <w:tab w:val="left" w:pos="900" w:leader="none"/>
        </w:tabs>
        <w:rPr>
          <w:rFonts w:hint="eastAsia" w:ascii="仿宋" w:hAnsi="仿宋" w:eastAsia="仿宋" w:cs="仿宋"/>
          <w:b/>
          <w:sz w:val="24"/>
          <w:szCs w:val="24"/>
          <w:highlight w:val="none"/>
        </w:rPr>
        <w:outlineLvl w:val="1"/>
      </w:pPr>
      <w:r>
        <w:rPr>
          <w:rFonts w:hint="eastAsia" w:ascii="仿宋" w:hAnsi="仿宋" w:eastAsia="仿宋" w:cs="仿宋"/>
          <w:b/>
          <w:sz w:val="24"/>
          <w:szCs w:val="24"/>
          <w:highlight w:val="none"/>
        </w:rPr>
        <w:t xml:space="preserve">一、评标程序</w:t>
      </w:r>
      <w:r/>
    </w:p>
    <w:p>
      <w:pPr>
        <w:numPr>
          <w:ilvl w:val="0"/>
          <w:numId w:val="12"/>
        </w:numPr>
        <w:spacing w:line="360" w:lineRule="auto"/>
        <w:tabs>
          <w:tab w:val="left" w:pos="360" w:leader="none"/>
        </w:tabs>
        <w:rPr>
          <w:rFonts w:hint="eastAsia" w:ascii="仿宋" w:hAnsi="仿宋" w:eastAsia="仿宋" w:cs="仿宋"/>
          <w:sz w:val="24"/>
          <w:szCs w:val="24"/>
          <w:highlight w:val="none"/>
        </w:rPr>
        <w:outlineLvl w:val="1"/>
      </w:pPr>
      <w:r/>
      <w:bookmarkStart w:id="742" w:name="_Toc150774746"/>
      <w:r/>
      <w:bookmarkStart w:id="743" w:name="_Toc164351635"/>
      <w:r/>
      <w:bookmarkStart w:id="744" w:name="_Toc226965814"/>
      <w:r/>
      <w:bookmarkStart w:id="745" w:name="_Toc305158883"/>
      <w:r/>
      <w:bookmarkStart w:id="746" w:name="_Toc127161455"/>
      <w:r/>
      <w:bookmarkStart w:id="747" w:name="_Toc151193639"/>
      <w:r/>
      <w:bookmarkStart w:id="748" w:name="_Toc151193711"/>
      <w:r/>
      <w:bookmarkStart w:id="749" w:name="_Toc151193783"/>
      <w:r/>
      <w:bookmarkStart w:id="750" w:name="_Toc226309785"/>
      <w:r/>
      <w:bookmarkStart w:id="751" w:name="_Toc151193929"/>
      <w:r/>
      <w:bookmarkStart w:id="752" w:name="_Toc265228379"/>
      <w:r/>
      <w:bookmarkStart w:id="753" w:name="_Toc264969231"/>
      <w:r/>
      <w:bookmarkStart w:id="754" w:name="_Toc164229236"/>
      <w:r/>
      <w:bookmarkStart w:id="755" w:name="_Toc150774641"/>
      <w:r/>
      <w:bookmarkStart w:id="756" w:name="_Toc226965731"/>
      <w:r/>
      <w:bookmarkStart w:id="757" w:name="_Toc164608810"/>
      <w:r/>
      <w:bookmarkStart w:id="758" w:name="_Toc150509292"/>
      <w:r/>
      <w:bookmarkStart w:id="759" w:name="_Toc305158809"/>
      <w:r/>
      <w:bookmarkStart w:id="760" w:name="_Toc151193855"/>
      <w:r/>
      <w:bookmarkStart w:id="761" w:name="_Toc127151742"/>
      <w:r/>
      <w:bookmarkStart w:id="762" w:name="_Toc164229382"/>
      <w:r/>
      <w:bookmarkStart w:id="763" w:name="_Toc151190168"/>
      <w:r/>
      <w:bookmarkStart w:id="764" w:name="_Toc149720834"/>
      <w:r/>
      <w:bookmarkStart w:id="765" w:name="_Toc142311043"/>
      <w:r/>
      <w:bookmarkStart w:id="766" w:name="_Toc127151541"/>
      <w:r/>
      <w:bookmarkStart w:id="767" w:name="_Toc150480779"/>
      <w:r/>
      <w:bookmarkStart w:id="768" w:name="_Toc195842906"/>
      <w:r/>
      <w:bookmarkStart w:id="769" w:name="_Toc164608655"/>
      <w:r/>
      <w:bookmarkStart w:id="770" w:name="_Toc226337237"/>
      <w:r/>
      <w:bookmarkStart w:id="771" w:name="_Toc353825551"/>
      <w:r/>
      <w:bookmarkStart w:id="772" w:name="_Toc353873941"/>
      <w:r/>
      <w:bookmarkStart w:id="773" w:name="_Toc305158897"/>
      <w:r/>
      <w:bookmarkStart w:id="774" w:name="_Toc150774760"/>
      <w:r/>
      <w:bookmarkStart w:id="775" w:name="_Toc305158823"/>
      <w:r/>
      <w:bookmarkStart w:id="776" w:name="_Toc195842920"/>
      <w:r/>
      <w:bookmarkStart w:id="777" w:name="_Toc353825545"/>
      <w:r/>
      <w:bookmarkStart w:id="778" w:name="_Toc127151555"/>
      <w:r/>
      <w:bookmarkStart w:id="779" w:name="_Toc265228393"/>
      <w:r/>
      <w:bookmarkStart w:id="780" w:name="_Toc150480793"/>
      <w:r/>
      <w:bookmarkStart w:id="781" w:name="_Toc142311057"/>
      <w:r/>
      <w:bookmarkStart w:id="782" w:name="_Toc264969245"/>
      <w:r/>
      <w:bookmarkStart w:id="783" w:name="_Toc226965828"/>
      <w:r/>
      <w:bookmarkStart w:id="784" w:name="_Toc353873935"/>
      <w:r/>
      <w:bookmarkStart w:id="785" w:name="_Toc353873665"/>
      <w:r/>
      <w:bookmarkStart w:id="786" w:name="_Toc226337251"/>
      <w:r>
        <w:rPr>
          <w:rFonts w:hint="eastAsia" w:ascii="仿宋" w:hAnsi="仿宋" w:eastAsia="仿宋" w:cs="仿宋"/>
          <w:sz w:val="24"/>
          <w:szCs w:val="24"/>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
    </w:p>
    <w:p>
      <w:pPr>
        <w:numPr>
          <w:ilvl w:val="1"/>
          <w:numId w:val="12"/>
        </w:numPr>
        <w:ind w:left="1077" w:hanging="720"/>
        <w:spacing w:line="360" w:lineRule="auto"/>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评标委员会对资格审查合格的投标人的投标文件进行符合性审查，以确定其是否满足招标文件的实质性要求。</w:t>
      </w:r>
      <w:bookmarkStart w:id="787" w:name="_Toc520356167"/>
      <w:r/>
      <w:r/>
    </w:p>
    <w:p>
      <w:pPr>
        <w:numPr>
          <w:ilvl w:val="1"/>
          <w:numId w:val="12"/>
        </w:numPr>
        <w:ind w:left="1077" w:hanging="720"/>
        <w:spacing w:line="360" w:lineRule="auto"/>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rFonts w:hint="eastAsia" w:ascii="仿宋" w:hAnsi="仿宋" w:eastAsia="仿宋" w:cs="仿宋"/>
          <w:sz w:val="24"/>
          <w:szCs w:val="24"/>
          <w:highlight w:val="none"/>
        </w:rPr>
        <w:t xml:space="preserve">要求的，</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仿宋" w:hAnsi="仿宋" w:eastAsia="仿宋" w:cs="仿宋"/>
          <w:b/>
          <w:color w:val="000000"/>
          <w:sz w:val="24"/>
          <w:szCs w:val="24"/>
          <w:highlight w:val="none"/>
        </w:rPr>
      </w:pPr>
      <w:r>
        <w:rPr>
          <w:rFonts w:hint="eastAsia" w:ascii="仿宋" w:hAnsi="仿宋" w:eastAsia="仿宋" w:cs="仿宋"/>
          <w:b/>
          <w:sz w:val="24"/>
          <w:szCs w:val="24"/>
          <w:highlight w:val="none"/>
        </w:rPr>
        <w:t xml:space="preserve">符合性审查要求</w:t>
      </w:r>
      <w:r/>
    </w:p>
    <w:tbl>
      <w:tblPr>
        <w:tblStyle w:val="1220"/>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840"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1794"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审查因素</w:t>
            </w:r>
            <w:r/>
          </w:p>
        </w:tc>
        <w:tc>
          <w:tcPr>
            <w:tcW w:w="6654"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审查内容</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投标函、法定代表人资格证明书、法定代表人授权委托书和政府采购供应商信用承诺书</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按招标文件要求提供投标函、法定代表人资格证明书、法定代表人授权委托书和政府采购供应商信用承诺书；</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投标完整性</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未将一个采购包中的内容拆开投标；</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投标报价未超过招标文件中规定的项目/采购包预算金额或者项目/采购包最高限价；</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报价唯一性</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投标文件未</w:t>
            </w:r>
            <w:r>
              <w:rPr>
                <w:rFonts w:hint="eastAsia" w:ascii="仿宋" w:hAnsi="仿宋" w:eastAsia="仿宋" w:cs="仿宋"/>
                <w:sz w:val="24"/>
                <w:szCs w:val="24"/>
                <w:highlight w:val="none"/>
              </w:rPr>
              <w:t xml:space="preserve">出现可选择性或可调整的报价（招标文件另有规定的除外）</w:t>
            </w:r>
            <w:r>
              <w:rPr>
                <w:rFonts w:hint="eastAsia" w:ascii="仿宋" w:hAnsi="仿宋" w:eastAsia="仿宋" w:cs="仿宋"/>
                <w:color w:val="000000"/>
                <w:sz w:val="24"/>
                <w:szCs w:val="24"/>
                <w:highlight w:val="none"/>
              </w:rPr>
              <w:t xml:space="preserve">；</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投标有效期</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投标文件中承诺的投标有效期满足招标文件中载明的投标有效期的；</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签署、加盖公章</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按照招标文件要求签署、加盖公章的；</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实质性格式</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标记为“实质性格式”的文件均按招标文件要求提供；</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★号条款响应</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投标文件满足招标文件</w:t>
            </w:r>
            <w:r>
              <w:rPr>
                <w:rFonts w:hint="eastAsia" w:ascii="仿宋" w:hAnsi="仿宋" w:eastAsia="仿宋" w:cs="仿宋"/>
                <w:sz w:val="24"/>
                <w:szCs w:val="24"/>
                <w:highlight w:val="none"/>
              </w:rPr>
              <w:t xml:space="preserve">第五章《采购需求》</w:t>
            </w:r>
            <w:r>
              <w:rPr>
                <w:rFonts w:hint="eastAsia" w:ascii="仿宋" w:hAnsi="仿宋" w:eastAsia="仿宋" w:cs="仿宋"/>
                <w:color w:val="000000"/>
                <w:sz w:val="24"/>
                <w:szCs w:val="24"/>
                <w:highlight w:val="none"/>
              </w:rPr>
              <w:t xml:space="preserve">中★号条款要求的；（如有）</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分包承担主体资质（如有）</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分包承担主体具备《投标人须知资料表》载明的资质条件且提供了资质证书电子件（如有）；</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分包意向协议</w:t>
            </w:r>
            <w:r/>
          </w:p>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按招标文件规定签订并提供分包意向协议原件的电子件的；</w:t>
            </w:r>
            <w:r>
              <w:rPr>
                <w:rFonts w:hint="eastAsia" w:ascii="仿宋" w:hAnsi="仿宋" w:eastAsia="仿宋" w:cs="仿宋"/>
                <w:sz w:val="24"/>
                <w:szCs w:val="24"/>
                <w:highlight w:val="none"/>
              </w:rPr>
              <w:t xml:space="preserve">（如有）</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报价的修正（如有）</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不涉及报价修正，或投标文件报价出现前后不一致时，投标人对修正后的报价予以确认；（如有）</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报价合理性</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报价合理，或</w:t>
            </w:r>
            <w:r>
              <w:rPr>
                <w:rFonts w:hint="eastAsia" w:ascii="仿宋" w:hAnsi="仿宋" w:eastAsia="仿宋" w:cs="仿宋"/>
                <w:sz w:val="24"/>
                <w:szCs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仿宋" w:hAnsi="仿宋" w:eastAsia="仿宋" w:cs="仿宋"/>
                <w:color w:val="000000"/>
                <w:sz w:val="24"/>
                <w:szCs w:val="24"/>
                <w:highlight w:val="none"/>
              </w:rPr>
              <w:t xml:space="preserve">；</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进口产品</w:t>
            </w:r>
            <w:r/>
          </w:p>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招标文件不接受进口产品投标的内容时，投标人所投产品非进口产品的；（如有）</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国家有关部门对投标人的投标产品有强制性规定或要求的（如有）</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国家有关部门对投标人的投标产品有强制性规定或要求的（如相应技术、安全、节能和环保等），投标人的投标产品应符合相应规定或要求，并提供证明文件：</w:t>
            </w:r>
            <w:r/>
          </w:p>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2）投标产品如涉及计算机信息系统安全专用产品的，须提供公安部颁发的计算机信息系统安全专用产品销售许可证；</w:t>
            </w:r>
            <w:r/>
          </w:p>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公平竞争</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串通投标</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不存在《政府采购货物和服务招标投标管理办法》视为投标人串通投标的情形：（一）不同投标人的投标文件由同一单位或者个人编制</w:t>
            </w:r>
            <w:r>
              <w:rPr>
                <w:rFonts w:hint="eastAsia" w:ascii="仿宋" w:hAnsi="仿宋" w:eastAsia="仿宋" w:cs="仿宋"/>
                <w:sz w:val="24"/>
                <w:szCs w:val="24"/>
                <w:highlight w:val="none"/>
              </w:rPr>
              <w:t xml:space="preserve">（包含使用同一MAC地址的计算机制作电子响应文件的情形）</w:t>
            </w:r>
            <w:r>
              <w:rPr>
                <w:rFonts w:hint="eastAsia" w:ascii="仿宋" w:hAnsi="仿宋" w:eastAsia="仿宋" w:cs="仿宋"/>
                <w:color w:val="000000"/>
                <w:sz w:val="24"/>
                <w:szCs w:val="24"/>
                <w:highlight w:val="none"/>
              </w:rPr>
              <w:t xml:space="preserve">；（二）不同投标人委托同一单位或者个人办理投标事宜</w:t>
            </w:r>
            <w:r>
              <w:rPr>
                <w:rFonts w:hint="eastAsia" w:ascii="仿宋" w:hAnsi="仿宋" w:eastAsia="仿宋" w:cs="仿宋"/>
                <w:sz w:val="24"/>
                <w:szCs w:val="24"/>
                <w:highlight w:val="none"/>
              </w:rPr>
              <w:t xml:space="preserve">（包含使用同一MAC地址的计算机提交或者解密电子响应文件的情形）</w:t>
            </w:r>
            <w:r>
              <w:rPr>
                <w:rFonts w:hint="eastAsia" w:ascii="仿宋" w:hAnsi="仿宋" w:eastAsia="仿宋" w:cs="仿宋"/>
                <w:color w:val="000000"/>
                <w:sz w:val="24"/>
                <w:szCs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附加条件</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投标文件未含有采购人不能接受的附加条件的；</w:t>
            </w:r>
            <w:r/>
          </w:p>
        </w:tc>
      </w:tr>
      <w:tr>
        <w:trPr>
          <w:jc w:val="center"/>
          <w:trHeight w:val="685"/>
        </w:trPr>
        <w:tc>
          <w:tcPr>
            <w:tcW w:w="84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p>
        </w:tc>
        <w:tc>
          <w:tcPr>
            <w:tcW w:w="179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其他无效情形</w:t>
            </w:r>
            <w:r/>
          </w:p>
        </w:tc>
        <w:tc>
          <w:tcPr>
            <w:tcW w:w="6654"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仿宋" w:hAnsi="仿宋" w:eastAsia="仿宋" w:cs="仿宋"/>
          <w:sz w:val="24"/>
          <w:szCs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rFonts w:hint="eastAsia" w:ascii="仿宋" w:hAnsi="仿宋" w:eastAsia="仿宋" w:cs="仿宋"/>
          <w:sz w:val="24"/>
          <w:szCs w:val="24"/>
          <w:highlight w:val="none"/>
        </w:rPr>
      </w:r>
      <w:bookmarkEnd w:id="771"/>
      <w:r/>
      <w:bookmarkEnd w:id="772"/>
      <w:r/>
      <w:r/>
    </w:p>
    <w:p>
      <w:pPr>
        <w:numPr>
          <w:ilvl w:val="0"/>
          <w:numId w:val="12"/>
        </w:numPr>
        <w:spacing w:line="440" w:lineRule="exact"/>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投标文件有关事项的澄清或者说明</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仿宋" w:hAnsi="仿宋" w:eastAsia="仿宋" w:cs="仿宋"/>
          <w:b/>
          <w:sz w:val="24"/>
          <w:szCs w:val="24"/>
          <w:highlight w:val="none"/>
        </w:rPr>
        <w:t xml:space="preserve">无效投标处理</w:t>
      </w:r>
      <w:r>
        <w:rPr>
          <w:rFonts w:hint="eastAsia" w:ascii="仿宋" w:hAnsi="仿宋" w:eastAsia="仿宋" w:cs="仿宋"/>
          <w:sz w:val="24"/>
          <w:szCs w:val="24"/>
          <w:highlight w:val="none"/>
        </w:rPr>
        <w:t xml:space="preserve">。</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投标文件报价出现前后不一致的，按照下列规定修正：</w:t>
      </w:r>
      <w:r/>
    </w:p>
    <w:p>
      <w:pPr>
        <w:numPr>
          <w:ilvl w:val="2"/>
          <w:numId w:val="12"/>
        </w:numPr>
        <w:ind w:left="2035"/>
        <w:spacing w:line="440" w:lineRule="exact"/>
        <w:tabs>
          <w:tab w:val="left" w:pos="1080" w:leader="none"/>
          <w:tab w:val="left" w:pos="1589" w:leader="none"/>
          <w:tab w:val="left" w:pos="2035" w:leader="none"/>
          <w:tab w:val="left" w:pos="21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招标文件对于报价修正是否另有规定：</w:t>
      </w:r>
      <w:r/>
    </w:p>
    <w:p>
      <w:pPr>
        <w:ind w:left="2035"/>
        <w:spacing w:line="440" w:lineRule="exact"/>
        <w:tabs>
          <w:tab w:val="left" w:pos="1080" w:leader="none"/>
          <w:tab w:val="left" w:pos="1589" w:leader="none"/>
          <w:tab w:val="left" w:pos="2035" w:leader="none"/>
          <w:tab w:val="left" w:pos="2114"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□有，具体规定为：______________</w:t>
      </w:r>
      <w:r/>
    </w:p>
    <w:p>
      <w:pPr>
        <w:ind w:left="2035"/>
        <w:spacing w:line="440" w:lineRule="exact"/>
        <w:tabs>
          <w:tab w:val="left" w:pos="1080" w:leader="none"/>
          <w:tab w:val="left" w:pos="1589" w:leader="none"/>
          <w:tab w:val="left" w:pos="2035" w:leader="none"/>
          <w:tab w:val="left" w:pos="21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■无，按下述2.4.2-2.4.7项规定修正。</w:t>
      </w:r>
      <w:r/>
    </w:p>
    <w:p>
      <w:pPr>
        <w:numPr>
          <w:ilvl w:val="2"/>
          <w:numId w:val="12"/>
        </w:numPr>
        <w:ind w:left="2035"/>
        <w:spacing w:line="440" w:lineRule="exact"/>
        <w:tabs>
          <w:tab w:val="left" w:pos="2035" w:leader="none"/>
          <w:tab w:val="left" w:pos="2114"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440" w:lineRule="exact"/>
        <w:tabs>
          <w:tab w:val="left" w:pos="2035" w:leader="none"/>
          <w:tab w:val="left" w:pos="2114"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投标文件中开标一览表（报价表）内容与投标文件中相应内容不一致的，以开标一览表（报价表）为准；</w:t>
      </w:r>
      <w:r/>
    </w:p>
    <w:p>
      <w:pPr>
        <w:numPr>
          <w:ilvl w:val="2"/>
          <w:numId w:val="12"/>
        </w:numPr>
        <w:ind w:left="2035"/>
        <w:spacing w:line="440" w:lineRule="exact"/>
        <w:tabs>
          <w:tab w:val="left" w:pos="2035" w:leader="none"/>
          <w:tab w:val="left" w:pos="2114"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大写金额和小写金额不一致的，以大写金额为准；</w:t>
      </w:r>
      <w:r/>
    </w:p>
    <w:p>
      <w:pPr>
        <w:numPr>
          <w:ilvl w:val="2"/>
          <w:numId w:val="12"/>
        </w:numPr>
        <w:ind w:left="2035"/>
        <w:spacing w:line="440" w:lineRule="exact"/>
        <w:tabs>
          <w:tab w:val="left" w:pos="2035" w:leader="none"/>
          <w:tab w:val="left" w:pos="2114"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单价金额小数点或者百分比有明显错位的，以开标一览表的总价为准，并修改单价；</w:t>
      </w:r>
      <w:r/>
    </w:p>
    <w:p>
      <w:pPr>
        <w:numPr>
          <w:ilvl w:val="2"/>
          <w:numId w:val="12"/>
        </w:numPr>
        <w:ind w:left="2035"/>
        <w:spacing w:line="440" w:lineRule="exact"/>
        <w:tabs>
          <w:tab w:val="left" w:pos="2035" w:leader="none"/>
          <w:tab w:val="left" w:pos="2114" w:leader="none"/>
          <w:tab w:val="left" w:pos="29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总价金额与按单价汇总金额不一致的，以单价金额计算结果为准。</w:t>
      </w:r>
      <w:r/>
    </w:p>
    <w:p>
      <w:pPr>
        <w:numPr>
          <w:ilvl w:val="2"/>
          <w:numId w:val="12"/>
        </w:numPr>
        <w:ind w:left="2035"/>
        <w:spacing w:line="440" w:lineRule="exact"/>
        <w:tabs>
          <w:tab w:val="left" w:pos="1080" w:leader="none"/>
          <w:tab w:val="left" w:pos="1589" w:leader="none"/>
          <w:tab w:val="left" w:pos="2035" w:leader="none"/>
          <w:tab w:val="left" w:pos="21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同时出现两种以上不一致的，按照前款规定的顺序修正。修正后的报价经投标人书面确认后产生约束力，投标人不确认的，其</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仿宋" w:hAnsi="仿宋" w:eastAsia="仿宋" w:cs="仿宋"/>
          <w:sz w:val="24"/>
          <w:szCs w:val="24"/>
          <w:highlight w:val="yellow"/>
          <w:lang w:val="en-US" w:eastAsia="zh-CN"/>
        </w:rPr>
        <w:t xml:space="preserve">专门面向中小企业采购的项目或者采购包，不再执行“价格评审优惠”的扶持政策。</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对于未预留份额专门面向中小企业采购的采购项目，以及预留份额项目中的非预留部分采购包，对</w:t>
      </w:r>
      <w:r>
        <w:rPr>
          <w:rFonts w:hint="eastAsia" w:ascii="仿宋" w:hAnsi="仿宋" w:eastAsia="仿宋" w:cs="仿宋"/>
          <w:b/>
          <w:sz w:val="24"/>
          <w:szCs w:val="24"/>
          <w:highlight w:val="none"/>
        </w:rPr>
        <w:t xml:space="preserve">小微企业</w:t>
      </w:r>
      <w:r>
        <w:rPr>
          <w:rFonts w:hint="eastAsia" w:ascii="仿宋" w:hAnsi="仿宋" w:eastAsia="仿宋" w:cs="仿宋"/>
          <w:sz w:val="24"/>
          <w:szCs w:val="24"/>
          <w:highlight w:val="none"/>
        </w:rPr>
        <w:t xml:space="preserve">报价给予</w:t>
      </w:r>
      <w:r>
        <w:rPr>
          <w:rFonts w:hint="eastAsia" w:ascii="仿宋" w:hAnsi="仿宋" w:eastAsia="仿宋" w:cs="仿宋"/>
          <w:sz w:val="24"/>
          <w:szCs w:val="24"/>
          <w:highlight w:val="none"/>
          <w:u w:val="single"/>
        </w:rPr>
        <w:t xml:space="preserve">20</w:t>
      </w:r>
      <w:r>
        <w:rPr>
          <w:rFonts w:hint="eastAsia" w:ascii="仿宋" w:hAnsi="仿宋" w:eastAsia="仿宋" w:cs="仿宋"/>
          <w:sz w:val="24"/>
          <w:szCs w:val="24"/>
          <w:highlight w:val="none"/>
        </w:rPr>
        <w:t xml:space="preserve">%的扣除，用扣除后的价格参加评审。</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对于未预留份额专门面向中小企业采购的采购项目，以及预留份额项目中的非预留部分采购包，且接受大中型企业与</w:t>
      </w:r>
      <w:r>
        <w:rPr>
          <w:rFonts w:hint="eastAsia" w:ascii="仿宋" w:hAnsi="仿宋" w:eastAsia="仿宋" w:cs="仿宋"/>
          <w:b/>
          <w:sz w:val="24"/>
          <w:szCs w:val="24"/>
          <w:highlight w:val="none"/>
        </w:rPr>
        <w:t xml:space="preserve">小微企业</w:t>
      </w:r>
      <w:r>
        <w:rPr>
          <w:rFonts w:hint="eastAsia" w:ascii="仿宋" w:hAnsi="仿宋" w:eastAsia="仿宋" w:cs="仿宋"/>
          <w:sz w:val="24"/>
          <w:szCs w:val="24"/>
          <w:highlight w:val="none"/>
        </w:rPr>
        <w:t xml:space="preserve">组成联合体或者允许大中型企业向一家或者多家</w:t>
      </w:r>
      <w:r>
        <w:rPr>
          <w:rFonts w:hint="eastAsia" w:ascii="仿宋" w:hAnsi="仿宋" w:eastAsia="仿宋" w:cs="仿宋"/>
          <w:b/>
          <w:sz w:val="24"/>
          <w:szCs w:val="24"/>
          <w:highlight w:val="none"/>
        </w:rPr>
        <w:t xml:space="preserve">小微企业</w:t>
      </w:r>
      <w:r>
        <w:rPr>
          <w:rFonts w:hint="eastAsia" w:ascii="仿宋" w:hAnsi="仿宋" w:eastAsia="仿宋" w:cs="仿宋"/>
          <w:sz w:val="24"/>
          <w:szCs w:val="24"/>
          <w:highlight w:val="none"/>
        </w:rPr>
        <w:t xml:space="preserve">分包的采购项目，对于联合协议或者分包意向协议约定</w:t>
      </w:r>
      <w:r>
        <w:rPr>
          <w:rFonts w:hint="eastAsia" w:ascii="仿宋" w:hAnsi="仿宋" w:eastAsia="仿宋" w:cs="仿宋"/>
          <w:b/>
          <w:sz w:val="24"/>
          <w:szCs w:val="24"/>
          <w:highlight w:val="none"/>
        </w:rPr>
        <w:t xml:space="preserve">小微企业</w:t>
      </w:r>
      <w:r>
        <w:rPr>
          <w:rFonts w:hint="eastAsia" w:ascii="仿宋" w:hAnsi="仿宋" w:eastAsia="仿宋" w:cs="仿宋"/>
          <w:sz w:val="24"/>
          <w:szCs w:val="24"/>
          <w:highlight w:val="none"/>
        </w:rPr>
        <w:t xml:space="preserve">的合同份额占到合同总金额 30%以上的联合体或者大中型企业的报价给予</w:t>
      </w:r>
      <w:r>
        <w:rPr>
          <w:rFonts w:hint="eastAsia" w:ascii="仿宋" w:hAnsi="仿宋" w:eastAsia="仿宋" w:cs="仿宋"/>
          <w:sz w:val="24"/>
          <w:szCs w:val="24"/>
          <w:highlight w:val="none"/>
          <w:u w:val="single"/>
        </w:rPr>
        <w:t xml:space="preserve">3</w:t>
      </w:r>
      <w:r>
        <w:rPr>
          <w:rFonts w:hint="eastAsia" w:ascii="仿宋" w:hAnsi="仿宋" w:eastAsia="仿宋" w:cs="仿宋"/>
          <w:sz w:val="24"/>
          <w:szCs w:val="24"/>
          <w:highlight w:val="none"/>
        </w:rPr>
        <w:t xml:space="preserve">%的扣除，用扣除后的价格参加评审。</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价格扣除比例对小型企业和微型企业同等对待，不作区分。</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残疾人福利性单位按招标文件要求提供了《残疾人福利性单位声明函》（见附件）的，视同小微企业。</w:t>
      </w:r>
      <w:r/>
    </w:p>
    <w:p>
      <w:pPr>
        <w:numPr>
          <w:ilvl w:val="2"/>
          <w:numId w:val="12"/>
        </w:numPr>
        <w:ind w:left="2035"/>
        <w:spacing w:line="440" w:lineRule="exact"/>
        <w:tabs>
          <w:tab w:val="left" w:pos="1080" w:leader="none"/>
          <w:tab w:val="left" w:pos="1589" w:leader="none"/>
          <w:tab w:val="left" w:pos="201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440" w:lineRule="exact"/>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投标文件的比较和评价</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评标方法和评标标准</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本项目采用的评标方法为：</w:t>
      </w:r>
      <w:r/>
    </w:p>
    <w:p>
      <w:pPr>
        <w:ind w:left="1985"/>
        <w:spacing w:line="440" w:lineRule="exact"/>
        <w:tabs>
          <w:tab w:val="left" w:pos="900" w:leader="none"/>
          <w:tab w:val="left" w:pos="1589" w:leader="none"/>
          <w:tab w:val="left" w:pos="170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440" w:lineRule="exact"/>
        <w:tabs>
          <w:tab w:val="left" w:pos="900" w:leader="none"/>
          <w:tab w:val="left" w:pos="1589" w:leader="none"/>
          <w:tab w:val="left" w:pos="170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□最低评标价法，指投标文件满足招标文件全部实质性要求，且投标报价最低的投标人为中标候选人的评标方法。</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仿宋" w:hAnsi="仿宋" w:eastAsia="仿宋" w:cs="仿宋"/>
          <w:b/>
          <w:sz w:val="24"/>
          <w:szCs w:val="24"/>
          <w:highlight w:val="none"/>
        </w:rPr>
        <w:t xml:space="preserve">投标无效</w:t>
      </w:r>
      <w:r>
        <w:rPr>
          <w:rFonts w:hint="eastAsia" w:ascii="仿宋" w:hAnsi="仿宋" w:eastAsia="仿宋" w:cs="仿宋"/>
          <w:sz w:val="24"/>
          <w:szCs w:val="24"/>
          <w:highlight w:val="none"/>
        </w:rPr>
        <w:t xml:space="preserve">。</w:t>
      </w:r>
      <w:r/>
    </w:p>
    <w:p>
      <w:p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□随机抽取</w:t>
      </w:r>
      <w:r/>
    </w:p>
    <w:p>
      <w:p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□其他方式，具体要求：_____</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非政府强制采购的节能产品或环境标志产品，依据品目清单和认证证书实施政府优先采购。优先采购的具体规定（如涉及）/。</w:t>
      </w:r>
      <w:r/>
    </w:p>
    <w:p>
      <w:pPr>
        <w:numPr>
          <w:ilvl w:val="2"/>
          <w:numId w:val="12"/>
        </w:numPr>
        <w:ind w:left="2035"/>
        <w:spacing w:line="440" w:lineRule="exact"/>
        <w:tabs>
          <w:tab w:val="left" w:pos="1080" w:leader="none"/>
          <w:tab w:val="left" w:pos="1589" w:leader="none"/>
          <w:tab w:val="left" w:pos="203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关于无线局域网认证产品政府采购清单中的产品，优先采购的具体规定（如涉及）/。</w:t>
      </w:r>
      <w:r/>
    </w:p>
    <w:p>
      <w:pPr>
        <w:numPr>
          <w:ilvl w:val="0"/>
          <w:numId w:val="12"/>
        </w:numPr>
        <w:spacing w:line="440" w:lineRule="exact"/>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确定</w:t>
      </w:r>
      <w:bookmarkStart w:id="788" w:name="_Toc226309790"/>
      <w:r/>
      <w:bookmarkStart w:id="789" w:name="_Toc164608815"/>
      <w:r/>
      <w:bookmarkStart w:id="790" w:name="_Toc150774646"/>
      <w:r/>
      <w:bookmarkStart w:id="791" w:name="_Toc520356170"/>
      <w:r/>
      <w:bookmarkStart w:id="792" w:name="_Toc164229387"/>
      <w:r/>
      <w:bookmarkStart w:id="793" w:name="_Toc127161460"/>
      <w:r/>
      <w:bookmarkStart w:id="794" w:name="_Toc150480784"/>
      <w:r/>
      <w:bookmarkStart w:id="795" w:name="_Toc150509297"/>
      <w:r/>
      <w:bookmarkStart w:id="796" w:name="_Toc151193716"/>
      <w:r/>
      <w:bookmarkStart w:id="797" w:name="_Toc164229241"/>
      <w:r/>
      <w:bookmarkStart w:id="798" w:name="_Toc151193644"/>
      <w:r/>
      <w:bookmarkStart w:id="799" w:name="_Toc305158814"/>
      <w:r/>
      <w:bookmarkStart w:id="800" w:name="_Toc265228384"/>
      <w:r/>
      <w:bookmarkStart w:id="801" w:name="_Toc151193788"/>
      <w:r/>
      <w:bookmarkStart w:id="802" w:name="_Toc226965819"/>
      <w:r/>
      <w:bookmarkStart w:id="803" w:name="_Ref467307010"/>
      <w:r/>
      <w:bookmarkStart w:id="804" w:name="_Toc164608660"/>
      <w:r/>
      <w:bookmarkStart w:id="805" w:name="_Toc150774751"/>
      <w:r/>
      <w:bookmarkStart w:id="806" w:name="_Toc127151546"/>
      <w:r/>
      <w:bookmarkStart w:id="807" w:name="_Toc142311048"/>
      <w:r/>
      <w:bookmarkStart w:id="808" w:name="_Toc164351640"/>
      <w:r/>
      <w:bookmarkStart w:id="809" w:name="_Toc151193934"/>
      <w:r/>
      <w:bookmarkStart w:id="810" w:name="_Toc226337242"/>
      <w:r/>
      <w:bookmarkStart w:id="811" w:name="_Toc305158888"/>
      <w:r/>
      <w:bookmarkStart w:id="812" w:name="_Toc127151747"/>
      <w:r/>
      <w:bookmarkStart w:id="813" w:name="_Toc226965736"/>
      <w:r/>
      <w:bookmarkStart w:id="814" w:name="_Toc264969236"/>
      <w:r/>
      <w:bookmarkStart w:id="815" w:name="_Toc151190173"/>
      <w:r/>
      <w:bookmarkStart w:id="816" w:name="_Toc149720839"/>
      <w:r/>
      <w:bookmarkStart w:id="817" w:name="_Toc195842911"/>
      <w:r/>
      <w:bookmarkStart w:id="818" w:name="_Toc151193860"/>
      <w:r>
        <w:rPr>
          <w:rFonts w:hint="eastAsia" w:ascii="仿宋" w:hAnsi="仿宋" w:eastAsia="仿宋" w:cs="仿宋"/>
          <w:sz w:val="24"/>
          <w:szCs w:val="24"/>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465"/>
        <w:ind w:left="993" w:firstLine="119"/>
        <w:spacing w:line="440" w:lineRule="exact"/>
        <w:tabs>
          <w:tab w:val="left" w:pos="900" w:leader="none"/>
          <w:tab w:val="left" w:pos="212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■随机抽取</w:t>
      </w:r>
      <w:r/>
    </w:p>
    <w:p>
      <w:pPr>
        <w:pStyle w:val="1465"/>
        <w:ind w:left="993" w:firstLine="119"/>
        <w:spacing w:line="440" w:lineRule="exact"/>
        <w:tabs>
          <w:tab w:val="left" w:pos="900" w:leader="none"/>
          <w:tab w:val="left" w:pos="212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□其他方式，具体要求：_____</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1077" w:hanging="720"/>
        <w:spacing w:line="440" w:lineRule="exact"/>
        <w:tabs>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spacing w:line="440" w:lineRule="exact"/>
        <w:tabs>
          <w:tab w:val="left" w:pos="360" w:leader="none"/>
        </w:tabs>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报告违法行为</w:t>
      </w:r>
      <w:r/>
    </w:p>
    <w:p>
      <w:pPr>
        <w:numPr>
          <w:ilvl w:val="1"/>
          <w:numId w:val="12"/>
        </w:numPr>
        <w:ind w:left="1077" w:hanging="720"/>
        <w:spacing w:line="440" w:lineRule="exact"/>
        <w:tabs>
          <w:tab w:val="left" w:pos="1080"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评标委员会在评标过程中发现投标人有行贿、提供虚假材料或者串通等违法行为时，有向采购人、采购代理机构或者有关部门报告的职责。</w:t>
      </w:r>
      <w:r/>
    </w:p>
    <w:p>
      <w:pPr>
        <w:jc w:val="both"/>
        <w:spacing w:line="360" w:lineRule="auto"/>
        <w:tabs>
          <w:tab w:val="left" w:pos="360" w:leader="none"/>
          <w:tab w:val="left" w:pos="900" w:leader="none"/>
        </w:tabs>
        <w:rPr>
          <w:rFonts w:hint="eastAsia" w:ascii="仿宋" w:hAnsi="仿宋" w:eastAsia="仿宋" w:cs="仿宋"/>
          <w:b/>
          <w:sz w:val="24"/>
          <w:szCs w:val="24"/>
          <w:highlight w:val="none"/>
        </w:rPr>
        <w:outlineLvl w:val="1"/>
      </w:pPr>
      <w:r>
        <w:rPr>
          <w:rFonts w:hint="eastAsia" w:ascii="仿宋" w:hAnsi="仿宋" w:eastAsia="仿宋" w:cs="仿宋"/>
          <w:b/>
          <w:sz w:val="24"/>
          <w:szCs w:val="24"/>
          <w:highlight w:val="none"/>
        </w:rPr>
      </w:r>
      <w:r/>
    </w:p>
    <w:p>
      <w:pPr>
        <w:jc w:val="center"/>
        <w:spacing w:line="360" w:lineRule="auto"/>
        <w:tabs>
          <w:tab w:val="left" w:pos="360" w:leader="none"/>
          <w:tab w:val="left" w:pos="900" w:leader="none"/>
        </w:tabs>
        <w:rPr>
          <w:rFonts w:hint="eastAsia" w:ascii="仿宋" w:hAnsi="仿宋" w:eastAsia="仿宋" w:cs="仿宋"/>
          <w:b/>
          <w:sz w:val="24"/>
          <w:szCs w:val="24"/>
          <w:highlight w:val="none"/>
        </w:rPr>
        <w:outlineLvl w:val="1"/>
      </w:pPr>
      <w:r>
        <w:rPr>
          <w:rFonts w:hint="eastAsia" w:ascii="仿宋" w:hAnsi="仿宋" w:eastAsia="仿宋" w:cs="仿宋"/>
          <w:b/>
          <w:sz w:val="24"/>
          <w:szCs w:val="24"/>
          <w:highlight w:val="none"/>
        </w:rPr>
        <w:t xml:space="preserve">二、评标标准</w:t>
      </w:r>
      <w:r/>
    </w:p>
    <w:tbl>
      <w:tblPr>
        <w:tblStyle w:val="1220"/>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364"/>
        <w:gridCol w:w="644"/>
        <w:gridCol w:w="6074"/>
        <w:gridCol w:w="1110"/>
      </w:tblGrid>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序号</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评分因素</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分值</w:t>
            </w:r>
            <w:r/>
          </w:p>
        </w:tc>
        <w:tc>
          <w:tcPr>
            <w:tcW w:w="607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评分标准</w:t>
            </w:r>
            <w:r/>
          </w:p>
        </w:tc>
        <w:tc>
          <w:tcPr>
            <w:tcW w:w="111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sz w:val="24"/>
                <w:szCs w:val="24"/>
                <w:highlight w:val="none"/>
                <w:lang w:val="en-US" w:eastAsia="zh-CN" w:bidi="ar-SA"/>
              </w:rPr>
              <w:suppressLineNumbers w:val="0"/>
            </w:pPr>
            <w:r>
              <w:rPr>
                <w:rFonts w:hint="eastAsia" w:ascii="仿宋" w:hAnsi="仿宋" w:eastAsia="仿宋" w:cs="仿宋"/>
                <w:b/>
                <w:sz w:val="24"/>
                <w:szCs w:val="24"/>
                <w:highlight w:val="none"/>
                <w:lang w:val="en-US" w:eastAsia="zh-CN" w:bidi="ar-SA"/>
              </w:rPr>
              <w:t xml:space="preserve">说明</w:t>
            </w:r>
            <w:r/>
          </w:p>
        </w:tc>
      </w:tr>
      <w:tr>
        <w:trPr>
          <w:trHeight w:val="631"/>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1</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价格分</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40</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满足招标文件要求且投标价格最低的投标报价为评标基准价，其价格分为满分。其他投标人的价格分统一按照下列公式计算：</w:t>
            </w:r>
            <w:r/>
          </w:p>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投标报价得分＝（评标基准价/投标报价）×分值。</w:t>
            </w:r>
            <w:r/>
          </w:p>
        </w:tc>
        <w:tc>
          <w:tcPr>
            <w:tcW w:w="1110" w:type="dxa"/>
            <w:vAlign w:val="center"/>
            <w:textDirection w:val="lrTb"/>
            <w:noWrap w:val="false"/>
          </w:tcPr>
          <w:p>
            <w:pPr>
              <w:ind w:left="-38" w:right="0"/>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r>
            <w:r/>
          </w:p>
        </w:tc>
      </w:tr>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主观分</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25</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110" w:type="dxa"/>
            <w:vAlign w:val="center"/>
            <w:textDirection w:val="lrTb"/>
            <w:noWrap w:val="false"/>
          </w:tcPr>
          <w:p>
            <w:pPr>
              <w:ind w:left="-38" w:right="0" w:firstLine="473"/>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r>
            <w:r/>
          </w:p>
        </w:tc>
      </w:tr>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2.1</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管理机构和管理制度</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针对街道保洁区域，做好现场勘察。有完整的管理机构配备；有道路环卫机械化及人工作业管理制度；有垃圾收运作业管理制度；有公厕管理和保洁作业制度；有绿化养护人员组织及落实制度；有员工培训计划。</w:t>
            </w:r>
            <w:r/>
          </w:p>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方案内容包括上述要求，方案针对性、操作性强，计划安排合理的得7分；方案针对性、操作性较强，计划安排较为合理的的得6-4分，方案针对性、操作性一般，计划安排不够合理的得3-1分；未提供方案不得分。</w:t>
            </w:r>
            <w:r/>
          </w:p>
        </w:tc>
        <w:tc>
          <w:tcPr>
            <w:tcW w:w="1110" w:type="dxa"/>
            <w:vAlign w:val="center"/>
            <w:textDirection w:val="lrTb"/>
            <w:noWrap w:val="false"/>
          </w:tcPr>
          <w:p>
            <w:pPr>
              <w:ind w:left="-38"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90"/>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2.2.1</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rPr>
              <w:t xml:space="preserve">作业工艺</w:t>
            </w:r>
            <w:r>
              <w:rPr>
                <w:rFonts w:hint="eastAsia" w:ascii="仿宋" w:hAnsi="仿宋" w:eastAsia="仿宋" w:cs="仿宋"/>
                <w:sz w:val="24"/>
                <w:szCs w:val="24"/>
                <w:highlight w:val="none"/>
                <w:lang w:val="en-US" w:eastAsia="zh-CN"/>
              </w:rPr>
              <w:t xml:space="preserve">1</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道路环卫机械化作业组织方案及流程（含机械化清扫、冲洗、洒水、清洗和机械化收集的全过程）。方案内容包括上述要求，方案针对性、操作性强，计划安排合理的得3分；方案针对性、操作性较强，计划安排较为合理的的得2分，方案针对性、操作性一般，计划安排不够合理的得1分；未提供方案不得分。</w:t>
            </w:r>
            <w:r/>
          </w:p>
        </w:tc>
        <w:tc>
          <w:tcPr>
            <w:tcW w:w="1110" w:type="dxa"/>
            <w:vAlign w:val="center"/>
            <w:textDirection w:val="lrTb"/>
            <w:noWrap w:val="false"/>
          </w:tcPr>
          <w:p>
            <w:pPr>
              <w:ind w:left="-38" w:right="0"/>
              <w:jc w:val="center"/>
              <w:keepLines w:val="0"/>
              <w:keepNext w:val="0"/>
              <w:spacing w:before="0" w:beforeAutospacing="0" w:after="0" w:afterAutospacing="0"/>
              <w:rPr>
                <w:rFonts w:hint="default" w:ascii="仿宋" w:hAnsi="仿宋" w:eastAsia="仿宋" w:cs="仿宋"/>
                <w:color w:val="ff0000"/>
                <w:sz w:val="24"/>
                <w:szCs w:val="24"/>
                <w:highlight w:val="yellow"/>
                <w:lang w:val="en-US" w:eastAsia="zh-CN"/>
              </w:rPr>
              <w:suppressLineNumbers w:val="0"/>
            </w:pPr>
            <w:r>
              <w:rPr>
                <w:rFonts w:hint="default" w:ascii="仿宋" w:hAnsi="仿宋" w:eastAsia="仿宋" w:cs="仿宋"/>
                <w:color w:val="ff0000"/>
                <w:sz w:val="24"/>
                <w:szCs w:val="24"/>
                <w:highlight w:val="yellow"/>
                <w:lang w:val="en-US" w:eastAsia="zh-CN"/>
              </w:rPr>
            </w:r>
            <w:r/>
          </w:p>
        </w:tc>
      </w:tr>
      <w:tr>
        <w:trPr>
          <w:trHeight w:val="90"/>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2.2.2</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作业工艺</w:t>
            </w:r>
            <w:r>
              <w:rPr>
                <w:rFonts w:hint="eastAsia" w:ascii="仿宋" w:hAnsi="仿宋" w:eastAsia="仿宋" w:cs="仿宋"/>
                <w:sz w:val="24"/>
                <w:szCs w:val="24"/>
                <w:highlight w:val="none"/>
                <w:lang w:val="en-US" w:eastAsia="zh-CN"/>
              </w:rPr>
              <w:t xml:space="preserve">2</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环卫人工作业组织方案及流程（含道路人工保洁、小型高压冲洗作业（重点突出道板和局部污染的冲洗）、花台石凳保洁、公厕保洁/维护/清窖、果壳箱/垃圾桶收集清洗维护）。方案内容包括上述要求，方案针对性、操作性强，计划安排合理的得3分；方案针对性、操作性较强，计划安排较为合理的的得2分，方案针对性、操作性一般，计划安排不够合理的得1分；未提供方案不得分。</w:t>
            </w:r>
            <w:r/>
          </w:p>
        </w:tc>
        <w:tc>
          <w:tcPr>
            <w:tcW w:w="1110" w:type="dxa"/>
            <w:vAlign w:val="center"/>
            <w:textDirection w:val="lrTb"/>
            <w:noWrap w:val="false"/>
          </w:tcPr>
          <w:p>
            <w:pPr>
              <w:ind w:left="-38" w:right="0"/>
              <w:jc w:val="center"/>
              <w:keepLines w:val="0"/>
              <w:keepNext w:val="0"/>
              <w:spacing w:before="0" w:beforeAutospacing="0" w:after="0" w:afterAutospacing="0"/>
              <w:rPr>
                <w:rFonts w:hint="default" w:ascii="仿宋" w:hAnsi="仿宋" w:eastAsia="仿宋" w:cs="仿宋"/>
                <w:color w:val="ff0000"/>
                <w:sz w:val="24"/>
                <w:szCs w:val="24"/>
                <w:highlight w:val="yellow"/>
                <w:lang w:val="en-US" w:eastAsia="zh-CN"/>
              </w:rPr>
              <w:suppressLineNumbers w:val="0"/>
            </w:pPr>
            <w:r>
              <w:rPr>
                <w:rFonts w:hint="default" w:ascii="仿宋" w:hAnsi="仿宋" w:eastAsia="仿宋" w:cs="仿宋"/>
                <w:color w:val="ff0000"/>
                <w:sz w:val="24"/>
                <w:szCs w:val="24"/>
                <w:highlight w:val="yellow"/>
                <w:lang w:val="en-US" w:eastAsia="zh-CN"/>
              </w:rPr>
            </w:r>
            <w:r/>
          </w:p>
        </w:tc>
      </w:tr>
      <w:tr>
        <w:trPr>
          <w:trHeight w:val="90"/>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2.2.3</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作业工艺</w:t>
            </w:r>
            <w:r>
              <w:rPr>
                <w:rFonts w:hint="eastAsia" w:ascii="仿宋" w:hAnsi="仿宋" w:eastAsia="仿宋" w:cs="仿宋"/>
                <w:sz w:val="24"/>
                <w:szCs w:val="24"/>
                <w:highlight w:val="none"/>
                <w:lang w:val="en-US" w:eastAsia="zh-CN"/>
              </w:rPr>
              <w:t xml:space="preserve">3</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垃圾收运作业组织方案及流程（含道路沿线垃圾的巡回收集和垃圾分类收集的方案及实施过程）。方案内容包括上述要求，方案针对性、操作性强，计划安排合理的得3分；方案针对性、操作性较强，计划安排较为合理的的得2分，方案针对性、操作性一般，计划安排不够合理的得1分；未提供方案不得分。</w:t>
            </w:r>
            <w:r/>
          </w:p>
        </w:tc>
        <w:tc>
          <w:tcPr>
            <w:tcW w:w="1110" w:type="dxa"/>
            <w:vAlign w:val="center"/>
            <w:textDirection w:val="lrTb"/>
            <w:noWrap w:val="false"/>
          </w:tcPr>
          <w:p>
            <w:pPr>
              <w:ind w:left="-38" w:right="0"/>
              <w:jc w:val="center"/>
              <w:keepLines w:val="0"/>
              <w:keepNext w:val="0"/>
              <w:spacing w:before="0" w:beforeAutospacing="0" w:after="0" w:afterAutospacing="0"/>
              <w:rPr>
                <w:rFonts w:hint="default" w:ascii="仿宋" w:hAnsi="仿宋" w:eastAsia="仿宋" w:cs="仿宋"/>
                <w:color w:val="ff0000"/>
                <w:sz w:val="24"/>
                <w:szCs w:val="24"/>
                <w:highlight w:val="yellow"/>
                <w:lang w:val="en-US" w:eastAsia="zh-CN"/>
              </w:rPr>
              <w:suppressLineNumbers w:val="0"/>
            </w:pPr>
            <w:r>
              <w:rPr>
                <w:rFonts w:hint="default" w:ascii="仿宋" w:hAnsi="仿宋" w:eastAsia="仿宋" w:cs="仿宋"/>
                <w:color w:val="ff0000"/>
                <w:sz w:val="24"/>
                <w:szCs w:val="24"/>
                <w:highlight w:val="yellow"/>
                <w:lang w:val="en-US" w:eastAsia="zh-CN"/>
              </w:rPr>
            </w:r>
            <w:r/>
          </w:p>
        </w:tc>
      </w:tr>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2.3</w:t>
            </w:r>
            <w:r/>
          </w:p>
        </w:tc>
        <w:tc>
          <w:tcPr>
            <w:tcW w:w="13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安全、文明作业管理实施方案及保障措施</w:t>
            </w:r>
            <w:r/>
          </w:p>
        </w:tc>
        <w:tc>
          <w:tcPr>
            <w:tcW w:w="64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有安全制度、安全预案、全员安全培训计划；有安全设施配备及安全检查及记录要求；有意外伤害赔偿措施和风险规避措施；有事故发生后的应对处理办法。方案内容包括上述要求，方案针对性、操作性强，计划安排合理的得3分；方案针对性、操作性较强，计划安排较为合理的的得2分，方案针对性、操作性一般，计划安排不够合理的得1分；未提供方案不得分。</w:t>
            </w:r>
            <w:r/>
          </w:p>
        </w:tc>
        <w:tc>
          <w:tcPr>
            <w:tcW w:w="1110" w:type="dxa"/>
            <w:vAlign w:val="center"/>
            <w:vMerge w:val="restart"/>
            <w:textDirection w:val="lrTb"/>
            <w:noWrap w:val="false"/>
          </w:tcPr>
          <w:p>
            <w:pPr>
              <w:ind w:left="-38" w:right="0" w:firstLine="537"/>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r>
            <w:r/>
          </w:p>
        </w:tc>
      </w:tr>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2.4</w:t>
            </w:r>
            <w:r/>
          </w:p>
        </w:tc>
        <w:tc>
          <w:tcPr>
            <w:tcW w:w="13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恶劣天气应急预案</w:t>
            </w:r>
            <w:r/>
          </w:p>
        </w:tc>
        <w:tc>
          <w:tcPr>
            <w:tcW w:w="64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有应急预案且具可操作性；有完备的应急物资贮备清单。方案内容包括上述要求，方案针对性、操作性强，计划安排合理的得3分；方案针对性、操作性较强，计划安排较为合理的的得2分，方案针对性、操作性一般，计划安排不够合理的得1分；未提供方案不得分。</w:t>
            </w:r>
            <w:r/>
          </w:p>
        </w:tc>
        <w:tc>
          <w:tcPr>
            <w:tcW w:w="1110" w:type="dxa"/>
            <w:vAlign w:val="center"/>
            <w:vMerge w:val="continue"/>
            <w:textDirection w:val="lrTb"/>
            <w:noWrap w:val="false"/>
          </w:tcPr>
          <w:p>
            <w:pPr>
              <w:ind w:left="-38"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2.5</w:t>
            </w:r>
            <w:r/>
          </w:p>
        </w:tc>
        <w:tc>
          <w:tcPr>
            <w:tcW w:w="13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重大活动，检查评比和节假日保障措施</w:t>
            </w:r>
            <w:r/>
          </w:p>
        </w:tc>
        <w:tc>
          <w:tcPr>
            <w:tcW w:w="64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有重大活动，检查评比和节假日保障方案，且具可操作性。方案内容包括上述要求，方案针对性、操作性强，计划安排合理的得3分；方案针对性、操作性较强，计划安排较为合理的的得2分，方案针对性、操作性一般，计划安排不够合理的得1分；未提供方案不得分。</w:t>
            </w:r>
            <w:r/>
          </w:p>
        </w:tc>
        <w:tc>
          <w:tcPr>
            <w:tcW w:w="1110" w:type="dxa"/>
            <w:vAlign w:val="center"/>
            <w:vMerge w:val="continue"/>
            <w:textDirection w:val="lrTb"/>
            <w:noWrap w:val="false"/>
          </w:tcPr>
          <w:p>
            <w:pPr>
              <w:ind w:left="-38"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客观分</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35</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110" w:type="dxa"/>
            <w:vAlign w:val="center"/>
            <w:textDirection w:val="lrTb"/>
            <w:noWrap w:val="false"/>
          </w:tcPr>
          <w:p>
            <w:pPr>
              <w:ind w:left="-38" w:right="0" w:firstLine="392"/>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r>
            <w:r/>
          </w:p>
        </w:tc>
      </w:tr>
      <w:tr>
        <w:trPr>
          <w:trHeight w:val="2705"/>
        </w:trPr>
        <w:tc>
          <w:tcPr>
            <w:tcW w:w="933"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3.1</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企业业绩</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12</w:t>
            </w:r>
            <w:r/>
          </w:p>
        </w:tc>
        <w:tc>
          <w:tcPr>
            <w:tcW w:w="6074" w:type="dxa"/>
            <w:vAlign w:val="center"/>
            <w:textDirection w:val="lrTb"/>
            <w:noWrap w:val="false"/>
          </w:tcPr>
          <w:p>
            <w:pPr>
              <w:numPr>
                <w:ilvl w:val="0"/>
                <w:numId w:val="0"/>
              </w:numPr>
              <w:ind w:right="0"/>
              <w:keepLines w:val="0"/>
              <w:keepNext w:val="0"/>
              <w:spacing w:before="0" w:beforeAutospacing="0" w:after="0" w:afterAutospacing="0"/>
              <w:rPr>
                <w:rFonts w:hint="eastAsia" w:ascii="仿宋" w:hAnsi="仿宋" w:eastAsia="仿宋" w:cs="仿宋"/>
                <w:b w:val="0"/>
                <w:sz w:val="24"/>
                <w:szCs w:val="24"/>
                <w:highlight w:val="yellow"/>
                <w:u w:val="none"/>
                <w:lang w:val="en-US" w:eastAsia="zh-CN" w:bidi="ar-SA"/>
              </w:rPr>
              <w:suppressLineNumbers w:val="0"/>
            </w:pPr>
            <w:r>
              <w:rPr>
                <w:rFonts w:hint="eastAsia" w:ascii="仿宋" w:hAnsi="仿宋" w:eastAsia="仿宋" w:cs="仿宋"/>
                <w:sz w:val="24"/>
                <w:szCs w:val="24"/>
                <w:lang w:val="en-US" w:eastAsia="zh-CN"/>
              </w:rPr>
              <w:t xml:space="preserve">投标人近三年（投标截止日往前推）承接过的</w:t>
            </w:r>
            <w:bookmarkStart w:id="819" w:name="OLE_LINK5"/>
            <w:r>
              <w:rPr>
                <w:rFonts w:hint="eastAsia" w:ascii="仿宋" w:hAnsi="仿宋" w:eastAsia="仿宋" w:cs="仿宋"/>
                <w:sz w:val="24"/>
                <w:szCs w:val="24"/>
                <w:lang w:val="en-US" w:eastAsia="zh-CN"/>
              </w:rPr>
              <w:t xml:space="preserve">环卫保洁</w:t>
            </w:r>
            <w:bookmarkEnd w:id="819"/>
            <w:r>
              <w:rPr>
                <w:rFonts w:hint="eastAsia" w:ascii="仿宋" w:hAnsi="仿宋" w:eastAsia="仿宋" w:cs="仿宋"/>
                <w:sz w:val="24"/>
                <w:szCs w:val="24"/>
                <w:lang w:val="en-US" w:eastAsia="zh-CN"/>
              </w:rPr>
              <w:t xml:space="preserve">和绿化管养一体化</w:t>
            </w:r>
            <w:r>
              <w:rPr>
                <w:rFonts w:hint="eastAsia" w:ascii="仿宋" w:hAnsi="仿宋" w:eastAsia="仿宋" w:cs="仿宋"/>
                <w:sz w:val="24"/>
                <w:szCs w:val="24"/>
                <w:highlight w:val="none"/>
                <w:lang w:val="en-US" w:eastAsia="zh-CN"/>
              </w:rPr>
              <w:t xml:space="preserve">的业绩，</w:t>
            </w:r>
            <w:bookmarkStart w:id="820" w:name="OLE_LINK3"/>
            <w:r>
              <w:rPr>
                <w:rFonts w:hint="eastAsia" w:ascii="仿宋" w:hAnsi="仿宋" w:eastAsia="仿宋" w:cs="仿宋"/>
                <w:sz w:val="24"/>
                <w:szCs w:val="24"/>
                <w:highlight w:val="none"/>
                <w:lang w:val="en-US" w:eastAsia="zh-CN"/>
              </w:rPr>
              <w:t xml:space="preserve">每提供一个得3分</w:t>
            </w:r>
            <w:bookmarkEnd w:id="820"/>
            <w:r>
              <w:rPr>
                <w:rFonts w:hint="eastAsia" w:ascii="仿宋" w:hAnsi="仿宋" w:eastAsia="仿宋" w:cs="仿宋"/>
                <w:sz w:val="24"/>
                <w:szCs w:val="24"/>
                <w:highlight w:val="none"/>
                <w:lang w:val="en-US" w:eastAsia="zh-CN"/>
              </w:rPr>
              <w:t xml:space="preserve">；承接过的</w:t>
            </w:r>
            <w:r>
              <w:rPr>
                <w:rFonts w:hint="eastAsia" w:ascii="仿宋" w:hAnsi="仿宋" w:eastAsia="仿宋" w:cs="仿宋"/>
                <w:sz w:val="24"/>
                <w:szCs w:val="24"/>
                <w:lang w:val="en-US" w:eastAsia="zh-CN"/>
              </w:rPr>
              <w:t xml:space="preserve">环卫保洁</w:t>
            </w:r>
            <w:r>
              <w:rPr>
                <w:rFonts w:hint="eastAsia" w:ascii="仿宋" w:hAnsi="仿宋" w:eastAsia="仿宋" w:cs="仿宋"/>
                <w:sz w:val="24"/>
                <w:szCs w:val="24"/>
                <w:highlight w:val="none"/>
                <w:lang w:val="en-US" w:eastAsia="zh-CN"/>
              </w:rPr>
              <w:t xml:space="preserve">的业绩，每提供一个得2分，本项限评4个业绩，本项最高得12分。</w:t>
            </w:r>
            <w:r/>
          </w:p>
          <w:p>
            <w:pPr>
              <w:numPr>
                <w:ilvl w:val="0"/>
                <w:numId w:val="0"/>
              </w:numPr>
              <w:ind w:right="0"/>
              <w:keepLines w:val="0"/>
              <w:keepNext w:val="0"/>
              <w:spacing w:before="0" w:beforeAutospacing="0" w:after="0" w:afterAutospacing="0"/>
              <w:rPr>
                <w:rFonts w:hint="default"/>
                <w:lang w:val="en-US" w:eastAsia="zh-CN"/>
              </w:rPr>
              <w:suppressLineNumbers w:val="0"/>
            </w:pPr>
            <w:r>
              <w:rPr>
                <w:rFonts w:hint="eastAsia" w:ascii="仿宋" w:hAnsi="仿宋" w:eastAsia="仿宋" w:cs="仿宋"/>
                <w:b w:val="0"/>
                <w:sz w:val="24"/>
                <w:szCs w:val="24"/>
                <w:highlight w:val="yellow"/>
                <w:u w:val="none"/>
                <w:lang w:val="en-US" w:eastAsia="zh-CN" w:bidi="ar-SA"/>
              </w:rPr>
              <w:t xml:space="preserve">注：（1）投标人在不同年份对同一业主提供的同一项目业绩不重复计分，仅按一份计算；（2）</w:t>
            </w:r>
            <w:r>
              <w:rPr>
                <w:rFonts w:hint="eastAsia" w:ascii="仿宋" w:hAnsi="仿宋" w:eastAsia="仿宋" w:cs="仿宋"/>
                <w:b w:val="0"/>
                <w:color w:val="auto"/>
                <w:sz w:val="24"/>
                <w:szCs w:val="24"/>
                <w:highlight w:val="yellow"/>
                <w:u w:val="none"/>
                <w:lang w:val="en-US" w:eastAsia="zh-CN" w:bidi="ar-SA"/>
              </w:rPr>
              <w:t xml:space="preserve">须同时提供合同材料以及合同期内任意一次发票材料。业绩时间以合同签订时间为准。</w:t>
            </w:r>
            <w:r/>
          </w:p>
        </w:tc>
        <w:tc>
          <w:tcPr>
            <w:tcW w:w="1110" w:type="dxa"/>
            <w:vAlign w:val="center"/>
            <w:textDirection w:val="lrTb"/>
            <w:noWrap w:val="false"/>
          </w:tcPr>
          <w:p>
            <w:pPr>
              <w:ind w:left="-38" w:right="0"/>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r>
            <w:r/>
          </w:p>
        </w:tc>
      </w:tr>
      <w:tr>
        <w:trPr>
          <w:trHeight w:val="2653"/>
        </w:trPr>
        <w:tc>
          <w:tcPr>
            <w:tcW w:w="933"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3.2</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企业荣誉</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6</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投标供应商近三年（投标截止日往前推）以来获得过县区级行政主管部门颁发的荣誉，有 1 个得2分，获得市级及以上行政主管部门颁发的荣誉，有 1 个得3分，本项最高6分。</w:t>
            </w:r>
            <w:r/>
          </w:p>
          <w:p>
            <w:pPr>
              <w:ind w:left="0" w:right="0"/>
              <w:keepLines w:val="0"/>
              <w:keepNext w:val="0"/>
              <w:spacing w:before="0" w:beforeAutospacing="0" w:after="0" w:afterAutospacing="0"/>
              <w:rPr>
                <w:rFonts w:hint="default"/>
                <w:lang w:val="en-US" w:eastAsia="zh-CN"/>
              </w:rPr>
              <w:suppressLineNumbers w:val="0"/>
            </w:pPr>
            <w:r>
              <w:rPr>
                <w:rFonts w:hint="eastAsia" w:ascii="仿宋" w:hAnsi="仿宋" w:eastAsia="仿宋" w:cs="仿宋"/>
                <w:sz w:val="24"/>
                <w:szCs w:val="24"/>
                <w:highlight w:val="yellow"/>
                <w:lang w:val="en-US" w:eastAsia="zh-CN"/>
              </w:rPr>
              <w:t xml:space="preserve">注：（1）</w:t>
            </w:r>
            <w:r>
              <w:rPr>
                <w:rFonts w:hint="eastAsia" w:ascii="仿宋" w:hAnsi="仿宋" w:eastAsia="仿宋" w:cs="仿宋"/>
                <w:b w:val="0"/>
                <w:bCs w:val="0"/>
                <w:sz w:val="24"/>
                <w:szCs w:val="24"/>
                <w:highlight w:val="yellow"/>
                <w:u w:val="none"/>
                <w:lang w:val="en-US" w:eastAsia="zh-CN" w:bidi="ar-SA"/>
              </w:rPr>
              <w:t xml:space="preserve">提供行政主管部门表彰证书或行政主管部门红头文件或政府部门网站查询截图材料；</w:t>
            </w:r>
            <w:r>
              <w:rPr>
                <w:rFonts w:hint="eastAsia" w:ascii="仿宋" w:hAnsi="仿宋" w:eastAsia="仿宋" w:cs="仿宋"/>
                <w:sz w:val="24"/>
                <w:szCs w:val="24"/>
                <w:highlight w:val="yellow"/>
                <w:lang w:val="en-US" w:eastAsia="zh-CN"/>
              </w:rPr>
              <w:t xml:space="preserve">（2）荣誉时间以颁发时间为准。</w:t>
            </w:r>
            <w:r/>
          </w:p>
        </w:tc>
        <w:tc>
          <w:tcPr>
            <w:tcW w:w="1110" w:type="dxa"/>
            <w:vAlign w:val="center"/>
            <w:textDirection w:val="lrTb"/>
            <w:noWrap w:val="false"/>
          </w:tcPr>
          <w:p>
            <w:pPr>
              <w:ind w:left="-38"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1276"/>
        </w:trPr>
        <w:tc>
          <w:tcPr>
            <w:tcW w:w="933" w:type="dxa"/>
            <w:vAlign w:val="center"/>
            <w:vMerge w:val="restart"/>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3.3</w:t>
            </w:r>
            <w:r/>
          </w:p>
        </w:tc>
        <w:tc>
          <w:tcPr>
            <w:tcW w:w="1364" w:type="dxa"/>
            <w:vAlign w:val="center"/>
            <w:vMerge w:val="restart"/>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人员配备</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绿化管养负责人1名：</w:t>
            </w:r>
            <w:r/>
          </w:p>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绿化管养负责人具有园林绿化相关专业中级职称及以上的得2分。  </w:t>
            </w:r>
            <w:r/>
          </w:p>
          <w:p>
            <w:pPr>
              <w:ind w:left="0" w:right="0"/>
              <w:jc w:val="left"/>
              <w:keepLines w:val="0"/>
              <w:keepNext w:val="0"/>
              <w:spacing w:before="0" w:beforeAutospacing="0" w:after="0" w:afterAutospacing="0"/>
              <w:widowControl/>
              <w:rPr>
                <w:rFonts w:hint="eastAsia" w:ascii="仿宋" w:hAnsi="仿宋" w:eastAsia="仿宋" w:cs="仿宋"/>
                <w:sz w:val="24"/>
                <w:szCs w:val="24"/>
                <w:lang w:val="en-US" w:eastAsia="zh-CN"/>
              </w:rPr>
              <w:suppressLineNumbers w:val="0"/>
            </w:pPr>
            <w:r/>
            <w:bookmarkStart w:id="821" w:name="OLE_LINK2"/>
            <w:r>
              <w:rPr>
                <w:rFonts w:hint="eastAsia" w:ascii="仿宋" w:hAnsi="仿宋" w:eastAsia="仿宋" w:cs="仿宋"/>
                <w:sz w:val="24"/>
                <w:szCs w:val="24"/>
                <w:lang w:val="en-US" w:eastAsia="zh-CN"/>
              </w:rPr>
              <w:t xml:space="preserve">本项最高2分。</w:t>
            </w:r>
            <w:bookmarkEnd w:id="821"/>
            <w:r/>
            <w:r/>
          </w:p>
          <w:p>
            <w:pPr>
              <w:ind w:left="0" w:right="0"/>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yellow"/>
                <w:lang w:val="en-US" w:eastAsia="zh-CN"/>
              </w:rPr>
              <w:t xml:space="preserve">注：（1）须提供职称证书材料以及该证书的人力资源和社会保障部门网站查询截图并加盖公章。（2）</w:t>
            </w:r>
            <w:r>
              <w:rPr>
                <w:rFonts w:hint="eastAsia" w:ascii="仿宋" w:hAnsi="仿宋" w:eastAsia="仿宋" w:cs="仿宋"/>
                <w:b w:val="0"/>
                <w:bCs w:val="0"/>
                <w:sz w:val="24"/>
                <w:szCs w:val="24"/>
                <w:highlight w:val="yellow"/>
                <w:u w:val="none"/>
                <w:lang w:val="en-US" w:eastAsia="zh-CN" w:bidi="ar-SA"/>
              </w:rPr>
              <w:t xml:space="preserve">提供</w:t>
            </w:r>
            <w:r>
              <w:rPr>
                <w:rFonts w:hint="eastAsia" w:ascii="仿宋" w:hAnsi="仿宋" w:eastAsia="仿宋" w:cs="仿宋"/>
                <w:b w:val="0"/>
                <w:bCs w:val="0"/>
                <w:sz w:val="24"/>
                <w:szCs w:val="24"/>
                <w:highlight w:val="yellow"/>
                <w:u w:val="none"/>
                <w:lang w:val="en-US" w:eastAsia="zh-CN"/>
              </w:rPr>
              <w:t xml:space="preserve">近半年来（投标截止日往前推）任意一个月投标人为拟派绿化管养负责人</w:t>
            </w:r>
            <w:bookmarkStart w:id="918" w:name="_GoBack"/>
            <w:r/>
            <w:bookmarkEnd w:id="918"/>
            <w:r>
              <w:rPr>
                <w:rFonts w:hint="eastAsia" w:ascii="仿宋" w:hAnsi="仿宋" w:eastAsia="仿宋" w:cs="仿宋"/>
                <w:b w:val="0"/>
                <w:bCs w:val="0"/>
                <w:sz w:val="24"/>
                <w:szCs w:val="24"/>
                <w:highlight w:val="yellow"/>
                <w:u w:val="none"/>
                <w:lang w:val="en-US" w:eastAsia="zh-CN"/>
              </w:rPr>
              <w:t xml:space="preserve">缴纳得社会保险证明材料复印件加盖公章</w:t>
            </w:r>
            <w:r>
              <w:rPr>
                <w:rFonts w:hint="eastAsia" w:ascii="仿宋" w:hAnsi="仿宋" w:eastAsia="仿宋" w:cs="仿宋"/>
                <w:sz w:val="24"/>
                <w:szCs w:val="24"/>
                <w:highlight w:val="yellow"/>
                <w:lang w:val="en-US" w:eastAsia="zh-CN"/>
              </w:rPr>
              <w:t xml:space="preserve">。</w:t>
            </w:r>
            <w:r>
              <w:rPr>
                <w:rFonts w:hint="eastAsia" w:ascii="仿宋" w:hAnsi="仿宋" w:eastAsia="仿宋" w:cs="仿宋"/>
                <w:b w:val="0"/>
                <w:bCs w:val="0"/>
                <w:sz w:val="24"/>
                <w:szCs w:val="24"/>
                <w:highlight w:val="yellow"/>
                <w:u w:val="none"/>
                <w:lang w:val="en-US" w:eastAsia="zh-CN"/>
              </w:rPr>
              <w:t xml:space="preserve">未提供的或材料不全的或无效的不得分。</w:t>
            </w:r>
            <w:r/>
          </w:p>
        </w:tc>
        <w:tc>
          <w:tcPr>
            <w:tcW w:w="1110" w:type="dxa"/>
            <w:vAlign w:val="center"/>
            <w:vMerge w:val="restart"/>
            <w:textDirection w:val="lrTb"/>
            <w:noWrap w:val="false"/>
          </w:tcPr>
          <w:p>
            <w:pPr>
              <w:ind w:left="-38"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1276"/>
        </w:trPr>
        <w:tc>
          <w:tcPr>
            <w:tcW w:w="933" w:type="dxa"/>
            <w:vAlign w:val="center"/>
            <w:vMerge w:val="continue"/>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W w:w="1364" w:type="dxa"/>
            <w:vAlign w:val="center"/>
            <w:vMerge w:val="continue"/>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现场作业人员（绿化管养负责人除外）</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现场作业人员中每增加一名高处作业人员得1分，本项最高得4分。</w:t>
            </w:r>
            <w:r/>
          </w:p>
          <w:p>
            <w:pPr>
              <w:ind w:left="0" w:right="0"/>
              <w:keepLines w:val="0"/>
              <w:keepNext w:val="0"/>
              <w:spacing w:before="0" w:beforeAutospacing="0" w:after="0" w:afterAutospacing="0"/>
              <w:rPr>
                <w:rFonts w:hint="eastAsia" w:ascii="仿宋" w:hAnsi="仿宋" w:eastAsia="仿宋" w:cs="仿宋"/>
                <w:color w:val="auto"/>
                <w:sz w:val="24"/>
                <w:szCs w:val="24"/>
                <w:highlight w:val="yellow"/>
                <w:lang w:val="en-US" w:eastAsia="zh-CN"/>
              </w:rPr>
              <w:suppressLineNumbers w:val="0"/>
            </w:pPr>
            <w:r>
              <w:rPr>
                <w:rFonts w:hint="eastAsia" w:ascii="仿宋" w:hAnsi="仿宋" w:eastAsia="仿宋" w:cs="仿宋"/>
                <w:color w:val="auto"/>
                <w:sz w:val="24"/>
                <w:szCs w:val="24"/>
                <w:highlight w:val="none"/>
                <w:lang w:val="en-US" w:eastAsia="zh-CN"/>
              </w:rPr>
              <w:t xml:space="preserve">现场作业人员中具有绿化工证书的，1人得1分，本项最高得3分。</w:t>
            </w:r>
            <w:r/>
          </w:p>
          <w:p>
            <w:pPr>
              <w:ind w:left="0" w:right="0"/>
              <w:keepLines w:val="0"/>
              <w:keepNext w:val="0"/>
              <w:spacing w:before="0" w:beforeAutospacing="0" w:after="0" w:afterAutospacing="0"/>
              <w:rPr>
                <w:rFonts w:hint="default" w:ascii="仿宋" w:hAnsi="仿宋" w:eastAsia="仿宋" w:cs="仿宋"/>
                <w:sz w:val="24"/>
                <w:szCs w:val="24"/>
                <w:highlight w:val="yellow"/>
                <w:lang w:val="en-US" w:eastAsia="zh-CN"/>
              </w:rPr>
              <w:suppressLineNumbers w:val="0"/>
            </w:pPr>
            <w:r>
              <w:rPr>
                <w:rFonts w:hint="eastAsia" w:ascii="仿宋" w:hAnsi="仿宋" w:eastAsia="仿宋" w:cs="仿宋"/>
                <w:sz w:val="24"/>
                <w:szCs w:val="24"/>
                <w:highlight w:val="yellow"/>
                <w:lang w:val="en-US" w:eastAsia="zh-CN"/>
              </w:rPr>
              <w:t xml:space="preserve">注：（1）提供高处作业证书材料以及该证书的应急管理部门网站查询截图并加盖公章；（2）提供绿化工证书以及人力资源和社会保障部门网站查询截图并加盖公章（2）</w:t>
            </w:r>
            <w:r>
              <w:rPr>
                <w:rFonts w:hint="eastAsia" w:ascii="仿宋" w:hAnsi="仿宋" w:eastAsia="仿宋" w:cs="仿宋"/>
                <w:b w:val="0"/>
                <w:bCs w:val="0"/>
                <w:sz w:val="24"/>
                <w:szCs w:val="24"/>
                <w:highlight w:val="yellow"/>
                <w:u w:val="none"/>
                <w:lang w:val="en-US" w:eastAsia="zh-CN" w:bidi="ar-SA"/>
              </w:rPr>
              <w:t xml:space="preserve">提供</w:t>
            </w:r>
            <w:r>
              <w:rPr>
                <w:rFonts w:hint="eastAsia" w:ascii="仿宋" w:hAnsi="仿宋" w:eastAsia="仿宋" w:cs="仿宋"/>
                <w:b w:val="0"/>
                <w:bCs w:val="0"/>
                <w:sz w:val="24"/>
                <w:szCs w:val="24"/>
                <w:highlight w:val="yellow"/>
                <w:u w:val="none"/>
                <w:lang w:val="en-US" w:eastAsia="zh-CN"/>
              </w:rPr>
              <w:t xml:space="preserve">近半年来（投标截止日往前推）任意一月投标人为拟派现场作业人员缴纳得社会保险证明材料</w:t>
            </w:r>
            <w:r>
              <w:rPr>
                <w:rFonts w:hint="eastAsia" w:ascii="仿宋" w:hAnsi="仿宋" w:eastAsia="仿宋" w:cs="仿宋"/>
                <w:sz w:val="24"/>
                <w:szCs w:val="24"/>
                <w:highlight w:val="yellow"/>
                <w:lang w:val="en-US" w:eastAsia="zh-CN"/>
              </w:rPr>
              <w:t xml:space="preserve">。</w:t>
            </w:r>
            <w:r>
              <w:rPr>
                <w:rFonts w:hint="eastAsia" w:ascii="仿宋" w:hAnsi="仿宋" w:eastAsia="仿宋" w:cs="仿宋"/>
                <w:b w:val="0"/>
                <w:bCs w:val="0"/>
                <w:sz w:val="24"/>
                <w:szCs w:val="24"/>
                <w:highlight w:val="yellow"/>
                <w:u w:val="none"/>
                <w:lang w:val="en-US" w:eastAsia="zh-CN"/>
              </w:rPr>
              <w:t xml:space="preserve">未提供的或材料不全的或无效的不得分。</w:t>
            </w:r>
            <w:r/>
          </w:p>
        </w:tc>
        <w:tc>
          <w:tcPr>
            <w:tcW w:w="1110" w:type="dxa"/>
            <w:vAlign w:val="center"/>
            <w:vMerge w:val="continue"/>
            <w:textDirection w:val="lrTb"/>
            <w:noWrap w:val="false"/>
          </w:tcPr>
          <w:p>
            <w:pPr>
              <w:ind w:left="-38"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661"/>
        </w:trPr>
        <w:tc>
          <w:tcPr>
            <w:tcW w:w="933"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3.4</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b w:val="0"/>
                <w:bCs w:val="0"/>
                <w:sz w:val="24"/>
                <w:szCs w:val="24"/>
                <w:highlight w:val="none"/>
                <w:u w:val="none"/>
                <w:lang w:val="en-US" w:eastAsia="zh-CN"/>
              </w:rPr>
              <w:suppressLineNumbers w:val="0"/>
            </w:pPr>
            <w:r>
              <w:rPr>
                <w:rFonts w:hint="eastAsia" w:ascii="仿宋" w:hAnsi="仿宋" w:eastAsia="仿宋" w:cs="仿宋"/>
                <w:b w:val="0"/>
                <w:bCs w:val="0"/>
                <w:sz w:val="24"/>
                <w:szCs w:val="24"/>
                <w:highlight w:val="none"/>
                <w:u w:val="none"/>
                <w:lang w:val="en-US" w:eastAsia="zh-CN"/>
              </w:rPr>
              <w:t xml:space="preserve">管理体系</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auto"/>
                <w:sz w:val="24"/>
                <w:szCs w:val="24"/>
                <w:highlight w:val="none"/>
                <w:u w:val="none"/>
                <w:lang w:val="en-US" w:eastAsia="zh-CN"/>
              </w:rPr>
              <w:suppressLineNumbers w:val="0"/>
            </w:pPr>
            <w:r>
              <w:rPr>
                <w:rFonts w:hint="eastAsia" w:ascii="仿宋" w:hAnsi="仿宋" w:eastAsia="仿宋" w:cs="仿宋"/>
                <w:b w:val="0"/>
                <w:bCs w:val="0"/>
                <w:color w:val="auto"/>
                <w:sz w:val="24"/>
                <w:szCs w:val="24"/>
                <w:highlight w:val="none"/>
                <w:u w:val="none"/>
                <w:lang w:val="en-US" w:eastAsia="zh-CN"/>
              </w:rPr>
              <w:t xml:space="preserve">投标人具有质量管理体系、环境管理体系、职业健康安全管理体系，每有一项得1分，最高得3分。</w:t>
            </w:r>
            <w:r/>
          </w:p>
          <w:p>
            <w:pPr>
              <w:ind w:left="0" w:right="0"/>
              <w:keepLines w:val="0"/>
              <w:keepNext w:val="0"/>
              <w:spacing w:before="0" w:beforeAutospacing="0" w:after="0" w:afterAutospacing="0"/>
              <w:rPr>
                <w:rFonts w:hint="eastAsia" w:ascii="仿宋" w:hAnsi="仿宋" w:eastAsia="仿宋" w:cs="仿宋"/>
                <w:b w:val="0"/>
                <w:bCs w:val="0"/>
                <w:color w:val="auto"/>
                <w:sz w:val="24"/>
                <w:szCs w:val="24"/>
                <w:highlight w:val="none"/>
                <w:u w:val="none"/>
                <w:lang w:val="en-US" w:eastAsia="zh-CN"/>
              </w:rPr>
              <w:suppressLineNumbers w:val="0"/>
            </w:pPr>
            <w:r>
              <w:rPr>
                <w:rFonts w:hint="eastAsia" w:ascii="仿宋" w:hAnsi="仿宋" w:eastAsia="仿宋" w:cs="仿宋"/>
                <w:b w:val="0"/>
                <w:bCs w:val="0"/>
                <w:color w:val="auto"/>
                <w:sz w:val="24"/>
                <w:szCs w:val="24"/>
                <w:highlight w:val="yellow"/>
                <w:u w:val="none"/>
                <w:lang w:val="en-US" w:eastAsia="zh-CN"/>
              </w:rPr>
              <w:t xml:space="preserve">注：提供证书和官网查询截图（http://cx.cnca.cn网站查询状态为“有效”），未提供的或材料不全的或无效的不得分。</w:t>
            </w:r>
            <w:r/>
          </w:p>
        </w:tc>
        <w:tc>
          <w:tcPr>
            <w:tcW w:w="1110" w:type="dxa"/>
            <w:vAlign w:val="center"/>
            <w:textDirection w:val="lrTb"/>
            <w:noWrap w:val="false"/>
          </w:tcPr>
          <w:p>
            <w:pPr>
              <w:ind w:left="-38" w:right="0"/>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r>
            <w:r/>
          </w:p>
        </w:tc>
      </w:tr>
      <w:tr>
        <w:trPr>
          <w:trHeight w:val="841"/>
        </w:trPr>
        <w:tc>
          <w:tcPr>
            <w:tcW w:w="933"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3.5</w:t>
            </w:r>
            <w:r/>
          </w:p>
        </w:tc>
        <w:tc>
          <w:tcPr>
            <w:tcW w:w="136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b w:val="0"/>
                <w:bCs w:val="0"/>
                <w:sz w:val="24"/>
                <w:szCs w:val="24"/>
                <w:highlight w:val="none"/>
                <w:u w:val="none"/>
                <w:lang w:val="en-US" w:eastAsia="zh-CN"/>
              </w:rPr>
              <w:t xml:space="preserve">拟投入设备配置</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W w:w="607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投标单位拟投入的设备在采购需求要求的基本数量基础上（自有或租赁）：</w:t>
            </w:r>
            <w:r/>
          </w:p>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（1）每增加原装洒水车1辆得0.5分，最高得0.5分；</w:t>
            </w:r>
            <w:r/>
          </w:p>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（2）每增加登高车1辆得0.5分，最高得1分；</w:t>
            </w:r>
            <w:r/>
          </w:p>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（3）每增加1辆巡查汽车（7座（含以下车辆））得1分，最高得1分；</w:t>
            </w:r>
            <w:r/>
          </w:p>
          <w:p>
            <w:pPr>
              <w:ind w:left="0" w:right="0"/>
              <w:keepLines w:val="0"/>
              <w:keepNext w:val="0"/>
              <w:spacing w:before="0" w:beforeAutospacing="0" w:after="0" w:afterAutospacing="0"/>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（4）每增加8T高压冲洗洒水车1辆得0.5分，最高得1分；</w:t>
            </w:r>
            <w:r/>
          </w:p>
          <w:p>
            <w:pPr>
              <w:ind w:left="0" w:right="0"/>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highlight w:val="none"/>
                <w:lang w:val="en-US" w:eastAsia="zh-CN"/>
              </w:rPr>
              <w:t xml:space="preserve">（5）每增加8吨洗扫车1辆得0.5分，最高得0.5分。</w:t>
            </w:r>
            <w:r/>
          </w:p>
          <w:p>
            <w:pPr>
              <w:ind w:left="0" w:right="0"/>
              <w:keepLines w:val="0"/>
              <w:keepNext w:val="0"/>
              <w:spacing w:before="0" w:beforeAutospacing="0" w:after="0" w:afterAutospacing="0"/>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每增加1辆大功率喷雾车得0.5分，</w:t>
            </w:r>
            <w:r>
              <w:rPr>
                <w:rFonts w:hint="eastAsia" w:ascii="仿宋" w:hAnsi="仿宋" w:eastAsia="仿宋" w:cs="仿宋"/>
                <w:sz w:val="24"/>
                <w:szCs w:val="24"/>
                <w:highlight w:val="none"/>
                <w:lang w:val="en-US" w:eastAsia="zh-CN"/>
              </w:rPr>
              <w:t xml:space="preserve">本小项最多得1分。</w:t>
            </w:r>
            <w:r/>
          </w:p>
          <w:p>
            <w:pPr>
              <w:ind w:left="0" w:right="0"/>
              <w:keepLines w:val="0"/>
              <w:keepNext w:val="0"/>
              <w:spacing w:before="0" w:beforeAutospacing="0" w:after="0" w:afterAutospacing="0"/>
              <w:rPr>
                <w:rFonts w:hint="eastAsia" w:ascii="仿宋" w:hAnsi="仿宋" w:eastAsia="仿宋" w:cs="仿宋"/>
                <w:sz w:val="24"/>
                <w:szCs w:val="24"/>
                <w:highlight w:val="yellow"/>
                <w:lang w:val="en-US" w:eastAsia="zh-CN"/>
              </w:rPr>
              <w:suppressLineNumbers w:val="0"/>
            </w:pPr>
            <w:r>
              <w:rPr>
                <w:rFonts w:hint="eastAsia" w:ascii="仿宋" w:hAnsi="仿宋" w:eastAsia="仿宋" w:cs="仿宋"/>
                <w:sz w:val="24"/>
                <w:szCs w:val="24"/>
                <w:highlight w:val="yellow"/>
                <w:lang w:val="en-US" w:eastAsia="zh-CN"/>
              </w:rPr>
              <w:t xml:space="preserve">注：1）须提供照片、行驶证（仅限车辆）、购置发票或租赁合同（若为租赁的，此项提供租赁合同）、体现车辆参数的相关证明材料，缺一项不得分；</w:t>
            </w:r>
            <w:r/>
          </w:p>
          <w:p>
            <w:pPr>
              <w:numPr>
                <w:ilvl w:val="0"/>
                <w:numId w:val="14"/>
              </w:numPr>
              <w:ind w:left="0" w:right="0"/>
              <w:keepLines w:val="0"/>
              <w:keepNext w:val="0"/>
              <w:spacing w:before="0" w:beforeAutospacing="0" w:after="0" w:afterAutospacing="0"/>
              <w:rPr>
                <w:rFonts w:hint="eastAsia" w:ascii="仿宋" w:hAnsi="仿宋" w:eastAsia="仿宋" w:cs="仿宋"/>
                <w:sz w:val="24"/>
                <w:szCs w:val="24"/>
                <w:highlight w:val="yellow"/>
                <w:lang w:val="en-US" w:eastAsia="zh-CN"/>
              </w:rPr>
              <w:suppressLineNumbers w:val="0"/>
            </w:pPr>
            <w:r>
              <w:rPr>
                <w:rFonts w:hint="eastAsia" w:ascii="仿宋" w:hAnsi="仿宋" w:eastAsia="仿宋" w:cs="仿宋"/>
                <w:sz w:val="24"/>
                <w:szCs w:val="24"/>
                <w:highlight w:val="yellow"/>
                <w:lang w:val="en-US" w:eastAsia="zh-CN"/>
              </w:rPr>
              <w:t xml:space="preserve">如提供的以上资料不能反映上述设备要求的规格及主要生产能力的则需同时提供其他证明资料以证明拟投入的设备满足上述要求的规格及生产能力，否则不得分。</w:t>
            </w:r>
            <w:r/>
          </w:p>
          <w:p>
            <w:pPr>
              <w:ind w:left="0" w:right="0"/>
              <w:keepLines w:val="0"/>
              <w:keepNext w:val="0"/>
              <w:spacing w:before="0" w:beforeAutospacing="0" w:after="0" w:afterAutospacing="0"/>
              <w:rPr>
                <w:rFonts w:hint="default" w:ascii="仿宋" w:hAnsi="仿宋" w:eastAsia="仿宋" w:cs="仿宋"/>
                <w:b w:val="0"/>
                <w:bCs w:val="0"/>
                <w:sz w:val="24"/>
                <w:szCs w:val="24"/>
                <w:highlight w:val="yellow"/>
                <w:u w:val="none"/>
                <w:lang w:val="en-US" w:eastAsia="zh-CN"/>
              </w:rPr>
              <w:suppressLineNumbers w:val="0"/>
            </w:pPr>
            <w:r>
              <w:rPr>
                <w:rFonts w:hint="eastAsia" w:ascii="仿宋" w:hAnsi="仿宋" w:eastAsia="仿宋" w:cs="仿宋"/>
                <w:sz w:val="24"/>
                <w:szCs w:val="24"/>
                <w:highlight w:val="yellow"/>
                <w:lang w:val="en-US" w:eastAsia="zh-CN"/>
              </w:rPr>
              <w:t xml:space="preserve">同一车辆不重复计分。以上车辆在签订合同前甲方将进行核验。</w:t>
            </w:r>
            <w:r/>
          </w:p>
        </w:tc>
        <w:tc>
          <w:tcPr>
            <w:tcW w:w="1110" w:type="dxa"/>
            <w:vAlign w:val="center"/>
            <w:textDirection w:val="lrTb"/>
            <w:noWrap w:val="false"/>
          </w:tcPr>
          <w:p>
            <w:pPr>
              <w:ind w:left="-38"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c>
          <w:tcPr>
            <w:gridSpan w:val="2"/>
            <w:tcW w:w="2297"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合计</w:t>
            </w:r>
            <w:r/>
          </w:p>
        </w:tc>
        <w:tc>
          <w:tcPr>
            <w:tcW w:w="644" w:type="dxa"/>
            <w:vAlign w:val="center"/>
            <w:textDirection w:val="lrTb"/>
            <w:noWrap w:val="false"/>
          </w:tcPr>
          <w:p>
            <w:pPr>
              <w:ind w:left="0" w:right="0" w:firstLine="28"/>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gridSpan w:val="2"/>
            <w:tcW w:w="7184"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p>
    <w:p>
      <w:pPr>
        <w:ind w:firstLine="42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2）评标标准中要求提供的证明文件及资料等在响应文件中提供扫描件</w:t>
      </w:r>
      <w:r>
        <w:rPr>
          <w:rFonts w:hint="eastAsia" w:ascii="仿宋" w:hAnsi="仿宋" w:eastAsia="仿宋" w:cs="仿宋"/>
          <w:sz w:val="24"/>
          <w:szCs w:val="24"/>
          <w:highlight w:val="none"/>
          <w:lang w:eastAsia="zh-CN"/>
        </w:rPr>
        <w:t xml:space="preserve">（或照片）</w:t>
      </w:r>
      <w:r>
        <w:rPr>
          <w:rFonts w:hint="eastAsia" w:ascii="仿宋" w:hAnsi="仿宋" w:eastAsia="仿宋" w:cs="仿宋"/>
          <w:sz w:val="24"/>
          <w:szCs w:val="24"/>
          <w:highlight w:val="none"/>
        </w:rPr>
        <w:t xml:space="preserve">，材料内容、印章必须完整、清晰可辨且在有效期内。采购小组成员半数以上认定模糊无法辨认的不得分；</w:t>
      </w:r>
      <w:r/>
    </w:p>
    <w:p>
      <w:pPr>
        <w:ind w:firstLine="42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3）评标时，未能按以上要求提供相应证明的，不作为评标依据，不得分。</w:t>
      </w:r>
      <w:r/>
    </w:p>
    <w:p>
      <w:pPr>
        <w:ind w:firstLine="42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4）扫描件</w:t>
      </w:r>
      <w:r>
        <w:rPr>
          <w:rFonts w:hint="eastAsia" w:ascii="仿宋" w:hAnsi="仿宋" w:eastAsia="仿宋" w:cs="仿宋"/>
          <w:sz w:val="24"/>
          <w:szCs w:val="24"/>
          <w:highlight w:val="none"/>
          <w:lang w:eastAsia="zh-CN"/>
        </w:rPr>
        <w:t xml:space="preserve">（或照片）</w:t>
      </w:r>
      <w:r>
        <w:rPr>
          <w:rFonts w:hint="eastAsia" w:ascii="仿宋" w:hAnsi="仿宋" w:eastAsia="仿宋" w:cs="仿宋"/>
          <w:sz w:val="24"/>
          <w:szCs w:val="24"/>
          <w:highlight w:val="none"/>
        </w:rPr>
        <w:t xml:space="preserve">要求字迹清晰，确保文字内容能看清无变形；</w:t>
      </w:r>
      <w:r/>
    </w:p>
    <w:p>
      <w:pPr>
        <w:ind w:firstLine="42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b/>
          <w:bCs/>
          <w:sz w:val="24"/>
          <w:szCs w:val="24"/>
          <w:highlight w:val="none"/>
        </w:rPr>
        <w:t xml:space="preserve">采用电子证书或者网络截图，必须使用经过备案的政府官方网站截图，且必须是可供任何人查询的公开信息，截图必须包含网址和网站名称，保证他人能够通过网址再次查询到；</w:t>
      </w:r>
      <w:r/>
    </w:p>
    <w:p>
      <w:pPr>
        <w:ind w:firstLine="42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6）响应人按评分细则所有得分项目均视为对本次招标的承诺，成交后均作为合同的组成部分。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r/>
    </w:p>
    <w:p>
      <w:pPr>
        <w:jc w:val="center"/>
        <w:spacing w:line="360" w:lineRule="auto"/>
        <w:rPr>
          <w:rFonts w:hint="eastAsia" w:ascii="仿宋" w:hAnsi="仿宋" w:eastAsia="仿宋" w:cs="仿宋"/>
          <w:b/>
          <w:sz w:val="30"/>
          <w:szCs w:val="30"/>
          <w:highlight w:val="none"/>
        </w:rPr>
        <w:outlineLvl w:val="0"/>
      </w:pPr>
      <w:r/>
      <w:bookmarkStart w:id="822" w:name="_Toc99301424"/>
      <w:r>
        <w:rPr>
          <w:rFonts w:hint="eastAsia" w:ascii="仿宋" w:hAnsi="仿宋" w:eastAsia="仿宋" w:cs="仿宋"/>
          <w:b/>
          <w:sz w:val="24"/>
          <w:szCs w:val="24"/>
          <w:highlight w:val="none"/>
        </w:rPr>
        <w:br w:type="page" w:clear="all"/>
      </w:r>
      <w:r>
        <w:rPr>
          <w:rFonts w:hint="eastAsia" w:ascii="仿宋" w:hAnsi="仿宋" w:eastAsia="仿宋" w:cs="仿宋"/>
          <w:b/>
          <w:sz w:val="30"/>
          <w:szCs w:val="30"/>
          <w:highlight w:val="none"/>
        </w:rPr>
        <w:t xml:space="preserve">第五章   采购需求</w:t>
      </w:r>
      <w:bookmarkEnd w:id="822"/>
      <w:r/>
      <w:r/>
    </w:p>
    <w:p>
      <w:pPr>
        <w:pStyle w:val="1693"/>
        <w:keepLines w:val="0"/>
        <w:keepNext w:val="0"/>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一、采购标的</w:t>
      </w:r>
      <w:r/>
    </w:p>
    <w:p>
      <w:pPr>
        <w:ind w:firstLine="64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1．项目名</w:t>
      </w:r>
      <w:r>
        <w:rPr>
          <w:rFonts w:hint="eastAsia" w:ascii="仿宋" w:hAnsi="仿宋" w:eastAsia="仿宋" w:cs="仿宋"/>
          <w:sz w:val="24"/>
          <w:szCs w:val="24"/>
          <w:highlight w:val="none"/>
          <w:lang w:val="en-US" w:eastAsia="zh-CN"/>
        </w:rPr>
        <w:t xml:space="preserve">称：2025年度尧塘街道城市保洁及绿化管养项目</w:t>
      </w:r>
      <w:r/>
    </w:p>
    <w:p>
      <w:pPr>
        <w:ind w:firstLine="64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2．预算金额：1168万元</w:t>
      </w:r>
      <w:r/>
    </w:p>
    <w:p>
      <w:pPr>
        <w:ind w:firstLine="640"/>
        <w:keepLines w:val="0"/>
        <w:keepNext w:val="0"/>
        <w:pageBreakBefore w:val="0"/>
        <w:spacing w:line="360" w:lineRule="auto"/>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yellow"/>
          <w:lang w:val="en-US" w:eastAsia="zh-CN"/>
        </w:rPr>
        <w:t xml:space="preserve">最高限价：584万元/年</w:t>
      </w:r>
      <w:r/>
    </w:p>
    <w:p>
      <w:pPr>
        <w:ind w:firstLine="72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．合同履行期限：</w:t>
      </w:r>
      <w:r>
        <w:rPr>
          <w:rFonts w:hint="eastAsia" w:ascii="仿宋" w:hAnsi="仿宋" w:eastAsia="仿宋" w:cs="仿宋"/>
          <w:b w:val="0"/>
          <w:bCs w:val="0"/>
          <w:color w:val="000000"/>
          <w:sz w:val="24"/>
          <w:szCs w:val="24"/>
          <w:highlight w:val="none"/>
          <w:u w:val="none"/>
          <w:lang w:val="en-US" w:eastAsia="zh-CN"/>
        </w:rPr>
        <w:t xml:space="preserve">两年，</w:t>
      </w:r>
      <w:r>
        <w:rPr>
          <w:rFonts w:hint="eastAsia" w:ascii="仿宋" w:hAnsi="仿宋" w:eastAsia="仿宋" w:cs="仿宋"/>
          <w:sz w:val="24"/>
          <w:szCs w:val="24"/>
          <w:highlight w:val="none"/>
          <w:lang w:val="en-US" w:eastAsia="zh-CN"/>
        </w:rPr>
        <w:t xml:space="preserve">（1+1）模式，合同一年一签，第一年合同有效期从2025年7月1日起至2026年6月30日，第二年合同有效期从2026年7月1日起至2027年6月30日。当年合同期满，经采购人验收合格后，可续签下一年合同，否则采购人有权决定不续签下年合同。</w:t>
      </w:r>
      <w:r/>
    </w:p>
    <w:p>
      <w:pPr>
        <w:ind w:firstLine="640"/>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．是/否接受联合体投标：</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lang w:val="en-US" w:eastAsia="zh-CN"/>
        </w:rPr>
        <w:t xml:space="preserve">否</w:t>
      </w:r>
      <w:r/>
    </w:p>
    <w:p>
      <w:pPr>
        <w:ind w:firstLine="63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．是/</w:t>
      </w:r>
      <w:r>
        <w:rPr>
          <w:rFonts w:hint="eastAsia" w:ascii="仿宋" w:hAnsi="仿宋" w:eastAsia="仿宋" w:cs="仿宋"/>
          <w:sz w:val="24"/>
          <w:szCs w:val="24"/>
          <w:shd w:val="clear" w:color="auto" w:fill="auto"/>
        </w:rPr>
        <w:t xml:space="preserve">否</w:t>
      </w:r>
      <w:r>
        <w:rPr>
          <w:rFonts w:hint="eastAsia" w:ascii="仿宋" w:hAnsi="仿宋" w:eastAsia="仿宋" w:cs="仿宋"/>
          <w:sz w:val="24"/>
          <w:szCs w:val="24"/>
          <w:highlight w:val="none"/>
          <w:lang w:val="en-US" w:eastAsia="zh-CN"/>
        </w:rPr>
        <w:t xml:space="preserve">接受分支机构参与响应：■否</w:t>
      </w:r>
      <w:r/>
    </w:p>
    <w:p>
      <w:pPr>
        <w:ind w:firstLine="63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7．是/否属于政府购买服务：■是，公益一类事业单位、使用事业编制且由财政拨款保障的群团组织，不得作为承接主体。</w:t>
      </w:r>
      <w:r/>
    </w:p>
    <w:p>
      <w:pPr>
        <w:ind w:firstLine="63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．是/否专门面向中小企业预留采购份额：</w:t>
      </w:r>
      <w:r>
        <w:rPr>
          <w:rFonts w:hint="eastAsia" w:ascii="仿宋" w:hAnsi="仿宋" w:eastAsia="仿宋" w:cs="仿宋"/>
          <w:sz w:val="24"/>
          <w:szCs w:val="24"/>
        </w:rPr>
        <w:t xml:space="preserve">■本项目专门面向  ■中小</w:t>
      </w:r>
      <w:r>
        <w:rPr>
          <w:rFonts w:hint="eastAsia" w:ascii="仿宋" w:hAnsi="仿宋" w:eastAsia="仿宋" w:cs="仿宋"/>
          <w:sz w:val="24"/>
          <w:szCs w:val="24"/>
          <w:highlight w:val="none"/>
        </w:rPr>
        <w:t xml:space="preserve">□</w:t>
      </w:r>
      <w:r>
        <w:rPr>
          <w:rFonts w:hint="eastAsia" w:ascii="仿宋" w:hAnsi="仿宋" w:eastAsia="仿宋" w:cs="仿宋"/>
          <w:sz w:val="24"/>
          <w:szCs w:val="24"/>
        </w:rPr>
        <w:t xml:space="preserve">小微企业  采购。即：提供的货物全部由符合政策要求的中小/小微企业制造、服务全部由符合政策要求的中小/小微企业承接。</w:t>
      </w:r>
      <w:r/>
    </w:p>
    <w:p>
      <w:pPr>
        <w:ind w:firstLine="6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．本项目的特定资格要求：</w:t>
      </w:r>
      <w:r>
        <w:rPr>
          <w:rFonts w:hint="eastAsia" w:ascii="仿宋" w:hAnsi="仿宋" w:eastAsia="仿宋" w:cs="仿宋"/>
          <w:sz w:val="24"/>
          <w:szCs w:val="24"/>
          <w:lang w:val="en-US" w:eastAsia="zh-CN"/>
        </w:rPr>
        <w:t xml:space="preserve">无</w:t>
      </w:r>
      <w:r/>
    </w:p>
    <w:p>
      <w:pPr>
        <w:ind w:firstLine="6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．项目类别：服务类</w:t>
      </w:r>
      <w:r/>
    </w:p>
    <w:p>
      <w:pPr>
        <w:pStyle w:val="1693"/>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rPr>
        <w:t xml:space="preserve">二、商</w:t>
      </w:r>
      <w:r>
        <w:rPr>
          <w:rFonts w:hint="eastAsia" w:ascii="仿宋" w:hAnsi="仿宋" w:eastAsia="仿宋" w:cs="仿宋"/>
          <w:b/>
          <w:bCs/>
          <w:sz w:val="24"/>
          <w:szCs w:val="24"/>
          <w:highlight w:val="none"/>
        </w:rPr>
        <w:t xml:space="preserve">务要求</w:t>
      </w:r>
      <w:r/>
    </w:p>
    <w:p>
      <w:pPr>
        <w:numPr>
          <w:ilvl w:val="0"/>
          <w:numId w:val="15"/>
        </w:numPr>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交付（实施）的时间（期限）和地点（范围）</w:t>
      </w:r>
      <w:r/>
    </w:p>
    <w:p>
      <w:pPr>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rPr>
        <w:t xml:space="preserve">交付（实施）的时间（期限）</w:t>
      </w:r>
      <w:r>
        <w:rPr>
          <w:rFonts w:hint="eastAsia" w:ascii="仿宋" w:hAnsi="仿宋" w:eastAsia="仿宋" w:cs="仿宋"/>
          <w:b w:val="0"/>
          <w:bCs w:val="0"/>
          <w:color w:val="000000"/>
          <w:sz w:val="24"/>
          <w:szCs w:val="24"/>
          <w:highlight w:val="none"/>
          <w:u w:val="none"/>
          <w:lang w:eastAsia="zh-CN"/>
        </w:rPr>
        <w:t xml:space="preserve">：</w:t>
      </w:r>
      <w:r>
        <w:rPr>
          <w:rFonts w:hint="eastAsia" w:ascii="仿宋" w:hAnsi="仿宋" w:eastAsia="仿宋" w:cs="仿宋"/>
          <w:b w:val="0"/>
          <w:bCs w:val="0"/>
          <w:color w:val="000000"/>
          <w:sz w:val="24"/>
          <w:szCs w:val="24"/>
          <w:highlight w:val="none"/>
          <w:u w:val="none"/>
          <w:lang w:val="en-US" w:eastAsia="zh-CN"/>
        </w:rPr>
        <w:t xml:space="preserve">两年，</w:t>
      </w:r>
      <w:r>
        <w:rPr>
          <w:rFonts w:hint="eastAsia" w:ascii="仿宋" w:hAnsi="仿宋" w:eastAsia="仿宋" w:cs="仿宋"/>
          <w:sz w:val="24"/>
          <w:szCs w:val="24"/>
          <w:highlight w:val="none"/>
          <w:lang w:val="en-US" w:eastAsia="zh-CN"/>
        </w:rPr>
        <w:t xml:space="preserve">（1+1）模式，合同一年一签，第一年合同有效期从签订之日起至2026年6月30日，第二年合同有效期从2026年7月1日起至2027年6月30日。当年合同期满，经采购人验收合格后，可续签下一年合同，否则采购人有权决定不续签下年合同。</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实施地点（范围）：城市南部范围：钱资湖大道以南、江东大道以北、月湖路以西、金湖路以东。城市北部范围：东至银湖路、南至钱资湖大道、西至金湖路、北至金坛大道。</w:t>
      </w:r>
      <w:r/>
    </w:p>
    <w:p>
      <w:pPr>
        <w:ind w:left="42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2．付款条件（进度和方式）</w:t>
      </w:r>
      <w:r/>
    </w:p>
    <w:p>
      <w:pPr>
        <w:ind w:firstLine="480"/>
        <w:spacing w:line="360" w:lineRule="auto"/>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 xml:space="preserve">合同生效后，按月考核，每季度结算一次（按考核内容相关规定发生扣款的，在支付费用时扣除）。付款前乙方向甲方提供等额增值税发票。</w:t>
      </w:r>
      <w:r/>
    </w:p>
    <w:p>
      <w:pPr>
        <w:pStyle w:val="1693"/>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rPr>
        <w:t xml:space="preserve">三、技</w:t>
      </w:r>
      <w:r>
        <w:rPr>
          <w:rFonts w:hint="eastAsia" w:ascii="仿宋" w:hAnsi="仿宋" w:eastAsia="仿宋" w:cs="仿宋"/>
          <w:b/>
          <w:bCs/>
          <w:sz w:val="24"/>
          <w:szCs w:val="24"/>
          <w:highlight w:val="none"/>
          <w:lang w:val="en-US" w:eastAsia="zh-CN" w:bidi="ar-SA"/>
        </w:rPr>
        <w:t xml:space="preserve">术要求</w:t>
      </w:r>
      <w:r/>
    </w:p>
    <w:p>
      <w:pPr>
        <w:pStyle w:val="1693"/>
        <w:keepLines w:val="0"/>
        <w:keepNext w:val="0"/>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1．本作业服务量清单中的作业服务范围包括但不限于：</w:t>
      </w:r>
      <w:r/>
    </w:p>
    <w:p>
      <w:pPr>
        <w:pStyle w:val="1693"/>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val="en-US" w:eastAsia="zh-CN"/>
        </w:rPr>
        <w:t xml:space="preserve">2025年度尧塘街道城市保洁及绿化管养项目服务意向图</w:t>
      </w:r>
      <w:r/>
    </w:p>
    <w:p>
      <w:pPr>
        <w:pStyle w:val="1693"/>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mc:AlternateContent>
          <mc:Choice Requires="wpg">
            <w:drawing>
              <wp:inline xmlns:wp="http://schemas.openxmlformats.org/drawingml/2006/wordprocessingDrawing" distT="0" distB="0" distL="0" distR="0">
                <wp:extent cx="6108700" cy="4318000"/>
                <wp:effectExtent l="0" t="0" r="0" b="0"/>
                <wp:docPr id="9"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35"/>
                        <a:stretch/>
                      </pic:blipFill>
                      <pic:spPr bwMode="auto">
                        <a:xfrm>
                          <a:off x="0" y="0"/>
                          <a:ext cx="6108700" cy="431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1.0pt;height:340.0pt;mso-wrap-distance-left:0.0pt;mso-wrap-distance-top:0.0pt;mso-wrap-distance-right:0.0pt;mso-wrap-distance-bottom:0.0pt;" stroked="f">
                <v:path textboxrect="0,0,0,0"/>
                <v:imagedata r:id="rId35" o:title=""/>
              </v:shape>
            </w:pict>
          </mc:Fallback>
        </mc:AlternateConten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服务范围：城市南部范围：钱资湖大道以南、江东大道以北、月湖路以西、金湖路以东。城市北部范围：东至银湖路、南至钱资湖大道、西至金湖路、北至金坛大道。服务范围中各类风险因素的变化、合同期内道路保洁、公共厕所、河道岸坡、小微水体、垃圾房、垃圾箱、垃圾收集亭、垃圾清运、绿化养护等工作量有变化（增加或减少），合同总价不作调整，投标人在投标时综合考虑。</w:t>
      </w:r>
      <w:r/>
    </w:p>
    <w:p>
      <w:p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（2）服务内容：（本项目作业服务量清单详见附件。）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环卫保洁内容：包括但不限于（1）负责范围内环卫保洁及主要道路机械化机扫、清洗、洒水及冲洗，包括主次干道的机械化机扫、清洗、洒水及冲洗。（2）道路、人行道及公共区域人工清扫保洁（含道板）。（3）道路沿线绿化带（中分带、侧分带）、部分绿化后口、行</w:t>
      </w:r>
      <w:r>
        <w:rPr>
          <w:rFonts w:hint="eastAsia" w:ascii="仿宋" w:hAnsi="仿宋" w:eastAsia="仿宋" w:cs="仿宋"/>
          <w:sz w:val="24"/>
          <w:szCs w:val="24"/>
          <w:highlight w:val="none"/>
          <w:lang w:val="en-US" w:eastAsia="zh-CN"/>
        </w:rPr>
        <w:t xml:space="preserve">道树穴、公共绿地（含游园、慢行系统）的保洁。（4）人行道护栏保洁。（5）道路沿线花台、景观亭台、桌椅、标志杆牌等城市家具保洁（公厕、交通指示牌）等公共设施保洁。（6）分类果壳箱/垃圾桶的日常维护及维修（含更换）、箱体清洗和保洁（含消杀）、更换垃圾桶内胆、分类标识贴及二维码更新、垃圾分类收运等。（7）道路零星遗撒物清理（不包含工地周边范围由于施工原因等导致的污染）。（8）环卫公厕管理、基础维修保养及保洁，公厕内垃圾收集清运（含公厕周边3—5米范围保洁消杀及化粪池杀虫）。（9）道路沿线店铺垃圾上门收集，区域内保</w:t>
      </w:r>
      <w:r>
        <w:rPr>
          <w:rFonts w:hint="eastAsia" w:ascii="仿宋" w:hAnsi="仿宋" w:eastAsia="仿宋" w:cs="仿宋"/>
          <w:sz w:val="24"/>
          <w:szCs w:val="24"/>
          <w:highlight w:val="none"/>
          <w:lang w:val="en-US" w:eastAsia="zh-CN"/>
        </w:rPr>
        <w:t xml:space="preserve">洁垃圾与零星垃圾包的收集清运；街巷处延伸3米保洁。（10）突发灾害性天气应急保障（大气污染、冰雪天气、大面积积水处理等），需配备专业的工具，如铲雪板、撒盐机等。（11）河道两岸垃圾、杂树、杂草清除，小微水体保洁、零星乱种清理。（12）河道两侧岸坡绿地保洁。（13）保洁人员发现可视范围内“两违”，第一时间向街道城管部门汇报。（14）垃圾袋装化上门收集（含临街商铺及学校、医院等政府（事业）单位）。（15）大件垃圾、建筑垃圾等收集清运处置。（16）破损非法广告（店招）拆除（登高作业证）。（17）排口周边杂草清理。</w:t>
      </w:r>
      <w:r>
        <w:rPr>
          <w:rFonts w:hint="eastAsia" w:ascii="仿宋" w:hAnsi="仿宋" w:eastAsia="仿宋" w:cs="仿宋"/>
          <w:color w:val="auto"/>
          <w:sz w:val="24"/>
          <w:szCs w:val="24"/>
          <w:highlight w:val="none"/>
          <w:lang w:val="en-US" w:eastAsia="zh-CN"/>
        </w:rPr>
        <w:t xml:space="preserve">（18）公共停车场保洁（惠尧公司建设）。（19）城管中队公共区域及厕所保洁。（20）尧塘农贸市场保洁 ：a市场内部保洁：清扫地面、摊位、通道等区域，清理杂物、污渍。b 内部公厕清洁：冲洗便池、地面等设施，消毒除臭，补充卫生用品。c垃圾清运：分类收集清洁小屋垃圾，定时清运，清洁消杀小屋内外。</w:t>
      </w:r>
      <w:r>
        <w:rPr>
          <w:rFonts w:hint="eastAsia" w:ascii="仿宋" w:hAnsi="仿宋" w:eastAsia="仿宋" w:cs="仿宋"/>
          <w:color w:val="auto"/>
          <w:sz w:val="24"/>
          <w:szCs w:val="24"/>
          <w:highlight w:val="none"/>
          <w:lang w:val="en-US" w:eastAsia="zh-CN"/>
        </w:rPr>
        <w:t xml:space="preserve">（21）采购人要求完成的其他相关工作。</w:t>
      </w:r>
      <w:r>
        <w:rPr>
          <w:rFonts w:hint="eastAsia" w:ascii="仿宋" w:hAnsi="仿宋" w:eastAsia="仿宋" w:cs="仿宋"/>
          <w:sz w:val="24"/>
          <w:szCs w:val="24"/>
          <w:highlight w:val="none"/>
          <w:lang w:val="en-US" w:eastAsia="zh-CN"/>
        </w:rPr>
        <w:t xml:space="preserve">具体采购范围及所应达到的具体要求，以本采购文件中商务、技术和服务的相应规定为准。</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②绿化管养内容：包括但不限于面积约65000m2，乔灌木约7000株。</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作业范围：1、农民公寓东侧小广</w:t>
      </w:r>
      <w:r>
        <w:rPr>
          <w:rFonts w:hint="eastAsia" w:ascii="仿宋" w:hAnsi="仿宋" w:eastAsia="仿宋" w:cs="仿宋"/>
          <w:sz w:val="24"/>
          <w:szCs w:val="24"/>
          <w:highlight w:val="none"/>
          <w:lang w:val="en-US" w:eastAsia="zh-CN"/>
        </w:rPr>
        <w:t xml:space="preserve">场；2、亿晶大街（金武路-钱资湖大道北侧）道路两侧区域景观节点、中分带、行道树；3、北大街；4、尧塘健身广场；5、尧塘桥东侧小公园；6、赵尧路（镇北路）两侧；7、幸福路北侧；8、尧汤路（北大街-钱资湖大道）；9、育才路（亿晶大街-晴湖路）；10、尧汤路西侧紫薇口袋公园；11、府北路（星湖路-月湖路）；12、府南路；13、钱资湖大道北侧与尧塘中小学、博雅学校南侧围墙边；14、晴湖路（育才路-钱资湖大道）；15、紫薇花园南侧围墙外；16、星湖路西侧（尧夏路-钱资湖）；17、巷南小公园等，具体按甲方实际通知为准。</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养护内容：主要包括有修剪、除草、浇水、施肥、植保、松土、平整土方与开堰沟、斜树扶正与支撑（含各类支撑每年修复及保养）、树钉和捆绑附着物的清理、无偿补草籽的包括松土再播种、防寒与保暖、病虫害防治、刷白、死树杂物的清理、绿化残留物及废弃物、小型碎石块的清理和卫生保洁（含绿化边沟）、空缺地块的松土和补植、资料文档的积累、绿化现场的巡查等。不含大规模土方填筑与新增苗木，宿根花卉、黑麦草每年复播。</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③尧夏路生活垃圾转运站/易腐垃圾处理中心运行：包括但不限于日常管理、器械设备操作、站内外保洁等。具体内容详见合同条款。</w:t>
      </w:r>
      <w:r/>
    </w:p>
    <w:p>
      <w:pPr>
        <w:numPr>
          <w:ilvl w:val="0"/>
          <w:numId w:val="0"/>
        </w:numPr>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2、项目基本配置要求：</w:t>
      </w:r>
      <w:r/>
    </w:p>
    <w:p>
      <w:pPr>
        <w:numPr>
          <w:ilvl w:val="0"/>
          <w:numId w:val="0"/>
        </w:num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2.1</w:t>
      </w: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sz w:val="24"/>
          <w:szCs w:val="24"/>
          <w:highlight w:val="none"/>
          <w:lang w:val="en-US" w:eastAsia="zh-CN"/>
        </w:rPr>
        <w:t xml:space="preserve">项目人员基本配置</w:t>
      </w:r>
      <w:r/>
    </w:p>
    <w:p>
      <w:pPr>
        <w:ind w:firstLine="480"/>
        <w:jc w:val="left"/>
        <w:keepLines w:val="0"/>
        <w:keepNext w:val="0"/>
        <w:pageBreakBefore w:val="0"/>
        <w:spacing w:line="360" w:lineRule="auto"/>
        <w:widowControl w:val="off"/>
        <w:rPr>
          <w:rFonts w:hint="eastAsia"/>
          <w:lang w:val="en-US" w:eastAsia="zh-CN"/>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人员要求：至少满足68人，投标人必须严格执行国家、省、市关于用工工资标准等有关政策规定，并承担其雇员的劳动报酬、福利待遇、所有员工按劳动法缴纳社会保险、劳动保护、工伤抚恤、高温费等用人费用，承担未正确执行劳动法用工规定所产生的法律责任，维护和保障员工的合法权益。</w:t>
      </w:r>
      <w:r/>
    </w:p>
    <w:tbl>
      <w:tblPr>
        <w:tblStyle w:val="123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5"/>
        <w:gridCol w:w="5804"/>
        <w:gridCol w:w="2295"/>
      </w:tblGrid>
      <w:tr>
        <w:trPr/>
        <w:tc>
          <w:tcPr>
            <w:tcW w:w="1755" w:type="dxa"/>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序号</w:t>
            </w:r>
            <w:r/>
          </w:p>
        </w:tc>
        <w:tc>
          <w:tcPr>
            <w:tcW w:w="5804" w:type="dxa"/>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人员类别</w:t>
            </w:r>
            <w:r/>
          </w:p>
        </w:tc>
        <w:tc>
          <w:tcPr>
            <w:tcW w:w="2295" w:type="dxa"/>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人数（人）</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1</w:t>
            </w:r>
            <w:r/>
          </w:p>
        </w:tc>
        <w:tc>
          <w:tcPr>
            <w:tcW w:w="5804" w:type="dxa"/>
            <w:vAlign w:val="center"/>
            <w:textDirection w:val="lrTb"/>
            <w:noWrap w:val="false"/>
          </w:tcPr>
          <w:p>
            <w:pPr>
              <w:numPr>
                <w:ilvl w:val="0"/>
                <w:numId w:val="0"/>
              </w:numPr>
              <w:jc w:val="left"/>
              <w:keepLines w:val="0"/>
              <w:keepNext w:val="0"/>
              <w:pageBreakBefore w:val="0"/>
              <w:spacing w:after="0" w:line="360" w:lineRule="exact"/>
              <w:widowControl w:val="off"/>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sz w:val="24"/>
                <w:szCs w:val="24"/>
                <w:highlight w:val="none"/>
                <w:lang w:val="en-US" w:eastAsia="zh-CN"/>
              </w:rPr>
              <w:t xml:space="preserve">项目管理负责人（环卫保洁负责人)1名、绿化管养负责人1名。</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2</w:t>
            </w:r>
            <w:r/>
          </w:p>
        </w:tc>
      </w:tr>
      <w:tr>
        <w:trPr>
          <w:trHeight w:val="636"/>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2</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lang w:val="en-US" w:eastAsia="zh-CN"/>
              </w:rPr>
              <w:t xml:space="preserve">环卫保洁部分作业人员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45</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3</w:t>
            </w:r>
            <w:r/>
          </w:p>
        </w:tc>
        <w:tc>
          <w:tcPr>
            <w:tcW w:w="5804" w:type="dxa"/>
            <w:vAlign w:val="center"/>
            <w:textDirection w:val="lrTb"/>
            <w:noWrap w:val="false"/>
          </w:tcPr>
          <w:p>
            <w:pPr>
              <w:numPr>
                <w:ilvl w:val="0"/>
                <w:numId w:val="0"/>
              </w:numPr>
              <w:jc w:val="left"/>
              <w:keepLines w:val="0"/>
              <w:keepNext w:val="0"/>
              <w:pageBreakBefore w:val="0"/>
              <w:spacing w:after="0" w:line="36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lang w:val="en-US" w:eastAsia="zh-CN"/>
              </w:rPr>
              <w:t xml:space="preserve">运维人员（尧夏路生活垃圾转运站/易腐垃圾处理中心各2人）</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4</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4</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lang w:val="en-US" w:eastAsia="zh-CN"/>
              </w:rPr>
              <w:t xml:space="preserve">绿化管养人员作业人员</w:t>
            </w:r>
            <w:r>
              <w:rPr>
                <w:rFonts w:hint="eastAsia" w:ascii="仿宋" w:hAnsi="仿宋" w:eastAsia="仿宋" w:cs="仿宋"/>
                <w:b w:val="0"/>
                <w:bCs w:val="0"/>
                <w:color w:val="ff0000"/>
                <w:sz w:val="24"/>
                <w:szCs w:val="24"/>
                <w:highlight w:val="none"/>
                <w:lang w:val="en-US" w:eastAsia="zh-CN"/>
              </w:rPr>
              <w:t xml:space="preserve">（</w:t>
            </w:r>
            <w:r>
              <w:rPr>
                <w:rFonts w:hint="eastAsia" w:ascii="仿宋" w:hAnsi="仿宋" w:eastAsia="仿宋" w:cs="仿宋"/>
                <w:color w:val="ff0000"/>
                <w:sz w:val="24"/>
                <w:szCs w:val="24"/>
                <w:highlight w:val="none"/>
                <w:lang w:val="en-US" w:eastAsia="zh-CN"/>
              </w:rPr>
              <w:t xml:space="preserve">登高作业人员最少1名</w:t>
            </w:r>
            <w:r>
              <w:rPr>
                <w:rFonts w:hint="eastAsia" w:ascii="仿宋" w:hAnsi="仿宋" w:eastAsia="仿宋" w:cs="仿宋"/>
                <w:b w:val="0"/>
                <w:bCs w:val="0"/>
                <w:color w:val="ff0000"/>
                <w:sz w:val="24"/>
                <w:szCs w:val="24"/>
                <w:highlight w:val="none"/>
                <w:lang w:val="en-US" w:eastAsia="zh-CN"/>
              </w:rPr>
              <w:t xml:space="preserve">）</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5</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5</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3吨清扫车驾驶员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3</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6</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8吨高压冲洗洒水车驾驶员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3</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7</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8吨洗扫车驾驶员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3</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8</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3吨垃圾压缩车驾驶员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1</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9</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rPr>
              <w:t xml:space="preserve">原装</w:t>
            </w:r>
            <w:r>
              <w:rPr>
                <w:rFonts w:hint="eastAsia" w:ascii="仿宋" w:hAnsi="仿宋" w:eastAsia="仿宋" w:cs="仿宋"/>
                <w:b w:val="0"/>
                <w:bCs w:val="0"/>
                <w:color w:val="auto"/>
                <w:sz w:val="24"/>
                <w:szCs w:val="24"/>
                <w:highlight w:val="none"/>
                <w:lang w:val="en-US" w:eastAsia="zh-CN"/>
              </w:rPr>
              <w:t xml:space="preserve">洒</w:t>
            </w:r>
            <w:r>
              <w:rPr>
                <w:rFonts w:hint="eastAsia" w:ascii="仿宋" w:hAnsi="仿宋" w:eastAsia="仿宋" w:cs="仿宋"/>
                <w:sz w:val="24"/>
                <w:szCs w:val="24"/>
                <w:highlight w:val="none"/>
                <w:lang w:val="en-US" w:eastAsia="zh-CN"/>
              </w:rPr>
              <w:t xml:space="preserve">水车</w:t>
            </w:r>
            <w:r>
              <w:rPr>
                <w:rFonts w:hint="eastAsia" w:ascii="仿宋" w:hAnsi="仿宋" w:eastAsia="仿宋" w:cs="仿宋"/>
                <w:color w:val="auto"/>
                <w:sz w:val="24"/>
                <w:szCs w:val="24"/>
                <w:highlight w:val="none"/>
                <w:vertAlign w:val="baseline"/>
                <w:lang w:val="en-US" w:eastAsia="zh-CN"/>
              </w:rPr>
              <w:t xml:space="preserve">驾驶员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1</w:t>
            </w:r>
            <w:r/>
          </w:p>
        </w:tc>
      </w:tr>
      <w:tr>
        <w:trPr/>
        <w:tc>
          <w:tcPr>
            <w:tcW w:w="175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10</w:t>
            </w:r>
            <w:r/>
          </w:p>
        </w:tc>
        <w:tc>
          <w:tcPr>
            <w:tcW w:w="5804"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清运卡车</w:t>
            </w:r>
            <w:r>
              <w:rPr>
                <w:rFonts w:hint="eastAsia" w:ascii="仿宋" w:hAnsi="仿宋" w:eastAsia="仿宋" w:cs="仿宋"/>
                <w:b w:val="0"/>
                <w:bCs w:val="0"/>
                <w:color w:val="auto"/>
                <w:sz w:val="24"/>
                <w:szCs w:val="24"/>
                <w:highlight w:val="none"/>
                <w:lang w:val="en-US" w:eastAsia="zh-CN"/>
              </w:rPr>
              <w:t xml:space="preserve">或</w:t>
            </w:r>
            <w:r>
              <w:rPr>
                <w:rFonts w:hint="eastAsia" w:ascii="仿宋" w:hAnsi="仿宋" w:eastAsia="仿宋" w:cs="仿宋"/>
                <w:b w:val="0"/>
                <w:bCs w:val="0"/>
                <w:color w:val="auto"/>
                <w:sz w:val="24"/>
                <w:szCs w:val="24"/>
                <w:highlight w:val="none"/>
              </w:rPr>
              <w:t xml:space="preserve">轻型载货专项作业车</w:t>
            </w:r>
            <w:r>
              <w:rPr>
                <w:rFonts w:hint="eastAsia" w:ascii="仿宋" w:hAnsi="仿宋" w:eastAsia="仿宋" w:cs="仿宋"/>
                <w:color w:val="auto"/>
                <w:sz w:val="24"/>
                <w:szCs w:val="24"/>
                <w:highlight w:val="none"/>
                <w:vertAlign w:val="baseline"/>
                <w:lang w:val="en-US" w:eastAsia="zh-CN"/>
              </w:rPr>
              <w:t xml:space="preserve">驾驶员</w:t>
            </w:r>
            <w:r/>
          </w:p>
        </w:tc>
        <w:tc>
          <w:tcPr>
            <w:tcW w:w="2295"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1</w:t>
            </w:r>
            <w:r/>
          </w:p>
        </w:tc>
      </w:tr>
      <w:tr>
        <w:trPr/>
        <w:tc>
          <w:tcPr>
            <w:gridSpan w:val="2"/>
            <w:tcW w:w="7559" w:type="dxa"/>
            <w:textDirection w:val="lrTb"/>
            <w:noWrap w:val="false"/>
          </w:tcPr>
          <w:p>
            <w:pPr>
              <w:numPr>
                <w:ilvl w:val="0"/>
                <w:numId w:val="0"/>
              </w:numPr>
              <w:ind w:firstLine="4320"/>
              <w:jc w:val="left"/>
              <w:keepLines w:val="0"/>
              <w:keepNext w:val="0"/>
              <w:pageBreakBefore w:val="0"/>
              <w:spacing w:after="0"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合计</w:t>
            </w:r>
            <w:r/>
          </w:p>
        </w:tc>
        <w:tc>
          <w:tcPr>
            <w:tcW w:w="2295" w:type="dxa"/>
            <w:textDirection w:val="lrTb"/>
            <w:noWrap w:val="false"/>
          </w:tcPr>
          <w:p>
            <w:pPr>
              <w:numPr>
                <w:ilvl w:val="0"/>
                <w:numId w:val="0"/>
              </w:numPr>
              <w:jc w:val="center"/>
              <w:keepLines w:val="0"/>
              <w:keepNext w:val="0"/>
              <w:pageBreakBefore w:val="0"/>
              <w:spacing w:after="0" w:line="360" w:lineRule="auto"/>
              <w:widowControl w:val="off"/>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68</w:t>
            </w:r>
            <w:r/>
          </w:p>
        </w:tc>
      </w:tr>
    </w:tbl>
    <w:p>
      <w:pPr>
        <w:ind w:left="0" w:firstLine="562"/>
        <w:jc w:val="both"/>
        <w:keepLines w:val="0"/>
        <w:keepNext w:val="0"/>
        <w:pageBreakBefore w:val="0"/>
        <w:spacing w:line="360" w:lineRule="exact"/>
        <w:widowControl w:val="off"/>
        <w:rPr>
          <w:rFonts w:hint="eastAsia" w:ascii="仿宋" w:hAnsi="仿宋" w:eastAsia="仿宋" w:cs="仿宋"/>
          <w:b w:val="0"/>
          <w:bCs w:val="0"/>
          <w:sz w:val="24"/>
          <w:szCs w:val="24"/>
          <w:highlight w:val="yellow"/>
          <w:lang w:val="en-US" w:eastAsia="zh-CN" w:bidi="ar-SA"/>
        </w:rPr>
        <w:outlineLvl w:val="1"/>
      </w:pPr>
      <w:r>
        <w:rPr>
          <w:rFonts w:hint="eastAsia" w:ascii="仿宋" w:hAnsi="仿宋" w:eastAsia="仿宋" w:cs="仿宋"/>
          <w:b w:val="0"/>
          <w:bCs w:val="0"/>
          <w:sz w:val="24"/>
          <w:szCs w:val="24"/>
          <w:highlight w:val="yellow"/>
          <w:lang w:val="en-US" w:eastAsia="zh-CN" w:bidi="ar-SA"/>
        </w:rPr>
      </w:r>
      <w:r/>
    </w:p>
    <w:p>
      <w:pPr>
        <w:ind w:left="0" w:firstLine="562"/>
        <w:jc w:val="both"/>
        <w:keepLines w:val="0"/>
        <w:keepNext w:val="0"/>
        <w:pageBreakBefore w:val="0"/>
        <w:spacing w:line="360" w:lineRule="exact"/>
        <w:widowControl w:val="off"/>
        <w:rPr>
          <w:rFonts w:hint="eastAsia" w:ascii="仿宋" w:hAnsi="仿宋" w:eastAsia="仿宋" w:cs="仿宋"/>
          <w:b w:val="0"/>
          <w:bCs w:val="0"/>
          <w:sz w:val="24"/>
          <w:szCs w:val="24"/>
          <w:highlight w:val="yellow"/>
          <w:lang w:val="en-US" w:eastAsia="zh-CN" w:bidi="ar-SA"/>
        </w:rPr>
        <w:outlineLvl w:val="1"/>
      </w:pPr>
      <w:r>
        <w:rPr>
          <w:rFonts w:hint="eastAsia" w:ascii="仿宋" w:hAnsi="仿宋" w:eastAsia="仿宋" w:cs="仿宋"/>
          <w:b w:val="0"/>
          <w:bCs w:val="0"/>
          <w:sz w:val="24"/>
          <w:szCs w:val="24"/>
          <w:highlight w:val="yellow"/>
          <w:lang w:val="en-US" w:eastAsia="zh-CN" w:bidi="ar-SA"/>
        </w:rPr>
        <w:t xml:space="preserve"> 注：（1）提供《项目人员配置表》（格式自拟）及承诺函（承诺满足劳动力数量配备最低要求），并上传至符合条件模块中，否则作无效投标文件处理。</w:t>
      </w:r>
      <w:r/>
    </w:p>
    <w:p>
      <w:pPr>
        <w:ind w:firstLine="482"/>
        <w:jc w:val="left"/>
        <w:keepLines w:val="0"/>
        <w:keepNext w:val="0"/>
        <w:pageBreakBefore w:val="0"/>
        <w:spacing w:line="360" w:lineRule="exact"/>
        <w:widowControl w:val="off"/>
        <w:rPr>
          <w:rFonts w:hint="eastAsia" w:ascii="仿宋" w:hAnsi="仿宋" w:eastAsia="仿宋" w:cs="仿宋"/>
          <w:b w:val="0"/>
          <w:bCs w:val="0"/>
          <w:sz w:val="24"/>
          <w:szCs w:val="24"/>
          <w:highlight w:val="yellow"/>
          <w:lang w:val="en-US" w:eastAsia="zh-CN" w:bidi="ar-SA"/>
        </w:rPr>
      </w:pPr>
      <w:r>
        <w:rPr>
          <w:rFonts w:hint="eastAsia" w:ascii="仿宋" w:hAnsi="仿宋" w:eastAsia="仿宋" w:cs="仿宋"/>
          <w:b w:val="0"/>
          <w:bCs w:val="0"/>
          <w:sz w:val="24"/>
          <w:szCs w:val="24"/>
          <w:highlight w:val="yellow"/>
          <w:lang w:val="en-US" w:eastAsia="zh-CN" w:bidi="ar-SA"/>
        </w:rPr>
        <w:t xml:space="preserve">（2）提供投标人为管理负责人（环卫保洁负责人)、绿化管养负责人缴纳的近半年（投标截止之日往前推）任意一个月的社保缴纳凭证。</w:t>
      </w:r>
      <w:r/>
    </w:p>
    <w:p>
      <w:pPr>
        <w:ind w:firstLine="422"/>
        <w:jc w:val="both"/>
        <w:keepLines w:val="0"/>
        <w:keepNext w:val="0"/>
        <w:pageBreakBefore w:val="0"/>
        <w:spacing w:line="36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作业人员涉及高空登高作业的，登高作业人员需具备应急部门颁发有效的作业类别含高处作业的证件；涉及到带电维修作业的，维修作业人员需具备电工证；涉及到其他特殊作业的，作业人员均需具备相关的上岗证件。</w:t>
      </w:r>
      <w:r/>
    </w:p>
    <w:p>
      <w:pPr>
        <w:ind w:firstLine="422"/>
        <w:jc w:val="both"/>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color w:val="auto"/>
          <w:sz w:val="24"/>
          <w:szCs w:val="24"/>
          <w:lang w:val="en-US" w:eastAsia="zh-CN"/>
        </w:rPr>
        <w:t xml:space="preserve">2.2 </w:t>
      </w: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sz w:val="24"/>
          <w:szCs w:val="24"/>
          <w:highlight w:val="none"/>
          <w:lang w:val="en-US" w:eastAsia="zh-CN"/>
        </w:rPr>
        <w:t xml:space="preserve">作业</w:t>
      </w:r>
      <w:r>
        <w:rPr>
          <w:rFonts w:hint="eastAsia" w:ascii="仿宋" w:hAnsi="仿宋" w:eastAsia="仿宋" w:cs="仿宋"/>
          <w:b/>
          <w:bCs/>
          <w:color w:val="auto"/>
          <w:sz w:val="24"/>
          <w:szCs w:val="24"/>
          <w:lang w:val="en-US" w:eastAsia="zh-CN"/>
        </w:rPr>
        <w:t xml:space="preserve">车辆/装备</w:t>
      </w:r>
      <w:r>
        <w:rPr>
          <w:rFonts w:hint="eastAsia" w:ascii="仿宋" w:hAnsi="仿宋" w:eastAsia="仿宋" w:cs="仿宋"/>
          <w:b/>
          <w:bCs/>
          <w:sz w:val="24"/>
          <w:szCs w:val="24"/>
          <w:highlight w:val="none"/>
          <w:lang w:val="en-US" w:eastAsia="zh-CN"/>
        </w:rPr>
        <w:t xml:space="preserve">配置表</w:t>
      </w:r>
      <w:r/>
    </w:p>
    <w:tbl>
      <w:tblPr>
        <w:tblStyle w:val="123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2520"/>
        <w:gridCol w:w="1155"/>
        <w:gridCol w:w="2595"/>
        <w:gridCol w:w="1243"/>
      </w:tblGrid>
      <w:tr>
        <w:trPr>
          <w:jc w:val="center"/>
          <w:trHeight w:val="643"/>
        </w:trPr>
        <w:tc>
          <w:tcPr>
            <w:tcW w:w="233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分类</w:t>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eastAsia="zh-CN"/>
              </w:rPr>
              <w:suppressLineNumbers w:val="0"/>
            </w:pPr>
            <w:r>
              <w:rPr>
                <w:rFonts w:hint="eastAsia" w:ascii="仿宋" w:hAnsi="仿宋" w:eastAsia="仿宋" w:cs="仿宋"/>
                <w:color w:val="auto"/>
                <w:sz w:val="24"/>
                <w:szCs w:val="24"/>
                <w:highlight w:val="none"/>
                <w:vertAlign w:val="baseline"/>
                <w:lang w:val="en-US" w:eastAsia="zh-CN"/>
              </w:rPr>
              <w:t xml:space="preserve">车辆名称</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eastAsia="zh-CN"/>
              </w:rPr>
              <w:suppressLineNumbers w:val="0"/>
            </w:pPr>
            <w:r>
              <w:rPr>
                <w:rFonts w:hint="eastAsia" w:ascii="仿宋" w:hAnsi="仿宋" w:eastAsia="仿宋" w:cs="仿宋"/>
                <w:color w:val="auto"/>
                <w:sz w:val="24"/>
                <w:szCs w:val="24"/>
                <w:highlight w:val="none"/>
                <w:vertAlign w:val="baseline"/>
                <w:lang w:val="en-US" w:eastAsia="zh-CN"/>
              </w:rPr>
              <w:t xml:space="preserve">数量</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eastAsia="zh-CN"/>
              </w:rPr>
              <w:suppressLineNumbers w:val="0"/>
            </w:pPr>
            <w:r>
              <w:rPr>
                <w:rFonts w:hint="eastAsia" w:ascii="仿宋" w:hAnsi="仿宋" w:eastAsia="仿宋" w:cs="仿宋"/>
                <w:color w:val="auto"/>
                <w:sz w:val="24"/>
                <w:szCs w:val="24"/>
                <w:highlight w:val="none"/>
                <w:vertAlign w:val="baseline"/>
                <w:lang w:val="en-US" w:eastAsia="zh-CN"/>
              </w:rPr>
              <w:t xml:space="preserve">车辆/设备配置</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default"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备注</w:t>
            </w:r>
            <w:r/>
          </w:p>
        </w:tc>
      </w:tr>
      <w:tr>
        <w:trPr>
          <w:jc w:val="center"/>
          <w:trHeight w:val="746"/>
        </w:trPr>
        <w:tc>
          <w:tcPr>
            <w:tcW w:w="2339"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color w:val="auto"/>
                <w:sz w:val="24"/>
                <w:szCs w:val="24"/>
                <w:highlight w:val="none"/>
                <w:vertAlign w:val="baseline"/>
                <w:lang w:val="en-US" w:eastAsia="zh-CN"/>
              </w:rPr>
              <w:t xml:space="preserve">1、环卫保洁</w:t>
            </w:r>
            <w:r>
              <w:rPr>
                <w:rFonts w:hint="eastAsia" w:ascii="仿宋" w:hAnsi="仿宋" w:eastAsia="仿宋" w:cs="仿宋"/>
                <w:color w:val="auto"/>
                <w:sz w:val="24"/>
                <w:szCs w:val="24"/>
                <w:highlight w:val="none"/>
                <w:vertAlign w:val="baseline"/>
              </w:rPr>
              <w:t xml:space="preserve">车辆/装备配置</w:t>
            </w:r>
            <w:r/>
          </w:p>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3吨清扫车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3辆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985"/>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8吨高压冲洗洒水车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3辆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698"/>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8吨洗扫车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3辆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728"/>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3吨垃圾压缩车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Cs/>
                <w:sz w:val="24"/>
                <w:szCs w:val="24"/>
              </w:rPr>
              <w:suppressLineNumbers w:val="0"/>
            </w:pPr>
            <w:r>
              <w:rPr>
                <w:rFonts w:hint="eastAsia" w:ascii="仿宋" w:hAnsi="仿宋" w:eastAsia="仿宋" w:cs="仿宋"/>
                <w:bCs/>
                <w:sz w:val="24"/>
                <w:szCs w:val="24"/>
              </w:rPr>
            </w:r>
            <w:r/>
          </w:p>
        </w:tc>
      </w:tr>
      <w:tr>
        <w:trPr>
          <w:jc w:val="center"/>
          <w:trHeight w:val="835"/>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1.5吨电动垃圾收运车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6辆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648"/>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电动保洁车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15辆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892"/>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小型电瓶高压冲洗车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2辆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623"/>
        </w:trPr>
        <w:tc>
          <w:tcPr>
            <w:tcW w:w="2339"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2、绿化管养</w:t>
            </w:r>
            <w:r>
              <w:rPr>
                <w:rFonts w:hint="eastAsia" w:ascii="仿宋" w:hAnsi="仿宋" w:eastAsia="仿宋" w:cs="仿宋"/>
                <w:color w:val="auto"/>
                <w:sz w:val="24"/>
                <w:szCs w:val="24"/>
                <w:highlight w:val="none"/>
                <w:vertAlign w:val="baseline"/>
              </w:rPr>
              <w:t xml:space="preserve">车辆/装备配置</w:t>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原装</w:t>
            </w:r>
            <w:r>
              <w:rPr>
                <w:rFonts w:hint="eastAsia" w:ascii="仿宋" w:hAnsi="仿宋" w:eastAsia="仿宋" w:cs="仿宋"/>
                <w:b w:val="0"/>
                <w:bCs w:val="0"/>
                <w:color w:val="auto"/>
                <w:sz w:val="24"/>
                <w:szCs w:val="24"/>
                <w:highlight w:val="none"/>
                <w:lang w:val="en-US" w:eastAsia="zh-CN"/>
              </w:rPr>
              <w:t xml:space="preserve">洒</w:t>
            </w:r>
            <w:r>
              <w:rPr>
                <w:rFonts w:hint="eastAsia" w:ascii="仿宋" w:hAnsi="仿宋" w:eastAsia="仿宋" w:cs="仿宋"/>
                <w:sz w:val="24"/>
                <w:szCs w:val="24"/>
                <w:highlight w:val="none"/>
                <w:lang w:val="en-US" w:eastAsia="zh-CN"/>
              </w:rPr>
              <w:t xml:space="preserve">水车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513"/>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登高车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806"/>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清运卡车</w:t>
            </w:r>
            <w:r>
              <w:rPr>
                <w:rFonts w:hint="eastAsia" w:ascii="仿宋" w:hAnsi="仿宋" w:eastAsia="仿宋" w:cs="仿宋"/>
                <w:b w:val="0"/>
                <w:bCs w:val="0"/>
                <w:color w:val="auto"/>
                <w:sz w:val="24"/>
                <w:szCs w:val="24"/>
                <w:highlight w:val="none"/>
                <w:lang w:val="en-US" w:eastAsia="zh-CN"/>
              </w:rPr>
              <w:t xml:space="preserve">或</w:t>
            </w:r>
            <w:r>
              <w:rPr>
                <w:rFonts w:hint="eastAsia" w:ascii="仿宋" w:hAnsi="仿宋" w:eastAsia="仿宋" w:cs="仿宋"/>
                <w:b w:val="0"/>
                <w:bCs w:val="0"/>
                <w:color w:val="auto"/>
                <w:sz w:val="24"/>
                <w:szCs w:val="24"/>
                <w:highlight w:val="none"/>
              </w:rPr>
              <w:t xml:space="preserve">轻型载货专项作业车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547"/>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背负式鼓风机</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2台</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500"/>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打药机</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1台</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bl>
    <w:p>
      <w:pPr>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yellow"/>
          <w:lang w:val="en-US" w:eastAsia="zh-CN"/>
        </w:rPr>
      </w:pPr>
      <w:r>
        <w:rPr>
          <w:rFonts w:hint="eastAsia" w:ascii="仿宋" w:hAnsi="仿宋" w:eastAsia="仿宋" w:cs="仿宋"/>
          <w:b/>
          <w:bCs/>
          <w:color w:val="auto"/>
          <w:sz w:val="24"/>
          <w:szCs w:val="24"/>
          <w:highlight w:val="yellow"/>
          <w:lang w:val="en-US" w:eastAsia="zh-CN"/>
        </w:rPr>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b/>
          <w:bCs/>
          <w:color w:val="auto"/>
          <w:sz w:val="24"/>
          <w:szCs w:val="24"/>
          <w:highlight w:val="yellow"/>
          <w:lang w:val="en-US" w:eastAsia="zh-CN"/>
        </w:rPr>
        <w:t xml:space="preserve">特别注意：</w:t>
      </w:r>
      <w:r>
        <w:rPr>
          <w:rFonts w:hint="eastAsia" w:ascii="仿宋" w:hAnsi="仿宋" w:eastAsia="仿宋" w:cs="仿宋"/>
          <w:color w:val="auto"/>
          <w:sz w:val="24"/>
          <w:szCs w:val="24"/>
          <w:highlight w:val="yellow"/>
          <w:lang w:val="en-US" w:eastAsia="zh-CN"/>
        </w:rPr>
        <w:t xml:space="preserve">①所有车辆仅用于本项目作业使用，不另做它用；②后续管理中车辆自费安装GPS并接入采购人信息化管理。</w:t>
      </w:r>
      <w:r/>
    </w:p>
    <w:p>
      <w:pPr>
        <w:ind w:firstLine="482"/>
        <w:jc w:val="left"/>
        <w:keepLines w:val="0"/>
        <w:keepNext w:val="0"/>
        <w:pageBreakBefore w:val="0"/>
        <w:spacing w:line="360" w:lineRule="auto"/>
        <w:widowControl w:val="off"/>
        <w:rPr>
          <w:rFonts w:hint="eastAsia" w:ascii="仿宋" w:hAnsi="仿宋" w:eastAsia="仿宋" w:cs="仿宋"/>
          <w:b w:val="0"/>
          <w:bCs w:val="0"/>
          <w:color w:val="auto"/>
          <w:sz w:val="24"/>
          <w:szCs w:val="24"/>
          <w:highlight w:val="yellow"/>
          <w:u w:val="none"/>
          <w:lang w:val="en-US" w:eastAsia="zh-CN" w:bidi="ar-SA"/>
        </w:rPr>
      </w:pPr>
      <w:r>
        <w:rPr>
          <w:rFonts w:hint="eastAsia" w:ascii="仿宋" w:hAnsi="仿宋" w:eastAsia="仿宋" w:cs="仿宋"/>
          <w:b w:val="0"/>
          <w:bCs w:val="0"/>
          <w:color w:val="auto"/>
          <w:sz w:val="24"/>
          <w:szCs w:val="24"/>
          <w:highlight w:val="yellow"/>
          <w:lang w:val="en-US" w:eastAsia="zh-CN"/>
        </w:rPr>
        <w:t xml:space="preserve">②</w:t>
      </w:r>
      <w:r>
        <w:rPr>
          <w:rFonts w:hint="eastAsia" w:ascii="仿宋" w:hAnsi="仿宋" w:eastAsia="仿宋" w:cs="仿宋"/>
          <w:b w:val="0"/>
          <w:bCs w:val="0"/>
          <w:color w:val="auto"/>
          <w:sz w:val="24"/>
          <w:szCs w:val="24"/>
          <w:highlight w:val="yellow"/>
          <w:u w:val="none"/>
          <w:lang w:val="en-US" w:eastAsia="zh-CN" w:bidi="ar-SA"/>
        </w:rPr>
        <w:t xml:space="preserve">提供《车辆/装备配置表》及车辆/装备的相关证明材料，并上传至符合条件模块中，否则作无效投标文件处理：（1）</w:t>
      </w:r>
      <w:r>
        <w:rPr>
          <w:rFonts w:hint="eastAsia" w:ascii="仿宋" w:hAnsi="仿宋" w:eastAsia="仿宋" w:cs="仿宋"/>
          <w:color w:val="auto"/>
          <w:sz w:val="24"/>
          <w:szCs w:val="24"/>
          <w:highlight w:val="yellow"/>
          <w:vertAlign w:val="baseline"/>
          <w:lang w:val="en-US" w:eastAsia="zh-CN"/>
        </w:rPr>
        <w:t xml:space="preserve">3吨清扫车、3吨清扫车、8吨洗扫车、3吨垃圾压缩车、</w:t>
      </w:r>
      <w:r>
        <w:rPr>
          <w:rFonts w:hint="eastAsia" w:ascii="仿宋" w:hAnsi="仿宋" w:eastAsia="仿宋" w:cs="仿宋"/>
          <w:b w:val="0"/>
          <w:bCs w:val="0"/>
          <w:color w:val="auto"/>
          <w:sz w:val="24"/>
          <w:szCs w:val="24"/>
          <w:highlight w:val="yellow"/>
        </w:rPr>
        <w:t xml:space="preserve">原装</w:t>
      </w:r>
      <w:r>
        <w:rPr>
          <w:rFonts w:hint="eastAsia" w:ascii="仿宋" w:hAnsi="仿宋" w:eastAsia="仿宋" w:cs="仿宋"/>
          <w:b w:val="0"/>
          <w:bCs w:val="0"/>
          <w:color w:val="auto"/>
          <w:sz w:val="24"/>
          <w:szCs w:val="24"/>
          <w:highlight w:val="yellow"/>
          <w:lang w:val="en-US" w:eastAsia="zh-CN"/>
        </w:rPr>
        <w:t xml:space="preserve">洒</w:t>
      </w:r>
      <w:r>
        <w:rPr>
          <w:rFonts w:hint="eastAsia" w:ascii="仿宋" w:hAnsi="仿宋" w:eastAsia="仿宋" w:cs="仿宋"/>
          <w:color w:val="auto"/>
          <w:sz w:val="24"/>
          <w:szCs w:val="24"/>
          <w:highlight w:val="yellow"/>
          <w:lang w:val="en-US" w:eastAsia="zh-CN"/>
        </w:rPr>
        <w:t xml:space="preserve">水车、</w:t>
      </w:r>
      <w:r>
        <w:rPr>
          <w:rFonts w:hint="eastAsia" w:ascii="仿宋" w:hAnsi="仿宋" w:eastAsia="仿宋" w:cs="仿宋"/>
          <w:b w:val="0"/>
          <w:bCs w:val="0"/>
          <w:color w:val="auto"/>
          <w:sz w:val="24"/>
          <w:szCs w:val="24"/>
          <w:highlight w:val="yellow"/>
        </w:rPr>
        <w:t xml:space="preserve">登高车</w:t>
      </w:r>
      <w:r>
        <w:rPr>
          <w:rFonts w:hint="eastAsia" w:ascii="仿宋" w:hAnsi="仿宋" w:eastAsia="仿宋" w:cs="仿宋"/>
          <w:b w:val="0"/>
          <w:bCs w:val="0"/>
          <w:color w:val="auto"/>
          <w:sz w:val="24"/>
          <w:szCs w:val="24"/>
          <w:highlight w:val="yellow"/>
          <w:lang w:eastAsia="zh-CN"/>
        </w:rPr>
        <w:t xml:space="preserve">、</w:t>
      </w:r>
      <w:r>
        <w:rPr>
          <w:rFonts w:hint="eastAsia" w:ascii="仿宋" w:hAnsi="仿宋" w:eastAsia="仿宋" w:cs="仿宋"/>
          <w:b w:val="0"/>
          <w:bCs w:val="0"/>
          <w:color w:val="auto"/>
          <w:sz w:val="24"/>
          <w:szCs w:val="24"/>
          <w:highlight w:val="yellow"/>
        </w:rPr>
        <w:t xml:space="preserve">清运卡车</w:t>
      </w:r>
      <w:r>
        <w:rPr>
          <w:rFonts w:hint="eastAsia" w:ascii="仿宋" w:hAnsi="仿宋" w:eastAsia="仿宋" w:cs="仿宋"/>
          <w:b w:val="0"/>
          <w:bCs w:val="0"/>
          <w:color w:val="auto"/>
          <w:sz w:val="24"/>
          <w:szCs w:val="24"/>
          <w:highlight w:val="yellow"/>
          <w:lang w:val="en-US" w:eastAsia="zh-CN"/>
        </w:rPr>
        <w:t xml:space="preserve">或</w:t>
      </w:r>
      <w:r>
        <w:rPr>
          <w:rFonts w:hint="eastAsia" w:ascii="仿宋" w:hAnsi="仿宋" w:eastAsia="仿宋" w:cs="仿宋"/>
          <w:b w:val="0"/>
          <w:bCs w:val="0"/>
          <w:color w:val="auto"/>
          <w:sz w:val="24"/>
          <w:szCs w:val="24"/>
          <w:highlight w:val="yellow"/>
        </w:rPr>
        <w:t xml:space="preserve">轻型载货专项作业车</w:t>
      </w:r>
      <w:r>
        <w:rPr>
          <w:rFonts w:hint="eastAsia" w:ascii="仿宋" w:hAnsi="仿宋" w:eastAsia="仿宋" w:cs="仿宋"/>
          <w:b w:val="0"/>
          <w:bCs w:val="0"/>
          <w:color w:val="auto"/>
          <w:sz w:val="24"/>
          <w:szCs w:val="24"/>
          <w:highlight w:val="yellow"/>
          <w:u w:val="none"/>
          <w:lang w:val="en-US" w:eastAsia="zh-CN" w:bidi="ar-SA"/>
        </w:rPr>
        <w:t xml:space="preserve">自有的须提供：车辆照片、行驶证、购置发票材料（如不能提供购置发票的则需提供购销合同材料）、体现车辆参数的相关证明材料。车辆租赁的须提供：车辆照片、行驶证、租赁合同(租赁期限需满足项目服务期限)材料、体现车辆参数的相关证明材料。（2）</w:t>
      </w:r>
      <w:r>
        <w:rPr>
          <w:rFonts w:hint="eastAsia" w:ascii="仿宋" w:hAnsi="仿宋" w:eastAsia="仿宋" w:cs="仿宋"/>
          <w:color w:val="auto"/>
          <w:sz w:val="24"/>
          <w:szCs w:val="24"/>
          <w:highlight w:val="yellow"/>
          <w:vertAlign w:val="baseline"/>
          <w:lang w:val="en-US" w:eastAsia="zh-CN"/>
        </w:rPr>
        <w:t xml:space="preserve">1.5吨电动垃圾收运车、电动保洁车、小型电瓶高压冲洗车、</w:t>
      </w:r>
      <w:r>
        <w:rPr>
          <w:rFonts w:hint="eastAsia" w:ascii="仿宋" w:hAnsi="仿宋" w:eastAsia="仿宋" w:cs="仿宋"/>
          <w:b w:val="0"/>
          <w:bCs w:val="0"/>
          <w:color w:val="auto"/>
          <w:sz w:val="24"/>
          <w:szCs w:val="24"/>
          <w:highlight w:val="yellow"/>
        </w:rPr>
        <w:t xml:space="preserve">背负式鼓风机</w:t>
      </w:r>
      <w:r>
        <w:rPr>
          <w:rFonts w:hint="eastAsia" w:ascii="仿宋" w:hAnsi="仿宋" w:eastAsia="仿宋" w:cs="仿宋"/>
          <w:b w:val="0"/>
          <w:bCs w:val="0"/>
          <w:color w:val="auto"/>
          <w:sz w:val="24"/>
          <w:szCs w:val="24"/>
          <w:highlight w:val="yellow"/>
          <w:lang w:eastAsia="zh-CN"/>
        </w:rPr>
        <w:t xml:space="preserve">、</w:t>
      </w:r>
      <w:r>
        <w:rPr>
          <w:rFonts w:hint="eastAsia" w:ascii="仿宋" w:hAnsi="仿宋" w:eastAsia="仿宋" w:cs="仿宋"/>
          <w:b w:val="0"/>
          <w:bCs w:val="0"/>
          <w:color w:val="auto"/>
          <w:sz w:val="24"/>
          <w:szCs w:val="24"/>
          <w:highlight w:val="yellow"/>
        </w:rPr>
        <w:t xml:space="preserve">打药机</w:t>
      </w:r>
      <w:r>
        <w:rPr>
          <w:rFonts w:hint="eastAsia" w:ascii="仿宋" w:hAnsi="仿宋" w:eastAsia="仿宋" w:cs="仿宋"/>
          <w:b w:val="0"/>
          <w:bCs w:val="0"/>
          <w:color w:val="auto"/>
          <w:sz w:val="24"/>
          <w:szCs w:val="24"/>
          <w:highlight w:val="yellow"/>
          <w:u w:val="none"/>
          <w:lang w:val="en-US" w:eastAsia="zh-CN" w:bidi="ar-SA"/>
        </w:rPr>
        <w:t xml:space="preserve">自有的须提供：车辆/装备照片、购置发票材料（如不能提供购置发票的则需提供购销合同材料）。租赁的须提供：车辆/装备照片、租赁合同(租赁期限需满足项目服务期限)材料。不提供或提供不符合采购文件要求的，作无效投标文件处理。</w:t>
      </w:r>
      <w:r/>
    </w:p>
    <w:p>
      <w:pPr>
        <w:ind w:firstLine="422"/>
        <w:keepLines w:val="0"/>
        <w:keepNext w:val="0"/>
        <w:pageBreakBefore w:val="0"/>
        <w:spacing w:line="420" w:lineRule="atLeast"/>
        <w:widowControl w:val="off"/>
        <w:rPr>
          <w:rFonts w:hint="eastAsia" w:ascii="仿宋" w:hAnsi="仿宋" w:eastAsia="仿宋" w:cs="仿宋"/>
          <w:b/>
          <w:bCs/>
          <w:color w:val="auto"/>
          <w:sz w:val="24"/>
          <w:szCs w:val="24"/>
          <w:highlight w:val="yellow"/>
          <w:lang w:val="en-US" w:eastAsia="zh-CN"/>
        </w:rPr>
      </w:pPr>
      <w:r>
        <w:rPr>
          <w:rFonts w:hint="eastAsia" w:ascii="仿宋" w:hAnsi="仿宋" w:eastAsia="仿宋" w:cs="仿宋"/>
          <w:b w:val="0"/>
          <w:bCs w:val="0"/>
          <w:color w:val="auto"/>
          <w:sz w:val="24"/>
          <w:szCs w:val="24"/>
          <w:highlight w:val="yellow"/>
          <w:u w:val="none"/>
          <w:lang w:val="en-US" w:eastAsia="zh-CN" w:bidi="ar-SA"/>
        </w:rPr>
        <w:t xml:space="preserve">以上所有标注★号的为实质性要求不能负偏离，须按照要求在符合条件模块提供证明材料扫描件（或照片），否则不满足《符合性审查要求》，作无效投标文件处理。</w:t>
      </w:r>
      <w:r/>
    </w:p>
    <w:p>
      <w:pPr>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3、服务标准：</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1、参考《常州市城市道路环卫作业管理办法》、《金坛城区环卫作业服务要求（2023版）》、《金坛区城区环卫作业质量考核办法（202</w:t>
      </w:r>
      <w:r>
        <w:rPr>
          <w:rFonts w:hint="eastAsia" w:ascii="仿宋" w:hAnsi="仿宋" w:eastAsia="仿宋" w:cs="仿宋"/>
          <w:color w:val="auto"/>
          <w:sz w:val="24"/>
          <w:szCs w:val="24"/>
          <w:highlight w:val="none"/>
          <w:lang w:val="en-US" w:eastAsia="zh-CN"/>
        </w:rPr>
        <w:t xml:space="preserve">3版）》、《金坛市农村小型水利工程长效管护考核办法（试行）》、《公路保洁质量标准与作业规范》、《金坛区绿地养护内容及操作要求》、《常州市城市绿化植物养护管理技术规范》、《常州市城市绿地养护分级管理质量标准》、《常州市金坛区园林绿化养护作业管理考核细则（试行）》、《金坛区绿化养护月历》、《关于养护区域各类垃圾清理、运输、倾倒的要求》、《《常州市城市绿化专项考核实施方案》的通知（常城管委办2023 7号）》、《关于《常州市城市绿化专项考核实施方案》的补充通知》、《关于加强口袋公园长效综合管理工作的通知》等执行。</w:t>
      </w:r>
      <w:r/>
    </w:p>
    <w:p>
      <w:pPr>
        <w:ind w:firstLine="48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2、绿地养护标准：达到金坛区城市绿地养护分级管理质量标准三级绿地养护要求；管护质量要求：植物保存率98%，避免发生草荒、病虫灾、旱灾、涝灾等。</w:t>
      </w:r>
      <w:r>
        <w:rPr>
          <w:rFonts w:hint="eastAsia" w:ascii="仿宋" w:hAnsi="仿宋" w:eastAsia="仿宋" w:cs="仿宋"/>
          <w:color w:val="auto"/>
          <w:sz w:val="24"/>
          <w:szCs w:val="24"/>
          <w:highlight w:val="none"/>
        </w:rPr>
        <w:t xml:space="preserve">养护工作分为基本工作项目和定期工作项目两部分。基本工作包含但不限于浇水、绿化垃圾清理、防风防汛、病虫害防治、除草和修剪等；定期工作包含但不限于全面修剪整形、施肥、除草和全面病虫害防治、土壤改良、冬季植物保护等内容。养护频次：每周至少养护四次，夏季高温期每天浇水（另根据现场实际需求增加养护）。网格范围内城市道路、游园绿化及过境省道两侧绿化、绿地养护及网格内公共区域行道树管理。</w:t>
      </w:r>
      <w:r/>
    </w:p>
    <w:p>
      <w:pPr>
        <w:ind w:firstLine="482"/>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常州市城市绿地（行道树）养护分级管理质量标准</w:t>
      </w:r>
      <w:r/>
    </w:p>
    <w:tbl>
      <w:tblPr>
        <w:tblStyle w:val="1220"/>
        <w:tblW w:w="9854" w:type="dxa"/>
        <w:tblInd w:w="0" w:type="dxa"/>
        <w:tblLayout w:type="fixed"/>
        <w:tblCellMar>
          <w:left w:w="0" w:type="dxa"/>
          <w:top w:w="0" w:type="dxa"/>
          <w:right w:w="0" w:type="dxa"/>
          <w:bottom w:w="0" w:type="dxa"/>
        </w:tblCellMar>
        <w:tblLook w:val="04A0" w:firstRow="1" w:lastRow="0" w:firstColumn="1" w:lastColumn="0" w:noHBand="0" w:noVBand="1"/>
      </w:tblPr>
      <w:tblGrid>
        <w:gridCol w:w="324"/>
        <w:gridCol w:w="565"/>
        <w:gridCol w:w="2557"/>
        <w:gridCol w:w="2259"/>
        <w:gridCol w:w="1131"/>
        <w:gridCol w:w="1135"/>
        <w:gridCol w:w="1883"/>
      </w:tblGrid>
      <w:tr>
        <w:trPr>
          <w:trHeight w:val="292"/>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89"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管护类别</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一级管护绿地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二级管护绿地</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三级管护绿地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四级管护绿地</w:t>
            </w:r>
            <w:r/>
          </w:p>
        </w:tc>
      </w:tr>
      <w:tr>
        <w:trPr>
          <w:trHeight w:val="34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24" w:type="dxa"/>
            <w:vAlign w:val="center"/>
            <w:vMerge w:val="restart"/>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园林</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植物</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管护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乔木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生长健壮，树冠完整，树形优美。分枝点合适，无枯枝死杈；主侧枝分布匀称、数量适宜；修剪及时、合理，内膛不乱，通风透光。树木不歪斜（造型树木除外）。叶片大小、颜色正常，无黄叶、焦叶、卷叶。无缺株、死株。无可视的病虫危害症状，被害株率≤2%，地下害虫≤2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top"/>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生长正常，树冠完整，树形较优美。</w:t>
            </w:r>
            <w:r/>
          </w:p>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top"/>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生长正常，树冠完整。无明显枯枝死杈；主侧枝分布匀称、数量较适宜；修剪合理；树木无明显歪斜（造型树木除外）。叶片大小、颜色正常，有黄叶、焦叶和卷叶的株数不超过10%，正常叶片保存率在85%以上。无明显枯死株。无明显可视的病虫危害症状，被害株率≤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有完整景观效果。无明显枯枝死杈；修剪合理；树木无明显歪斜（造型树木除外）。叶片大小、颜色正常，有黄叶、蕉叶和卷叶的株树不超过15%，正常叶片保存率在80%以上。</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行道树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树形完整、树冠舒展，分枝点偏差在正负10cm内；保留3级及以上分枝，长势良好，无徒长枝、病虫枝、交叉枝、重叠枝、下垂枝、扭伤枝、萌蘖枝、枯枝以及烂头等。树穴有平整盖板或种植地被植物、覆盖植物树皮碎屑，黄土不裸露，树穴设施完好。补植的行道树品种与原行道树一致，规格适宜，一般为：落叶树种的胸径在15cm以下，常绿树种的胸径在12cm以下。无可视的病虫危害症状，被害株率≤2%，地下害虫≤2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树形、树冠舒展，分枝点偏差在正负20cm内；保留2级及以上分枝，长势良好，无明显徒长枝、病虫枝、交叉枝、重叠枝、下垂枝、扭伤枝、枯枝和烂头以及萌蘖枝等。补植的行道树品种与原行道树一致，规格适宜，一般为：落叶树种的胸径在15cm以下，常绿树种的胸径在12cm以下。基本无可视的病虫危害症状，被害株率≤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树形、树冠舒展，分枝点偏差在正负30cm内；保留1级及以上分枝，长势良好，无明显徒长枝、病虫枝、交叉枝、重叠枝、下垂枝、扭伤枝、枯枝和烂头以及萌蘖枝等。补植的行道树品种与原行道树一致，规格适宜，一般为：落叶树种的胸径在15cm以下，常绿树种的胸径在12cm以下。无明显可视的病虫危害症状，被害株率≤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树形、树冠舒展，分枝点偏差在正负40cm内；长势良好，无明显徒长枝、病虫枝、交叉枝、重叠枝、下垂枝、扭伤枝、枯枝和烂头以及萌蘖枝等。补植的行道树规格适宜，一般为：落叶树种的胸径在15cm以下，常绿树种的胸径在12cm以下。无明显可视的病虫危害症状。</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花</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灌</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花灌木株形丰满，枝叶茂密，开花适时，花后修剪及时合理。无可视的病虫危害症状，被害株率≤2%，地下害虫≤2头/㎡。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花灌木株形丰满，开花适时，花后修剪及时合理。基本无可视的病虫危害症状，被害株率≤5%。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花灌木开花适时，花后能够进行修剪。</w:t>
            </w:r>
            <w:r/>
          </w:p>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病虫害防治较及时，被害株率≤10%。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花灌木开花适时。病虫害防治较及时。</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t xml:space="preserve">古树</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名木</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965"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古树名木按照国家、省相关要求进行养护，各项养护管理措施到位，植株生长正常，状态良好。</w:t>
            </w:r>
            <w:r/>
          </w:p>
        </w:tc>
      </w:tr>
      <w:tr>
        <w:trPr>
          <w:trHeight w:val="34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4" w:type="dxa"/>
            <w:vAlign w:val="center"/>
            <w:vMerge w:val="restart"/>
            <w:textDirection w:val="lrTb"/>
            <w:noWrap w:val="false"/>
          </w:tcPr>
          <w:p>
            <w:pPr>
              <w:ind w:left="0" w:right="0"/>
              <w:jc w:val="left"/>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园林</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植物</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管护</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绿篱（模纹、色块）等</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pacing w:val="-6"/>
                <w:sz w:val="24"/>
                <w:szCs w:val="24"/>
              </w:rPr>
              <w:t xml:space="preserve">绿篱、模纹和色块等修剪及时。绿篱线条清晰，同类观赏面规则，整齐一致；模纹和色块线条流畅、主要观赏面圆润饱满，符合设计要求。</w:t>
            </w:r>
            <w:r>
              <w:rPr>
                <w:rFonts w:hint="eastAsia" w:ascii="仿宋" w:hAnsi="仿宋" w:eastAsia="仿宋" w:cs="仿宋"/>
                <w:color w:val="000000"/>
                <w:sz w:val="24"/>
                <w:szCs w:val="24"/>
              </w:rPr>
              <w:t xml:space="preserve">枝叶茂密，造型优美。造型树木根据不同的生长特性及时摘心、攀扎。无可视的病虫危害症状，被害株率≤2%，地下害虫≤2头/㎡。</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绿篱、模纹和色块等修剪较及时，枝叶茂密，造型优美。基本无可视的病虫危害症状，被害株率≤5%。</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绿篱、模纹和色块等能定期修剪。无明显可视的病虫危害症状，被害面积≤10%。</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绿篱、模纹和色块等修剪合理。</w:t>
            </w:r>
            <w:r/>
          </w:p>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无明显可视的病虫危害症状</w:t>
            </w:r>
            <w:r/>
          </w:p>
        </w:tc>
      </w:tr>
      <w:tr>
        <w:trPr>
          <w:trHeight w:val="340"/>
        </w:trPr>
        <w:tc>
          <w:tcPr>
            <w:tcBorders>
              <w:top w:val="single" w:color="auto" w:sz="8"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t xml:space="preserve">水生</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植物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水生植物密度适宜，花期正常、花色鲜艳美观，无干枯叶、残花等。</w:t>
            </w:r>
            <w:r/>
          </w:p>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无可视的病虫危害症状，被害株率≤2%。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水生植物密度适宜，花期、花色正常，无明显干枯叶、残花等。基本无可视的病虫危害症状，被害株率≤5%。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水生植物能够正常生长、开花。无明显可视的病虫危害症状，被害面积≤10%。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水生植物能够正常生长、开花。无明显可视的病虫危害症状。</w:t>
            </w:r>
            <w:r/>
          </w:p>
          <w:p>
            <w:pPr>
              <w:ind w:left="-108" w:right="-108" w:firstLine="56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40"/>
        </w:trPr>
        <w:tc>
          <w:tcPr>
            <w:tcBorders>
              <w:top w:val="single" w:color="auto" w:sz="8"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t xml:space="preserve">攀援</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植物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根据不同植物的攀缘特点，及时采取相应的技术措施，生长旺盛。及时清除枯枝，疏删老弱藤蔓；开花的攀缘植物适时开花。无可视的病虫危害症状，被害株率≤2%。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根据不同植物的攀缘特点，能及时采取相应的技术措施，生长良好。及时清除枯枝，疏删老弱藤蔓；开花的攀缘植物能适时开花。</w:t>
            </w:r>
            <w:r>
              <w:rPr>
                <w:rFonts w:hint="eastAsia" w:ascii="仿宋" w:hAnsi="仿宋" w:eastAsia="仿宋" w:cs="仿宋"/>
                <w:color w:val="000000"/>
                <w:spacing w:val="-10"/>
                <w:sz w:val="24"/>
                <w:szCs w:val="24"/>
              </w:rPr>
              <w:t xml:space="preserve">基本无可视的病虫危害症状，被害株率≤5%。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开花的攀缘植物能适时开花。无明显可视的病虫危害症状，被害面积≤10%。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攀缘植物能正常生长。无明显可视的病虫危害症状。</w:t>
            </w:r>
            <w:r/>
          </w:p>
        </w:tc>
      </w:tr>
      <w:tr>
        <w:trPr>
          <w:trHeight w:val="340"/>
        </w:trPr>
        <w:tc>
          <w:tcPr>
            <w:tcBorders>
              <w:top w:val="single" w:color="auto" w:sz="8"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t xml:space="preserve">地被</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花卉</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多年生地被植物（含花境）和露地一、二年生花卉生长健壮，株行距适宜，色彩鲜艳，花期整齐，图案清晰。无缺株、倒伏，残花量不大于10％。无可视的病虫危害症状，被害株率≤2%，地下害虫≤2头/㎡。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多年生地被植物（含花境）和露地一、二年生花卉栽植轮廓较清晰、美观，覆盖率98%以上。无明显残缺、残花、残叶、杂草等,残花量不大于15%。基本无可视的病虫危害症状，被害面积≤5%，地下害虫≤5头/㎡。</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多年生地被植物覆盖率90%以上。生长正常，开花适时。无明显可视的病虫危害症状，被害面积≤10%，地下害虫≤10头/㎡。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多年生地被植物生长正常，开花适时。无明显可视的病虫危害症状。</w:t>
            </w:r>
            <w:r/>
          </w:p>
        </w:tc>
      </w:tr>
      <w:tr>
        <w:trPr>
          <w:trHeight w:val="340"/>
        </w:trPr>
        <w:tc>
          <w:tcPr>
            <w:tcBorders>
              <w:top w:val="single" w:color="auto" w:sz="8"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竹类</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竹林保持适宜密度，通风透光、生长健壮、叶色正常，及时清除老鞭、砍伐后的竹蔸、干枯株等。无可视的病虫危害症状，被害株率≤2%，地下害虫≤2头/㎡。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竹林保持较适宜密度，通风透光良好、生长较健壮，叶色基本正常，能及时清除老鞭、砍伐后的竹蔸、干枯株等。基本无可视的病虫危害症状，被害株率≤5%，地下害虫≤5头/㎡。</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竹林生长、叶色基本正常，能定期清除老鞭、砍伐后的竹蔸、干枯株等。无明显可视的病虫危害症状，被害株率≤10%，地下害虫≤10头/㎡。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竹林生长、叶色基本正常。</w:t>
            </w:r>
            <w:r/>
          </w:p>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无明显可视的病虫危害症状。</w:t>
            </w:r>
            <w:r/>
          </w:p>
        </w:tc>
      </w:tr>
      <w:tr>
        <w:trPr>
          <w:trHeight w:val="34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24"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林</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植</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物</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管</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草坪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草坪外观整齐，边缘线清晰，生长旺盛，草根不裸露；无可视斑秃；生长季节不枯黄，修剪及时，绿地内杂草率≤2%。无可视的病虫危害症状，被害株率≤2%，地下害虫≤2头/㎡。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草坪覆盖率95%以上，单块斑秃面积不超过0.2㎡或10㎡绿地内斑秃面积不超过3块；草坪内杂草率≤10%。草坪绿色期：冷季型草坪不得少于260天，暖季型草坪不得少于170天。基本无可视的病虫危害症状，被害面积≤5%，地下害虫≤5头/㎡。</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草坪覆盖率90%以上，单块斑秃面积不超过0.3㎡或10㎡绿地内斑秃面积不超过4块；草坪内杂草率≤15%。草坪绿色期：冷季型草坪不得少于240天，暖季型草坪不得少于160天。无明显可视的病虫危害症状，被害面积≤10%，地下害虫≤10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草坪覆盖率85%以上，单块斑秃面积不超过0.4㎡或10㎡绿地内斑秃面积不超过5块；草坪内杂草率≤20%。无明显可视的病虫危害症状。</w:t>
            </w:r>
            <w:r/>
          </w:p>
        </w:tc>
      </w:tr>
      <w:tr>
        <w:trPr>
          <w:trHeight w:val="340"/>
        </w:trPr>
        <w:tc>
          <w:tcPr>
            <w:tcBorders>
              <w:top w:val="none" w:color="000000" w:sz="4" w:space="0"/>
              <w:left w:val="single" w:color="auto" w:sz="8" w:space="0"/>
              <w:right w:val="single" w:color="auto" w:sz="8" w:space="0"/>
            </w:tcBorders>
            <w:tcW w:w="324" w:type="dxa"/>
            <w:vAlign w:val="center"/>
            <w:vMerge w:val="restart"/>
            <w:textDirection w:val="lrTb"/>
            <w:noWrap w:val="false"/>
          </w:tcPr>
          <w:p>
            <w:pPr>
              <w:ind w:left="0" w:right="0"/>
              <w:jc w:val="left"/>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林</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设</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施</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维</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建筑构物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外观完整，外貌整洁；设施清洁、完好，设备安全运行；墙面、屋面、地面及时粉刷、清洗；无污染、无渗漏，管道无堵塞及锈蚀；及时维修，无安全隐患。防火、防雪、防台风暴雨等保护措施落实有效。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完整，外貌较整洁，定期粉刷、清洗；设施清洁、完好，设备安全运行；墙面、屋面、地面及时粉刷、清洗，基本无污染、无渗漏，管道无堵塞、基本无锈蚀；定期维修，无安全隐患。防火、防雪、防台风暴雨等保护措施落实有效。</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完整，外貌较干净；设施干净、基本完好，设备安全运行；墙面、屋面、地面定期进行粉刷、清洗，基本无污染、无渗漏，管道无堵塞、无明显锈蚀；常规维修，无安全隐患。防火、防雪、防台风暴雨等保护措施落实有效。</w:t>
            </w:r>
            <w:r/>
          </w:p>
        </w:tc>
      </w:tr>
      <w:tr>
        <w:trPr>
          <w:trHeight w:val="340"/>
        </w:trPr>
        <w:tc>
          <w:tcPr>
            <w:tcBorders>
              <w:left w:val="single" w:color="auto" w:sz="8" w:space="0"/>
              <w:right w:val="single" w:color="auto" w:sz="8" w:space="0"/>
            </w:tcBorders>
            <w:tcW w:w="324" w:type="dxa"/>
            <w:vAlign w:val="center"/>
            <w:vMerge w:val="continue"/>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假山</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假山叠石完整、稳固、安全。禁止攀爬的假山有醒目标志和防护设施；假山周围10m及石缝内无影响安全和景观的杂草、杂物，种植穴不空缺；假山及孤赏石表面无乱涂乱刻痕迹。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假山叠石完整、稳固、安全。禁止攀爬的假山有醒目标志和防护设施；假山周围5m及石缝内无影响安全和景观的杂草、杂物； 假山及孤赏石表面基本无乱涂乱刻痕迹。</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假山叠石完整、稳固、安全。有禁止攀爬的假山有醒目标志和防护设施；假山周围5m及石缝内无影响安全和景观的杂草、杂物； 假山及孤赏石表面无明显的乱涂乱刻痕迹。</w:t>
            </w:r>
            <w:r/>
          </w:p>
        </w:tc>
      </w:tr>
      <w:tr>
        <w:trPr>
          <w:trHeight w:val="340"/>
        </w:trPr>
        <w:tc>
          <w:tcPr>
            <w:tcBorders>
              <w:left w:val="single" w:color="auto" w:sz="8" w:space="0"/>
              <w:right w:val="single" w:color="auto" w:sz="8" w:space="0"/>
            </w:tcBorders>
            <w:tcW w:w="324" w:type="dxa"/>
            <w:vAlign w:val="center"/>
            <w:vMerge w:val="continue"/>
            <w:textDirection w:val="lrTb"/>
            <w:noWrap w:val="false"/>
          </w:tcPr>
          <w:p>
            <w:pPr>
              <w:ind w:left="0" w:right="0" w:firstLine="21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花坛</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花坛表面整洁、无破损；叠石花坛的叠石无松动。补缝颜色与石材接近，无明显色差。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花坛表面整洁、基本无破损；叠石花坛的叠石基本不松动。补缝颜色与石材基本接近。</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花坛表面整洁、无明显破损；叠石花坛的叠石无明显松动。补缝颜色与石材基本接近。</w:t>
            </w:r>
            <w:r/>
          </w:p>
        </w:tc>
      </w:tr>
      <w:tr>
        <w:trPr>
          <w:trHeight w:val="340"/>
        </w:trPr>
        <w:tc>
          <w:tcPr>
            <w:tcBorders>
              <w:left w:val="single" w:color="auto" w:sz="8" w:space="0"/>
              <w:right w:val="single" w:color="auto" w:sz="8" w:space="0"/>
            </w:tcBorders>
            <w:tcW w:w="324" w:type="dxa"/>
            <w:vAlign w:val="center"/>
            <w:vMerge w:val="continue"/>
            <w:textDirection w:val="lrTb"/>
            <w:noWrap w:val="false"/>
          </w:tcPr>
          <w:p>
            <w:pPr>
              <w:ind w:left="0" w:right="0" w:firstLine="21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雕塑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雕塑结构、基础安全完整。表面清洁无垢，无刻写痕迹。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雕塑结构、基础安全完整。表面基本清洁无垢，无刻写痕迹。</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雕塑结构、基础安全完整。表面基本清洁，无明显污垢，无明显刻写痕迹。</w:t>
            </w:r>
            <w:r/>
          </w:p>
        </w:tc>
      </w:tr>
      <w:tr>
        <w:trPr>
          <w:trHeight w:val="340"/>
        </w:trPr>
        <w:tc>
          <w:tcPr>
            <w:tcBorders>
              <w:left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喷泉（水景设施）</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816"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设备按照规定检查维护，损坏部件及时更换，确保安全运行；</w:t>
            </w:r>
            <w:r/>
          </w:p>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喷嘴无堵塞，喷涌效果好，景观优良；循环、动力及水位控制设施完好，运行正常。</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设备按照规定检查维护，损坏部件及时更换，确保安全运行；</w:t>
            </w:r>
            <w:r/>
          </w:p>
          <w:p>
            <w:pPr>
              <w:ind w:left="-105"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喷嘴基本无堵塞，喷涌效果较好，基本保证景观质量；循环、动力及水位控制设施完好，运行正常。</w:t>
            </w:r>
            <w:r/>
          </w:p>
        </w:tc>
      </w:tr>
      <w:tr>
        <w:trPr>
          <w:trHeight w:val="340"/>
        </w:trPr>
        <w:tc>
          <w:tcPr>
            <w:tcBorders>
              <w:left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栏杆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完整、清洁、无缺损，无刻划痕迹；竹、木材质无腐朽，金属类材质无锈蚀，无安全隐患。</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完整、清洁、无缺损，基本无刻划痕迹；竹、木材质基本无腐朽，金属类材质基本无锈蚀，无安全隐患。</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完整、清洁、无缺损，无明显刻划痕迹；竹、木材质无明显腐朽，金属类材质无明显锈蚀，无安全隐患。</w:t>
            </w:r>
            <w:r/>
          </w:p>
        </w:tc>
      </w:tr>
      <w:tr>
        <w:trPr>
          <w:trHeight w:val="340"/>
        </w:trPr>
        <w:tc>
          <w:tcPr>
            <w:tcBorders>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桌凳</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桌凳表面清洁；竹木类材料无腐朽，其他类材料无锈蚀。无刻划。安全坚固，无松动，无缺损。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桌凳表面清洁；竹木类基本无腐朽，其他类材料基本无锈蚀。无刻划。安全坚固，无松动，基本无缺损。</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桌凳表面基本清洁；竹木类无明显腐朽，其他类材料，无明显锈蚀和刻划。安全坚固，无松动，基本无缺损。</w:t>
            </w:r>
            <w:r/>
          </w:p>
        </w:tc>
      </w:tr>
      <w:tr>
        <w:trPr>
          <w:trHeight w:val="34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24" w:type="dxa"/>
            <w:vAlign w:val="center"/>
            <w:vMerge w:val="restart"/>
            <w:textDirection w:val="lrTb"/>
            <w:noWrap w:val="false"/>
          </w:tcPr>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w:t>
            </w:r>
            <w:r/>
          </w:p>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林</w:t>
            </w:r>
            <w:r/>
          </w:p>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设</w:t>
            </w:r>
            <w:r/>
          </w:p>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施</w:t>
            </w:r>
            <w:r/>
          </w:p>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维</w:t>
            </w:r>
            <w:r/>
          </w:p>
          <w:p>
            <w:pPr>
              <w:ind w:left="0" w:right="0"/>
              <w:jc w:val="center"/>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围墙</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外观整洁、完整；墙面、顶面无污染、无渗漏；及时维修，无安全隐患。防火、防雪、防台风暴雨、防蚁等保护措施落实有效。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外观完整；墙面、顶面基本无污染、无渗漏；定期维修，无安全隐患。防火、防雪、防台风暴雨、防蚁等保护措施落实有效。</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外观基本完整；墙面、顶面无明显污染、基本无渗漏；常规维修，无安全隐。防火、防雪、防台风暴雨、防蚁等保护措施落实有效。</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树穴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侧石及盖板坚固无松动，无缺损；盖板平整，无坑洼、沉陷、倾覆、腐朽、锈蚀；池体整洁。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侧石及盖板坚固无松动，无缺损；盖板基本平整，无明显坑洼、沉陷、倾覆、腐朽、锈蚀；池体基本整洁。</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66"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侧石及盖板无明显松动，无明显缺损；盖板基本平整，无明显坑洼、沉陷、倾覆、腐朽、锈蚀；池体基本整洁。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83"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侧石及盖板无明显松动，无明显缺损；池体覆盖到位，基本整洁。</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园路</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路面平整，无坑洼破损（小于等于维修率），无面层松动、沉陷、倾覆或面层脱落。伸缩缝嵌缝完好。路面、路沿、台阶清洁，无垃圾及痰迹。无障碍通道及应急通道整洁畅通。</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路面平整，无坑洼破损（小于等于维修率），无面层松动、沉陷、倾覆或面层脱落。伸缩缝嵌缝基本完好；路面基本清洁，基本无垃圾、无痰迹。无障碍通道及应急通道畅通，基本整洁。</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路面平整，无明显坑洼破损（不超过维修率5%），无面层松动、沉陷、倾覆或面层脱落；伸嵌缝无明显漏嵌。路面基本清洁，无明显垃圾和痰迹。</w:t>
            </w:r>
            <w:r/>
          </w:p>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无障碍通道及应急通道畅通，基本整洁。</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桥梁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桥面平整，无坑洼，排水通畅。栏杆无缺损，墩台无混凝土剥落、露筋等。桥梁限高、限载及相关交通和安全警示标志清晰齐全；雨雪冰冻季节防范措施落实有效。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桥面基本平整，无明显坑洼破损，排水基本通畅。栏杆无缺损，墩台无明显混凝土剥落、露筋等。桥梁限高、限载及相关交通和安全警示标志清晰齐全；雨雪冰冻季节防范措施落实有效。</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桥面基本平整，有少量坑洼破损，排水基本通畅。栏杆无缺损，墩台有少量混凝土剥落、露筋等，但不影响安全和使用。桥梁限高、限载及相关交通和安全警示标志清晰齐全；雨雪冰冻季节防范措施落实有效。</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停车场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场地平整、无坑洼，环境清洁，排水良好，车位标志清晰；乔木枝下高满足停车需要，无影响驾驶视线的植物枝叶；收费明示。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场地较平整、清洁，排水基本通畅，车位标志清晰；乔木枝下高满足停车需要，无影响驾驶视线的植物枝叶；收费明示。</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场地基本平整、清洁，排水较通畅，有车位标志；</w:t>
            </w:r>
            <w:r/>
          </w:p>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乔木枝下高满足停车需要，无影响驾驶视线的植物枝叶；收费明示。</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水体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100" w:beforeAutospacing="1" w:after="100" w:afterAutospacing="1"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水质符合地表水环境质量标准的相应要求；水面清洁，无漂浮物。安全警示标志设置规范、齐全。水体排灌等设施完好，运行正常。池底、池岸安全稳固，整齐美观，无缺损。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水质符合地表水环境质量标准的相应</w:t>
            </w:r>
            <w:r>
              <w:rPr>
                <w:rFonts w:hint="eastAsia" w:ascii="仿宋" w:hAnsi="仿宋" w:eastAsia="仿宋" w:cs="仿宋"/>
                <w:color w:val="000000"/>
                <w:sz w:val="24"/>
                <w:szCs w:val="24"/>
                <w:lang w:val="en-US" w:eastAsia="zh-CN"/>
              </w:rPr>
              <w:t xml:space="preserve">要</w:t>
            </w:r>
            <w:r>
              <w:rPr>
                <w:rFonts w:hint="eastAsia" w:ascii="仿宋" w:hAnsi="仿宋" w:eastAsia="仿宋" w:cs="仿宋"/>
                <w:color w:val="000000"/>
                <w:sz w:val="24"/>
                <w:szCs w:val="24"/>
              </w:rPr>
              <w:t xml:space="preserve">求；水面清洁，基本无漂浮物。安全警示标志设置齐全。水体排灌等设施完好，运行正常。池底、池岸安全稳固，整齐美观，无缺损。</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5"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水质符合地表水环境质量标准的相应要求；水面清洁，无明显漂浮物。安全警示标志设置齐全。水体排灌等设施完好，运行正常。池底安全稳固，有少量缺损，但不影响安全使用。</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公共</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卫生间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室内地面保持清洁，无垃圾、积水。便器无污物外溢、漏水。臭味强度不高于0级；保持通风，目测无蚊蝇。无障碍通道、蹲位、洗手池以及其它各类设施齐全，使用正常。墙面及隔离板无乱贴乱画痕迹；引导标识醒目。</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08"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室内地面保持清洁，无垃圾、积水。便器无污物外溢、漏水。臭味强度不高于1级；保持通风，目测基本无蚊蝇。</w:t>
            </w:r>
            <w:r/>
          </w:p>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无障碍通道、蹲位及其它各类设施齐全；使用基本正常。墙面及隔离板基本无乱贴乱画痕迹；引导标识清晰。</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垃圾箱</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外观清洁、完整，内壁无污垢陈渍，箱内无陈积垃圾；分类设置</w:t>
            </w:r>
            <w:r>
              <w:rPr>
                <w:rFonts w:hint="eastAsia" w:ascii="仿宋" w:hAnsi="仿宋" w:eastAsia="仿宋" w:cs="仿宋"/>
                <w:color w:val="0000ff"/>
                <w:sz w:val="24"/>
                <w:szCs w:val="24"/>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外观清洁、完整，内壁无明显污垢陈渍，箱内无陈积垃圾；分类设置。</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9" w:type="dxa"/>
            <w:vAlign w:val="center"/>
            <w:textDirection w:val="lrTb"/>
            <w:noWrap w:val="false"/>
          </w:tcPr>
          <w:p>
            <w:pPr>
              <w:ind w:left="-108"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外观基本清洁、完整，内壁无明显污垢陈渍，箱内基本无陈积垃圾。</w:t>
            </w:r>
            <w:r/>
          </w:p>
        </w:tc>
      </w:tr>
      <w:tr>
        <w:trPr>
          <w:trHeight w:val="34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24" w:type="dxa"/>
            <w:vAlign w:val="center"/>
            <w:vMerge w:val="restart"/>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园</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林</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设</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施</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维</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弱电</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各类弱电系统设备完好，使用正常。</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08"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各类弱电系统设备基本完好，能正常使用。</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给排水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pacing w:val="-6"/>
                <w:sz w:val="24"/>
                <w:szCs w:val="24"/>
              </w:rPr>
              <w:t xml:space="preserve">管道通畅；外露的给排水等设施清洁、完整。井盖、井篦安放平稳，与井框吻合，无倾覆。</w:t>
            </w:r>
            <w:r/>
          </w:p>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防汛、消防等设备完好，使用正常。</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08"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管道基本畅通；外露的给排水等设施清洁、完整。井盖、井篦安放基本平稳，与井框吻合，无倾覆。防汛、消防等设备完好、使用正常。</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t xml:space="preserve">标识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牌示齐全、完整、整洁，文字及图案清晰。</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390"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牌示基本齐全，较整洁，文字及图案清晰。</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18"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牌示基本齐全，无明显污垢，文字及图案能辨识。</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游乐、健身设施</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965"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所有设施明示生产单位及使用要求、操作规程；维护管理人员经培训合格，持证上岗。设施按照规定检查维护，安全运转；管理档案清晰完整。环境整洁。</w:t>
            </w:r>
            <w:r/>
          </w:p>
        </w:tc>
      </w:tr>
      <w:tr>
        <w:trPr>
          <w:trHeight w:val="340"/>
        </w:trPr>
        <w:tc>
          <w:tcPr>
            <w:tcBorders>
              <w:top w:val="none" w:color="000000" w:sz="4" w:space="0"/>
              <w:left w:val="single" w:color="auto" w:sz="8" w:space="0"/>
              <w:bottom w:val="single" w:color="auto" w:sz="8"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广播音响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外壳完整、稳固、清洁。设备完好。</w:t>
            </w:r>
            <w:r/>
          </w:p>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适时广播，白天音响小于55分贝，晚间小于45分贝。</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08"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外壳较完整、稳固、清洁。</w:t>
            </w:r>
            <w:r/>
          </w:p>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设备基本完好，不影响安全、正常使用。</w:t>
            </w:r>
            <w:r/>
          </w:p>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适时广播，白天音响小于55分贝，晚间小于45分贝。</w:t>
            </w:r>
            <w:r/>
          </w:p>
        </w:tc>
      </w:tr>
      <w:tr>
        <w:trPr>
          <w:trHeight w:val="340"/>
        </w:trPr>
        <w:tc>
          <w:tcPr>
            <w:tcBorders>
              <w:top w:val="none" w:color="000000" w:sz="4" w:space="0"/>
              <w:left w:val="single" w:color="auto" w:sz="8" w:space="0"/>
              <w:bottom w:val="single" w:color="auto" w:sz="4"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减灾</w:t>
            </w:r>
            <w:r/>
          </w:p>
        </w:tc>
        <w:tc>
          <w:tcPr>
            <w:gridSpan w:val="5"/>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8965" w:type="dxa"/>
            <w:vAlign w:val="center"/>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各种防灾避险等设施完好，防灾避险通道畅通。值班、巡视、应急预案等防灾避险措施落实。</w:t>
            </w:r>
            <w:r/>
          </w:p>
        </w:tc>
      </w:tr>
      <w:tr>
        <w:trPr>
          <w:trHeight w:val="1889"/>
        </w:trPr>
        <w:tc>
          <w:tcPr>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324" w:type="dxa"/>
            <w:vAlign w:val="center"/>
            <w:vMerge w:val="restart"/>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其</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它</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管</w:t>
            </w:r>
            <w:r/>
          </w:p>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理</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整体面貌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绿地（含水面）整洁，无条状、块状污染物，点状污染物每100㎡≤2处；无杂物，无树枝、树叶、草屑等生产垃圾，无擅自搭棚、摆摊设点等现象；植被、地被等基本无人为破坏；建筑（构筑）及设施完好，安全使用；水面异味。</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2259"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绿地（含水面）较整洁，基本无条状和块状污染物，点状污染物每100㎡≤4处；基本无杂物，无明显树枝、树叶、草屑等生产垃圾，无擅自搭棚、摆摊设点等现象；建筑（构筑）及设施基本完好，安全使用；水面无异味。</w:t>
            </w:r>
            <w:r/>
          </w:p>
        </w:tc>
        <w:tc>
          <w:tcPr>
            <w:gridSpan w:val="3"/>
            <w:tcBorders>
              <w:top w:val="single" w:color="auto" w:sz="4" w:space="0"/>
              <w:left w:val="none" w:color="000000" w:sz="4" w:space="0"/>
              <w:bottom w:val="single" w:color="auto" w:sz="8" w:space="0"/>
              <w:right w:val="single" w:color="auto" w:sz="4" w:space="0"/>
            </w:tcBorders>
            <w:tcMar>
              <w:left w:w="108" w:type="dxa"/>
              <w:top w:w="0" w:type="dxa"/>
              <w:right w:w="108" w:type="dxa"/>
              <w:bottom w:w="0" w:type="dxa"/>
            </w:tcMar>
            <w:tcW w:w="4149"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绿地（含水面）基本整洁，无明显杂物，无明显白色污染（树挂），无明显树枝、树叶、草屑等生产垃圾积存，无擅自搭棚、摆摊设点等现象；建筑（构筑）及设施基本完好，安全使用；水面无明显异味。</w:t>
            </w:r>
            <w:r/>
          </w:p>
          <w:p>
            <w:pPr>
              <w:ind w:left="0" w:right="0"/>
              <w:keepLines w:val="0"/>
              <w:keepNext w:val="0"/>
              <w:spacing w:before="0" w:beforeAutospacing="0" w:after="0" w:afterAutospacing="0" w:line="240" w:lineRule="auto"/>
              <w:rPr>
                <w:rFonts w:hint="eastAsia" w:ascii="仿宋" w:hAnsi="仿宋" w:eastAsia="仿宋" w:cs="仿宋"/>
                <w:sz w:val="24"/>
                <w:szCs w:val="24"/>
              </w:rPr>
              <w:suppressLineNumbers w:val="0"/>
            </w:pPr>
            <w:r>
              <w:rPr>
                <w:rFonts w:hint="eastAsia" w:ascii="仿宋" w:hAnsi="仿宋" w:eastAsia="仿宋" w:cs="仿宋"/>
                <w:sz w:val="24"/>
                <w:szCs w:val="24"/>
              </w:rPr>
            </w:r>
            <w:r/>
          </w:p>
          <w:p>
            <w:pPr>
              <w:ind w:left="0" w:right="-108"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40"/>
        </w:trPr>
        <w:tc>
          <w:tcPr>
            <w:tcBorders>
              <w:left w:val="single" w:color="auto" w:sz="4" w:space="0"/>
              <w:right w:val="single" w:color="auto" w:sz="8" w:space="0"/>
            </w:tcBorders>
            <w:tcMar>
              <w:left w:w="108" w:type="dxa"/>
              <w:top w:w="0" w:type="dxa"/>
              <w:right w:w="108" w:type="dxa"/>
              <w:bottom w:w="0" w:type="dxa"/>
            </w:tcMar>
            <w:tcW w:w="324" w:type="dxa"/>
            <w:vAlign w:val="center"/>
            <w:vMerge w:val="continue"/>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rPr>
              <w:t xml:space="preserve">人员着装</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7" w:type="dxa"/>
            <w:vAlign w:val="top"/>
            <w:textDirection w:val="lrTb"/>
            <w:noWrap w:val="false"/>
          </w:tcPr>
          <w:p>
            <w:pPr>
              <w:ind w:left="0" w:right="-108"/>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在岗的养护、保洁、安保等人员统一着装，衣帽整齐，佩戴工号牌，且有所属单位的明显标志。</w:t>
            </w:r>
            <w:r/>
          </w:p>
        </w:tc>
        <w:tc>
          <w:tcPr>
            <w:gridSpan w:val="4"/>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6408" w:type="dxa"/>
            <w:vAlign w:val="top"/>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在岗工作人员能统一着装，衣帽整齐。</w:t>
            </w:r>
            <w:r/>
          </w:p>
          <w:p>
            <w:pPr>
              <w:ind w:left="-108" w:right="-108" w:firstLine="56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40"/>
        </w:trPr>
        <w:tc>
          <w:tcPr>
            <w:tcBorders>
              <w:top w:val="none" w:color="000000" w:sz="4" w:space="0"/>
              <w:left w:val="single" w:color="auto" w:sz="4" w:space="0"/>
              <w:bottom w:val="single" w:color="auto" w:sz="4" w:space="0"/>
              <w:right w:val="single" w:color="auto" w:sz="8" w:space="0"/>
            </w:tcBorders>
            <w:tcW w:w="32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565" w:type="dxa"/>
            <w:vAlign w:val="center"/>
            <w:textDirection w:val="lrTb"/>
            <w:noWrap w:val="false"/>
          </w:tcPr>
          <w:p>
            <w:pPr>
              <w:ind w:left="-105" w:right="-105"/>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技术档案</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2557" w:type="dxa"/>
            <w:vAlign w:val="top"/>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养护管理技术档案健全，记录清晰，并有专人负责。</w:t>
            </w:r>
            <w:r/>
          </w:p>
        </w:tc>
        <w:tc>
          <w:tcPr>
            <w:gridSpan w:val="4"/>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6408" w:type="dxa"/>
            <w:vAlign w:val="center"/>
            <w:textDirection w:val="lrTb"/>
            <w:noWrap w:val="false"/>
          </w:tcPr>
          <w:p>
            <w:pPr>
              <w:ind w:left="0" w:right="-105"/>
              <w:jc w:val="left"/>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建立养护管理技术档案，记录清晰。</w:t>
            </w:r>
            <w:r/>
          </w:p>
        </w:tc>
      </w:tr>
    </w:tbl>
    <w:p>
      <w:pPr>
        <w:numPr>
          <w:ilvl w:val="0"/>
          <w:numId w:val="0"/>
        </w:numPr>
        <w:jc w:val="both"/>
        <w:spacing w:before="120" w:line="22" w:lineRule="atLeast"/>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4、作业任务和作业时间要求：</w:t>
      </w:r>
      <w:r/>
    </w:p>
    <w:p>
      <w:pPr>
        <w:ind w:firstLine="484"/>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本次招标由道路环卫机械化作业、道路人工保洁和沿线绿化区域内及其他区域人工保洁组成。道路环卫机械化作业应充分考虑道路交通状况，日间安排机械化洒水作业，夜间安排机械化清扫作业和冲洗作业，清洗作业宜于当日 20:00--次日 7:00 期间进行，如遇特殊情况或实际需要可安排在其他时间段进行。每日20:00开始组织冲洗作业，并依次组织清扫和清洗作业，至次日上午7:00前全部撤离作业路段；洒水季节（符合气温条件的所有时间）组织车辆在8:00</w:t>
      </w:r>
      <w:r>
        <w:rPr>
          <w:rFonts w:hint="eastAsia" w:ascii="仿宋" w:hAnsi="仿宋" w:eastAsia="仿宋" w:cs="仿宋"/>
          <w:color w:val="auto"/>
          <w:sz w:val="24"/>
          <w:szCs w:val="24"/>
          <w:highlight w:val="none"/>
          <w:lang w:val="en-US" w:eastAsia="zh-CN"/>
        </w:rPr>
        <w:t xml:space="preserve">--17:00作业。非核心区域路段的各项作业在确保回避交通高峰的情况下，作业时间可根据需要自行组织。非带水作业期间，各标段根据空气质量、路面情况结合气温情况，启动限时带水作业。当气温≤5℃时，桥面、坡道的洒水冲洗及清洗作业应暂停；当气温≤2℃时，必须停止全部道路带水作业，与此同时道路清扫全部采用干扫（不喷水）作业方式。每日进行人工保洁和生活垃圾收集清运根据路段作业时间要求组织。各标段应合理安排作业类型的人员与车辆，保证作业质量达到常州市、金坛区、尧塘街道城市长效综合管理考核文件和投标文件所作的承诺作业要求。</w:t>
      </w:r>
      <w:r/>
    </w:p>
    <w:p>
      <w:pPr>
        <w:ind w:firstLine="484"/>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②各标段作业服务量清单所列面积不包含“道路交界处清扫保洁应各延伸3米”的作业面积。作业服务量清单中的道路长度等仅供参考，实际作业服务范围现场交接时加以明确。</w:t>
      </w:r>
      <w:r/>
    </w:p>
    <w:p>
      <w:pPr>
        <w:ind w:firstLine="484"/>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道路和绿化人工保洁日工作小时数”16小时是指每天的5:00-21:00，12小时是指每天的5:00-17:00，8小时是指每天的6:00-10:00和13:00-17:00。作业时间段内须安排人员进行巡回走动作业，确保任意点位的保洁间隔时间不得超过30分钟，作业期间不得擅自离岗。说明：季节性调整时，作业时间根据采购方指令要求。</w:t>
      </w:r>
      <w:r/>
    </w:p>
    <w:p>
      <w:pPr>
        <w:ind w:firstLine="484"/>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④所有垃圾需清运至符合要求的垃圾中转站等垃圾消纳场所</w:t>
      </w:r>
      <w:r>
        <w:rPr>
          <w:rFonts w:hint="eastAsia" w:ascii="仿宋" w:hAnsi="仿宋" w:eastAsia="仿宋" w:cs="仿宋"/>
          <w:color w:val="auto"/>
          <w:sz w:val="24"/>
          <w:szCs w:val="24"/>
          <w:highlight w:val="none"/>
          <w:lang w:val="zh-CN" w:eastAsia="zh-CN"/>
        </w:rPr>
        <w:t xml:space="preserve">，相关费用应综合考虑在投标报价中。合同期内，中标方必须无条件地接受采购方的新增垃圾清运点的收集清运。其垃圾量与运距由采购方核定。</w:t>
      </w:r>
      <w:r>
        <w:rPr>
          <w:rFonts w:hint="eastAsia" w:ascii="仿宋" w:hAnsi="仿宋" w:eastAsia="仿宋" w:cs="仿宋"/>
          <w:color w:val="auto"/>
          <w:sz w:val="24"/>
          <w:szCs w:val="24"/>
          <w:highlight w:val="none"/>
          <w:lang w:val="en-US" w:eastAsia="zh-CN"/>
        </w:rPr>
        <w:t xml:space="preserve">在不增加作业经费的前提下，采购人有权对垃圾收集清运目的转运站进行调整，中标人不得擅自改变垃圾收集清运目的转运站。</w:t>
      </w:r>
      <w:r/>
    </w:p>
    <w:p>
      <w:pPr>
        <w:ind w:firstLine="484"/>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⑤垃圾转运站开机时间：5月1日—10月31日 4时开机；11月1日—4月30日 5时开机，应确保垃圾中转站正常运转。作业人员严禁无故旷工、脱岗，如有特殊情况需提前履行请假手续，并经项目负责人同意批准后并报街道管理部门备案方可离开岗位。 </w:t>
      </w:r>
      <w:r/>
    </w:p>
    <w:p>
      <w:pPr>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5、作业清单：</w:t>
      </w:r>
      <w:r/>
    </w:p>
    <w:p>
      <w:pPr>
        <w:ind w:firstLine="487"/>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尧塘街道城市保洁及绿化管养作业清单</w:t>
      </w:r>
      <w:r/>
    </w:p>
    <w:p>
      <w:pPr>
        <w:ind w:firstLine="487"/>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（包括但不限于以下内容，数据均为预估数据，具体范围按照各区域实际保洁范围）</w:t>
      </w:r>
      <w:r/>
    </w:p>
    <w:p>
      <w:pPr>
        <w:jc w:val="left"/>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表一：</w:t>
      </w:r>
      <w:r>
        <w:rPr>
          <w:rFonts w:hint="eastAsia" w:ascii="仿宋" w:hAnsi="仿宋" w:eastAsia="仿宋" w:cs="仿宋"/>
          <w:bCs/>
          <w:color w:val="000000"/>
          <w:sz w:val="24"/>
          <w:szCs w:val="24"/>
          <w:lang w:val="en-US" w:eastAsia="zh-CN"/>
        </w:rPr>
        <w:t xml:space="preserve">南部范围</w:t>
      </w:r>
      <w:r>
        <w:rPr>
          <w:rFonts w:hint="eastAsia" w:ascii="仿宋" w:hAnsi="仿宋" w:eastAsia="仿宋" w:cs="仿宋"/>
          <w:bCs/>
          <w:color w:val="000000"/>
          <w:sz w:val="24"/>
          <w:szCs w:val="24"/>
        </w:rPr>
        <w:t xml:space="preserve">部分道路机械化清扫保洁道路明细表</w:t>
      </w:r>
      <w:r/>
    </w:p>
    <w:tbl>
      <w:tblPr>
        <w:tblStyle w:val="1220"/>
        <w:tblW w:w="9654" w:type="dxa"/>
        <w:tblInd w:w="0" w:type="dxa"/>
        <w:tblLayout w:type="fixed"/>
        <w:tblCellMar>
          <w:left w:w="0" w:type="dxa"/>
          <w:top w:w="0" w:type="dxa"/>
          <w:right w:w="0" w:type="dxa"/>
          <w:bottom w:w="0" w:type="dxa"/>
        </w:tblCellMar>
        <w:tblLook w:val="04A0" w:firstRow="1" w:lastRow="0" w:firstColumn="1" w:lastColumn="0" w:noHBand="0" w:noVBand="1"/>
      </w:tblPr>
      <w:tblGrid>
        <w:gridCol w:w="554"/>
        <w:gridCol w:w="1251"/>
        <w:gridCol w:w="1881"/>
        <w:gridCol w:w="630"/>
        <w:gridCol w:w="728"/>
        <w:gridCol w:w="542"/>
        <w:gridCol w:w="384"/>
        <w:gridCol w:w="630"/>
        <w:gridCol w:w="584"/>
        <w:gridCol w:w="630"/>
        <w:gridCol w:w="466"/>
        <w:gridCol w:w="703"/>
        <w:gridCol w:w="671"/>
      </w:tblGrid>
      <w:tr>
        <w:trPr>
          <w:trHeight w:val="885"/>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5"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起止点</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长(M）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快</w:t>
            </w:r>
            <w:r>
              <w:rPr>
                <w:rFonts w:hint="eastAsia" w:ascii="仿宋" w:hAnsi="仿宋" w:eastAsia="仿宋" w:cs="仿宋"/>
                <w:color w:val="000000"/>
                <w:sz w:val="24"/>
                <w:szCs w:val="24"/>
                <w:lang w:bidi="ar"/>
              </w:rPr>
              <w:t xml:space="preserve">车道宽度</w:t>
            </w:r>
            <w:r/>
          </w:p>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M</w:t>
            </w:r>
            <w:r>
              <w:rPr>
                <w:rFonts w:hint="eastAsia" w:ascii="仿宋" w:hAnsi="仿宋" w:eastAsia="仿宋" w:cs="仿宋"/>
                <w:color w:val="000000"/>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bidi="ar"/>
              </w:rPr>
              <w:t xml:space="preserve">次数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机扫边数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机扫里程（M）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冲洗边数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冲洗里程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洗扫边数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洗扫里程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等级标准</w:t>
            </w:r>
            <w:r/>
          </w:p>
        </w:tc>
      </w:tr>
      <w:tr>
        <w:trPr>
          <w:trHeight w:val="540"/>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51" w:type="dxa"/>
            <w:vAlign w:val="center"/>
            <w:vMerge w:val="restart"/>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月湖路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u w:val="none"/>
                <w:lang w:bidi="ar"/>
              </w:rPr>
              <w:t xml:space="preserve">钱资湖大道</w:t>
            </w:r>
            <w:r>
              <w:rPr>
                <w:rFonts w:hint="eastAsia" w:ascii="仿宋" w:hAnsi="仿宋" w:eastAsia="仿宋" w:cs="仿宋"/>
                <w:color w:val="auto"/>
                <w:sz w:val="24"/>
                <w:szCs w:val="24"/>
                <w:u w:val="none"/>
                <w:lang w:val="en-US" w:eastAsia="zh-CN" w:bidi="ar"/>
              </w:rPr>
              <w:t xml:space="preserve">至金龙大道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1041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2082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2082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2082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bidi="ar"/>
              </w:rPr>
            </w:pPr>
            <w:r>
              <w:rPr>
                <w:rFonts w:hint="eastAsia" w:ascii="仿宋" w:hAnsi="仿宋" w:eastAsia="仿宋" w:cs="仿宋"/>
                <w:color w:val="auto"/>
                <w:sz w:val="24"/>
                <w:szCs w:val="24"/>
                <w:u w:val="none"/>
                <w:lang w:val="en-US" w:eastAsia="zh-CN"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1405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2810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2810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2810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复兴南路（南段）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钱资湖大道至江东大道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bidi="ar"/>
              </w:rPr>
              <w:t xml:space="preserve">2518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10072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5036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10072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487"/>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554"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vMerge w:val="restart"/>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金龙大道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金湖路至老金宜路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775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540"/>
        </w:trPr>
        <w:tc>
          <w:tcPr>
            <w:shd w:val="clear" w:color="auto" w:fill="auto"/>
            <w:tcBorders>
              <w:left w:val="single" w:color="000000" w:sz="4" w:space="0"/>
              <w:right w:val="single" w:color="000000" w:sz="4" w:space="0"/>
            </w:tcBorders>
            <w:tcMar>
              <w:left w:w="15" w:type="dxa"/>
              <w:top w:w="15" w:type="dxa"/>
              <w:right w:w="15" w:type="dxa"/>
            </w:tcMar>
            <w:tcW w:w="554"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老金宜路至水北路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1701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3402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3402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3402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水北路至云湖南路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云湖南路（南段）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1372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2744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2744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2744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一级</w:t>
            </w:r>
            <w:r/>
          </w:p>
        </w:tc>
      </w:tr>
      <w:tr>
        <w:trPr>
          <w:trHeight w:val="540"/>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554"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vMerge w:val="restart"/>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明</w:t>
            </w:r>
            <w:r>
              <w:rPr>
                <w:rFonts w:hint="eastAsia" w:ascii="仿宋" w:hAnsi="仿宋" w:eastAsia="仿宋" w:cs="仿宋"/>
                <w:color w:val="auto"/>
                <w:sz w:val="24"/>
                <w:szCs w:val="24"/>
                <w:highlight w:val="none"/>
                <w:lang w:bidi="ar"/>
              </w:rPr>
              <w:t xml:space="preserve">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钱资湖大道至金龙大道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vMerge w:val="continue"/>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1255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51" w:type="dxa"/>
            <w:vAlign w:val="center"/>
            <w:vMerge w:val="restart"/>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华业路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明湖路至复兴路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938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right w:val="single" w:color="000000" w:sz="4" w:space="0"/>
            </w:tcBorders>
            <w:tcMar>
              <w:left w:w="15" w:type="dxa"/>
              <w:top w:w="15" w:type="dxa"/>
              <w:right w:w="15" w:type="dxa"/>
            </w:tcMar>
            <w:tcW w:w="554"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shd w:val="clear" w:color="auto" w:fill="auto"/>
            <w:tcBorders>
              <w:left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bidi="ar"/>
              </w:rPr>
              <w:t xml:space="preserve">复兴路至</w:t>
            </w:r>
            <w:r>
              <w:rPr>
                <w:rFonts w:hint="eastAsia" w:ascii="仿宋" w:hAnsi="仿宋" w:eastAsia="仿宋" w:cs="仿宋"/>
                <w:color w:val="auto"/>
                <w:sz w:val="24"/>
                <w:szCs w:val="24"/>
                <w:lang w:val="en-US" w:eastAsia="zh-CN" w:bidi="ar"/>
              </w:rPr>
              <w:t xml:space="preserve">汇福路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739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1478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1478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1478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right w:val="single" w:color="000000" w:sz="4" w:space="0"/>
            </w:tcBorders>
            <w:tcMar>
              <w:left w:w="15" w:type="dxa"/>
              <w:top w:w="15" w:type="dxa"/>
              <w:right w:w="15" w:type="dxa"/>
            </w:tcMar>
            <w:tcW w:w="55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left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
              </w:rPr>
              <w:t xml:space="preserve">汇福路</w:t>
            </w:r>
            <w:r>
              <w:rPr>
                <w:rFonts w:hint="eastAsia" w:ascii="仿宋" w:hAnsi="仿宋" w:eastAsia="仿宋" w:cs="仿宋"/>
                <w:color w:val="auto"/>
                <w:sz w:val="24"/>
                <w:szCs w:val="24"/>
                <w:lang w:bidi="ar"/>
              </w:rPr>
              <w:t xml:space="preserve">至云湖路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795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51" w:type="dxa"/>
            <w:vAlign w:val="center"/>
            <w:vMerge w:val="continue"/>
            <w:textDirection w:val="lrTb"/>
            <w:noWrap w:val="false"/>
          </w:tcPr>
          <w:p>
            <w:pPr>
              <w:jc w:val="center"/>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云湖路</w:t>
            </w:r>
            <w:r>
              <w:rPr>
                <w:rFonts w:hint="eastAsia" w:ascii="仿宋" w:hAnsi="仿宋" w:eastAsia="仿宋" w:cs="仿宋"/>
                <w:color w:val="auto"/>
                <w:sz w:val="24"/>
                <w:szCs w:val="24"/>
                <w:lang w:val="en-US" w:eastAsia="zh-CN" w:bidi="ar"/>
              </w:rPr>
              <w:t xml:space="preserve">至萍湖路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777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1554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1554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1554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7</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华创路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萍湖路至月</w:t>
            </w:r>
            <w:r>
              <w:rPr>
                <w:rFonts w:hint="eastAsia" w:ascii="仿宋" w:hAnsi="仿宋" w:eastAsia="仿宋" w:cs="仿宋"/>
                <w:color w:val="auto"/>
                <w:sz w:val="24"/>
                <w:szCs w:val="24"/>
                <w:lang w:bidi="ar"/>
              </w:rPr>
              <w:t xml:space="preserve">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8</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云龙山路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bidi="ar"/>
              </w:rPr>
              <w:t xml:space="preserve">明湖路至复兴南路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bidi="ar"/>
              </w:rPr>
              <w:t xml:space="preserve">935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9</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咏湖路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bidi="ar"/>
              </w:rPr>
              <w:t xml:space="preserve">金龙大道至华业路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768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汇福路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u w:val="none"/>
                <w:lang w:bidi="ar"/>
              </w:rPr>
              <w:t xml:space="preserve">钱资湖大道</w:t>
            </w:r>
            <w:r>
              <w:rPr>
                <w:rFonts w:hint="eastAsia" w:ascii="仿宋" w:hAnsi="仿宋" w:eastAsia="仿宋" w:cs="仿宋"/>
                <w:color w:val="auto"/>
                <w:sz w:val="24"/>
                <w:szCs w:val="24"/>
                <w:u w:val="none"/>
                <w:lang w:val="en-US" w:eastAsia="zh-CN" w:bidi="ar"/>
              </w:rPr>
              <w:t xml:space="preserve">至G233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白龙山路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明湖路至复兴南路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929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萍湖路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u w:val="none"/>
                <w:lang w:bidi="ar"/>
              </w:rPr>
              <w:t xml:space="preserve">钱资湖大道</w:t>
            </w:r>
            <w:r>
              <w:rPr>
                <w:rFonts w:hint="eastAsia" w:ascii="仿宋" w:hAnsi="仿宋" w:eastAsia="仿宋" w:cs="仿宋"/>
                <w:color w:val="auto"/>
                <w:sz w:val="24"/>
                <w:szCs w:val="24"/>
                <w:lang w:bidi="ar"/>
              </w:rPr>
              <w:t xml:space="preserve">至金龙大道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1246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文山路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明湖路至复兴路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900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创智湖路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文山路至白龙山路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观湖路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白龙山路至金龙大道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白龙山路西延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明湖路至金湖路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一级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left"/>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 xml:space="preserve">25044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8" w:type="dxa"/>
            <w:vAlign w:val="center"/>
            <w:textDirection w:val="lrTb"/>
            <w:noWrap w:val="false"/>
          </w:tcPr>
          <w:p>
            <w:pPr>
              <w:jc w:val="center"/>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2"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SA"/>
              </w:rPr>
            </w:pPr>
            <w:r>
              <w:rPr>
                <w:rFonts w:hint="eastAsia" w:ascii="仿宋" w:hAnsi="仿宋" w:eastAsia="仿宋" w:cs="仿宋"/>
                <w:color w:val="auto"/>
                <w:sz w:val="24"/>
                <w:szCs w:val="24"/>
                <w:shd w:val="clear" w:color="auto" w:fill="auto"/>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55125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50088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dxa"/>
            <w:vAlign w:val="center"/>
            <w:textDirection w:val="lrTb"/>
            <w:noWrap w:val="false"/>
          </w:tcPr>
          <w:p>
            <w:pPr>
              <w:jc w:val="center"/>
              <w:widowControl/>
              <w:rPr>
                <w:rFonts w:hint="default"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t xml:space="preserve">50088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1" w:type="dxa"/>
            <w:vAlign w:val="center"/>
            <w:textDirection w:val="lrTb"/>
            <w:noWrap w:val="false"/>
          </w:tcPr>
          <w:p>
            <w:pPr>
              <w:jc w:val="center"/>
              <w:widowControl/>
              <w:rPr>
                <w:rFonts w:hint="eastAsia" w:ascii="仿宋" w:hAnsi="仿宋" w:eastAsia="仿宋" w:cs="仿宋"/>
                <w:color w:val="auto"/>
                <w:sz w:val="24"/>
                <w:szCs w:val="24"/>
                <w:shd w:val="clear" w:color="auto" w:fill="auto"/>
                <w:lang w:val="en-US" w:eastAsia="zh-CN" w:bidi="ar"/>
              </w:rPr>
            </w:pPr>
            <w:r>
              <w:rPr>
                <w:rFonts w:hint="eastAsia" w:ascii="仿宋" w:hAnsi="仿宋" w:eastAsia="仿宋" w:cs="仿宋"/>
                <w:color w:val="auto"/>
                <w:sz w:val="24"/>
                <w:szCs w:val="24"/>
                <w:shd w:val="clear" w:color="auto" w:fill="auto"/>
                <w:lang w:val="en-US" w:eastAsia="zh-CN" w:bidi="ar"/>
              </w:rPr>
            </w:r>
            <w:r/>
          </w:p>
        </w:tc>
      </w:tr>
    </w:tbl>
    <w:p>
      <w:pPr>
        <w:jc w:val="both"/>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jc w:val="left"/>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表</w:t>
      </w:r>
      <w:r>
        <w:rPr>
          <w:rFonts w:hint="eastAsia" w:ascii="仿宋" w:hAnsi="仿宋" w:eastAsia="仿宋" w:cs="仿宋"/>
          <w:bCs/>
          <w:color w:val="000000"/>
          <w:sz w:val="24"/>
          <w:szCs w:val="24"/>
          <w:lang w:val="en-US" w:eastAsia="zh-CN"/>
        </w:rPr>
        <w:t xml:space="preserve">二</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北部范围</w:t>
      </w:r>
      <w:r>
        <w:rPr>
          <w:rFonts w:hint="eastAsia" w:ascii="仿宋" w:hAnsi="仿宋" w:eastAsia="仿宋" w:cs="仿宋"/>
          <w:bCs/>
          <w:color w:val="000000"/>
          <w:sz w:val="24"/>
          <w:szCs w:val="24"/>
        </w:rPr>
        <w:t xml:space="preserve">部分道路机械化清扫保洁道路明细表</w:t>
      </w:r>
      <w:r/>
    </w:p>
    <w:tbl>
      <w:tblPr>
        <w:tblStyle w:val="1220"/>
        <w:tblpPr w:horzAnchor="page" w:tblpXSpec="center" w:vertAnchor="text" w:tblpY="237" w:leftFromText="180" w:topFromText="0" w:rightFromText="180" w:bottomFromText="0"/>
        <w:tblW w:w="10070" w:type="dxa"/>
        <w:jc w:val="center"/>
        <w:tblLayout w:type="fixed"/>
        <w:tblCellMar>
          <w:left w:w="15" w:type="dxa"/>
          <w:top w:w="15" w:type="dxa"/>
          <w:right w:w="15" w:type="dxa"/>
          <w:bottom w:w="15" w:type="dxa"/>
        </w:tblCellMar>
        <w:tblLook w:val="04A0" w:firstRow="1" w:lastRow="0" w:firstColumn="1" w:lastColumn="0" w:noHBand="0" w:noVBand="1"/>
      </w:tblPr>
      <w:tblGrid>
        <w:gridCol w:w="392"/>
        <w:gridCol w:w="919"/>
        <w:gridCol w:w="2153"/>
        <w:gridCol w:w="661"/>
        <w:gridCol w:w="842"/>
        <w:gridCol w:w="522"/>
        <w:gridCol w:w="520"/>
        <w:gridCol w:w="937"/>
        <w:gridCol w:w="520"/>
        <w:gridCol w:w="838"/>
        <w:gridCol w:w="479"/>
        <w:gridCol w:w="771"/>
        <w:gridCol w:w="516"/>
      </w:tblGrid>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道路名称</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起止点</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长（M）</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快车道宽度（M）</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次数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机扫边数</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机扫里程（M)</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冲洗边数</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冲洗里程</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洗扫边数</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洗扫里程</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等级标准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auto"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北大街</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亿晶大街-月湖路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2600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2600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auto"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亿晶大街</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金武路-延政路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1840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7360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3680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7360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auto"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幸福路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亿晶大街-赵尧路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230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460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230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460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赵尧路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赵尧路北段-健康路-亿晶大街</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尧汤路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北大街-延政路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2600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1300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2600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育才路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亿晶大街-晴湖路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440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880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440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880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南大街</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尧汤路-银行门口</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270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540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540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8</w:t>
            </w:r>
            <w:r/>
          </w:p>
        </w:tc>
        <w:tc>
          <w:tcPr>
            <w:tcBorders>
              <w:top w:val="single" w:color="000000" w:sz="4" w:space="0"/>
              <w:left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府北路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星湖路-月湖路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星湖路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延政路-尧夏路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府南路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星湖路--晴湖路-府北路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1480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2960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1480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2960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晴湖路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延政路-南大街</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新尧夏路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850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3400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1700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3400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九龙山路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钱资湖大道-复兴南路-月湖路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4600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18400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9200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18400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科教路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金湖路（s240)-月湖路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4700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18800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9400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18800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长龙山路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科教路-月湖路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4500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18000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9000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18000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复兴南路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钱资湖大道-金武快速路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1700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6800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3400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4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6800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水北路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科教路-钱资湖大道</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云湖南路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钱资湖大道-金武快速路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中兴路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长龙山路-金武快速路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明湖路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钱资湖大道-九龙山路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萍湖路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钱资湖大道-九龙山路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260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520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520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科文路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长龙山路-金武快速路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738</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1476</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1476</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1476</w:t>
            </w:r>
            <w:r/>
          </w:p>
        </w:tc>
        <w:tc>
          <w:tcPr>
            <w:tcBorders>
              <w:top w:val="single" w:color="000000" w:sz="4" w:space="0"/>
              <w:left w:val="single" w:color="000000" w:sz="4" w:space="0"/>
              <w:bottom w:val="single" w:color="000000" w:sz="4" w:space="0"/>
              <w:right w:val="single" w:color="000000" w:sz="4" w:space="0"/>
            </w:tcBorders>
            <w:tcW w:w="516" w:type="dxa"/>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月湖路</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钱资湖大道-金武快速路</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1900</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3800</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3800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3800</w:t>
            </w:r>
            <w:r/>
          </w:p>
        </w:tc>
        <w:tc>
          <w:tcPr>
            <w:tcBorders>
              <w:top w:val="single" w:color="000000" w:sz="4" w:space="0"/>
              <w:left w:val="single" w:color="000000" w:sz="4" w:space="0"/>
              <w:bottom w:val="single" w:color="000000" w:sz="4" w:space="0"/>
              <w:right w:val="single" w:color="000000" w:sz="4" w:space="0"/>
            </w:tcBorders>
            <w:tcW w:w="516" w:type="dxa"/>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一级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小计：</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105196</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62266</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105196</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bl>
    <w:p>
      <w:pPr>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表</w:t>
      </w:r>
      <w:r>
        <w:rPr>
          <w:rFonts w:hint="eastAsia" w:ascii="仿宋" w:hAnsi="仿宋" w:eastAsia="仿宋" w:cs="仿宋"/>
          <w:color w:val="000000"/>
          <w:sz w:val="24"/>
          <w:szCs w:val="24"/>
          <w:lang w:val="en-US" w:eastAsia="zh-CN"/>
        </w:rPr>
        <w:t xml:space="preserve">三</w:t>
      </w:r>
      <w:r>
        <w:rPr>
          <w:rFonts w:hint="eastAsia" w:ascii="仿宋" w:hAnsi="仿宋" w:eastAsia="仿宋" w:cs="仿宋"/>
          <w:color w:val="000000"/>
          <w:sz w:val="24"/>
          <w:szCs w:val="24"/>
        </w:rPr>
        <w:t xml:space="preserve">：道路人工清扫保洁道路明细表 </w:t>
      </w:r>
      <w:r/>
    </w:p>
    <w:tbl>
      <w:tblPr>
        <w:tblStyle w:val="1220"/>
        <w:tblW w:w="9668" w:type="dxa"/>
        <w:tblInd w:w="0" w:type="dxa"/>
        <w:tblLayout w:type="fixed"/>
        <w:tblCellMar>
          <w:left w:w="15" w:type="dxa"/>
          <w:top w:w="15" w:type="dxa"/>
          <w:right w:w="15" w:type="dxa"/>
          <w:bottom w:w="15" w:type="dxa"/>
        </w:tblCellMar>
        <w:tblLook w:val="04A0" w:firstRow="1" w:lastRow="0" w:firstColumn="1" w:lastColumn="0" w:noHBand="0" w:noVBand="1"/>
      </w:tblPr>
      <w:tblGrid>
        <w:gridCol w:w="439"/>
        <w:gridCol w:w="2257"/>
        <w:gridCol w:w="2871"/>
        <w:gridCol w:w="1025"/>
        <w:gridCol w:w="1025"/>
        <w:gridCol w:w="1025"/>
        <w:gridCol w:w="1026"/>
      </w:tblGrid>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道路名称</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起止点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长（M）</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宽（M）</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道路面积（㎡）</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等级标准</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沿河东路</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北大街-自来水厂</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230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575</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w:t>
            </w:r>
            <w:r/>
          </w:p>
        </w:tc>
        <w:tc>
          <w:tcPr>
            <w:tcBorders>
              <w:top w:val="single" w:color="000000" w:sz="4" w:space="0"/>
              <w:left w:val="single" w:color="000000" w:sz="4" w:space="0"/>
              <w:bottom w:val="single" w:color="auto"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蒲塘路</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中学路-蒲塘、街西组</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auto"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北大街北侧</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老药店-老棉布店</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4</w:t>
            </w:r>
            <w:r/>
          </w:p>
        </w:tc>
        <w:tc>
          <w:tcPr>
            <w:tcBorders>
              <w:top w:val="single" w:color="000000" w:sz="4" w:space="0"/>
              <w:left w:val="single" w:color="000000" w:sz="4" w:space="0"/>
              <w:right w:val="single" w:color="000000" w:sz="4" w:space="0"/>
            </w:tcBorders>
            <w:tcW w:w="225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小学路</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南大街-育才路</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825</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left w:val="single" w:color="000000" w:sz="4" w:space="0"/>
              <w:right w:val="single" w:color="000000" w:sz="4" w:space="0"/>
            </w:tcBorders>
            <w:tcW w:w="2257" w:type="dxa"/>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时尚超市进口-南大街</w:t>
            </w:r>
            <w:r>
              <w:rPr>
                <w:rFonts w:hint="eastAsia" w:ascii="仿宋" w:hAnsi="仿宋" w:eastAsia="仿宋" w:cs="仿宋"/>
                <w:color w:val="000000"/>
                <w:sz w:val="24"/>
                <w:szCs w:val="24"/>
                <w:lang w:val="en-US" w:eastAsia="zh-CN"/>
              </w:rPr>
              <w:br/>
            </w:r>
            <w:r>
              <w:rPr>
                <w:rFonts w:hint="eastAsia" w:ascii="仿宋" w:hAnsi="仿宋" w:eastAsia="仿宋" w:cs="仿宋"/>
                <w:color w:val="000000"/>
                <w:sz w:val="24"/>
                <w:szCs w:val="24"/>
                <w:lang w:val="en-US" w:eastAsia="zh-CN"/>
              </w:rPr>
              <w:t xml:space="preserve">银行门口-沿河东路</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290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870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left w:val="single" w:color="000000" w:sz="4" w:space="0"/>
              <w:bottom w:val="single" w:color="auto" w:sz="4" w:space="0"/>
              <w:right w:val="single" w:color="000000" w:sz="4" w:space="0"/>
            </w:tcBorders>
            <w:tcW w:w="2257"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银玉楼西侧-南大街</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390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蒲塘村道路</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覆盖蒲塘村、街西村所有</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2500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巷南村、巷北村</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菜市场</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付业组覆盖</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上贡组覆盖</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医药公司东侧</w:t>
            </w:r>
            <w:r>
              <w:rPr>
                <w:rFonts w:hint="eastAsia" w:ascii="仿宋" w:hAnsi="仿宋" w:eastAsia="仿宋" w:cs="仿宋"/>
                <w:color w:val="000000"/>
                <w:sz w:val="24"/>
                <w:szCs w:val="24"/>
                <w:lang w:val="en-US" w:eastAsia="zh-CN"/>
              </w:rPr>
              <w:br/>
            </w:r>
            <w:r>
              <w:rPr>
                <w:rFonts w:hint="eastAsia" w:ascii="仿宋" w:hAnsi="仿宋" w:eastAsia="仿宋" w:cs="仿宋"/>
                <w:color w:val="000000"/>
                <w:sz w:val="24"/>
                <w:szCs w:val="24"/>
                <w:lang w:val="en-US" w:eastAsia="zh-CN"/>
              </w:rPr>
              <w:t xml:space="preserve">逢二、七集场（市场）</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5000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老尧夏路</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7500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北大街</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许断桥以西</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横街</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750</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三级</w:t>
            </w:r>
            <w:r/>
          </w:p>
        </w:tc>
      </w:tr>
      <w:tr>
        <w:trPr>
          <w:trHeight w:val="340"/>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钱资东河公园各道路、铺装等</w:t>
            </w:r>
            <w:r/>
          </w:p>
        </w:tc>
        <w:tc>
          <w:tcPr>
            <w:tcBorders>
              <w:top w:val="singl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45328</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tc>
      </w:tr>
    </w:tbl>
    <w:p>
      <w:pPr>
        <w:spacing w:line="240" w:lineRule="auto"/>
        <w:rPr>
          <w:rFonts w:hint="eastAsia" w:ascii="仿宋" w:hAnsi="仿宋" w:eastAsia="仿宋" w:cs="仿宋"/>
          <w:sz w:val="24"/>
          <w:szCs w:val="24"/>
        </w:rPr>
        <w:sectPr>
          <w:footerReference w:type="default" r:id="rId26"/>
          <w:footerReference w:type="first" r:id="rId27"/>
          <w:footnotePr/>
          <w:endnotePr/>
          <w:type w:val="nextPage"/>
          <w:pgSz w:w="11906" w:h="16838" w:orient="portrait"/>
          <w:pgMar w:top="1134" w:right="1134" w:bottom="993" w:left="1134" w:header="851" w:footer="992" w:gutter="0"/>
          <w:cols w:num="1" w:sep="0" w:space="720" w:equalWidth="1"/>
          <w:docGrid w:linePitch="360"/>
          <w:titlePg/>
        </w:sect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tbl>
      <w:tblPr>
        <w:tblStyle w:val="1220"/>
        <w:tblpPr w:horzAnchor="page" w:tblpXSpec="center" w:vertAnchor="text" w:tblpY="243" w:leftFromText="180" w:topFromText="0" w:rightFromText="180" w:bottomFromText="0"/>
        <w:tblW w:w="9964" w:type="dxa"/>
        <w:jc w:val="center"/>
        <w:tblLayout w:type="fixed"/>
        <w:tblCellMar>
          <w:left w:w="15" w:type="dxa"/>
          <w:top w:w="15" w:type="dxa"/>
          <w:right w:w="15" w:type="dxa"/>
          <w:bottom w:w="15" w:type="dxa"/>
        </w:tblCellMar>
        <w:tblLook w:val="04A0" w:firstRow="1" w:lastRow="0" w:firstColumn="1" w:lastColumn="0" w:noHBand="0" w:noVBand="1"/>
      </w:tblPr>
      <w:tblGrid>
        <w:gridCol w:w="585"/>
        <w:gridCol w:w="6150"/>
        <w:gridCol w:w="2070"/>
        <w:gridCol w:w="1159"/>
      </w:tblGrid>
      <w:tr>
        <w:trPr>
          <w:jc w:val="center"/>
          <w:trHeight w:val="356"/>
        </w:trPr>
        <w:tc>
          <w:tcPr>
            <w:gridSpan w:val="3"/>
            <w:tcBorders>
              <w:bottom w:val="single" w:color="auto" w:sz="4" w:space="0"/>
            </w:tcBorders>
            <w:tcW w:w="8805"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表</w:t>
            </w:r>
            <w:r>
              <w:rPr>
                <w:rFonts w:hint="eastAsia" w:ascii="仿宋" w:hAnsi="仿宋" w:eastAsia="仿宋" w:cs="仿宋"/>
                <w:color w:val="000000"/>
                <w:sz w:val="24"/>
                <w:szCs w:val="24"/>
                <w:lang w:val="en-US" w:eastAsia="zh-CN"/>
              </w:rPr>
              <w:t xml:space="preserve">四</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部分公共厕所保洁明细表</w:t>
            </w:r>
            <w:r/>
          </w:p>
        </w:tc>
        <w:tc>
          <w:tcPr>
            <w:tcBorders>
              <w:bottom w:val="single" w:color="auto" w:sz="4" w:space="0"/>
            </w:tcBorders>
            <w:tcW w:w="1159" w:type="dxa"/>
            <w:textDirection w:val="lrTb"/>
            <w:noWrap w:val="false"/>
          </w:tcPr>
          <w:p>
            <w:pPr>
              <w:ind w:left="0" w:right="0"/>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56"/>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范围</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冲洗遍数</w:t>
            </w:r>
            <w:r/>
          </w:p>
        </w:tc>
        <w:tc>
          <w:tcPr>
            <w:tcBorders>
              <w:top w:val="single" w:color="auto" w:sz="4" w:space="0"/>
              <w:left w:val="single" w:color="auto" w:sz="4" w:space="0"/>
              <w:bottom w:val="single" w:color="auto" w:sz="4" w:space="0"/>
              <w:right w:val="single" w:color="auto" w:sz="4" w:space="0"/>
            </w:tcBorders>
            <w:tcW w:w="1159" w:type="dxa"/>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数量</w:t>
            </w:r>
            <w:r/>
          </w:p>
        </w:tc>
      </w:tr>
      <w:tr>
        <w:trPr>
          <w:jc w:val="center"/>
          <w:trHeight w:val="356"/>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ind w:left="0" w:right="0"/>
              <w:keepLines w:val="0"/>
              <w:keepNext w:val="0"/>
              <w:spacing w:before="0" w:beforeAutospacing="0" w:after="0" w:afterAutospacing="0" w:line="240" w:lineRule="auto"/>
              <w:rPr>
                <w:rFonts w:hint="eastAsia" w:ascii="仿宋" w:hAnsi="仿宋" w:eastAsia="仿宋" w:cs="仿宋"/>
                <w:sz w:val="24"/>
                <w:szCs w:val="24"/>
                <w:lang w:val="en-US" w:eastAsia="zh-CN"/>
              </w:rPr>
              <w:suppressLineNumbers w:val="0"/>
            </w:pPr>
            <w:r>
              <w:rPr>
                <w:rFonts w:hint="eastAsia" w:ascii="仿宋" w:hAnsi="仿宋" w:eastAsia="仿宋" w:cs="仿宋"/>
                <w:color w:val="000000"/>
                <w:sz w:val="24"/>
                <w:szCs w:val="24"/>
              </w:rPr>
              <w:t xml:space="preserve">尧塘北大街与尧汤路交叉口东南50m停车场</w:t>
            </w:r>
            <w:r>
              <w:rPr>
                <w:rFonts w:hint="eastAsia" w:ascii="仿宋" w:hAnsi="仿宋" w:eastAsia="仿宋" w:cs="仿宋"/>
                <w:color w:val="000000"/>
                <w:sz w:val="24"/>
                <w:szCs w:val="24"/>
                <w:lang w:eastAsia="zh-CN"/>
              </w:rPr>
              <w:t xml:space="preserve">、尧塘老菜场、</w:t>
            </w:r>
            <w:r>
              <w:rPr>
                <w:rFonts w:hint="eastAsia" w:ascii="仿宋" w:hAnsi="仿宋" w:eastAsia="仿宋" w:cs="仿宋"/>
                <w:color w:val="000000"/>
                <w:sz w:val="24"/>
                <w:szCs w:val="24"/>
              </w:rPr>
              <w:t xml:space="preserve">尧塘老桥南侧</w:t>
            </w:r>
            <w:r>
              <w:rPr>
                <w:rFonts w:hint="eastAsia" w:ascii="仿宋" w:hAnsi="仿宋" w:eastAsia="仿宋" w:cs="仿宋"/>
                <w:color w:val="000000"/>
                <w:sz w:val="24"/>
                <w:szCs w:val="24"/>
                <w:lang w:eastAsia="zh-CN"/>
              </w:rPr>
              <w:t xml:space="preserve">、基督教堂旁、尧塘北大街电影院旁、蒲塘村、尧塘健身广场2022新建、长龙山路与中兴路交叉口处（钱荡月色旁）、复兴南路西、九龙山路北①、复兴南路西、九龙山路北②、陆家庄小区西门、四季雅苑1区、</w:t>
            </w:r>
            <w:r>
              <w:rPr>
                <w:rFonts w:hint="eastAsia" w:ascii="仿宋" w:hAnsi="仿宋" w:eastAsia="仿宋" w:cs="仿宋"/>
                <w:color w:val="000000"/>
                <w:sz w:val="24"/>
                <w:szCs w:val="24"/>
                <w:lang w:val="en-US" w:eastAsia="zh-CN"/>
              </w:rPr>
              <w:t xml:space="preserve">栖溪庄园售楼处东侧</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每天冲洗两次早晚各一次</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13</w:t>
            </w:r>
            <w:r/>
          </w:p>
        </w:tc>
      </w:tr>
    </w:tbl>
    <w:p>
      <w:pP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表五：垃圾处理</w:t>
      </w:r>
      <w:r/>
    </w:p>
    <w:tbl>
      <w:tblPr>
        <w:tblStyle w:val="1220"/>
        <w:tblpPr w:horzAnchor="page" w:tblpXSpec="center" w:vertAnchor="text" w:tblpY="243" w:leftFromText="180" w:topFromText="0" w:rightFromText="180" w:bottomFromText="0"/>
        <w:tblW w:w="9778" w:type="dxa"/>
        <w:jc w:val="center"/>
        <w:tblLayout w:type="fixed"/>
        <w:tblCellMar>
          <w:left w:w="15" w:type="dxa"/>
          <w:top w:w="15" w:type="dxa"/>
          <w:right w:w="15" w:type="dxa"/>
          <w:bottom w:w="15" w:type="dxa"/>
        </w:tblCellMar>
        <w:tblLook w:val="04A0" w:firstRow="1" w:lastRow="0" w:firstColumn="1" w:lastColumn="0" w:noHBand="0" w:noVBand="1"/>
      </w:tblPr>
      <w:tblGrid>
        <w:gridCol w:w="1304"/>
        <w:gridCol w:w="6078"/>
        <w:gridCol w:w="2396"/>
      </w:tblGrid>
      <w:tr>
        <w:trPr>
          <w:jc w:val="center"/>
          <w:trHeight w:val="442"/>
        </w:trPr>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6078"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范围</w:t>
            </w:r>
            <w:r/>
          </w:p>
        </w:tc>
        <w:tc>
          <w:tcPr>
            <w:tcBorders>
              <w:top w:val="single" w:color="auto" w:sz="4" w:space="0"/>
              <w:left w:val="single" w:color="auto" w:sz="4" w:space="0"/>
              <w:bottom w:val="single" w:color="auto" w:sz="4" w:space="0"/>
              <w:right w:val="single" w:color="auto" w:sz="4" w:space="0"/>
            </w:tcBorders>
            <w:tcW w:w="2396" w:type="dxa"/>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数量</w:t>
            </w:r>
            <w:r/>
          </w:p>
        </w:tc>
      </w:tr>
      <w:tr>
        <w:trPr>
          <w:jc w:val="center"/>
          <w:trHeight w:val="463"/>
        </w:trPr>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6078"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尧夏路生活垃圾转运站</w:t>
            </w:r>
            <w:r/>
          </w:p>
        </w:tc>
        <w:tc>
          <w:tcPr>
            <w:tcBorders>
              <w:top w:val="single" w:color="auto" w:sz="4" w:space="0"/>
              <w:left w:val="single" w:color="auto" w:sz="4" w:space="0"/>
              <w:bottom w:val="single" w:color="auto" w:sz="4"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1座</w:t>
            </w:r>
            <w:r/>
          </w:p>
        </w:tc>
      </w:tr>
      <w:tr>
        <w:trPr>
          <w:jc w:val="center"/>
          <w:trHeight w:val="463"/>
        </w:trPr>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078"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易腐垃圾处理中心</w:t>
            </w:r>
            <w:r/>
          </w:p>
        </w:tc>
        <w:tc>
          <w:tcPr>
            <w:tcBorders>
              <w:top w:val="single" w:color="auto" w:sz="4" w:space="0"/>
              <w:left w:val="single" w:color="auto" w:sz="4" w:space="0"/>
              <w:bottom w:val="single" w:color="auto" w:sz="4"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1座</w:t>
            </w:r>
            <w:r/>
          </w:p>
        </w:tc>
      </w:tr>
    </w:tbl>
    <w:p>
      <w:pPr>
        <w:keepLines w:val="0"/>
        <w:keepNext w:val="0"/>
        <w:pageBreakBefore w:val="0"/>
        <w:spacing w:line="24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spacing w:line="24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lang w:val="en-US" w:eastAsia="zh-CN"/>
        </w:rPr>
        <w:t xml:space="preserve">表六：垃</w:t>
      </w:r>
      <w:r>
        <w:rPr>
          <w:rFonts w:hint="eastAsia" w:ascii="仿宋" w:hAnsi="仿宋" w:eastAsia="仿宋" w:cs="仿宋"/>
          <w:bCs/>
          <w:color w:val="000000"/>
          <w:sz w:val="24"/>
          <w:szCs w:val="24"/>
          <w:highlight w:val="none"/>
          <w:lang w:val="en-US" w:eastAsia="zh-CN"/>
        </w:rPr>
        <w:t xml:space="preserve">圾桶/</w:t>
      </w:r>
      <w:r>
        <w:rPr>
          <w:rFonts w:hint="eastAsia" w:ascii="仿宋" w:hAnsi="仿宋" w:eastAsia="仿宋" w:cs="仿宋"/>
          <w:sz w:val="24"/>
          <w:szCs w:val="24"/>
          <w:highlight w:val="none"/>
          <w:lang w:val="en-US" w:eastAsia="zh-CN"/>
        </w:rPr>
        <w:t xml:space="preserve">果壳箱</w:t>
      </w:r>
      <w:r/>
    </w:p>
    <w:tbl>
      <w:tblPr>
        <w:tblStyle w:val="1220"/>
        <w:tblpPr w:horzAnchor="page" w:tblpXSpec="center" w:vertAnchor="text" w:tblpY="243" w:leftFromText="180" w:topFromText="0" w:rightFromText="180" w:bottomFromText="0"/>
        <w:tblW w:w="9771" w:type="dxa"/>
        <w:jc w:val="center"/>
        <w:tblLayout w:type="fixed"/>
        <w:tblCellMar>
          <w:left w:w="15" w:type="dxa"/>
          <w:top w:w="15" w:type="dxa"/>
          <w:right w:w="15" w:type="dxa"/>
          <w:bottom w:w="15" w:type="dxa"/>
        </w:tblCellMar>
        <w:tblLook w:val="04A0" w:firstRow="1" w:lastRow="0" w:firstColumn="1" w:lastColumn="0" w:noHBand="0" w:noVBand="1"/>
      </w:tblPr>
      <w:tblGrid>
        <w:gridCol w:w="989"/>
        <w:gridCol w:w="4726"/>
        <w:gridCol w:w="4056"/>
      </w:tblGrid>
      <w:tr>
        <w:trPr>
          <w:jc w:val="center"/>
          <w:trHeight w:val="434"/>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72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内容</w:t>
            </w:r>
            <w:r/>
          </w:p>
        </w:tc>
        <w:tc>
          <w:tcPr>
            <w:tcBorders>
              <w:top w:val="single" w:color="auto" w:sz="4" w:space="0"/>
              <w:left w:val="single" w:color="auto" w:sz="4" w:space="0"/>
              <w:bottom w:val="single" w:color="auto" w:sz="4" w:space="0"/>
              <w:right w:val="single" w:color="auto" w:sz="4" w:space="0"/>
            </w:tcBorders>
            <w:tcW w:w="4056" w:type="dxa"/>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数量</w:t>
            </w:r>
            <w:r/>
          </w:p>
        </w:tc>
      </w:tr>
      <w:tr>
        <w:trPr>
          <w:jc w:val="center"/>
          <w:trHeight w:val="453"/>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472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eastAsia="zh-CN"/>
              </w:rPr>
              <w:t xml:space="preserve">果壳箱</w:t>
            </w:r>
            <w:r/>
          </w:p>
        </w:tc>
        <w:tc>
          <w:tcPr>
            <w:tcBorders>
              <w:top w:val="single" w:color="auto" w:sz="4" w:space="0"/>
              <w:left w:val="single" w:color="auto" w:sz="4" w:space="0"/>
              <w:bottom w:val="single" w:color="auto" w:sz="4" w:space="0"/>
              <w:right w:val="single" w:color="auto" w:sz="4" w:space="0"/>
            </w:tcBorders>
            <w:tcW w:w="405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27个</w:t>
            </w:r>
            <w:r/>
          </w:p>
        </w:tc>
      </w:tr>
      <w:tr>
        <w:trPr>
          <w:jc w:val="center"/>
          <w:trHeight w:val="462"/>
        </w:trPr>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72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垃圾桶</w:t>
            </w:r>
            <w:r/>
          </w:p>
        </w:tc>
        <w:tc>
          <w:tcPr>
            <w:tcBorders>
              <w:top w:val="single" w:color="auto" w:sz="4" w:space="0"/>
              <w:left w:val="single" w:color="auto" w:sz="4" w:space="0"/>
              <w:bottom w:val="single" w:color="auto" w:sz="4" w:space="0"/>
              <w:right w:val="single" w:color="auto" w:sz="4" w:space="0"/>
            </w:tcBorders>
            <w:tcW w:w="405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79组/158只</w:t>
            </w:r>
            <w:r/>
          </w:p>
        </w:tc>
      </w:tr>
    </w:tbl>
    <w:p>
      <w:pPr>
        <w:spacing w:line="24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r>
      <w:r/>
    </w:p>
    <w:p>
      <w:pPr>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表七：部分绿化养护明细表</w:t>
      </w:r>
      <w:r/>
    </w:p>
    <w:tbl>
      <w:tblPr>
        <w:tblStyle w:val="1220"/>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7"/>
        <w:gridCol w:w="1410"/>
        <w:gridCol w:w="5826"/>
        <w:gridCol w:w="558"/>
        <w:gridCol w:w="1056"/>
      </w:tblGrid>
      <w:tr>
        <w:trPr>
          <w:trHeight w:val="366"/>
        </w:trPr>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82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内容描述</w:t>
            </w:r>
            <w:r/>
          </w:p>
        </w:tc>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firstLine="240"/>
              <w:jc w:val="both"/>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数量</w:t>
            </w:r>
            <w:r/>
          </w:p>
        </w:tc>
      </w:tr>
      <w:tr>
        <w:trPr>
          <w:trHeight w:val="1990"/>
        </w:trPr>
        <w:tc>
          <w:tcPr>
            <w:tcBorders>
              <w:top w:val="non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w:t>
            </w:r>
            <w:r/>
          </w:p>
        </w:tc>
        <w:tc>
          <w:tcPr>
            <w:tcBorders>
              <w:top w:val="non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养护范围</w:t>
            </w:r>
            <w:r/>
          </w:p>
        </w:tc>
        <w:tc>
          <w:tcPr>
            <w:gridSpan w:val="3"/>
            <w:tcBorders>
              <w:top w:val="none" w:color="000000" w:sz="4" w:space="0"/>
              <w:left w:val="single" w:color="000000" w:sz="4" w:space="0"/>
              <w:bottom w:val="single" w:color="000000" w:sz="4" w:space="0"/>
              <w:right w:val="single" w:color="000000" w:sz="4" w:space="0"/>
            </w:tcBorders>
            <w:tcW w:w="744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农民公寓东侧小广场；2、亿晶大街（金武路-钱资湖大道北侧）道路两侧区域景观节点、中分带、行道树；3、北大街；4、尧塘健身广场；5、尧塘桥东侧小公园；6、赵尧路（镇北路）两侧；7、幸福路北侧；8、尧汤路（北大街-钱资湖大道）；9、育才路（亿晶大街-晴湖路；10、尧汤路西侧紫薇口袋公园；11、府北路（星湖路-月湖路）；12、府南路；13、钱资湖大道北侧与尧塘中小学、博雅学校南侧围墙边；14、晴湖路（育才路-钱资湖大道）；15、紫薇花园南侧围墙外；16、星湖路西侧（尧夏路-钱资湖）；17、巷南小公园等</w:t>
            </w:r>
            <w:r/>
          </w:p>
        </w:tc>
      </w:tr>
      <w:tr>
        <w:trPr>
          <w:trHeight w:val="1221"/>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色块养护</w:t>
            </w:r>
            <w:r/>
          </w:p>
        </w:tc>
        <w:tc>
          <w:tcPr>
            <w:tcBorders>
              <w:top w:val="single" w:color="000000" w:sz="4" w:space="0"/>
              <w:left w:val="single" w:color="000000" w:sz="4" w:space="0"/>
              <w:bottom w:val="single" w:color="000000" w:sz="4" w:space="0"/>
              <w:right w:val="single" w:color="000000" w:sz="4" w:space="0"/>
            </w:tcBorders>
            <w:tcW w:w="5826"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1、绿化养护种类：草坪、色带、色块、球类等。</w:t>
            </w:r>
            <w:r/>
          </w:p>
          <w:p>
            <w:pPr>
              <w:ind w:left="0" w:right="0"/>
              <w:jc w:val="left"/>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工作内容：区域范围内的绿地养护管理、清理、保洁、除草、病虫害防治、施肥、灌溉、抗寒防冻费、花木及球苗整形修剪、草坪修剪、色块修剪、废弃物外运等（如标段范围内被偷倒垃圾由中标人负责清理外运，不另计费）。</w:t>
            </w:r>
            <w:r/>
          </w:p>
        </w:tc>
        <w:tc>
          <w:tcPr>
            <w:gridSpan w:val="2"/>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sz w:val="24"/>
                <w:szCs w:val="24"/>
                <w:highlight w:val="none"/>
                <w:lang w:val="en-US" w:eastAsia="zh-CN"/>
              </w:rPr>
              <w:t xml:space="preserve">约65000m2</w:t>
            </w:r>
            <w:r/>
          </w:p>
        </w:tc>
      </w:tr>
      <w:tr>
        <w:trPr>
          <w:trHeight w:val="1458"/>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乔灌木养护</w:t>
            </w:r>
            <w:r/>
          </w:p>
        </w:tc>
        <w:tc>
          <w:tcPr>
            <w:tcBorders>
              <w:top w:val="single" w:color="000000" w:sz="4" w:space="0"/>
              <w:left w:val="single" w:color="000000" w:sz="4" w:space="0"/>
              <w:bottom w:val="single" w:color="000000" w:sz="4" w:space="0"/>
              <w:right w:val="single" w:color="000000" w:sz="4" w:space="0"/>
            </w:tcBorders>
            <w:tcW w:w="5826"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1、绿化养护种类：乔木、灌木。</w:t>
            </w:r>
            <w:r/>
          </w:p>
          <w:p>
            <w:pPr>
              <w:ind w:left="0" w:right="0"/>
              <w:jc w:val="left"/>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2、工作内容：区域范围内乔、灌木的枝叶修剪、剥芽、病虫害防治、刷白、清除枯枝、施肥、灌溉、保洁、废弃物外运等（如标段范围内被偷倒垃圾由中标人负责清理外运，不另计费）。</w:t>
            </w:r>
            <w:r/>
          </w:p>
          <w:p>
            <w:pPr>
              <w:ind w:left="0" w:right="0"/>
              <w:jc w:val="left"/>
              <w:keepLines w:val="0"/>
              <w:keepNext w:val="0"/>
              <w:spacing w:before="0" w:beforeAutospacing="0" w:after="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3、乔、灌木的杆径规格及蓬径大小综合考虑，投标单位报价时自行考虑综合单价。</w:t>
            </w:r>
            <w:r/>
          </w:p>
        </w:tc>
        <w:tc>
          <w:tcPr>
            <w:gridSpan w:val="2"/>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sz w:val="24"/>
                <w:szCs w:val="24"/>
                <w:highlight w:val="none"/>
                <w:lang w:val="en-US" w:eastAsia="zh-CN"/>
              </w:rPr>
              <w:t xml:space="preserve">约7000株</w:t>
            </w:r>
            <w:r/>
          </w:p>
        </w:tc>
      </w:tr>
    </w:tbl>
    <w:p>
      <w:pPr>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ind w:firstLine="482"/>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6、其他事项：</w:t>
      </w:r>
      <w:r/>
    </w:p>
    <w:p>
      <w:pPr>
        <w:ind w:firstLine="240"/>
        <w:jc w:val="left"/>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（1）投标供应商要有合法固定场地有序停放作业车辆，保洁车辆整洁，工具摆放整齐；严格遵守交通法规，安全行车，作业时不得影响车辆通行与市民出行。</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本项目合同签订前，中标人按照投标文件中承诺的人员数量及其他内容，向采购人上报环卫、绿化管养人员名单，中标人应确保所有人员为本单位的员工，并按照国家相关法律法规缴纳了社保及必要的意外保险等。</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合同签订前，中标人应按照投标文件中承诺的车辆、设备数量及其他内容，向采购人上报所有环卫、绿化管养车辆等设备的信息资料，包括但不限于车辆行驶证、车辆权属登记证、车辆照片、发票或购销合同等。所有车辆必须安装GPS，并接入相应管理平台，相关费用由中标人自行承担。</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（4）如未按以上2、3要求执行，采购人</w:t>
      </w:r>
      <w:r>
        <w:rPr>
          <w:rFonts w:hint="eastAsia" w:ascii="仿宋" w:hAnsi="仿宋" w:eastAsia="仿宋" w:cs="仿宋"/>
          <w:sz w:val="24"/>
          <w:szCs w:val="24"/>
          <w:highlight w:val="none"/>
          <w:lang w:val="en-US" w:eastAsia="zh-CN"/>
        </w:rPr>
        <w:t xml:space="preserve">取消其中标资格，中标人应当对给采购人造成的损失予以赔偿。采购人可以按照评标委员会提出的中标候选人名单排序依次确定其他中标候选人为中标供应商，依次确定其他中标候选人与采购人预期差距较大，或者对采购人明显不利的，采购人可以重新招标。</w:t>
      </w:r>
      <w:r/>
    </w:p>
    <w:p>
      <w:pPr>
        <w:pStyle w:val="1693"/>
        <w:ind w:left="0" w:firstLine="24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color w:val="000000"/>
          <w:sz w:val="24"/>
          <w:szCs w:val="24"/>
          <w:highlight w:val="none"/>
          <w:lang w:val="en-US" w:eastAsia="zh-CN" w:bidi="ar-SA"/>
        </w:rPr>
        <w:t xml:space="preserve">费用调整（如：人员、材料、机具设备、规费、税金等费用的调整或出现新的费用），除采购人要求外，投标总价不作任何调整。包括政策所涉及最低工资标准、五大社会保险金、加班工资、高温补贴等。</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（6）劳动防护用品发放要求：根据日常劳动需要，按时发放普通防护服、普通工作帽、普通工作鞋、防寒服、雨衣、胶鞋等日常劳动保护用品。具体按照金坛区相关行业主管部门实时要求。</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（7）合同期内，为确保机械作业的连续性和管理规范，除特殊情况外，中标人区域内新增道路均由中标人作业，但应由采购人以《作业派遣单》的形式下达，才可以进行清扫保洁作业。</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合同期内，由于突发事件、拆迁、施工等原因，造成作业服务范围及工程量以外的增量工作，由采购人以《作业派遣单》的形式下达任务；造成作业服务范围及工程量以外的减少工作需及时上报采购人的相关职能部门认可（15日内），不得自行停工，或改变作业时间与方式。如有不报或上报不及时，其减少作业量的时间由采购人确定。</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（9）由于工程施工、各类活动、节假日期间等因素导致的费用增加，不论这些因素是可预测或不可预测的，均已包含在成交价中。除采购人要求外，不作调整。</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（10）中标人须提供作业区域内公共设施的巡查服务，并做好市政设施的看护工作，发现区域内公共设施破损、挖掘(顶管)和移植、占用城市绿化等现象的应及时上报。</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本项目的实施范围及工作量为按项目现状进行的预估，投标人在投标前须自行前往现场并认真踏勘，熟悉项目现场和周围环境，了解一切可能影响投标方案、报价等编制投标文件的资料，并承担考查现场的责任和风险以及踏勘现场所发生的自身费用，一旦成交不得以不了解现场情况为由，提出增加费用的要求。投标报价时应综合考虑各种风险，在合同履行过程中中标人不得因此内容进行索赔。</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投标供应商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w:t>
      </w:r>
      <w:r/>
    </w:p>
    <w:p>
      <w:pPr>
        <w:pStyle w:val="1693"/>
        <w:ind w:left="0" w:firstLine="24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rPr>
          <w:rFonts w:hint="eastAsia" w:ascii="仿宋" w:hAnsi="仿宋" w:eastAsia="仿宋" w:cs="仿宋"/>
          <w:color w:val="000000"/>
          <w:sz w:val="24"/>
          <w:szCs w:val="24"/>
          <w:highlight w:val="none"/>
          <w:lang w:val="en-US" w:eastAsia="zh-CN" w:bidi="ar-SA"/>
        </w:rPr>
        <w:t xml:space="preserve">作业用水经费由采购人承担。</w:t>
      </w:r>
      <w:r/>
    </w:p>
    <w:p>
      <w:pPr>
        <w:ind w:firstLine="24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（14）本项目现场现有果壳箱和垃圾箱如有损坏，不论何种原因均由中标单位负责购买、更换至符合采购人要求。合同到期后，现场的果壳箱和垃圾箱等必须完好的移交给采购人。</w:t>
      </w:r>
      <w:r/>
    </w:p>
    <w:p>
      <w:pPr>
        <w:ind w:firstLine="24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（15）本项目公厕现场现有照明灯具、洗手器具、镜子、挂衣钩、烘手器、冲水设备等如有损坏,不论何种原因均由中标单位负责购买、更换，单个项目单次维修费用超过 500 元的，由中标人及时报经采购人维修。</w:t>
      </w:r>
      <w:r/>
    </w:p>
    <w:p>
      <w:pPr>
        <w:pStyle w:val="1693"/>
        <w:ind w:left="0" w:firstLine="240"/>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因突发情况（如台风、雨雪、冰雹、霜或冰冻等天气或气候因素，或车辆、居民、行人等人为因素，或是其它因素，以及复合因素或不明原因的情况）导致的道路污染包括建筑垃圾必须及时清除，不论这些因素是可预测或不可预测的，均已包含在投标报价中。除采购人要求外，不作调整。    </w:t>
      </w:r>
      <w:r/>
    </w:p>
    <w:p>
      <w:pPr>
        <w:ind w:firstLine="420"/>
        <w:jc w:val="left"/>
        <w:keepLines w:val="0"/>
        <w:keepNext w:val="0"/>
        <w:pageBreakBefore w:val="0"/>
        <w:spacing w:line="360" w:lineRule="auto"/>
        <w:widowControl w:val="off"/>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7、实质性要求</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采购需求中如有必须满足的实质性要求，应当以斜体且下划线标注或者加“★”号标注。并另行以表格形式单独逐条列明，且明确需要提供的证明材料。</w:t>
      </w:r>
      <w:r/>
    </w:p>
    <w:p>
      <w:pPr>
        <w:pStyle w:val="1243"/>
        <w:rPr>
          <w:rFonts w:hint="eastAsia"/>
          <w:lang w:val="en-US" w:eastAsia="zh-CN"/>
        </w:rPr>
      </w:pPr>
      <w:r>
        <w:rPr>
          <w:rFonts w:hint="eastAsia"/>
          <w:lang w:val="en-US" w:eastAsia="zh-CN"/>
        </w:rPr>
      </w:r>
      <w:r/>
    </w:p>
    <w:tbl>
      <w:tblPr>
        <w:tblStyle w:val="1220"/>
        <w:tblW w:w="98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8948"/>
      </w:tblGrid>
      <w:tr>
        <w:trPr>
          <w:trHeight w:val="422"/>
        </w:trPr>
        <w:tc>
          <w:tcPr>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序号</w:t>
            </w:r>
            <w:r/>
          </w:p>
        </w:tc>
        <w:tc>
          <w:tcPr>
            <w:tcW w:w="89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实质性条款具体内容</w:t>
            </w:r>
            <w:r/>
          </w:p>
        </w:tc>
      </w:tr>
      <w:tr>
        <w:trPr>
          <w:trHeight w:val="561"/>
        </w:trPr>
        <w:tc>
          <w:tcPr>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Cs/>
                <w:color w:val="000000"/>
                <w:sz w:val="24"/>
                <w:szCs w:val="24"/>
                <w:lang w:val="en-US" w:eastAsia="zh-CN"/>
              </w:rPr>
              <w:suppressLineNumbers w:val="0"/>
            </w:pPr>
            <w:r>
              <w:rPr>
                <w:rFonts w:hint="eastAsia" w:ascii="仿宋" w:hAnsi="仿宋" w:eastAsia="仿宋" w:cs="仿宋"/>
                <w:bCs/>
                <w:color w:val="000000"/>
                <w:sz w:val="24"/>
                <w:szCs w:val="24"/>
                <w:lang w:val="en-US" w:eastAsia="zh-CN"/>
              </w:rPr>
              <w:t xml:space="preserve">1</w:t>
            </w:r>
            <w:r/>
          </w:p>
        </w:tc>
        <w:tc>
          <w:tcPr>
            <w:tcW w:w="8948" w:type="dxa"/>
            <w:vAlign w:val="top"/>
            <w:textDirection w:val="lrTb"/>
            <w:noWrap w:val="false"/>
          </w:tcPr>
          <w:p>
            <w:pPr>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项目人员基本配置要求：</w:t>
            </w:r>
            <w:r/>
          </w:p>
          <w:p>
            <w:pPr>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（1）提供《项目人员配置表》（格式自拟）及承诺函（承诺满足劳动力数量配备最低要求），并上传至符合条件模块中，否则作无效投标文件处理。</w:t>
            </w:r>
            <w:r/>
          </w:p>
          <w:p>
            <w:pPr>
              <w:jc w:val="left"/>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sz w:val="24"/>
                <w:szCs w:val="24"/>
                <w:highlight w:val="none"/>
                <w:lang w:val="en-US" w:eastAsia="zh-CN"/>
              </w:rPr>
              <w:t xml:space="preserve">（2）提供《项目人员配置表》中项目管理负责人（环卫保洁负责人)、绿化管养负责人近半年来（从投标截止时间往前推）任意一月投标人为拟投入人员缴纳社会保险的凭证，并上传至符合条件模块中，否则作无效投标文件处理。</w:t>
            </w:r>
            <w:r/>
          </w:p>
        </w:tc>
      </w:tr>
      <w:tr>
        <w:trPr>
          <w:trHeight w:val="540"/>
        </w:trPr>
        <w:tc>
          <w:tcPr>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Cs/>
                <w:color w:val="000000"/>
                <w:sz w:val="24"/>
                <w:szCs w:val="24"/>
                <w:lang w:val="en-US" w:eastAsia="zh-CN"/>
              </w:rPr>
              <w:suppressLineNumbers w:val="0"/>
            </w:pPr>
            <w:r>
              <w:rPr>
                <w:rFonts w:hint="eastAsia" w:ascii="仿宋" w:hAnsi="仿宋" w:eastAsia="仿宋" w:cs="仿宋"/>
                <w:bCs/>
                <w:color w:val="000000"/>
                <w:sz w:val="24"/>
                <w:szCs w:val="24"/>
                <w:lang w:val="en-US" w:eastAsia="zh-CN"/>
              </w:rPr>
              <w:t xml:space="preserve">2</w:t>
            </w:r>
            <w:r/>
          </w:p>
        </w:tc>
        <w:tc>
          <w:tcPr>
            <w:tcW w:w="8948" w:type="dxa"/>
            <w:vAlign w:val="top"/>
            <w:textDirection w:val="lrTb"/>
            <w:noWrap w:val="false"/>
          </w:tcPr>
          <w:p>
            <w:pPr>
              <w:jc w:val="both"/>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作业</w:t>
            </w:r>
            <w:r>
              <w:rPr>
                <w:rFonts w:hint="eastAsia" w:ascii="仿宋" w:hAnsi="仿宋" w:eastAsia="仿宋" w:cs="仿宋"/>
                <w:b/>
                <w:bCs/>
                <w:color w:val="auto"/>
                <w:sz w:val="24"/>
                <w:szCs w:val="24"/>
                <w:lang w:val="en-US" w:eastAsia="zh-CN"/>
              </w:rPr>
              <w:t xml:space="preserve">车辆/装备</w:t>
            </w:r>
            <w:r>
              <w:rPr>
                <w:rFonts w:hint="eastAsia" w:ascii="仿宋" w:hAnsi="仿宋" w:eastAsia="仿宋" w:cs="仿宋"/>
                <w:b/>
                <w:bCs/>
                <w:sz w:val="24"/>
                <w:szCs w:val="24"/>
                <w:highlight w:val="none"/>
                <w:lang w:val="en-US" w:eastAsia="zh-CN"/>
              </w:rPr>
              <w:t xml:space="preserve">配置表：</w:t>
            </w:r>
            <w:r/>
          </w:p>
          <w:p>
            <w:pPr>
              <w:jc w:val="both"/>
              <w:spacing w:line="360" w:lineRule="auto"/>
              <w:rPr>
                <w:rFonts w:hint="eastAsia" w:ascii="仿宋" w:hAnsi="仿宋" w:eastAsia="仿宋" w:cs="仿宋"/>
                <w:color w:val="000000"/>
                <w:sz w:val="24"/>
                <w:szCs w:val="24"/>
                <w:lang w:val="en-US" w:eastAsia="zh-CN"/>
              </w:rPr>
            </w:pPr>
            <w:r>
              <w:rPr>
                <w:rFonts w:hint="eastAsia" w:ascii="仿宋" w:hAnsi="仿宋" w:eastAsia="仿宋" w:cs="仿宋"/>
                <w:b/>
                <w:bCs/>
                <w:sz w:val="24"/>
                <w:szCs w:val="24"/>
                <w:highlight w:val="none"/>
                <w:lang w:val="en-US" w:eastAsia="zh-CN"/>
              </w:rPr>
              <w:t xml:space="preserve">提供《车辆/装备配置表》及车辆/装备的相关证明材料，并上传至符合条件模块中，否则作无效投标文件处理：（1）3吨清扫车、3吨清扫车、8吨洗扫车、3吨垃圾压缩车、原装洒水车、登高车、清运卡车或轻型载货专项作业车自有的须提供</w:t>
            </w:r>
            <w:r>
              <w:rPr>
                <w:rFonts w:hint="eastAsia" w:ascii="仿宋" w:hAnsi="仿宋" w:eastAsia="仿宋" w:cs="仿宋"/>
                <w:b/>
                <w:bCs/>
                <w:sz w:val="24"/>
                <w:szCs w:val="24"/>
                <w:highlight w:val="none"/>
                <w:lang w:val="en-US" w:eastAsia="zh-CN"/>
              </w:rPr>
              <w:t xml:space="preserve">：车辆照片、行驶证、购置发票材料（如不能提供购置发票的则需提供购销合同材料）、体现车辆参数的相关证明材料。车辆租赁的须提供：车辆照片、行驶证、租赁合同(租赁期限需满足项目服务期限)材料、体现车辆参数的相关证明材料。（2）1.5吨电动垃圾收运车、电动保洁车、小型电瓶高压冲洗车、背负式鼓风机、打药机自有的须提供：车辆/装备照片、购置发票材料（如不能提供购置发票的则需提供购销合同材料）。租赁的须提供：车辆/装备照片、租赁合同(租赁期限需满足项目服务期限)材料。不提供或提供不符合采购文件要求的，作无效投标文件处理。</w:t>
            </w:r>
            <w:r/>
          </w:p>
        </w:tc>
      </w:tr>
    </w:tbl>
    <w:p>
      <w:pPr>
        <w:ind w:firstLine="0"/>
        <w:jc w:val="left"/>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20"/>
        <w:jc w:val="left"/>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9、</w:t>
      </w:r>
      <w:r>
        <w:rPr>
          <w:rFonts w:hint="eastAsia" w:ascii="仿宋" w:hAnsi="仿宋" w:eastAsia="仿宋" w:cs="仿宋"/>
          <w:b/>
          <w:bCs/>
          <w:color w:val="000000"/>
          <w:sz w:val="24"/>
          <w:szCs w:val="24"/>
        </w:rPr>
        <w:t xml:space="preserve">采购标的对应的中小企业划分标准所属行业一览表</w:t>
      </w:r>
      <w:r/>
    </w:p>
    <w:tbl>
      <w:tblPr>
        <w:tblStyle w:val="1220"/>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533"/>
        <w:gridCol w:w="4010"/>
      </w:tblGrid>
      <w:tr>
        <w:trPr>
          <w:cantSplit/>
          <w:jc w:val="center"/>
          <w:trHeight w:val="632"/>
        </w:trPr>
        <w:tc>
          <w:tcPr>
            <w:tcW w:w="876" w:type="dxa"/>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4533" w:type="dxa"/>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4010" w:type="dxa"/>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对应中小企业划分标准所属行业</w:t>
            </w:r>
            <w:r/>
          </w:p>
        </w:tc>
      </w:tr>
      <w:tr>
        <w:trPr>
          <w:cantSplit/>
          <w:jc w:val="center"/>
          <w:trHeight w:val="992"/>
        </w:trPr>
        <w:tc>
          <w:tcPr>
            <w:tcW w:w="876" w:type="dxa"/>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4533" w:type="dxa"/>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2025年度尧塘街道城市保洁及绿化管养项目</w:t>
            </w:r>
            <w:r/>
          </w:p>
        </w:tc>
        <w:tc>
          <w:tcPr>
            <w:tcW w:w="4010" w:type="dxa"/>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其他未列明行业</w:t>
            </w:r>
            <w:r/>
          </w:p>
        </w:tc>
      </w:tr>
    </w:tbl>
    <w:p>
      <w:pPr>
        <w:spacing w:line="360" w:lineRule="auto"/>
        <w:rPr>
          <w:rFonts w:hint="eastAsia" w:ascii="仿宋" w:hAnsi="仿宋" w:eastAsia="仿宋" w:cs="仿宋"/>
          <w:b/>
          <w:color w:val="000000"/>
          <w:sz w:val="24"/>
          <w:szCs w:val="24"/>
          <w:highlight w:val="none"/>
        </w:rPr>
        <w:outlineLvl w:val="0"/>
      </w:pPr>
      <w:r>
        <w:rPr>
          <w:rFonts w:hint="eastAsia" w:ascii="仿宋" w:hAnsi="仿宋" w:eastAsia="仿宋" w:cs="仿宋"/>
          <w:b/>
          <w:color w:val="000000"/>
          <w:sz w:val="24"/>
          <w:szCs w:val="24"/>
          <w:highlight w:val="none"/>
        </w:rPr>
      </w:r>
      <w:r/>
    </w:p>
    <w:p>
      <w:pPr>
        <w:rPr>
          <w:rFonts w:hint="eastAsia" w:ascii="仿宋" w:hAnsi="仿宋" w:eastAsia="仿宋" w:cs="仿宋"/>
          <w:b/>
          <w:bCs/>
          <w:color w:val="000000"/>
          <w:sz w:val="24"/>
          <w:szCs w:val="24"/>
          <w:highlight w:val="none"/>
        </w:rPr>
        <w:outlineLvl w:val="0"/>
      </w:pPr>
      <w:r>
        <w:rPr>
          <w:rFonts w:hint="eastAsia" w:ascii="仿宋" w:hAnsi="仿宋" w:eastAsia="仿宋" w:cs="仿宋"/>
          <w:b/>
          <w:color w:val="000000"/>
          <w:sz w:val="24"/>
          <w:szCs w:val="24"/>
          <w:highlight w:val="none"/>
        </w:rPr>
        <w:br w:type="page" w:clear="all"/>
      </w:r>
      <w:r/>
    </w:p>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sz w:val="30"/>
          <w:szCs w:val="30"/>
          <w:highlight w:val="none"/>
        </w:rPr>
        <w:t xml:space="preserve">第六章   拟签订的合同文本</w:t>
      </w:r>
      <w:r/>
    </w:p>
    <w:p>
      <w:pPr>
        <w:spacing w:line="360" w:lineRule="auto"/>
        <w:tabs>
          <w:tab w:val="left" w:pos="900" w:leader="none"/>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120"/>
        <w:rPr>
          <w:rFonts w:hint="eastAsia" w:ascii="仿宋" w:hAnsi="仿宋" w:eastAsia="仿宋" w:cs="仿宋"/>
          <w:b/>
          <w:sz w:val="24"/>
          <w:szCs w:val="24"/>
        </w:rPr>
      </w:pPr>
      <w:r/>
      <w:bookmarkStart w:id="823" w:name="_Toc99301426"/>
      <w:r/>
      <w:r/>
    </w:p>
    <w:p>
      <w:pPr>
        <w:ind w:right="-517"/>
        <w:jc w:val="center"/>
        <w:spacing w:line="360" w:lineRule="auto"/>
        <w:rPr>
          <w:rFonts w:hint="eastAsia" w:ascii="仿宋" w:hAnsi="仿宋" w:eastAsia="仿宋" w:cs="仿宋"/>
          <w:bCs/>
          <w:spacing w:val="-34"/>
          <w:sz w:val="30"/>
          <w:szCs w:val="30"/>
        </w:rPr>
      </w:pPr>
      <w:r>
        <w:rPr>
          <w:rFonts w:hint="eastAsia" w:ascii="仿宋" w:hAnsi="仿宋" w:eastAsia="仿宋" w:cs="仿宋"/>
          <w:b/>
          <w:sz w:val="30"/>
          <w:szCs w:val="30"/>
        </w:rPr>
        <w:t xml:space="preserve">服务合同</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2379" w:hanging="1600"/>
        <w:spacing w:line="360" w:lineRule="auto"/>
        <w:tabs>
          <w:tab w:val="left" w:pos="3045" w:leader="none"/>
          <w:tab w:val="left" w:pos="7140" w:leader="none"/>
          <w:tab w:val="left" w:pos="7350" w:leader="none"/>
        </w:tabs>
        <w:rPr>
          <w:rFonts w:hint="eastAsia" w:ascii="仿宋" w:hAnsi="仿宋" w:eastAsia="仿宋" w:cs="仿宋"/>
          <w:sz w:val="24"/>
          <w:szCs w:val="24"/>
        </w:rPr>
      </w:pPr>
      <w:r>
        <w:rPr>
          <w:rFonts w:hint="eastAsia" w:ascii="仿宋" w:hAnsi="仿宋" w:eastAsia="仿宋" w:cs="仿宋"/>
          <w:sz w:val="24"/>
          <w:szCs w:val="24"/>
        </w:rPr>
      </w:r>
      <w:r/>
    </w:p>
    <w:p>
      <w:pPr>
        <w:ind w:left="2379" w:hanging="1600"/>
        <w:spacing w:line="360" w:lineRule="auto"/>
        <w:tabs>
          <w:tab w:val="left" w:pos="3045" w:leader="none"/>
          <w:tab w:val="left" w:pos="7140" w:leader="none"/>
          <w:tab w:val="left" w:pos="7350" w:leader="none"/>
        </w:tabs>
        <w:rPr>
          <w:rFonts w:hint="eastAsia" w:ascii="仿宋" w:hAnsi="仿宋" w:eastAsia="仿宋" w:cs="仿宋"/>
          <w:sz w:val="24"/>
          <w:szCs w:val="24"/>
        </w:rPr>
      </w:pPr>
      <w:r>
        <w:rPr>
          <w:rFonts w:hint="eastAsia" w:ascii="仿宋" w:hAnsi="仿宋" w:eastAsia="仿宋" w:cs="仿宋"/>
          <w:sz w:val="24"/>
          <w:szCs w:val="24"/>
        </w:rPr>
      </w:r>
      <w:r/>
    </w:p>
    <w:p>
      <w:pPr>
        <w:ind w:left="2379" w:hanging="1600"/>
        <w:spacing w:line="360" w:lineRule="auto"/>
        <w:tabs>
          <w:tab w:val="left" w:pos="3045" w:leader="none"/>
          <w:tab w:val="left" w:pos="7140" w:leader="none"/>
          <w:tab w:val="left" w:pos="7350" w:leader="none"/>
        </w:tabs>
        <w:rPr>
          <w:rFonts w:hint="eastAsia" w:ascii="仿宋" w:hAnsi="仿宋" w:eastAsia="仿宋" w:cs="仿宋"/>
          <w:sz w:val="30"/>
          <w:szCs w:val="30"/>
        </w:rPr>
      </w:pPr>
      <w:r>
        <w:rPr>
          <w:rFonts w:hint="eastAsia" w:ascii="仿宋" w:hAnsi="仿宋" w:eastAsia="仿宋" w:cs="仿宋"/>
          <w:sz w:val="30"/>
          <w:szCs w:val="30"/>
        </w:rPr>
      </w:r>
      <w:r/>
    </w:p>
    <w:p>
      <w:pPr>
        <w:spacing w:line="360" w:lineRule="auto"/>
        <w:tabs>
          <w:tab w:val="left" w:pos="3045" w:leader="none"/>
          <w:tab w:val="left" w:pos="7140" w:leader="none"/>
          <w:tab w:val="left" w:pos="7350" w:leader="none"/>
        </w:tabs>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eastAsia="zh-CN"/>
        </w:rPr>
        <w:t xml:space="preserve">项目</w:t>
      </w:r>
      <w:r>
        <w:rPr>
          <w:rFonts w:hint="eastAsia" w:ascii="仿宋" w:hAnsi="仿宋" w:eastAsia="仿宋" w:cs="仿宋"/>
          <w:sz w:val="30"/>
          <w:szCs w:val="30"/>
        </w:rPr>
        <w:t xml:space="preserve">编号：</w:t>
      </w:r>
      <w:r>
        <w:rPr>
          <w:rFonts w:hint="eastAsia" w:ascii="仿宋" w:hAnsi="仿宋" w:eastAsia="仿宋" w:cs="仿宋"/>
          <w:b/>
          <w:sz w:val="30"/>
          <w:szCs w:val="30"/>
          <w:u w:val="single"/>
        </w:rPr>
        <w:t xml:space="preserve">                      </w:t>
      </w:r>
      <w:r/>
    </w:p>
    <w:p>
      <w:pPr>
        <w:ind w:firstLine="1212"/>
        <w:spacing w:line="360" w:lineRule="auto"/>
        <w:tabs>
          <w:tab w:val="left" w:pos="3045" w:leader="none"/>
          <w:tab w:val="left" w:pos="7140" w:leader="none"/>
          <w:tab w:val="left" w:pos="7350" w:leader="none"/>
        </w:tabs>
        <w:rPr>
          <w:rFonts w:hint="eastAsia" w:ascii="仿宋" w:hAnsi="仿宋" w:eastAsia="仿宋" w:cs="仿宋"/>
          <w:sz w:val="30"/>
          <w:szCs w:val="30"/>
        </w:rPr>
      </w:pPr>
      <w:r>
        <w:rPr>
          <w:rFonts w:hint="eastAsia" w:ascii="仿宋" w:hAnsi="仿宋" w:eastAsia="仿宋" w:cs="仿宋"/>
          <w:sz w:val="30"/>
          <w:szCs w:val="30"/>
        </w:rPr>
        <w:t xml:space="preserve">项目名称：</w:t>
      </w:r>
      <w:r>
        <w:rPr>
          <w:rFonts w:hint="eastAsia" w:ascii="仿宋" w:hAnsi="仿宋" w:eastAsia="仿宋" w:cs="仿宋"/>
          <w:b/>
          <w:sz w:val="30"/>
          <w:szCs w:val="30"/>
          <w:u w:val="single"/>
        </w:rPr>
        <w:t xml:space="preserve">                      </w:t>
      </w:r>
      <w:r>
        <w:rPr>
          <w:rFonts w:hint="eastAsia" w:ascii="仿宋" w:hAnsi="仿宋" w:eastAsia="仿宋" w:cs="仿宋"/>
          <w:sz w:val="30"/>
          <w:szCs w:val="30"/>
        </w:rPr>
        <w:t xml:space="preserve">           </w:t>
      </w:r>
      <w:r/>
    </w:p>
    <w:p>
      <w:pPr>
        <w:spacing w:line="360" w:lineRule="auto"/>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采购人：</w:t>
      </w:r>
      <w:r>
        <w:rPr>
          <w:rFonts w:hint="eastAsia" w:ascii="仿宋" w:hAnsi="仿宋" w:eastAsia="仿宋" w:cs="仿宋"/>
          <w:b/>
          <w:sz w:val="30"/>
          <w:szCs w:val="30"/>
          <w:u w:val="single"/>
        </w:rPr>
        <w:t xml:space="preserve">                        </w:t>
      </w:r>
      <w:r/>
    </w:p>
    <w:p>
      <w:pPr>
        <w:spacing w:line="360" w:lineRule="auto"/>
        <w:rPr>
          <w:rFonts w:hint="eastAsia" w:ascii="仿宋" w:hAnsi="仿宋" w:eastAsia="仿宋" w:cs="仿宋"/>
          <w:b/>
          <w:sz w:val="30"/>
          <w:szCs w:val="30"/>
          <w:u w:val="single"/>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供应商：</w:t>
      </w:r>
      <w:r>
        <w:rPr>
          <w:rFonts w:hint="eastAsia" w:ascii="仿宋" w:hAnsi="仿宋" w:eastAsia="仿宋" w:cs="仿宋"/>
          <w:b/>
          <w:sz w:val="30"/>
          <w:szCs w:val="30"/>
          <w:u w:val="single"/>
        </w:rPr>
        <w:t xml:space="preserve">                        </w:t>
      </w:r>
      <w:r/>
    </w:p>
    <w:p>
      <w:pPr>
        <w:spacing w:line="360" w:lineRule="auto"/>
        <w:tabs>
          <w:tab w:val="left" w:pos="3045" w:leader="none"/>
          <w:tab w:val="left" w:pos="7140" w:leader="none"/>
          <w:tab w:val="left" w:pos="7350" w:leader="none"/>
        </w:tabs>
        <w:rPr>
          <w:rFonts w:hint="eastAsia" w:ascii="仿宋" w:hAnsi="仿宋" w:eastAsia="仿宋" w:cs="仿宋"/>
          <w:sz w:val="30"/>
          <w:szCs w:val="30"/>
        </w:rPr>
      </w:pPr>
      <w:r>
        <w:rPr>
          <w:rFonts w:hint="eastAsia" w:ascii="仿宋" w:hAnsi="仿宋" w:eastAsia="仿宋" w:cs="仿宋"/>
          <w:sz w:val="30"/>
          <w:szCs w:val="30"/>
        </w:rPr>
        <w:t xml:space="preserve">          </w:t>
      </w:r>
      <w:r/>
    </w:p>
    <w:p>
      <w:pPr>
        <w:spacing w:line="360" w:lineRule="auto"/>
        <w:tabs>
          <w:tab w:val="left" w:pos="3045" w:leader="none"/>
          <w:tab w:val="left" w:pos="7140" w:leader="none"/>
          <w:tab w:val="left" w:pos="7350" w:leader="none"/>
        </w:tabs>
        <w:rPr>
          <w:rFonts w:hint="eastAsia" w:ascii="仿宋" w:hAnsi="仿宋" w:eastAsia="仿宋" w:cs="仿宋"/>
          <w:sz w:val="30"/>
          <w:szCs w:val="30"/>
        </w:rPr>
      </w:pPr>
      <w:r>
        <w:rPr>
          <w:rFonts w:hint="eastAsia" w:ascii="仿宋" w:hAnsi="仿宋" w:eastAsia="仿宋" w:cs="仿宋"/>
          <w:sz w:val="30"/>
          <w:szCs w:val="30"/>
        </w:rPr>
        <w:t xml:space="preserve">                           </w:t>
      </w:r>
      <w:r/>
    </w:p>
    <w:p>
      <w:pPr>
        <w:spacing w:line="360" w:lineRule="auto"/>
        <w:rPr>
          <w:rFonts w:hint="eastAsia" w:ascii="仿宋" w:hAnsi="仿宋" w:eastAsia="仿宋" w:cs="仿宋"/>
          <w:sz w:val="30"/>
          <w:szCs w:val="30"/>
        </w:rPr>
      </w:pPr>
      <w:r>
        <w:rPr>
          <w:rFonts w:hint="eastAsia" w:ascii="仿宋" w:hAnsi="仿宋" w:eastAsia="仿宋" w:cs="仿宋"/>
          <w:sz w:val="30"/>
          <w:szCs w:val="30"/>
        </w:rPr>
        <w:t xml:space="preserve">  </w:t>
      </w:r>
      <w:r/>
    </w:p>
    <w:p>
      <w:pPr>
        <w:spacing w:line="360" w:lineRule="auto"/>
        <w:tabs>
          <w:tab w:val="left" w:pos="3045" w:leader="none"/>
          <w:tab w:val="left" w:pos="7140" w:leader="none"/>
          <w:tab w:val="left" w:pos="7350" w:leader="none"/>
        </w:tabs>
        <w:rPr>
          <w:rFonts w:hint="eastAsia" w:ascii="仿宋" w:hAnsi="仿宋" w:eastAsia="仿宋" w:cs="仿宋"/>
          <w:b/>
          <w:color w:val="000000"/>
          <w:sz w:val="30"/>
          <w:szCs w:val="30"/>
          <w:lang w:val="zh-CN" w:eastAsia="zh-CN" w:bidi="ar-SA"/>
        </w:rPr>
      </w:pP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r>
        <w:rPr>
          <w:rFonts w:hint="eastAsia" w:ascii="仿宋" w:hAnsi="仿宋" w:eastAsia="仿宋" w:cs="仿宋"/>
          <w:bCs/>
          <w:sz w:val="30"/>
          <w:szCs w:val="30"/>
        </w:rPr>
        <w:t xml:space="preserve">签订日期：</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年</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月</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日</w:t>
      </w:r>
      <w:r/>
    </w:p>
    <w:p>
      <w:pPr>
        <w:pStyle w:val="1212"/>
        <w:jc w:val="left"/>
        <w:spacing w:before="360" w:after="120"/>
        <w:rPr>
          <w:rFonts w:hint="eastAsia" w:ascii="宋体" w:hAnsi="Times New Roman" w:eastAsia="宋体" w:cs="Times New Roman"/>
          <w:b/>
          <w:sz w:val="24"/>
          <w:szCs w:val="20"/>
          <w:u w:val="single"/>
          <w:lang w:val="en-US" w:eastAsia="zh-CN"/>
        </w:rPr>
      </w:pPr>
      <w:r>
        <w:rPr>
          <w:rFonts w:hint="eastAsia" w:ascii="仿宋" w:hAnsi="仿宋" w:eastAsia="仿宋" w:cs="仿宋"/>
          <w:sz w:val="24"/>
          <w:szCs w:val="24"/>
          <w:highlight w:val="none"/>
        </w:rPr>
        <w:br w:type="page" w:clear="all"/>
      </w:r>
      <w:r/>
    </w:p>
    <w:p>
      <w:pPr>
        <w:ind w:firstLine="482"/>
        <w:jc w:val="center"/>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合同协议书</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采购人（以下简称甲方）：        </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中标人（以下简称乙方）：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根据《中华人民共和国民法典》等相关法律法规之规定，按照平等、自愿、公平和诚实信用的原则，经甲乙双方协商一致，就相关事宜达成如下合同条款。</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一、合同内容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1.采购内容：甲方确定乙方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项目服务的</w:t>
      </w:r>
      <w:r>
        <w:rPr>
          <w:rFonts w:hint="eastAsia" w:ascii="仿宋" w:hAnsi="仿宋" w:eastAsia="仿宋" w:cs="仿宋"/>
          <w:sz w:val="24"/>
          <w:szCs w:val="24"/>
        </w:rPr>
        <w:t xml:space="preserve">实施人。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2</w:t>
      </w:r>
      <w:r>
        <w:rPr>
          <w:rFonts w:hint="eastAsia" w:ascii="仿宋" w:hAnsi="仿宋" w:eastAsia="仿宋" w:cs="仿宋"/>
          <w:sz w:val="24"/>
          <w:szCs w:val="24"/>
          <w:highlight w:val="none"/>
        </w:rPr>
        <w:t xml:space="preserve">.服务范围：详见</w:t>
      </w:r>
      <w:r>
        <w:rPr>
          <w:rFonts w:hint="eastAsia" w:ascii="仿宋" w:hAnsi="仿宋" w:eastAsia="仿宋" w:cs="仿宋"/>
          <w:sz w:val="24"/>
          <w:szCs w:val="24"/>
          <w:highlight w:val="none"/>
          <w:lang w:val="en-US" w:eastAsia="zh-CN"/>
        </w:rPr>
        <w:t xml:space="preserve">采购需求</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本项目的实施范围及工作量是根据项目现状进行的预估，乙方在投标前已自行前往现场并认真踏勘，合同价已综合考虑各种风险因素，在合同履行过程中若遇实际结算数量有增减的，乙方不得进行索赔。　　　　　　　　　　　　　　　　　　　　　　　　</w:t>
      </w:r>
      <w:r/>
    </w:p>
    <w:p>
      <w:pPr>
        <w:numPr>
          <w:ilvl w:val="0"/>
          <w:numId w:val="0"/>
        </w:numPr>
        <w:ind w:left="42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合同履行期限：</w:t>
      </w:r>
      <w:r>
        <w:rPr>
          <w:rFonts w:hint="eastAsia" w:ascii="仿宋" w:hAnsi="仿宋" w:eastAsia="仿宋" w:cs="仿宋"/>
          <w:sz w:val="24"/>
          <w:szCs w:val="24"/>
          <w:highlight w:val="none"/>
          <w:lang w:val="en-US" w:eastAsia="zh-CN"/>
        </w:rPr>
        <w:t xml:space="preserve">本项目采用1+1模式，合同一年一签，本合同</w:t>
      </w:r>
      <w:r>
        <w:rPr>
          <w:rFonts w:hint="eastAsia" w:ascii="仿宋" w:hAnsi="仿宋" w:eastAsia="仿宋" w:cs="仿宋"/>
          <w:sz w:val="24"/>
          <w:szCs w:val="24"/>
          <w:highlight w:val="none"/>
        </w:rPr>
        <w:t xml:space="preserve">服务期</w:t>
      </w:r>
      <w:r>
        <w:rPr>
          <w:rFonts w:hint="eastAsia" w:ascii="仿宋" w:hAnsi="仿宋" w:eastAsia="仿宋" w:cs="仿宋"/>
          <w:sz w:val="24"/>
          <w:szCs w:val="24"/>
          <w:highlight w:val="none"/>
          <w:lang w:val="en-US" w:eastAsia="zh-CN"/>
        </w:rPr>
        <w:t xml:space="preserve">为2025年7月1日起到2026年6月30日。</w:t>
      </w:r>
      <w:r/>
    </w:p>
    <w:p>
      <w:pPr>
        <w:numPr>
          <w:ilvl w:val="0"/>
          <w:numId w:val="0"/>
        </w:numPr>
        <w:ind w:left="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4.合同期内环卫考核案件按期整改率未达98%的，甲方有权终止合同。如乙方下一年度不续签该服务合同，须在期满之日的3个月前通知甲方。</w:t>
      </w:r>
      <w:r/>
    </w:p>
    <w:p>
      <w:pPr>
        <w:numPr>
          <w:ilvl w:val="0"/>
          <w:numId w:val="0"/>
        </w:num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作业车辆/装备确保要求如下</w:t>
      </w:r>
      <w:r>
        <w:rPr>
          <w:rFonts w:hint="eastAsia" w:ascii="仿宋" w:hAnsi="仿宋" w:eastAsia="仿宋" w:cs="仿宋"/>
          <w:b/>
          <w:bCs/>
          <w:sz w:val="24"/>
          <w:szCs w:val="24"/>
          <w:lang w:eastAsia="zh-CN"/>
        </w:rPr>
        <w:t xml:space="preserve">：</w:t>
      </w:r>
      <w:r/>
    </w:p>
    <w:tbl>
      <w:tblPr>
        <w:tblStyle w:val="123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2520"/>
        <w:gridCol w:w="1155"/>
        <w:gridCol w:w="2595"/>
        <w:gridCol w:w="1243"/>
      </w:tblGrid>
      <w:tr>
        <w:trPr>
          <w:jc w:val="center"/>
          <w:trHeight w:val="643"/>
        </w:trPr>
        <w:tc>
          <w:tcPr>
            <w:tcW w:w="233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分类</w:t>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eastAsia="zh-CN"/>
              </w:rPr>
              <w:suppressLineNumbers w:val="0"/>
            </w:pPr>
            <w:r>
              <w:rPr>
                <w:rFonts w:hint="eastAsia" w:ascii="仿宋" w:hAnsi="仿宋" w:eastAsia="仿宋" w:cs="仿宋"/>
                <w:color w:val="auto"/>
                <w:sz w:val="24"/>
                <w:szCs w:val="24"/>
                <w:highlight w:val="none"/>
                <w:vertAlign w:val="baseline"/>
                <w:lang w:val="en-US" w:eastAsia="zh-CN"/>
              </w:rPr>
              <w:t xml:space="preserve">车辆名称</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eastAsia="zh-CN"/>
              </w:rPr>
              <w:suppressLineNumbers w:val="0"/>
            </w:pPr>
            <w:r>
              <w:rPr>
                <w:rFonts w:hint="eastAsia" w:ascii="仿宋" w:hAnsi="仿宋" w:eastAsia="仿宋" w:cs="仿宋"/>
                <w:color w:val="auto"/>
                <w:sz w:val="24"/>
                <w:szCs w:val="24"/>
                <w:highlight w:val="none"/>
                <w:vertAlign w:val="baseline"/>
                <w:lang w:val="en-US" w:eastAsia="zh-CN"/>
              </w:rPr>
              <w:t xml:space="preserve">数量</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eastAsia="zh-CN"/>
              </w:rPr>
              <w:suppressLineNumbers w:val="0"/>
            </w:pPr>
            <w:r>
              <w:rPr>
                <w:rFonts w:hint="eastAsia" w:ascii="仿宋" w:hAnsi="仿宋" w:eastAsia="仿宋" w:cs="仿宋"/>
                <w:color w:val="auto"/>
                <w:sz w:val="24"/>
                <w:szCs w:val="24"/>
                <w:highlight w:val="none"/>
                <w:vertAlign w:val="baseline"/>
                <w:lang w:val="en-US" w:eastAsia="zh-CN"/>
              </w:rPr>
              <w:t xml:space="preserve">车辆/设备配置</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default"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备注</w:t>
            </w:r>
            <w:r/>
          </w:p>
        </w:tc>
      </w:tr>
      <w:tr>
        <w:trPr>
          <w:jc w:val="center"/>
          <w:trHeight w:val="746"/>
        </w:trPr>
        <w:tc>
          <w:tcPr>
            <w:tcW w:w="2339"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color w:val="auto"/>
                <w:sz w:val="24"/>
                <w:szCs w:val="24"/>
                <w:highlight w:val="none"/>
                <w:vertAlign w:val="baseline"/>
                <w:lang w:val="en-US" w:eastAsia="zh-CN"/>
              </w:rPr>
              <w:t xml:space="preserve">1、环卫保洁</w:t>
            </w:r>
            <w:r>
              <w:rPr>
                <w:rFonts w:hint="eastAsia" w:ascii="仿宋" w:hAnsi="仿宋" w:eastAsia="仿宋" w:cs="仿宋"/>
                <w:color w:val="auto"/>
                <w:sz w:val="24"/>
                <w:szCs w:val="24"/>
                <w:highlight w:val="none"/>
                <w:vertAlign w:val="baseline"/>
              </w:rPr>
              <w:t xml:space="preserve">车辆/装备配置</w:t>
            </w:r>
            <w:r/>
          </w:p>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3吨清扫车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985"/>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8吨高压冲洗洒水车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698"/>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8吨洗扫车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728"/>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3吨垃圾压缩车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Cs/>
                <w:sz w:val="24"/>
                <w:szCs w:val="24"/>
              </w:rPr>
              <w:suppressLineNumbers w:val="0"/>
            </w:pPr>
            <w:r>
              <w:rPr>
                <w:rFonts w:hint="eastAsia" w:ascii="仿宋" w:hAnsi="仿宋" w:eastAsia="仿宋" w:cs="仿宋"/>
                <w:bCs/>
                <w:sz w:val="24"/>
                <w:szCs w:val="24"/>
              </w:rPr>
            </w:r>
            <w:r/>
          </w:p>
        </w:tc>
      </w:tr>
      <w:tr>
        <w:trPr>
          <w:jc w:val="center"/>
          <w:trHeight w:val="835"/>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1.5吨电动垃圾收运车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648"/>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电动保洁车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892"/>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小型电瓶高压冲洗车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r>
      <w:tr>
        <w:trPr>
          <w:jc w:val="center"/>
          <w:trHeight w:val="623"/>
        </w:trPr>
        <w:tc>
          <w:tcPr>
            <w:tcW w:w="2339"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2、绿化管养</w:t>
            </w:r>
            <w:r>
              <w:rPr>
                <w:rFonts w:hint="eastAsia" w:ascii="仿宋" w:hAnsi="仿宋" w:eastAsia="仿宋" w:cs="仿宋"/>
                <w:color w:val="auto"/>
                <w:sz w:val="24"/>
                <w:szCs w:val="24"/>
                <w:highlight w:val="none"/>
                <w:vertAlign w:val="baseline"/>
              </w:rPr>
              <w:t xml:space="preserve">车辆/装备配置</w:t>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原装</w:t>
            </w:r>
            <w:r>
              <w:rPr>
                <w:rFonts w:hint="eastAsia" w:ascii="仿宋" w:hAnsi="仿宋" w:eastAsia="仿宋" w:cs="仿宋"/>
                <w:b w:val="0"/>
                <w:bCs w:val="0"/>
                <w:color w:val="auto"/>
                <w:sz w:val="24"/>
                <w:szCs w:val="24"/>
                <w:highlight w:val="none"/>
                <w:lang w:val="en-US" w:eastAsia="zh-CN"/>
              </w:rPr>
              <w:t xml:space="preserve">洒</w:t>
            </w:r>
            <w:r>
              <w:rPr>
                <w:rFonts w:hint="eastAsia" w:ascii="仿宋" w:hAnsi="仿宋" w:eastAsia="仿宋" w:cs="仿宋"/>
                <w:sz w:val="24"/>
                <w:szCs w:val="24"/>
                <w:highlight w:val="none"/>
                <w:lang w:val="en-US" w:eastAsia="zh-CN"/>
              </w:rPr>
              <w:t xml:space="preserve">水车</w:t>
            </w:r>
            <w:r/>
          </w:p>
        </w:tc>
        <w:tc>
          <w:tcPr>
            <w:tcW w:w="1155" w:type="dxa"/>
            <w:vAlign w:val="center"/>
            <w:textDirection w:val="lrTb"/>
            <w:noWrap w:val="false"/>
          </w:tcPr>
          <w:p>
            <w:pPr>
              <w:ind w:left="0" w:right="0" w:firstLine="240"/>
              <w:jc w:val="both"/>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513"/>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登高车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806"/>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清运卡车</w:t>
            </w:r>
            <w:r>
              <w:rPr>
                <w:rFonts w:hint="eastAsia" w:ascii="仿宋" w:hAnsi="仿宋" w:eastAsia="仿宋" w:cs="仿宋"/>
                <w:b w:val="0"/>
                <w:bCs w:val="0"/>
                <w:color w:val="auto"/>
                <w:sz w:val="24"/>
                <w:szCs w:val="24"/>
                <w:highlight w:val="none"/>
                <w:lang w:val="en-US" w:eastAsia="zh-CN"/>
              </w:rPr>
              <w:t xml:space="preserve">或</w:t>
            </w:r>
            <w:r>
              <w:rPr>
                <w:rFonts w:hint="eastAsia" w:ascii="仿宋" w:hAnsi="仿宋" w:eastAsia="仿宋" w:cs="仿宋"/>
                <w:b w:val="0"/>
                <w:bCs w:val="0"/>
                <w:color w:val="auto"/>
                <w:sz w:val="24"/>
                <w:szCs w:val="24"/>
                <w:highlight w:val="none"/>
              </w:rPr>
              <w:t xml:space="preserve">轻型载货专项作业车</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辆</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547"/>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背负式鼓风机</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台</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500"/>
        </w:trPr>
        <w:tc>
          <w:tcPr>
            <w:tcW w:w="2339"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r>
            <w:r/>
          </w:p>
        </w:tc>
        <w:tc>
          <w:tcPr>
            <w:tcW w:w="252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打药机</w:t>
            </w:r>
            <w:r/>
          </w:p>
        </w:tc>
        <w:tc>
          <w:tcPr>
            <w:tcW w:w="115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台</w:t>
            </w:r>
            <w:r/>
          </w:p>
        </w:tc>
        <w:tc>
          <w:tcPr>
            <w:tcW w:w="259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满足作业要求</w:t>
            </w:r>
            <w:r/>
          </w:p>
        </w:tc>
        <w:tc>
          <w:tcPr>
            <w:tcW w:w="1243"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bl>
    <w:p>
      <w:pPr>
        <w:ind w:firstLine="482"/>
        <w:spacing w:line="360" w:lineRule="auto"/>
        <w:rPr>
          <w:rFonts w:hint="eastAsia" w:ascii="仿宋" w:hAnsi="仿宋" w:eastAsia="仿宋" w:cs="仿宋"/>
          <w:b/>
          <w:sz w:val="24"/>
          <w:szCs w:val="24"/>
          <w:highlight w:val="yellow"/>
        </w:rPr>
      </w:pPr>
      <w:r>
        <w:rPr>
          <w:rFonts w:hint="eastAsia" w:ascii="仿宋" w:hAnsi="仿宋" w:eastAsia="仿宋" w:cs="仿宋"/>
          <w:b/>
          <w:color w:val="auto"/>
          <w:sz w:val="24"/>
          <w:szCs w:val="24"/>
          <w:highlight w:val="none"/>
        </w:rPr>
        <w:t xml:space="preserve">注：①</w:t>
      </w:r>
      <w:r>
        <w:rPr>
          <w:rFonts w:hint="eastAsia" w:ascii="仿宋" w:hAnsi="仿宋" w:eastAsia="仿宋" w:cs="仿宋"/>
          <w:b/>
          <w:color w:val="auto"/>
          <w:sz w:val="24"/>
          <w:szCs w:val="24"/>
          <w:highlight w:val="none"/>
          <w:lang w:val="en-US" w:eastAsia="zh-CN"/>
        </w:rPr>
        <w:t xml:space="preserve">以上</w:t>
      </w:r>
      <w:r>
        <w:rPr>
          <w:rFonts w:hint="eastAsia" w:ascii="仿宋" w:hAnsi="仿宋" w:eastAsia="仿宋" w:cs="仿宋"/>
          <w:b/>
          <w:color w:val="auto"/>
          <w:sz w:val="24"/>
          <w:szCs w:val="24"/>
          <w:highlight w:val="none"/>
        </w:rPr>
        <w:t xml:space="preserve">车辆</w:t>
      </w:r>
      <w:r>
        <w:rPr>
          <w:rFonts w:hint="eastAsia" w:ascii="仿宋" w:hAnsi="仿宋" w:eastAsia="仿宋" w:cs="仿宋"/>
          <w:b/>
          <w:color w:val="auto"/>
          <w:sz w:val="24"/>
          <w:szCs w:val="24"/>
          <w:highlight w:val="none"/>
          <w:lang w:val="en-US" w:eastAsia="zh-CN"/>
        </w:rPr>
        <w:t xml:space="preserve">如有排放要求，</w:t>
      </w:r>
      <w:r>
        <w:rPr>
          <w:rFonts w:hint="eastAsia" w:ascii="仿宋" w:hAnsi="仿宋" w:eastAsia="仿宋" w:cs="仿宋"/>
          <w:b/>
          <w:color w:val="auto"/>
          <w:sz w:val="24"/>
          <w:szCs w:val="24"/>
          <w:highlight w:val="none"/>
        </w:rPr>
        <w:t xml:space="preserve">排放</w:t>
      </w:r>
      <w:r>
        <w:rPr>
          <w:rFonts w:hint="eastAsia" w:ascii="仿宋" w:hAnsi="仿宋" w:eastAsia="仿宋" w:cs="仿宋"/>
          <w:b/>
          <w:color w:val="auto"/>
          <w:sz w:val="24"/>
          <w:szCs w:val="24"/>
          <w:highlight w:val="none"/>
          <w:lang w:val="en-US" w:eastAsia="zh-CN"/>
        </w:rPr>
        <w:t xml:space="preserve">应</w:t>
      </w:r>
      <w:r>
        <w:rPr>
          <w:rFonts w:hint="eastAsia" w:ascii="仿宋" w:hAnsi="仿宋" w:eastAsia="仿宋" w:cs="仿宋"/>
          <w:b/>
          <w:color w:val="auto"/>
          <w:sz w:val="24"/>
          <w:szCs w:val="24"/>
          <w:highlight w:val="none"/>
        </w:rPr>
        <w:t xml:space="preserve">符合环保排放要求，禁止使用国三（含国三）以下，新购置的必须为国六排放；②乙方出资安装“环卫车辆专用智能化运行监管仪”</w:t>
      </w:r>
      <w:r>
        <w:rPr>
          <w:rFonts w:hint="eastAsia" w:ascii="仿宋" w:hAnsi="仿宋" w:eastAsia="仿宋" w:cs="仿宋"/>
          <w:b/>
          <w:color w:val="auto"/>
          <w:sz w:val="24"/>
          <w:szCs w:val="24"/>
          <w:highlight w:val="none"/>
          <w:lang w:eastAsia="zh-CN"/>
        </w:rPr>
        <w:t xml:space="preserve">，后续管理中车辆自费接入</w:t>
      </w:r>
      <w:r>
        <w:rPr>
          <w:rFonts w:hint="eastAsia" w:ascii="仿宋" w:hAnsi="仿宋" w:eastAsia="仿宋" w:cs="仿宋"/>
          <w:b/>
          <w:color w:val="auto"/>
          <w:sz w:val="24"/>
          <w:szCs w:val="24"/>
          <w:highlight w:val="none"/>
          <w:lang w:val="en-US" w:eastAsia="zh-CN"/>
        </w:rPr>
        <w:t xml:space="preserve">采购</w:t>
      </w:r>
      <w:r>
        <w:rPr>
          <w:rFonts w:hint="eastAsia" w:ascii="仿宋" w:hAnsi="仿宋" w:eastAsia="仿宋" w:cs="仿宋"/>
          <w:b/>
          <w:color w:val="auto"/>
          <w:sz w:val="24"/>
          <w:szCs w:val="24"/>
          <w:highlight w:val="none"/>
          <w:lang w:eastAsia="zh-CN"/>
        </w:rPr>
        <w:t xml:space="preserve">人信息化管理</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在进场作业的15日内，</w:t>
      </w:r>
      <w:r>
        <w:rPr>
          <w:rFonts w:hint="eastAsia" w:ascii="仿宋" w:hAnsi="仿宋" w:eastAsia="仿宋" w:cs="仿宋"/>
          <w:b/>
          <w:color w:val="auto"/>
          <w:sz w:val="24"/>
          <w:szCs w:val="24"/>
          <w:highlight w:val="none"/>
        </w:rPr>
        <w:t xml:space="preserve">乙方</w:t>
      </w:r>
      <w:r>
        <w:rPr>
          <w:rFonts w:hint="eastAsia" w:ascii="仿宋" w:hAnsi="仿宋" w:eastAsia="仿宋" w:cs="仿宋"/>
          <w:b/>
          <w:color w:val="auto"/>
          <w:sz w:val="24"/>
          <w:szCs w:val="24"/>
          <w:highlight w:val="none"/>
          <w:lang w:val="en-US" w:eastAsia="zh-CN"/>
        </w:rPr>
        <w:t xml:space="preserve">必须将有关车辆运行 GPS 轨迹的环卫平台安装在甲方的手机或电脑，以供甲方随时掌握车辆运行轨迹。</w:t>
      </w:r>
      <w:r>
        <w:rPr>
          <w:rFonts w:hint="eastAsia" w:ascii="仿宋" w:hAnsi="仿宋" w:eastAsia="仿宋" w:cs="仿宋"/>
          <w:b/>
          <w:color w:val="auto"/>
          <w:sz w:val="24"/>
          <w:szCs w:val="24"/>
          <w:highlight w:val="none"/>
        </w:rPr>
        <w:t xml:space="preserve">③所有车辆</w:t>
      </w:r>
      <w:r>
        <w:rPr>
          <w:rFonts w:hint="eastAsia" w:ascii="仿宋" w:hAnsi="仿宋" w:eastAsia="仿宋" w:cs="仿宋"/>
          <w:b/>
          <w:color w:val="auto"/>
          <w:sz w:val="24"/>
          <w:szCs w:val="24"/>
          <w:highlight w:val="none"/>
          <w:lang w:val="en-US" w:eastAsia="zh-CN"/>
        </w:rPr>
        <w:t xml:space="preserve">/设备</w:t>
      </w:r>
      <w:r>
        <w:rPr>
          <w:rFonts w:hint="eastAsia" w:ascii="仿宋" w:hAnsi="仿宋" w:eastAsia="仿宋" w:cs="仿宋"/>
          <w:b/>
          <w:color w:val="auto"/>
          <w:sz w:val="24"/>
          <w:szCs w:val="24"/>
          <w:highlight w:val="none"/>
        </w:rPr>
        <w:t xml:space="preserve">仅用于本</w:t>
      </w:r>
      <w:r>
        <w:rPr>
          <w:rFonts w:hint="eastAsia" w:ascii="仿宋" w:hAnsi="仿宋" w:eastAsia="仿宋" w:cs="仿宋"/>
          <w:b/>
          <w:color w:val="auto"/>
          <w:sz w:val="24"/>
          <w:szCs w:val="24"/>
          <w:highlight w:val="none"/>
          <w:lang w:val="en-US" w:eastAsia="zh-CN"/>
        </w:rPr>
        <w:t xml:space="preserve">项目</w:t>
      </w:r>
      <w:r>
        <w:rPr>
          <w:rFonts w:hint="eastAsia" w:ascii="仿宋" w:hAnsi="仿宋" w:eastAsia="仿宋" w:cs="仿宋"/>
          <w:b/>
          <w:color w:val="auto"/>
          <w:sz w:val="24"/>
          <w:szCs w:val="24"/>
          <w:highlight w:val="none"/>
        </w:rPr>
        <w:t xml:space="preserve">作业使用，不另做它用</w:t>
      </w:r>
      <w:r>
        <w:rPr>
          <w:rFonts w:hint="eastAsia" w:ascii="仿宋" w:hAnsi="仿宋" w:eastAsia="仿宋" w:cs="仿宋"/>
          <w:b/>
          <w:color w:val="auto"/>
          <w:sz w:val="24"/>
          <w:szCs w:val="24"/>
          <w:highlight w:val="none"/>
          <w:lang w:val="en-US" w:eastAsia="zh-CN"/>
        </w:rPr>
        <w:t xml:space="preserve">。所有车辆在不作业时停放于合规地点 24 小时待命。</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二、组成本合同的有关文件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下列文件及有关附件是本合同不可分割的组成部分，与本合同具有同等法律效力，这些文件包括但不限于：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（1）中标通知书；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（2）采购文件；（含作业服务量清单及说明、环卫作业服务要求、环卫作业质量考评细则等）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（3）乙方的投标文件；（含分项报价表）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（4）乙方在投标过程中所作其它有关承诺、声明、书面澄清；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（5）甲乙双方商定的其他文件等。</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三、甲方权利和义务</w:t>
      </w:r>
      <w:r/>
    </w:p>
    <w:p>
      <w:pPr>
        <w:ind w:firstLine="480"/>
        <w:spacing w:line="360" w:lineRule="auto"/>
        <w:tabs>
          <w:tab w:val="left" w:pos="360" w:leader="none"/>
        </w:tabs>
        <w:rPr>
          <w:rFonts w:hint="eastAsia" w:ascii="仿宋" w:hAnsi="仿宋" w:eastAsia="仿宋" w:cs="仿宋"/>
          <w:sz w:val="24"/>
          <w:szCs w:val="24"/>
          <w:highlight w:val="yellow"/>
        </w:rPr>
      </w:pPr>
      <w:r>
        <w:rPr>
          <w:rFonts w:hint="eastAsia" w:ascii="仿宋" w:hAnsi="仿宋" w:eastAsia="仿宋" w:cs="仿宋"/>
          <w:color w:val="auto"/>
          <w:sz w:val="24"/>
          <w:szCs w:val="24"/>
          <w:highlight w:val="none"/>
          <w:lang w:val="en-US" w:eastAsia="zh-CN"/>
        </w:rPr>
        <w:t xml:space="preserve">1.参考《常州市城市道路环卫作业管理办法》、《金坛城区环卫作业服务要求（2023版）》、《金坛区城区环卫作业质量考核办法（202</w:t>
      </w:r>
      <w:r>
        <w:rPr>
          <w:rFonts w:hint="eastAsia" w:ascii="仿宋" w:hAnsi="仿宋" w:eastAsia="仿宋" w:cs="仿宋"/>
          <w:color w:val="auto"/>
          <w:sz w:val="24"/>
          <w:szCs w:val="24"/>
          <w:highlight w:val="none"/>
          <w:lang w:val="en-US" w:eastAsia="zh-CN"/>
        </w:rPr>
        <w:t xml:space="preserve">3版）》、《金坛市农村小型水利工程长效管护考核办法（试行）》、《公路保洁质量标准与作业规范》、《金坛区绿地养护内容及操作要求》、《常州市城市绿化植物养护管理技术规范》、《常州市城市绿地养护分级管理质量标准》、《常州市金坛区园林绿化养护作业管理考核细则（试行）》、《金坛区绿化养护月历》、《关于养护区域各类垃圾清理、运输、倾倒的要求》、《《常州市城市绿化专项考核实施方案》的通知（常城管委办2023 7号）》、《关于《常州市城市绿化专项考核实施方案》的补充通知》、《关于加强口袋公园长效综合管理工作的通知》等执行。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2.根据乙方在考核中的结果，按</w:t>
      </w:r>
      <w:r>
        <w:rPr>
          <w:rFonts w:hint="eastAsia" w:ascii="仿宋" w:hAnsi="仿宋" w:eastAsia="仿宋" w:cs="仿宋"/>
          <w:sz w:val="24"/>
          <w:szCs w:val="24"/>
          <w:lang w:val="en-US" w:eastAsia="zh-CN"/>
        </w:rPr>
        <w:t xml:space="preserve">季度</w:t>
      </w:r>
      <w:r>
        <w:rPr>
          <w:rFonts w:hint="eastAsia" w:ascii="仿宋" w:hAnsi="仿宋" w:eastAsia="仿宋" w:cs="仿宋"/>
          <w:sz w:val="24"/>
          <w:szCs w:val="24"/>
        </w:rPr>
        <w:t xml:space="preserve">向乙方支付服务费。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3.听取乙方提出的建议并给予答复。</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4.监督乙方履行承诺。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甲方将对中标</w:t>
      </w:r>
      <w:r>
        <w:rPr>
          <w:rFonts w:hint="eastAsia" w:ascii="仿宋" w:hAnsi="仿宋" w:eastAsia="仿宋" w:cs="仿宋"/>
          <w:color w:val="auto"/>
          <w:sz w:val="24"/>
          <w:szCs w:val="24"/>
          <w:lang w:val="en-US" w:eastAsia="zh-CN"/>
        </w:rPr>
        <w:t xml:space="preserve">项目管理负责人（环卫保洁负责人）、绿化管养负责人</w:t>
      </w:r>
      <w:r>
        <w:rPr>
          <w:rFonts w:hint="eastAsia" w:ascii="仿宋" w:hAnsi="仿宋" w:eastAsia="仿宋" w:cs="仿宋"/>
          <w:sz w:val="24"/>
          <w:szCs w:val="24"/>
        </w:rPr>
        <w:t xml:space="preserve">进行随机检查，出现一次不到场将处</w:t>
      </w:r>
      <w:r>
        <w:rPr>
          <w:rFonts w:hint="eastAsia" w:ascii="仿宋" w:hAnsi="仿宋" w:eastAsia="仿宋" w:cs="仿宋"/>
          <w:sz w:val="24"/>
          <w:szCs w:val="24"/>
          <w:lang w:val="en-US" w:eastAsia="zh-CN"/>
        </w:rPr>
        <w:t xml:space="preserve">2000</w:t>
      </w:r>
      <w:r>
        <w:rPr>
          <w:rFonts w:hint="eastAsia" w:ascii="仿宋" w:hAnsi="仿宋" w:eastAsia="仿宋" w:cs="仿宋"/>
          <w:sz w:val="24"/>
          <w:szCs w:val="24"/>
        </w:rPr>
        <w:t xml:space="preserve">元</w:t>
      </w:r>
      <w:r>
        <w:rPr>
          <w:rFonts w:hint="eastAsia" w:ascii="仿宋" w:hAnsi="仿宋" w:eastAsia="仿宋" w:cs="仿宋"/>
          <w:sz w:val="24"/>
          <w:szCs w:val="24"/>
          <w:lang w:val="en-US" w:eastAsia="zh-CN"/>
        </w:rPr>
        <w:t xml:space="preserve">/人</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违约金</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.甲方将对中标项目安全管理人员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若有）</w:t>
      </w:r>
      <w:r>
        <w:rPr>
          <w:rFonts w:hint="eastAsia" w:ascii="仿宋" w:hAnsi="仿宋" w:eastAsia="仿宋" w:cs="仿宋"/>
          <w:sz w:val="24"/>
          <w:szCs w:val="24"/>
        </w:rPr>
        <w:t xml:space="preserve">进行随机检查，出现一次不到场将处</w:t>
      </w:r>
      <w:r>
        <w:rPr>
          <w:rFonts w:hint="eastAsia" w:ascii="仿宋" w:hAnsi="仿宋" w:eastAsia="仿宋" w:cs="仿宋"/>
          <w:sz w:val="24"/>
          <w:szCs w:val="24"/>
          <w:lang w:val="en-US" w:eastAsia="zh-CN"/>
        </w:rPr>
        <w:t xml:space="preserve">2000</w:t>
      </w:r>
      <w:r>
        <w:rPr>
          <w:rFonts w:hint="eastAsia" w:ascii="仿宋" w:hAnsi="仿宋" w:eastAsia="仿宋" w:cs="仿宋"/>
          <w:sz w:val="24"/>
          <w:szCs w:val="24"/>
        </w:rPr>
        <w:t xml:space="preserve">元</w:t>
      </w:r>
      <w:r>
        <w:rPr>
          <w:rFonts w:hint="eastAsia" w:ascii="仿宋" w:hAnsi="仿宋" w:eastAsia="仿宋" w:cs="仿宋"/>
          <w:sz w:val="24"/>
          <w:szCs w:val="24"/>
          <w:lang w:val="en-US" w:eastAsia="zh-CN"/>
        </w:rPr>
        <w:t xml:space="preserve">/人</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违约金</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.对本合同</w:t>
      </w:r>
      <w:r>
        <w:rPr>
          <w:rFonts w:hint="eastAsia" w:ascii="仿宋" w:hAnsi="仿宋" w:eastAsia="仿宋" w:cs="仿宋"/>
          <w:sz w:val="24"/>
          <w:szCs w:val="24"/>
          <w:lang w:val="en-US" w:eastAsia="zh-CN"/>
        </w:rPr>
        <w:t xml:space="preserve">各考核办法</w:t>
      </w:r>
      <w:r>
        <w:rPr>
          <w:rFonts w:hint="eastAsia" w:ascii="仿宋" w:hAnsi="仿宋" w:eastAsia="仿宋" w:cs="仿宋"/>
          <w:sz w:val="24"/>
          <w:szCs w:val="24"/>
        </w:rPr>
        <w:t xml:space="preserve">的解释。</w:t>
      </w:r>
      <w:r>
        <w:rPr>
          <w:rFonts w:hint="eastAsia" w:ascii="仿宋" w:hAnsi="仿宋" w:eastAsia="仿宋" w:cs="仿宋"/>
          <w:sz w:val="24"/>
          <w:szCs w:val="24"/>
          <w:lang w:val="en-US" w:eastAsia="zh-CN"/>
        </w:rPr>
        <w:t xml:space="preserve">街道</w:t>
      </w:r>
      <w:r>
        <w:rPr>
          <w:rFonts w:hint="eastAsia" w:ascii="仿宋" w:hAnsi="仿宋" w:eastAsia="仿宋" w:cs="仿宋"/>
          <w:sz w:val="24"/>
          <w:szCs w:val="24"/>
        </w:rPr>
        <w:t xml:space="preserve">考核办法依照相关政策如有修改，按最新文件执行，补充条款和相关事宜在双方友好协商完成后确定。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法规、政策规定由甲方承担的其他责任。</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四、乙方权利和义务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1.根据</w:t>
      </w:r>
      <w:r>
        <w:rPr>
          <w:rFonts w:hint="eastAsia" w:ascii="仿宋" w:hAnsi="仿宋" w:eastAsia="仿宋" w:cs="仿宋"/>
          <w:sz w:val="24"/>
          <w:szCs w:val="24"/>
          <w:lang w:val="en-US" w:eastAsia="zh-CN"/>
        </w:rPr>
        <w:t xml:space="preserve">各类考核办法</w:t>
      </w:r>
      <w:r>
        <w:rPr>
          <w:rFonts w:hint="eastAsia" w:ascii="仿宋" w:hAnsi="仿宋" w:eastAsia="仿宋" w:cs="仿宋"/>
          <w:sz w:val="24"/>
          <w:szCs w:val="24"/>
        </w:rPr>
        <w:t xml:space="preserve">和响应文件所作的承诺开展</w:t>
      </w:r>
      <w:r>
        <w:rPr>
          <w:rFonts w:hint="eastAsia" w:ascii="仿宋_GB2312" w:hAnsi="仿宋_GB2312" w:eastAsia="仿宋_GB2312" w:cs="仿宋_GB2312"/>
          <w:sz w:val="24"/>
          <w:lang w:val="en-US" w:eastAsia="zh-CN"/>
        </w:rPr>
        <w:t xml:space="preserve">2025年度尧塘街道城市保洁及绿化管养项目</w:t>
      </w:r>
      <w:r>
        <w:rPr>
          <w:rFonts w:hint="eastAsia" w:ascii="仿宋" w:hAnsi="仿宋" w:eastAsia="仿宋" w:cs="仿宋"/>
          <w:sz w:val="24"/>
          <w:szCs w:val="24"/>
        </w:rPr>
        <w:t xml:space="preserve">工作。确保服务范围内的道路、公共设施、环卫设施</w:t>
      </w:r>
      <w:r>
        <w:rPr>
          <w:rFonts w:hint="eastAsia" w:ascii="仿宋" w:hAnsi="仿宋" w:eastAsia="仿宋" w:cs="仿宋"/>
          <w:sz w:val="24"/>
          <w:szCs w:val="24"/>
          <w:lang w:eastAsia="zh-CN"/>
        </w:rPr>
        <w:t xml:space="preserve">、绿化树木</w:t>
      </w:r>
      <w:r>
        <w:rPr>
          <w:rFonts w:hint="eastAsia" w:ascii="仿宋" w:hAnsi="仿宋" w:eastAsia="仿宋" w:cs="仿宋"/>
          <w:sz w:val="24"/>
          <w:szCs w:val="24"/>
        </w:rPr>
        <w:t xml:space="preserve">等稳定呈现干净整洁的面貌</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确保</w:t>
      </w:r>
      <w:r>
        <w:rPr>
          <w:rFonts w:hint="eastAsia" w:ascii="仿宋" w:hAnsi="仿宋" w:eastAsia="仿宋" w:cs="仿宋"/>
          <w:sz w:val="24"/>
          <w:szCs w:val="24"/>
        </w:rPr>
        <w:t xml:space="preserve">城市形象，提升城市品位</w:t>
      </w:r>
      <w:r>
        <w:rPr>
          <w:rFonts w:hint="eastAsia" w:ascii="仿宋" w:hAnsi="仿宋" w:eastAsia="仿宋" w:cs="仿宋"/>
          <w:sz w:val="24"/>
          <w:szCs w:val="24"/>
          <w:lang w:eastAsia="zh-CN"/>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sz w:val="24"/>
          <w:szCs w:val="24"/>
        </w:rPr>
        <w:t xml:space="preserve">2.为保证作业工作正常</w:t>
      </w:r>
      <w:r>
        <w:rPr>
          <w:rFonts w:hint="eastAsia" w:ascii="仿宋" w:hAnsi="仿宋" w:eastAsia="仿宋" w:cs="仿宋"/>
          <w:color w:val="auto"/>
          <w:sz w:val="24"/>
          <w:szCs w:val="24"/>
        </w:rPr>
        <w:t xml:space="preserve">有效开展，乙方负责组成固定的专业作业队伍，按要求提交作业计划和相关的工作预案，经甲方认可并备案。乙方在进场作业的 10 日内，必须将保洁人员</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绿化养护人员</w:t>
      </w:r>
      <w:r>
        <w:rPr>
          <w:rFonts w:hint="eastAsia" w:ascii="仿宋" w:hAnsi="仿宋" w:eastAsia="仿宋" w:cs="仿宋"/>
          <w:color w:val="auto"/>
          <w:sz w:val="24"/>
          <w:szCs w:val="24"/>
        </w:rPr>
        <w:t xml:space="preserve">基本信息、身份证复印件、作业分布区域表(图) 交给甲方，必须制定环境巡回整治计划，并服从甲方的调配。</w:t>
      </w:r>
      <w:r/>
    </w:p>
    <w:p>
      <w:pPr>
        <w:ind w:firstLine="422"/>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lang w:val="en-US" w:eastAsia="zh-CN"/>
        </w:rPr>
        <w:t xml:space="preserve">项目管理负责人（环卫保洁负责人）</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；联系方式：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绿化管养负责人</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；联系方式：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环卫保洁及绿化管养人员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人（不含驾驶员和项目负责人）。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rPr>
        <w:t xml:space="preserve">接受甲方和相关管理部门的考核及其结果</w:t>
      </w:r>
      <w:r>
        <w:rPr>
          <w:rFonts w:hint="eastAsia" w:ascii="仿宋" w:hAnsi="仿宋" w:eastAsia="仿宋" w:cs="仿宋"/>
          <w:color w:val="auto"/>
          <w:sz w:val="24"/>
          <w:szCs w:val="24"/>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.作业服务期内，</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根据工作需要召开会议，</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的法人或管理人员必须准时参加接受甲方和相关管理部门的考核及其结果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否则需承担违约金</w:t>
      </w:r>
      <w:r>
        <w:rPr>
          <w:rFonts w:hint="eastAsia" w:ascii="仿宋" w:hAnsi="仿宋" w:eastAsia="仿宋" w:cs="仿宋"/>
          <w:color w:val="auto"/>
          <w:sz w:val="24"/>
          <w:szCs w:val="24"/>
          <w:highlight w:val="none"/>
          <w:u w:val="single"/>
          <w:lang w:val="en-US" w:eastAsia="zh-CN"/>
        </w:rPr>
        <w:t xml:space="preserve"> 0.2万 </w:t>
      </w:r>
      <w:r>
        <w:rPr>
          <w:rFonts w:hint="eastAsia" w:ascii="仿宋" w:hAnsi="仿宋" w:eastAsia="仿宋" w:cs="仿宋"/>
          <w:color w:val="auto"/>
          <w:sz w:val="24"/>
          <w:szCs w:val="24"/>
          <w:highlight w:val="none"/>
          <w:u w:val="none"/>
          <w:lang w:val="en-US" w:eastAsia="zh-CN"/>
        </w:rPr>
        <w:t xml:space="preserve">元/次。</w:t>
      </w:r>
      <w:r>
        <w:rPr>
          <w:rFonts w:hint="eastAsia" w:ascii="仿宋" w:hAnsi="仿宋" w:eastAsia="仿宋" w:cs="仿宋"/>
          <w:color w:val="auto"/>
          <w:sz w:val="24"/>
          <w:szCs w:val="24"/>
          <w:highlight w:val="none"/>
        </w:rPr>
        <w:t xml:space="preserve"> </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的要求，及时更换不能胜任工作的环卫保洁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w:t>
      </w:r>
      <w:r>
        <w:rPr>
          <w:rFonts w:hint="eastAsia" w:ascii="仿宋" w:hAnsi="仿宋" w:eastAsia="仿宋" w:cs="仿宋"/>
          <w:color w:val="auto"/>
          <w:sz w:val="24"/>
          <w:szCs w:val="24"/>
          <w:highlight w:val="none"/>
        </w:rPr>
        <w:t xml:space="preserve">工作人员；负责处理合同服务期内所有劳资纠纷和调解管理纠纷；落实</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根据规章制度和工作需要提出的其他管理要求，并向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提供相关证明材料备案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否则需承担违约金</w:t>
      </w:r>
      <w:r>
        <w:rPr>
          <w:rFonts w:hint="eastAsia" w:ascii="仿宋" w:hAnsi="仿宋" w:eastAsia="仿宋" w:cs="仿宋"/>
          <w:color w:val="auto"/>
          <w:sz w:val="24"/>
          <w:szCs w:val="24"/>
          <w:highlight w:val="none"/>
          <w:u w:val="single"/>
          <w:lang w:val="en-US" w:eastAsia="zh-CN"/>
        </w:rPr>
        <w:t xml:space="preserve">0.5万</w:t>
      </w:r>
      <w:r>
        <w:rPr>
          <w:rFonts w:hint="eastAsia" w:ascii="仿宋" w:hAnsi="仿宋" w:eastAsia="仿宋" w:cs="仿宋"/>
          <w:color w:val="auto"/>
          <w:sz w:val="24"/>
          <w:szCs w:val="24"/>
          <w:highlight w:val="none"/>
          <w:u w:val="none"/>
          <w:lang w:val="en-US" w:eastAsia="zh-CN"/>
        </w:rPr>
        <w:t xml:space="preserve">元/次。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.在任何情况下（如灾害天气期间或重大活动期间），乙方均应保质保量按时完成甲方安排的指令性任务。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.自觉执行国家的法律、法规，按常州市规定及时缴纳“五</w:t>
      </w:r>
      <w:r>
        <w:rPr>
          <w:rFonts w:hint="eastAsia" w:ascii="仿宋" w:hAnsi="仿宋" w:eastAsia="仿宋" w:cs="仿宋"/>
          <w:color w:val="auto"/>
          <w:sz w:val="24"/>
          <w:szCs w:val="24"/>
          <w:lang w:val="en-US" w:eastAsia="zh-CN"/>
        </w:rPr>
        <w:t xml:space="preserve">险</w:t>
      </w:r>
      <w:r>
        <w:rPr>
          <w:rFonts w:hint="eastAsia" w:ascii="仿宋" w:hAnsi="仿宋" w:eastAsia="仿宋" w:cs="仿宋"/>
          <w:color w:val="auto"/>
          <w:sz w:val="24"/>
          <w:szCs w:val="24"/>
        </w:rPr>
        <w:t xml:space="preserve">”、对不符合缴纳条件的员工必须购买意外险，签订劳动用工合同，作业及管理人员工资不得低于金坛区最低工资标准，独立处理劳资纠纷等工作。</w:t>
      </w:r>
      <w:r/>
    </w:p>
    <w:p>
      <w:pPr>
        <w:ind w:firstLine="480"/>
        <w:spacing w:line="360" w:lineRule="auto"/>
        <w:tabs>
          <w:tab w:val="center" w:pos="5131" w:leader="none"/>
        </w:tabs>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.接受甲方和社会监督，对存在的问题在指定时间内整改到位，并将整改结果报甲方。</w:t>
      </w:r>
      <w:r/>
    </w:p>
    <w:p>
      <w:pPr>
        <w:ind w:firstLine="480"/>
        <w:spacing w:line="360" w:lineRule="auto"/>
        <w:tabs>
          <w:tab w:val="center" w:pos="5131"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.独立承担作业中的安全责任和经济赔偿。</w:t>
      </w:r>
      <w:r>
        <w:rPr>
          <w:rFonts w:hint="eastAsia" w:ascii="仿宋" w:hAnsi="仿宋" w:eastAsia="仿宋" w:cs="仿宋"/>
          <w:color w:val="auto"/>
          <w:sz w:val="24"/>
          <w:szCs w:val="24"/>
          <w:lang w:val="en-US" w:eastAsia="zh-CN"/>
        </w:rPr>
        <w:t xml:space="preserve">合同期内</w:t>
      </w:r>
      <w:r>
        <w:rPr>
          <w:rFonts w:hint="eastAsia" w:ascii="仿宋" w:hAnsi="仿宋" w:eastAsia="仿宋" w:cs="仿宋"/>
          <w:color w:val="auto"/>
          <w:sz w:val="24"/>
          <w:szCs w:val="24"/>
        </w:rPr>
        <w:t xml:space="preserve">一切人员安全、设备安全均由中标单位负责。在服务过程中（包括上下班途中）的一切安全工作，如发生人身伤害</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人员伤亡等意外事故，均由乙方负责处理并承担经济和道义上的责任，甲方不承担任何安全及事故责任。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.提供作业区域内公共设施的巡查服务，并做好市政设施的看护工作，发现区域内公共设施破损、挖掘(顶管)和移植、占用城市绿化等现象的应及时上报。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向甲方提出合理化建议。准时参加甲方召开的会议。</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.各类作业期间，必须按各工种的操作特性，落实各类的安全防护措施，确保人员及财产的安全。</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13.乙方有义务按投标文件中的服务承诺提供良好的服务。</w:t>
      </w:r>
      <w:r/>
    </w:p>
    <w:p>
      <w:pPr>
        <w:ind w:firstLine="480"/>
        <w:jc w:val="left"/>
        <w:spacing w:line="36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w:t>
      </w:r>
      <w:r>
        <w:rPr>
          <w:rFonts w:hint="eastAsia" w:ascii="仿宋" w:hAnsi="仿宋" w:eastAsia="仿宋" w:cs="仿宋"/>
          <w:color w:val="auto"/>
          <w:sz w:val="24"/>
          <w:szCs w:val="24"/>
          <w:highlight w:val="none"/>
          <w:lang w:val="en-US" w:eastAsia="zh-CN"/>
        </w:rPr>
        <w:t xml:space="preserve">乙</w:t>
      </w:r>
      <w:r>
        <w:rPr>
          <w:rFonts w:hint="eastAsia" w:ascii="仿宋" w:hAnsi="仿宋" w:eastAsia="仿宋" w:cs="仿宋"/>
          <w:color w:val="auto"/>
          <w:sz w:val="24"/>
          <w:szCs w:val="24"/>
          <w:lang w:val="en-US" w:eastAsia="zh-CN"/>
        </w:rPr>
        <w:t xml:space="preserve">方服务范围内各类垃圾必须依规依法清运和处置。处置费用由乙方承担，如涉及违规违法处置垃圾的行为，乙方承担一切法律责任和经济责任。</w:t>
      </w:r>
      <w:r/>
    </w:p>
    <w:p>
      <w:pPr>
        <w:ind w:firstLine="480"/>
        <w:jc w:val="left"/>
        <w:spacing w:line="36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因突发情况(如台风、雨雪、冰雹、霜或冰冻等天气或气候因素，或车辆、居民、行人等人为因素，或是其他因素，以及复合因素或不明原因的情况》导致的道路污染，包括建筑垃圾必须及时清除。冰雪天气必须按街道要求做好扫雪除冰工作，铲雪车、融雪撒布机及融雪盐、融雪剂等自备。</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16.乙方必须安排专人配置“常州市城市运行管理服务平台”账号，用于接收平台案件派单，并第时间通知相关人员进行整改，并在规定时间内完成整改并反馈到平台。对未按要求整改并回复平台派单的，按考核意见中对应层级问题扣</w:t>
      </w:r>
      <w:r>
        <w:rPr>
          <w:rFonts w:hint="eastAsia" w:ascii="仿宋" w:hAnsi="仿宋" w:eastAsia="仿宋" w:cs="仿宋"/>
          <w:color w:val="auto"/>
          <w:sz w:val="24"/>
          <w:szCs w:val="24"/>
          <w:highlight w:val="none"/>
          <w:lang w:val="en-US" w:eastAsia="zh-CN"/>
        </w:rPr>
        <w:t xml:space="preserve">款数进行扣款。</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17.加强安全措施:乙方必须坚持对作业人员进行每月 1 次安全教育:作业车辆须摆放整齐，停车须紧靠测石，严禁在路口、公交站台等不安全或影响交通的地方停放:购置意外伤害险，做好作业人员安全风险规避工作:做好作业时安全突发事件的应急处置和保障措施。</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18.乙方负有管护责任的养护范围的植物死亡必须按甲方要求在规定的期限内及时补植（同规格、同品种）。</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于因不可抗力因素导致的植物死亡或损毁，由乙方按照甲方要求进行补植，补植费用由甲方承担（由乙方向甲方提交补植方案及相应费用，由甲方同意后方可进行补植工作）。养护工作均由乙方承担（其费用已包含在养护费中，不再另行结算）。</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乙方进场前，必须对养护作业范围内的绿化种植情况全程视频录像。如因绿化管护问题双方发生争议，以视频录像证据为准，无录像作为证据的，乙方必须服从甲方的养护要求，乙方不得以事实不清楚等为由拒绝服从，否则扣除全部履约保证金，同时甲方有权解除合同。</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20.接受并主动配合甲方及行业管理部门的检查，甲方合理调动乙方人员、设备时，乙方应服从安排予以配合。范围之外的突击性、突发性工作，乙方须服从甲方的安排，不得无故拖延。</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乙方使用特种作业车辆作业前，须编制作业组织方案，严格按照相关规范要求完成养护作业。实施作业过程中，须视作业风险在作业现场设置安全警示和作业围挡，遵守作业规范与相关管理要求，做到文明作业。涉及道路封闭作业时，乙方须及时上报甲方，由甲方向主管部门报批后方能实施。</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乙方的绿化养护人员应具有相应的技术等级证书（绿化工、花卉工、植保员、登高作业人员等），其中登高作业人人员必须具备应急管理部门颁发有效的作业类别含高处作业的证件，乙方需为登高作业人人员等特殊工种的人员购买必要的意外伤害险等。</w:t>
      </w:r>
      <w:r/>
    </w:p>
    <w:p>
      <w:pPr>
        <w:ind w:firstLine="480"/>
        <w:jc w:val="left"/>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sz w:val="24"/>
          <w:szCs w:val="24"/>
          <w:highlight w:val="none"/>
          <w:lang w:val="en-US" w:eastAsia="zh-CN"/>
        </w:rPr>
        <w:t xml:space="preserve">尧夏路生活垃圾转运站/易腐垃圾处理中心运维人员：</w:t>
      </w:r>
      <w:r/>
    </w:p>
    <w:p>
      <w:pPr>
        <w:numPr>
          <w:ilvl w:val="0"/>
          <w:numId w:val="0"/>
        </w:num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①负责站内设备和设施使用、维护管理，24小时专人看管，不得擅自离岗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对于</w:t>
      </w:r>
      <w:r>
        <w:rPr>
          <w:rFonts w:hint="eastAsia" w:ascii="仿宋" w:hAnsi="仿宋" w:eastAsia="仿宋" w:cs="仿宋"/>
          <w:sz w:val="24"/>
          <w:szCs w:val="24"/>
          <w:highlight w:val="none"/>
        </w:rPr>
        <w:t xml:space="preserve">垃圾中转站的日常管理工作，负责站内环卫车辆日常工作调度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站内环卫车辆运输次数和站内垃圾日清运量进行月汇总</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并</w:t>
      </w:r>
      <w:r>
        <w:rPr>
          <w:rFonts w:hint="eastAsia" w:ascii="仿宋" w:hAnsi="仿宋" w:eastAsia="仿宋" w:cs="仿宋"/>
          <w:sz w:val="24"/>
          <w:szCs w:val="24"/>
          <w:highlight w:val="none"/>
        </w:rPr>
        <w:t xml:space="preserve">于每月月底上报做好消杀</w:t>
      </w:r>
      <w:r>
        <w:rPr>
          <w:rFonts w:hint="eastAsia" w:ascii="仿宋" w:hAnsi="仿宋" w:eastAsia="仿宋" w:cs="仿宋"/>
          <w:sz w:val="24"/>
          <w:szCs w:val="24"/>
          <w:highlight w:val="none"/>
          <w:lang w:eastAsia="zh-CN"/>
        </w:rPr>
        <w:t xml:space="preserve">除臭</w:t>
      </w:r>
      <w:r>
        <w:rPr>
          <w:rFonts w:hint="eastAsia" w:ascii="仿宋" w:hAnsi="仿宋" w:eastAsia="仿宋" w:cs="仿宋"/>
          <w:sz w:val="24"/>
          <w:szCs w:val="24"/>
          <w:highlight w:val="none"/>
        </w:rPr>
        <w:t xml:space="preserve">工作。严格做到每天上午10:00左右消杀</w:t>
      </w:r>
      <w:r>
        <w:rPr>
          <w:rFonts w:hint="eastAsia" w:ascii="仿宋" w:hAnsi="仿宋" w:eastAsia="仿宋" w:cs="仿宋"/>
          <w:sz w:val="24"/>
          <w:szCs w:val="24"/>
          <w:highlight w:val="none"/>
          <w:lang w:eastAsia="zh-CN"/>
        </w:rPr>
        <w:t xml:space="preserve">除臭</w:t>
      </w:r>
      <w:r>
        <w:rPr>
          <w:rFonts w:hint="eastAsia" w:ascii="仿宋" w:hAnsi="仿宋" w:eastAsia="仿宋" w:cs="仿宋"/>
          <w:sz w:val="24"/>
          <w:szCs w:val="24"/>
          <w:highlight w:val="none"/>
        </w:rPr>
        <w:t xml:space="preserve">一次，下午4:00左右消杀</w:t>
      </w:r>
      <w:r>
        <w:rPr>
          <w:rFonts w:hint="eastAsia" w:ascii="仿宋" w:hAnsi="仿宋" w:eastAsia="仿宋" w:cs="仿宋"/>
          <w:sz w:val="24"/>
          <w:szCs w:val="24"/>
          <w:highlight w:val="none"/>
          <w:lang w:eastAsia="zh-CN"/>
        </w:rPr>
        <w:t xml:space="preserve">除臭</w:t>
      </w:r>
      <w:r>
        <w:rPr>
          <w:rFonts w:hint="eastAsia" w:ascii="仿宋" w:hAnsi="仿宋" w:eastAsia="仿宋" w:cs="仿宋"/>
          <w:sz w:val="24"/>
          <w:szCs w:val="24"/>
          <w:highlight w:val="none"/>
        </w:rPr>
        <w:t xml:space="preserve">一次，另视垃圾产量及垃圾成份等具体情况可适当增加消杀次数，尽量减少苍蝇密度。车出中转站必消杀。做好站内的防虫、防鼠、防臭和防火、防盗工作，定期对站内进行药物喷洒，保持站内外环境干净整洁。</w:t>
      </w:r>
      <w:r/>
    </w:p>
    <w:p>
      <w:pPr>
        <w:numPr>
          <w:ilvl w:val="0"/>
          <w:numId w:val="0"/>
        </w:numPr>
        <w:ind w:firstLine="480"/>
        <w:jc w:val="left"/>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②负责垃圾中转站设备的不定期检查和保养工作</w:t>
      </w:r>
      <w:r>
        <w:rPr>
          <w:rFonts w:hint="eastAsia" w:ascii="仿宋" w:hAnsi="仿宋" w:eastAsia="仿宋" w:cs="仿宋"/>
          <w:sz w:val="24"/>
          <w:szCs w:val="24"/>
          <w:highlight w:val="none"/>
          <w:lang w:eastAsia="zh-CN"/>
        </w:rPr>
        <w:t xml:space="preserve">。负责站内环卫车辆运输次数和站内垃圾日清运量并进行月汇总，于每月月底上报。</w:t>
      </w:r>
      <w:r>
        <w:rPr>
          <w:rFonts w:hint="eastAsia" w:ascii="仿宋" w:hAnsi="仿宋" w:eastAsia="仿宋" w:cs="仿宋"/>
          <w:sz w:val="24"/>
          <w:szCs w:val="24"/>
          <w:highlight w:val="none"/>
          <w:lang w:val="en-US" w:eastAsia="zh-CN"/>
        </w:rPr>
        <w:t xml:space="preserve">机器设备日常维修的保养费，单次维修保养费用在3000元以上的，乙方需及时向甲方汇报；单次维修保养费用在3000元（含）以下的，维修保养工作及相关费用均由乙方自行承担。因乙方管理不善，造成工作范围内的设施、设备等损坏的，由乙方负责，情节严重的可终止合同甚至诉诸法律。</w:t>
      </w:r>
      <w:r/>
    </w:p>
    <w:p>
      <w:pPr>
        <w:numPr>
          <w:ilvl w:val="0"/>
          <w:numId w:val="0"/>
        </w:num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负责突发事件的紧急报告，如垃圾中转站发生机械故障或停电、环卫车辆事故等，要及时报告、报修并采取相应的处理措施。手拉车清运人员倒垃圾必须服从管理人员统一指挥，不得擅自将垃圾倒入中转站场地内。</w:t>
      </w:r>
      <w:r/>
    </w:p>
    <w:p>
      <w:pPr>
        <w:numPr>
          <w:ilvl w:val="0"/>
          <w:numId w:val="0"/>
        </w:num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highlight w:val="none"/>
        </w:rPr>
        <w:t xml:space="preserve">④掌握垃圾中转站设备的相关技术，熟练设备的操作方法，并具备简单处理设备故障的能力，在倾倒垃圾中要把安全生产放首位，消除一切不安全因素，做到早发现早预防，早汇报。设备、容器符合密封要求，确保使用、运输、运作过程中不</w:t>
      </w:r>
      <w:r>
        <w:rPr>
          <w:rFonts w:hint="eastAsia" w:ascii="仿宋" w:hAnsi="仿宋" w:eastAsia="仿宋" w:cs="仿宋"/>
          <w:sz w:val="24"/>
          <w:szCs w:val="24"/>
        </w:rPr>
        <w:t xml:space="preserve">发生滴漏、满溢等现象，并定期对垃圾中转站机械设备进行检修、维护。</w:t>
      </w:r>
      <w:r/>
    </w:p>
    <w:p>
      <w:pPr>
        <w:numPr>
          <w:ilvl w:val="0"/>
          <w:numId w:val="0"/>
        </w:num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⑤负责站内垃圾填装，及时清理填装过程中抛散的垃圾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做好站内、外场和墙壁瓷砖周边的清洁卫生工作，应无积灰，污迹，蜘蛛网，无垃圾洒落，杂物堆积和污水及时抽干排入污水管道中。中转站内要做到随脏随打扫，垃圾不得吹到围墙外以及中转站附近的河边、垃圾清场后要认真冲洗。</w:t>
      </w:r>
      <w:r/>
    </w:p>
    <w:p>
      <w:pPr>
        <w:numPr>
          <w:ilvl w:val="0"/>
          <w:numId w:val="0"/>
        </w:num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⑥外单位物件未经许可不得在中转站内存放。垃圾中转站的工作人员要不徇私情，严格监督站内的垃圾来源，建筑装修垃圾、有毒有害垃圾不得进站。废品不得堆放在中转站内外，不得在垃圾场内外燃烧废品，若发现垃圾堆不明起火要及时采取灭火措施。拾荒人员不得进入中转站捡拾废品。垃圾中转站内，严禁停放外单位车辆和其他物品，洗车泵严禁外来车辆使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每日工作结束后，必须对站内外及压缩设备进行彻底打扫、冲洗、切断电源，关闭水龙头，关锁好门窗。</w:t>
      </w:r>
      <w:r/>
    </w:p>
    <w:p>
      <w:pPr>
        <w:numPr>
          <w:ilvl w:val="0"/>
          <w:numId w:val="0"/>
        </w:num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⑦做好台账登记工作。包括但不限于消杀台账、机械设备保养台账、生活垃圾混装检查台账、除臭设备使用台账、渗滤液一体化处置设备使用台账、安全生产台账等。根据招标人要求，对中转站相关制度进行上墙公示。</w:t>
      </w:r>
      <w:r/>
    </w:p>
    <w:p>
      <w:pPr>
        <w:numPr>
          <w:ilvl w:val="0"/>
          <w:numId w:val="0"/>
        </w:num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⑧</w:t>
      </w:r>
      <w:r>
        <w:rPr>
          <w:rFonts w:hint="eastAsia" w:ascii="仿宋" w:hAnsi="仿宋" w:eastAsia="仿宋" w:cs="仿宋"/>
          <w:sz w:val="24"/>
          <w:szCs w:val="24"/>
          <w:lang w:val="en-US" w:eastAsia="zh-CN"/>
        </w:rPr>
        <w:t xml:space="preserve">中转站管理人员及外来人员均不得收纳、处置企业工业垃圾，一经发现招标人有权终止本合同，并扣除全部履约保证金。一切法律责任和经济责任均由中标方承担。</w:t>
      </w:r>
      <w:r/>
    </w:p>
    <w:p>
      <w:pPr>
        <w:numPr>
          <w:ilvl w:val="0"/>
          <w:numId w:val="0"/>
        </w:numPr>
        <w:ind w:firstLine="480"/>
        <w:jc w:val="left"/>
        <w:spacing w:line="360" w:lineRule="auto"/>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rPr>
        <w:t xml:space="preserve">⑨垃圾中转站内现有地面坑洼，中标单位进场后需要对地面进行修复，在服务期限内确保地面平整。</w:t>
      </w:r>
      <w:r/>
    </w:p>
    <w:p>
      <w:pPr>
        <w:ind w:firstLine="480"/>
        <w:jc w:val="left"/>
        <w:spacing w:line="36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25.法规、政策规定由乙方承担的其他责任。</w:t>
      </w:r>
      <w:r/>
    </w:p>
    <w:p>
      <w:pPr>
        <w:ind w:firstLine="482"/>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五、价格与支付</w:t>
      </w:r>
      <w:r/>
    </w:p>
    <w:p>
      <w:pPr>
        <w:numPr>
          <w:ilvl w:val="0"/>
          <w:numId w:val="0"/>
        </w:numPr>
        <w:ind w:firstLine="480"/>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en-US" w:eastAsia="zh-CN"/>
        </w:rPr>
        <w:t xml:space="preserve">本合同总金额为</w:t>
      </w:r>
      <w:r>
        <w:rPr>
          <w:rFonts w:hint="eastAsia" w:ascii="仿宋" w:hAnsi="仿宋" w:eastAsia="仿宋" w:cs="仿宋"/>
          <w:b/>
          <w:bCs/>
          <w:color w:val="auto"/>
          <w:sz w:val="24"/>
          <w:szCs w:val="24"/>
          <w:highlight w:val="none"/>
        </w:rPr>
        <w:t xml:space="preserve">人民币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元</w:t>
      </w:r>
      <w:r>
        <w:rPr>
          <w:rFonts w:hint="eastAsia" w:ascii="仿宋" w:hAnsi="仿宋" w:eastAsia="仿宋" w:cs="仿宋"/>
          <w:b/>
          <w:bCs/>
          <w:color w:val="auto"/>
          <w:sz w:val="24"/>
          <w:szCs w:val="24"/>
          <w:highlight w:val="none"/>
          <w:lang w:val="en-US" w:eastAsia="zh-CN"/>
        </w:rPr>
        <w:t xml:space="preserve">。     </w:t>
      </w:r>
      <w:r/>
    </w:p>
    <w:p>
      <w:pPr>
        <w:pStyle w:val="1693"/>
        <w:ind w:left="0" w:firstLine="42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付款时间: 合同签订且乙方进场服务后，甲方每月考核乙方的保洁服务，于每季度结束后根据考核结果和实际费用情况，支付该季度保洁服务费用。付款方式: 以转账方式直接转入乙方银行账户</w:t>
      </w:r>
      <w:r>
        <w:rPr>
          <w:rFonts w:hint="eastAsia" w:ascii="仿宋" w:hAnsi="仿宋" w:eastAsia="仿宋" w:cs="仿宋"/>
          <w:sz w:val="24"/>
          <w:szCs w:val="24"/>
          <w:highlight w:val="none"/>
          <w:lang w:val="en-US" w:eastAsia="zh-CN"/>
        </w:rPr>
        <w:t xml:space="preserve">付款前，乙方向甲方提供等额增值税发票。</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总价为综合报价，应包括但不限于人员费用（工资、福利、</w:t>
      </w:r>
      <w:r>
        <w:rPr>
          <w:rFonts w:hint="eastAsia" w:ascii="仿宋" w:hAnsi="仿宋" w:eastAsia="仿宋" w:cs="仿宋"/>
          <w:color w:val="auto"/>
          <w:sz w:val="24"/>
          <w:szCs w:val="24"/>
          <w:highlight w:val="none"/>
          <w:lang w:val="en-US" w:eastAsia="zh-CN"/>
        </w:rPr>
        <w:t xml:space="preserve">慰问金、</w:t>
      </w:r>
      <w:r>
        <w:rPr>
          <w:rFonts w:hint="eastAsia" w:ascii="仿宋" w:hAnsi="仿宋" w:eastAsia="仿宋" w:cs="仿宋"/>
          <w:color w:val="auto"/>
          <w:sz w:val="24"/>
          <w:szCs w:val="24"/>
          <w:highlight w:val="none"/>
        </w:rPr>
        <w:t xml:space="preserve">培训、</w:t>
      </w:r>
      <w:r>
        <w:rPr>
          <w:rFonts w:hint="eastAsia" w:ascii="仿宋" w:hAnsi="仿宋" w:eastAsia="仿宋" w:cs="仿宋"/>
          <w:color w:val="auto"/>
          <w:sz w:val="24"/>
          <w:szCs w:val="24"/>
          <w:highlight w:val="none"/>
          <w:lang w:val="en-US" w:eastAsia="zh-CN"/>
        </w:rPr>
        <w:t xml:space="preserve">加班、</w:t>
      </w:r>
      <w:r>
        <w:rPr>
          <w:rFonts w:hint="eastAsia" w:ascii="仿宋" w:hAnsi="仿宋" w:eastAsia="仿宋" w:cs="仿宋"/>
          <w:color w:val="auto"/>
          <w:sz w:val="24"/>
          <w:szCs w:val="24"/>
          <w:highlight w:val="none"/>
        </w:rPr>
        <w:t xml:space="preserve">社会保险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意外保险</w:t>
      </w:r>
      <w:r>
        <w:rPr>
          <w:rFonts w:hint="eastAsia" w:ascii="仿宋" w:hAnsi="仿宋" w:eastAsia="仿宋" w:cs="仿宋"/>
          <w:color w:val="auto"/>
          <w:sz w:val="24"/>
          <w:szCs w:val="24"/>
          <w:highlight w:val="none"/>
        </w:rPr>
        <w:t xml:space="preserve">等）、服务所用设备工具购置及维修费用、服务所用材料消耗费用、</w:t>
      </w:r>
      <w:r>
        <w:rPr>
          <w:rFonts w:hint="eastAsia" w:ascii="仿宋" w:hAnsi="仿宋" w:eastAsia="仿宋" w:cs="仿宋"/>
          <w:sz w:val="24"/>
          <w:szCs w:val="24"/>
          <w:highlight w:val="none"/>
        </w:rPr>
        <w:t xml:space="preserve">劳动保护</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管理费用、利润、税金、政策性文件规定及合同包含的所有风险、责任等各项应有费用</w:t>
      </w:r>
      <w:r>
        <w:rPr>
          <w:rFonts w:hint="eastAsia" w:ascii="仿宋" w:hAnsi="仿宋" w:eastAsia="仿宋" w:cs="仿宋"/>
          <w:color w:val="auto"/>
          <w:sz w:val="24"/>
          <w:szCs w:val="24"/>
          <w:highlight w:val="none"/>
          <w:lang w:eastAsia="zh-CN"/>
        </w:rPr>
        <w:t xml:space="preserve">。</w:t>
      </w:r>
      <w:r/>
    </w:p>
    <w:p>
      <w:pPr>
        <w:ind w:firstLine="482"/>
        <w:spacing w:line="360" w:lineRule="auto"/>
        <w:tabs>
          <w:tab w:val="left" w:pos="1995" w:leader="none"/>
        </w:tabs>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六、</w:t>
      </w:r>
      <w:r>
        <w:rPr>
          <w:rFonts w:hint="eastAsia" w:ascii="仿宋" w:hAnsi="仿宋" w:eastAsia="仿宋" w:cs="仿宋"/>
          <w:b/>
          <w:color w:val="auto"/>
          <w:sz w:val="24"/>
          <w:szCs w:val="24"/>
          <w:highlight w:val="none"/>
          <w:lang w:val="en-US" w:eastAsia="zh-CN"/>
        </w:rPr>
        <w:t xml:space="preserve">项目</w:t>
      </w:r>
      <w:r>
        <w:rPr>
          <w:rFonts w:hint="eastAsia" w:ascii="仿宋" w:hAnsi="仿宋" w:eastAsia="仿宋" w:cs="仿宋"/>
          <w:b/>
          <w:color w:val="auto"/>
          <w:sz w:val="24"/>
          <w:szCs w:val="24"/>
          <w:highlight w:val="none"/>
        </w:rPr>
        <w:t xml:space="preserve">作业的</w:t>
      </w:r>
      <w:r>
        <w:rPr>
          <w:rFonts w:hint="eastAsia" w:ascii="仿宋" w:hAnsi="仿宋" w:eastAsia="仿宋" w:cs="仿宋"/>
          <w:b/>
          <w:color w:val="auto"/>
          <w:sz w:val="24"/>
          <w:szCs w:val="24"/>
          <w:highlight w:val="none"/>
          <w:lang w:val="en-US" w:eastAsia="zh-CN"/>
        </w:rPr>
        <w:t xml:space="preserve">实施</w:t>
      </w:r>
      <w:r>
        <w:rPr>
          <w:rFonts w:hint="eastAsia" w:ascii="仿宋" w:hAnsi="仿宋" w:eastAsia="仿宋" w:cs="仿宋"/>
          <w:b/>
          <w:color w:val="auto"/>
          <w:sz w:val="24"/>
          <w:szCs w:val="24"/>
          <w:highlight w:val="none"/>
        </w:rPr>
        <w:t xml:space="preserve">和</w:t>
      </w:r>
      <w:r>
        <w:rPr>
          <w:rFonts w:hint="eastAsia" w:ascii="仿宋" w:hAnsi="仿宋" w:eastAsia="仿宋" w:cs="仿宋"/>
          <w:b/>
          <w:color w:val="auto"/>
          <w:sz w:val="24"/>
          <w:szCs w:val="24"/>
          <w:highlight w:val="none"/>
          <w:lang w:val="en-US" w:eastAsia="zh-CN"/>
        </w:rPr>
        <w:t xml:space="preserve">终止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lang w:val="en-US" w:eastAsia="zh-CN"/>
        </w:rPr>
        <w:t xml:space="preserve">甲方根据项目实际情况</w:t>
      </w:r>
      <w:r>
        <w:rPr>
          <w:rFonts w:hint="eastAsia" w:ascii="仿宋" w:hAnsi="仿宋" w:eastAsia="仿宋" w:cs="仿宋"/>
          <w:color w:val="auto"/>
          <w:sz w:val="24"/>
          <w:szCs w:val="24"/>
          <w:highlight w:val="none"/>
        </w:rPr>
        <w:t xml:space="preserve">向乙方</w:t>
      </w:r>
      <w:r>
        <w:rPr>
          <w:rFonts w:hint="eastAsia" w:ascii="仿宋" w:hAnsi="仿宋" w:eastAsia="仿宋" w:cs="仿宋"/>
          <w:color w:val="auto"/>
          <w:sz w:val="24"/>
          <w:szCs w:val="24"/>
          <w:highlight w:val="none"/>
          <w:lang w:val="en-US" w:eastAsia="zh-CN"/>
        </w:rPr>
        <w:t xml:space="preserve">下达作业指令</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具体下达时间以甲方通知为准，</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rPr>
        <w:t xml:space="preserve">无条件接受。</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合同交接过渡期（含合同始止期）要求</w:t>
      </w:r>
      <w:r>
        <w:rPr>
          <w:rFonts w:hint="eastAsia" w:ascii="仿宋" w:hAnsi="仿宋" w:eastAsia="仿宋" w:cs="仿宋"/>
          <w:color w:val="auto"/>
          <w:sz w:val="24"/>
          <w:szCs w:val="24"/>
          <w:highlight w:val="none"/>
          <w:lang w:eastAsia="zh-CN"/>
        </w:rPr>
        <w:t xml:space="preserve">：</w:t>
      </w:r>
      <w:r/>
    </w:p>
    <w:p>
      <w:pPr>
        <w:numPr>
          <w:ilvl w:val="0"/>
          <w:numId w:val="16"/>
        </w:num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合同终止（或解除）或合同服务期限届满后不再续签合同时，乙方应于合同期满当日无条件向甲方交还环卫作业权。甲乙双方应提前 10 天进行交接手续和准备，确保准时交接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将全部服务工作及时移交</w:t>
      </w:r>
      <w:r>
        <w:rPr>
          <w:rFonts w:hint="eastAsia" w:ascii="仿宋" w:hAnsi="仿宋" w:eastAsia="仿宋" w:cs="仿宋"/>
          <w:color w:val="auto"/>
          <w:sz w:val="24"/>
          <w:szCs w:val="24"/>
          <w:highlight w:val="none"/>
          <w:lang w:val="en-US" w:eastAsia="zh-CN"/>
        </w:rPr>
        <w:t xml:space="preserve">甲</w:t>
      </w:r>
      <w:r>
        <w:rPr>
          <w:rFonts w:hint="eastAsia" w:ascii="仿宋" w:hAnsi="仿宋" w:eastAsia="仿宋" w:cs="仿宋"/>
          <w:color w:val="auto"/>
          <w:sz w:val="24"/>
          <w:szCs w:val="24"/>
          <w:highlight w:val="none"/>
        </w:rPr>
        <w:t xml:space="preserve">方，并处理好与作业人员的劳动关系。</w:t>
      </w:r>
      <w:r/>
    </w:p>
    <w:p>
      <w:pPr>
        <w:numPr>
          <w:ilvl w:val="0"/>
          <w:numId w:val="16"/>
        </w:num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须在服务期将满或合同即将终止时，在新的服务单位尚未确定或暂未进行接管时，</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将按照原合同规定全力配合</w:t>
      </w:r>
      <w:r>
        <w:rPr>
          <w:rFonts w:hint="eastAsia" w:ascii="仿宋" w:hAnsi="仿宋" w:eastAsia="仿宋" w:cs="仿宋"/>
          <w:color w:val="auto"/>
          <w:sz w:val="24"/>
          <w:szCs w:val="24"/>
          <w:highlight w:val="none"/>
          <w:lang w:val="en-US" w:eastAsia="zh-CN"/>
        </w:rPr>
        <w:t xml:space="preserve">甲</w:t>
      </w:r>
      <w:r>
        <w:rPr>
          <w:rFonts w:hint="eastAsia" w:ascii="仿宋" w:hAnsi="仿宋" w:eastAsia="仿宋" w:cs="仿宋"/>
          <w:color w:val="auto"/>
          <w:sz w:val="24"/>
          <w:szCs w:val="24"/>
          <w:highlight w:val="none"/>
        </w:rPr>
        <w:t xml:space="preserve">方继续做好服务项目的工作。</w:t>
      </w:r>
      <w:r/>
    </w:p>
    <w:p>
      <w:pPr>
        <w:numPr>
          <w:ilvl w:val="0"/>
          <w:numId w:val="16"/>
        </w:num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在合同交接过渡期（含合同始、止两个交接期）内，</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应做好项目服务交接工作。</w:t>
      </w:r>
      <w:r/>
    </w:p>
    <w:p>
      <w:pPr>
        <w:numPr>
          <w:ilvl w:val="0"/>
          <w:numId w:val="16"/>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需确保交接期间服务质量，否则</w:t>
      </w:r>
      <w:r>
        <w:rPr>
          <w:rFonts w:hint="eastAsia" w:ascii="仿宋" w:hAnsi="仿宋" w:eastAsia="仿宋" w:cs="仿宋"/>
          <w:color w:val="auto"/>
          <w:sz w:val="24"/>
          <w:szCs w:val="24"/>
          <w:highlight w:val="none"/>
          <w:lang w:val="en-US" w:eastAsia="zh-CN"/>
        </w:rPr>
        <w:t xml:space="preserve">甲方上报行业主管部门</w:t>
      </w:r>
      <w:r>
        <w:rPr>
          <w:rFonts w:hint="eastAsia" w:ascii="仿宋" w:hAnsi="仿宋" w:eastAsia="仿宋" w:cs="仿宋"/>
          <w:color w:val="auto"/>
          <w:sz w:val="24"/>
          <w:szCs w:val="24"/>
          <w:highlight w:val="none"/>
        </w:rPr>
        <w:t xml:space="preserve">。</w:t>
      </w:r>
      <w:r/>
    </w:p>
    <w:p>
      <w:pPr>
        <w:ind w:firstLine="482"/>
        <w:spacing w:line="360" w:lineRule="auto"/>
        <w:tabs>
          <w:tab w:val="left" w:pos="1995" w:leader="none"/>
        </w:tabs>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七、履约保证金的支付</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1.根据采购文件的规定，乙方应于签订合同前交纳签约合同总价的5%作为履约保证金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8"/>
          <w:sz w:val="24"/>
          <w:szCs w:val="24"/>
          <w:highlight w:val="none"/>
          <w:lang w:val="en-US" w:eastAsia="zh-CN"/>
        </w:rPr>
        <w:t xml:space="preserve">合同到期未违反合同约定事项后一次性退还</w:t>
      </w:r>
      <w:r>
        <w:rPr>
          <w:rFonts w:hint="eastAsia" w:ascii="仿宋" w:hAnsi="仿宋" w:eastAsia="仿宋" w:cs="仿宋"/>
          <w:color w:val="auto"/>
          <w:spacing w:val="8"/>
          <w:sz w:val="24"/>
          <w:szCs w:val="24"/>
          <w:highlight w:val="none"/>
          <w:lang w:val="zh-TW" w:eastAsia="zh-CN"/>
        </w:rPr>
        <w:t xml:space="preserve">（</w:t>
      </w:r>
      <w:r>
        <w:rPr>
          <w:rFonts w:hint="eastAsia" w:ascii="仿宋" w:hAnsi="仿宋" w:eastAsia="仿宋" w:cs="仿宋"/>
          <w:color w:val="auto"/>
          <w:spacing w:val="8"/>
          <w:sz w:val="24"/>
          <w:szCs w:val="24"/>
          <w:highlight w:val="none"/>
          <w:lang w:val="en-US" w:eastAsia="zh-CN"/>
        </w:rPr>
        <w:t xml:space="preserve">不计息</w:t>
      </w:r>
      <w:r>
        <w:rPr>
          <w:rFonts w:hint="eastAsia" w:ascii="仿宋" w:hAnsi="仿宋" w:eastAsia="仿宋" w:cs="仿宋"/>
          <w:color w:val="auto"/>
          <w:spacing w:val="8"/>
          <w:sz w:val="24"/>
          <w:szCs w:val="24"/>
          <w:highlight w:val="none"/>
          <w:lang w:val="zh-TW" w:eastAsia="zh-CN"/>
        </w:rPr>
        <w:t xml:space="preserve">）</w:t>
      </w:r>
      <w:r>
        <w:rPr>
          <w:rFonts w:hint="eastAsia" w:ascii="仿宋" w:hAnsi="仿宋" w:eastAsia="仿宋" w:cs="仿宋"/>
          <w:color w:val="auto"/>
          <w:spacing w:val="8"/>
          <w:sz w:val="24"/>
          <w:szCs w:val="24"/>
          <w:highlight w:val="none"/>
          <w:lang w:val="zh-TW"/>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2.合同期满后或不属乙方重大责任事故造成的本合同终止，甲方一次性无息返还乙方的履约保证金。</w:t>
      </w:r>
      <w:r/>
    </w:p>
    <w:p>
      <w:pPr>
        <w:ind w:firstLine="482"/>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八、违约责任</w:t>
      </w:r>
      <w:r>
        <w:rPr>
          <w:rFonts w:hint="eastAsia" w:ascii="仿宋" w:hAnsi="仿宋" w:eastAsia="仿宋" w:cs="仿宋"/>
          <w:b/>
          <w:color w:val="auto"/>
          <w:sz w:val="24"/>
          <w:szCs w:val="24"/>
          <w:highlight w:val="none"/>
          <w:lang w:val="en-US" w:eastAsia="zh-CN"/>
        </w:rPr>
        <w:t xml:space="preserve">级考核办法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1.合同任一方不履行合同义务或违反履行合同义务约定的，应当承担继续履行、采取补救措施或者赔偿损失等违约责任。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2.乙方无法完成项目的，应向甲方支付签约合同总价10％的违约金，同时甲方有权解除合同。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3.乙方完成的项目不符合要求的，在甲方规定时间内，修正有缺陷的部分以达到合同规定的要求并承担一切费用和风险，同时承担甲方因此所遭受的全部损失；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4.如遇政策、法规调整等因素、需变更或终止本合同时，甲方只对已发生的合格作业量负责，根据已发生的合格作业量与乙方办理结算，不承担其它违约责任。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5.乙方未能完全按规定和承诺提供服务的，应向甲方支付合同总价5％的违约金。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6.违约方承担违约责任并不影响其合同项下的义务(合同解除的除外)。　</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7.环卫保洁考核：</w:t>
      </w:r>
      <w:r>
        <w:rPr>
          <w:rFonts w:hint="eastAsia" w:ascii="仿宋" w:hAnsi="仿宋" w:eastAsia="仿宋" w:cs="仿宋"/>
          <w:color w:val="auto"/>
          <w:sz w:val="24"/>
          <w:szCs w:val="24"/>
          <w:highlight w:val="none"/>
        </w:rPr>
        <w:t xml:space="preserve">尧委发﹝2023﹞80号（进一步完善城市长效综合管理考核实施意见）</w:t>
      </w:r>
      <w:r>
        <w:rPr>
          <w:rFonts w:hint="eastAsia" w:ascii="仿宋" w:hAnsi="仿宋" w:eastAsia="仿宋" w:cs="仿宋"/>
          <w:color w:val="auto"/>
          <w:sz w:val="24"/>
          <w:szCs w:val="24"/>
          <w:highlight w:val="none"/>
          <w:lang w:val="en-US" w:eastAsia="zh-CN"/>
        </w:rPr>
        <w:t xml:space="preserve">。具体见详见附件，在合同期内若有新文件，则按最新文件执行，中标供应商服从采购人的管理。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绿化管养</w:t>
      </w:r>
      <w:r>
        <w:rPr>
          <w:rFonts w:hint="eastAsia" w:ascii="仿宋" w:hAnsi="仿宋" w:eastAsia="仿宋" w:cs="仿宋"/>
          <w:color w:val="auto"/>
          <w:sz w:val="24"/>
          <w:szCs w:val="24"/>
          <w:highlight w:val="none"/>
          <w:lang w:val="en-US" w:eastAsia="zh-CN"/>
        </w:rPr>
        <w:t xml:space="preserve">考核：</w:t>
      </w:r>
      <w:r>
        <w:rPr>
          <w:rFonts w:hint="eastAsia" w:ascii="仿宋" w:hAnsi="仿宋" w:eastAsia="仿宋" w:cs="仿宋"/>
          <w:color w:val="auto"/>
          <w:sz w:val="24"/>
          <w:szCs w:val="24"/>
          <w:highlight w:val="none"/>
        </w:rPr>
        <w:t xml:space="preserve">对绿化管养范围内城市长效综合管理考核负有责任的考核扣分案件进行计量扣款，具体考核计分办法和细则详见附件《关于调整城市绿化专项考核计分办法和细则的通知》常城管委办[2021]7号文</w:t>
      </w:r>
      <w:r>
        <w:rPr>
          <w:rFonts w:hint="eastAsia" w:ascii="仿宋" w:hAnsi="仿宋" w:eastAsia="仿宋" w:cs="仿宋"/>
          <w:color w:val="auto"/>
          <w:sz w:val="24"/>
          <w:szCs w:val="24"/>
          <w:highlight w:val="none"/>
          <w:lang w:val="en-US" w:eastAsia="zh-CN"/>
        </w:rPr>
        <w:t xml:space="preserve">(若有更新，以最新文件为准）</w:t>
      </w:r>
      <w:r>
        <w:rPr>
          <w:rFonts w:hint="eastAsia" w:ascii="仿宋" w:hAnsi="仿宋" w:eastAsia="仿宋" w:cs="仿宋"/>
          <w:color w:val="auto"/>
          <w:sz w:val="24"/>
          <w:szCs w:val="24"/>
          <w:highlight w:val="none"/>
        </w:rPr>
        <w:t xml:space="preserve">。市城市长效综合管理考核每有一个扣分案件，扣款5000元，未按要求及时整改到位导致再扣分的，每个再扣款5000元；区城市长效综合管理考核每有一个扣分案件，扣款2000元，未按要求及时整改到位导致再扣分的，每个再扣款2000元；尧塘街道</w:t>
      </w:r>
      <w:r>
        <w:rPr>
          <w:rFonts w:hint="eastAsia" w:ascii="仿宋" w:hAnsi="仿宋" w:eastAsia="仿宋" w:cs="仿宋"/>
          <w:color w:val="auto"/>
          <w:sz w:val="24"/>
          <w:szCs w:val="24"/>
          <w:highlight w:val="none"/>
          <w:lang w:val="en-US" w:eastAsia="zh-CN"/>
        </w:rPr>
        <w:t xml:space="preserve">自巡查案件，乙方立行立改到位</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不作扣款处理，</w:t>
      </w:r>
      <w:r>
        <w:rPr>
          <w:rFonts w:hint="eastAsia" w:ascii="仿宋" w:hAnsi="仿宋" w:eastAsia="仿宋" w:cs="仿宋"/>
          <w:color w:val="auto"/>
          <w:sz w:val="24"/>
          <w:szCs w:val="24"/>
          <w:highlight w:val="none"/>
        </w:rPr>
        <w:t xml:space="preserve">未按要求及时整改到位的</w:t>
      </w:r>
      <w:r>
        <w:rPr>
          <w:rFonts w:hint="eastAsia" w:ascii="仿宋" w:hAnsi="仿宋" w:eastAsia="仿宋" w:cs="仿宋"/>
          <w:color w:val="auto"/>
          <w:sz w:val="24"/>
          <w:szCs w:val="24"/>
          <w:highlight w:val="none"/>
          <w:lang w:val="en-US" w:eastAsia="zh-CN"/>
        </w:rPr>
        <w:t xml:space="preserve">问题</w:t>
      </w:r>
      <w:r>
        <w:rPr>
          <w:rFonts w:hint="eastAsia" w:ascii="仿宋" w:hAnsi="仿宋" w:eastAsia="仿宋" w:cs="仿宋"/>
          <w:color w:val="auto"/>
          <w:sz w:val="24"/>
          <w:szCs w:val="24"/>
          <w:highlight w:val="none"/>
        </w:rPr>
        <w:t xml:space="preserve">，每项扣款500元。考核扣款在</w:t>
      </w:r>
      <w:r>
        <w:rPr>
          <w:rFonts w:hint="eastAsia" w:ascii="仿宋" w:hAnsi="仿宋" w:eastAsia="仿宋" w:cs="仿宋"/>
          <w:color w:val="auto"/>
          <w:sz w:val="24"/>
          <w:szCs w:val="24"/>
          <w:highlight w:val="none"/>
          <w:lang w:val="en-US" w:eastAsia="zh-CN"/>
        </w:rPr>
        <w:t xml:space="preserve">当期</w:t>
      </w:r>
      <w:r>
        <w:rPr>
          <w:rFonts w:hint="eastAsia" w:ascii="仿宋" w:hAnsi="仿宋" w:eastAsia="仿宋" w:cs="仿宋"/>
          <w:color w:val="auto"/>
          <w:sz w:val="24"/>
          <w:szCs w:val="24"/>
          <w:highlight w:val="none"/>
        </w:rPr>
        <w:t xml:space="preserve">结算的合同款项中直接扣除。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对于甲方提出整改要求的同一个问题，两次及以上未能整改到位的，甲方有权解除合同。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乙方在绿化养护作业过程中，所产生的一切垃圾必须及时清扫、收集清运，如因作业垃圾清扫、收集清扫不到位导致考核扣分，参照</w:t>
      </w:r>
      <w:r>
        <w:rPr>
          <w:rFonts w:hint="eastAsia" w:ascii="仿宋" w:hAnsi="仿宋" w:eastAsia="仿宋" w:cs="仿宋"/>
          <w:color w:val="auto"/>
          <w:sz w:val="24"/>
          <w:szCs w:val="24"/>
          <w:highlight w:val="none"/>
          <w:lang w:val="en-US" w:eastAsia="zh-CN"/>
        </w:rPr>
        <w:t xml:space="preserve">以上标准</w:t>
      </w:r>
      <w:r>
        <w:rPr>
          <w:rFonts w:hint="eastAsia" w:ascii="仿宋" w:hAnsi="仿宋" w:eastAsia="仿宋" w:cs="仿宋"/>
          <w:color w:val="auto"/>
          <w:sz w:val="24"/>
          <w:szCs w:val="24"/>
          <w:highlight w:val="none"/>
        </w:rPr>
        <w:t xml:space="preserve">进行扣款。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住建部《园林绿化工程作业及验收规范》、江苏省住建厅《江苏省城市园林绿化养护管理规范及分级标准》、常州市《常州市城市绿化植物养护管理技术规范》、《常州市城市绿地（行道树）养护分级管理质量标准》等文件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具体以甲方实际执行为准</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8.垃圾转运站考核：甲方</w:t>
      </w:r>
      <w:r>
        <w:rPr>
          <w:rFonts w:hint="eastAsia" w:ascii="仿宋" w:hAnsi="仿宋" w:eastAsia="仿宋" w:cs="仿宋"/>
          <w:color w:val="auto"/>
          <w:sz w:val="24"/>
          <w:szCs w:val="24"/>
          <w:highlight w:val="none"/>
        </w:rPr>
        <w:t xml:space="preserve">在合同执行期间对服务内容进行定期和不定期检查</w:t>
      </w:r>
      <w:r>
        <w:rPr>
          <w:rFonts w:hint="eastAsia" w:ascii="仿宋" w:hAnsi="仿宋" w:eastAsia="仿宋" w:cs="仿宋"/>
          <w:color w:val="auto"/>
          <w:sz w:val="24"/>
          <w:szCs w:val="24"/>
          <w:highlight w:val="none"/>
          <w:lang w:val="en-US" w:eastAsia="zh-CN"/>
        </w:rPr>
        <w:t xml:space="preserve">、考核</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负有责任的扣分案件进行扣款：</w:t>
      </w:r>
      <w:r>
        <w:rPr>
          <w:rFonts w:hint="eastAsia" w:ascii="仿宋" w:hAnsi="仿宋" w:eastAsia="仿宋" w:cs="仿宋"/>
          <w:color w:val="auto"/>
          <w:sz w:val="24"/>
          <w:szCs w:val="24"/>
          <w:highlight w:val="none"/>
        </w:rPr>
        <w:t xml:space="preserve">市级考核</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每有一个扣分问题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扣款人民币</w:t>
      </w:r>
      <w:r>
        <w:rPr>
          <w:rFonts w:hint="eastAsia" w:ascii="仿宋" w:hAnsi="仿宋" w:eastAsia="仿宋" w:cs="仿宋"/>
          <w:color w:val="auto"/>
          <w:sz w:val="24"/>
          <w:szCs w:val="24"/>
          <w:highlight w:val="none"/>
        </w:rPr>
        <w:t xml:space="preserve">3000元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区级考核</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每有一个扣分问题</w:t>
      </w:r>
      <w:r>
        <w:rPr>
          <w:rFonts w:hint="eastAsia" w:ascii="仿宋" w:hAnsi="仿宋" w:eastAsia="仿宋" w:cs="仿宋"/>
          <w:color w:val="auto"/>
          <w:sz w:val="24"/>
          <w:szCs w:val="24"/>
          <w:highlight w:val="none"/>
          <w:lang w:eastAsia="zh-CN"/>
        </w:rPr>
        <w:t xml:space="preserve">，扣款人民币</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000元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街道考核</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每有一个扣分问题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扣款人民币500</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九、不可抗力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发生签约时不能预见的情况，而双方又不能避免或克服其影响，该情况即构成不可抗力。包括但不限于战争、动乱、瘟疫、自然灾害（如地震、失火、洪水、恶劣天气造成超过正常设计标准的风暴或其他自然灾害）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4.合同各方应根据不可抗力对本合同履行的影响程度，协商确定是否终止本合同或是继续履行本合同。</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关于苗木存活率的特别说明：属于非人为因素及自然灾害损坏的苗木，由乙方按原品种超规格（乔木胸径及灌木地径增加1cm）补植到位或由乙方按照甲方市场询价的工程价的2倍赔偿相应金额（经甲方确认属于受人为破坏、受不可抗力造成的植物死亡除外。高温缺水不属于不可抗力影响）。</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十、合同生效及终止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除法律规定或双方明示的情形外，本合同一经签订，甲乙双方不得擅自变更、中止或终止合同。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1.合同生效：经甲乙双方签字并盖章后即生效。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2.合同终止：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（1）在乙方收到甲方发出的违约通知后10天内，乙方仍未纠正其下述任何一种违约行为，甲方可向乙方发出终止合同通知，终止部分或全部合同，由此带来的一切损失由乙方承担：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A．乙方未能在合同规定的期限内及时进场；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B．按照采购文件中的相关退场规定。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（2）甲方终止部分合同，甲方可以按适当的条件和方式采购类似的由于乙方未交付部分的服务；乙方应承担甲方购买类似服务的额外费用并继续履行合同中未终止的部分。</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十一、合同的解除和转让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1.甲方和乙方协商一致，可以解除合同。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乙方有下列情形之一的，甲方有权解除合同，本年度剩余</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不予结算，扣全部保证金，</w:t>
      </w:r>
      <w:r>
        <w:rPr>
          <w:rFonts w:hint="eastAsia" w:ascii="仿宋" w:hAnsi="仿宋" w:eastAsia="仿宋" w:cs="仿宋"/>
          <w:color w:val="auto"/>
          <w:sz w:val="24"/>
          <w:szCs w:val="24"/>
          <w:highlight w:val="none"/>
          <w:lang w:val="en-US" w:eastAsia="zh-CN"/>
        </w:rPr>
        <w:t xml:space="preserve">并上报行业主管部门</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（1）进行转包或分包的。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（3）标段缺勤人数超过承诺人数20%的。</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（4）擅自更换车辆，拒不整改到位的</w:t>
      </w:r>
      <w:r>
        <w:rPr>
          <w:rFonts w:hint="eastAsia" w:ascii="仿宋" w:hAnsi="仿宋" w:eastAsia="仿宋" w:cs="仿宋"/>
          <w:color w:val="auto"/>
          <w:sz w:val="24"/>
          <w:szCs w:val="24"/>
          <w:highlight w:val="none"/>
          <w:lang w:eastAsia="zh-CN"/>
        </w:rPr>
        <w:t xml:space="preserve">；未书面函报甲方并获得认可随意更换项目负责人的。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（5）乙方有其他违约情形导致发包人签订合同的目的不能实现的。</w:t>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在合同履行到期或因其他情况终止合同的，乙方在撤场前必须按照甲方要求做好交接工作。擅自撤场的，由此造成的损失由乙方承担。</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4.因公司管理不当，在服务期间出现重大失误或安全事故并负主要责任及以上的，视情况</w:t>
      </w:r>
      <w:r>
        <w:rPr>
          <w:rFonts w:hint="eastAsia" w:ascii="仿宋" w:hAnsi="仿宋" w:eastAsia="仿宋" w:cs="仿宋"/>
          <w:sz w:val="24"/>
          <w:szCs w:val="24"/>
          <w:highlight w:val="none"/>
          <w:lang w:val="en-US" w:eastAsia="zh-CN"/>
        </w:rPr>
        <w:t xml:space="preserve">给予经济处罚，造成恶劣影响的，可以解除合同。</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5.乙方无正当理由停止作业，可以解除承包合同，同时追究乙方因此造成的所有损失。</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以上解除合同情形或乙方在合同期间无能力继续履行合同，乙方向甲方提出终止合同的要求，经甲方认可并报主管部门同意的情况下方可终止合同并扣全部保证金，甲方有权没收履约保证金。乙方须继续执行本项目相关要求直至甲方找到新的接替服务企业。</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十二、争议的解决</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1.因履行本合同引起的或与本合同有关的争议，甲、乙双方应首先通过友好协商解决，如果协商不能解决争议，则采取以下第</w:t>
      </w:r>
      <w:r>
        <w:rPr>
          <w:rFonts w:hint="eastAsia" w:ascii="仿宋" w:hAnsi="仿宋" w:eastAsia="仿宋" w:cs="仿宋"/>
          <w:sz w:val="24"/>
          <w:szCs w:val="24"/>
          <w:u w:val="single"/>
        </w:rPr>
        <w:t xml:space="preserve"> （1） </w:t>
      </w:r>
      <w:r>
        <w:rPr>
          <w:rFonts w:hint="eastAsia" w:ascii="仿宋" w:hAnsi="仿宋" w:eastAsia="仿宋" w:cs="仿宋"/>
          <w:sz w:val="24"/>
          <w:szCs w:val="24"/>
        </w:rPr>
        <w:t xml:space="preserve">种方式解决争议：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sz w:val="24"/>
          <w:szCs w:val="24"/>
          <w:lang w:val="en-US" w:eastAsia="zh-CN"/>
        </w:rPr>
        <w:t xml:space="preserve">常州市金坛区</w:t>
      </w:r>
      <w:r>
        <w:rPr>
          <w:rFonts w:hint="eastAsia" w:ascii="仿宋" w:hAnsi="仿宋" w:eastAsia="仿宋" w:cs="仿宋"/>
          <w:sz w:val="24"/>
          <w:szCs w:val="24"/>
        </w:rPr>
        <w:t xml:space="preserve">人民法院提起诉讼；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lang w:val="en-US" w:eastAsia="zh-CN"/>
        </w:rPr>
        <w:t xml:space="preserve">常州</w:t>
      </w:r>
      <w:r>
        <w:rPr>
          <w:rFonts w:hint="eastAsia" w:ascii="仿宋" w:hAnsi="仿宋" w:eastAsia="仿宋" w:cs="仿宋"/>
          <w:sz w:val="24"/>
          <w:szCs w:val="24"/>
        </w:rPr>
        <w:t xml:space="preserve">仲裁委员会按其仲裁规则申请仲裁。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2.在争议解决期间除争议部分外，本合同应继续履行。</w:t>
      </w:r>
      <w:r/>
    </w:p>
    <w:p>
      <w:pPr>
        <w:ind w:firstLine="482"/>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十三、其他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本合同一式</w:t>
      </w:r>
      <w:r>
        <w:rPr>
          <w:rFonts w:hint="eastAsia" w:ascii="仿宋" w:hAnsi="仿宋" w:eastAsia="仿宋" w:cs="仿宋"/>
          <w:color w:val="auto"/>
          <w:sz w:val="24"/>
          <w:szCs w:val="24"/>
          <w:lang w:val="en-US" w:eastAsia="zh-CN"/>
        </w:rPr>
        <w:t xml:space="preserve">陆</w:t>
      </w:r>
      <w:r>
        <w:rPr>
          <w:rFonts w:hint="eastAsia" w:ascii="仿宋" w:hAnsi="仿宋" w:eastAsia="仿宋" w:cs="仿宋"/>
          <w:color w:val="auto"/>
          <w:sz w:val="24"/>
          <w:szCs w:val="24"/>
        </w:rPr>
        <w:t xml:space="preserve">份，甲</w:t>
      </w:r>
      <w:r>
        <w:rPr>
          <w:rFonts w:hint="eastAsia" w:ascii="仿宋" w:hAnsi="仿宋" w:eastAsia="仿宋" w:cs="仿宋"/>
          <w:color w:val="auto"/>
          <w:sz w:val="24"/>
          <w:szCs w:val="24"/>
          <w:lang w:val="en-US" w:eastAsia="zh-CN"/>
        </w:rPr>
        <w:t xml:space="preserve">方执贰份，</w:t>
      </w:r>
      <w:r>
        <w:rPr>
          <w:rFonts w:hint="eastAsia" w:ascii="仿宋" w:hAnsi="仿宋" w:eastAsia="仿宋" w:cs="仿宋"/>
          <w:color w:val="auto"/>
          <w:sz w:val="24"/>
          <w:szCs w:val="24"/>
        </w:rPr>
        <w:t xml:space="preserve">乙方执</w:t>
      </w:r>
      <w:r>
        <w:rPr>
          <w:rFonts w:hint="eastAsia" w:ascii="仿宋" w:hAnsi="仿宋" w:eastAsia="仿宋" w:cs="仿宋"/>
          <w:color w:val="auto"/>
          <w:sz w:val="24"/>
          <w:szCs w:val="24"/>
          <w:lang w:val="en-US" w:eastAsia="zh-CN"/>
        </w:rPr>
        <w:t xml:space="preserve">贰</w:t>
      </w:r>
      <w:r>
        <w:rPr>
          <w:rFonts w:hint="eastAsia" w:ascii="仿宋" w:hAnsi="仿宋" w:eastAsia="仿宋" w:cs="仿宋"/>
          <w:color w:val="auto"/>
          <w:sz w:val="24"/>
          <w:szCs w:val="24"/>
        </w:rPr>
        <w:t xml:space="preserve">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招标代理贰份</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.本合同应按照</w:t>
      </w:r>
      <w:r>
        <w:rPr>
          <w:rFonts w:hint="eastAsia" w:ascii="仿宋" w:hAnsi="仿宋" w:eastAsia="仿宋" w:cs="仿宋"/>
          <w:color w:val="auto"/>
          <w:sz w:val="24"/>
          <w:szCs w:val="24"/>
          <w:highlight w:val="none"/>
        </w:rPr>
        <w:t xml:space="preserve">中华人民共和国的现行法律进行解释，条款中如与国家规定、条例有抵触的，则该条款无效并按国家规定和条例执行，合同的其它条款继续有效。</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3.本合同签订后，乙方应与辖区内社区另行签订责任书。</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本合同在执行过程中如出现未尽事宜，双方在不违背合同和采购文件的原则下协商解决，协商结果以书面形式记录在案，并经签证</w:t>
      </w:r>
      <w:r>
        <w:rPr>
          <w:rFonts w:hint="eastAsia" w:ascii="仿宋" w:hAnsi="仿宋" w:eastAsia="仿宋" w:cs="仿宋"/>
          <w:sz w:val="24"/>
          <w:szCs w:val="24"/>
          <w:highlight w:val="none"/>
        </w:rPr>
        <w:t xml:space="preserve">同意，作为本合同的</w:t>
      </w:r>
      <w:r>
        <w:rPr>
          <w:rFonts w:hint="eastAsia" w:ascii="仿宋" w:hAnsi="仿宋" w:eastAsia="仿宋" w:cs="仿宋"/>
          <w:sz w:val="24"/>
          <w:szCs w:val="24"/>
        </w:rPr>
        <w:t xml:space="preserve">附件，与本合同具有同等效力</w:t>
      </w:r>
      <w:r>
        <w:rPr>
          <w:rFonts w:hint="eastAsia" w:ascii="仿宋" w:hAnsi="仿宋" w:eastAsia="仿宋" w:cs="仿宋"/>
          <w:sz w:val="24"/>
          <w:szCs w:val="24"/>
          <w:lang w:eastAsia="zh-CN"/>
        </w:rPr>
        <w:t xml:space="preserve">。</w:t>
      </w:r>
      <w:r/>
    </w:p>
    <w:p>
      <w:pPr>
        <w:pStyle w:val="1243"/>
        <w:rPr>
          <w:rFonts w:hint="eastAsia"/>
          <w:lang w:eastAsia="zh-CN"/>
        </w:rPr>
      </w:pPr>
      <w:r>
        <w:rPr>
          <w:rFonts w:hint="eastAsia"/>
          <w:lang w:eastAsia="zh-CN"/>
        </w:rPr>
      </w:r>
      <w:r/>
    </w:p>
    <w:p>
      <w:pPr>
        <w:rPr>
          <w:rFonts w:hint="eastAsia"/>
          <w:lang w:eastAsia="zh-CN"/>
        </w:rPr>
      </w:pPr>
      <w:r>
        <w:rPr>
          <w:rFonts w:hint="eastAsia"/>
          <w:lang w:eastAsia="zh-CN"/>
        </w:rPr>
      </w:r>
      <w:r/>
    </w:p>
    <w:p>
      <w:pPr>
        <w:pStyle w:val="1243"/>
        <w:rPr>
          <w:rFonts w:hint="eastAsia"/>
          <w:lang w:eastAsia="zh-CN"/>
        </w:rPr>
      </w:pPr>
      <w:r>
        <w:rPr>
          <w:rFonts w:hint="eastAsia"/>
          <w:lang w:eastAsia="zh-CN"/>
        </w:rPr>
      </w:r>
      <w:r/>
    </w:p>
    <w:tbl>
      <w:tblPr>
        <w:tblStyle w:val="1220"/>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lang w:val="en-US" w:eastAsia="zh-CN"/>
              </w:rPr>
              <w:t xml:space="preserve">甲方（盖章）</w:t>
            </w:r>
            <w:r>
              <w:rPr>
                <w:rFonts w:hint="eastAsia" w:ascii="仿宋" w:hAnsi="仿宋" w:eastAsia="仿宋" w:cs="仿宋"/>
                <w:sz w:val="24"/>
                <w:szCs w:val="24"/>
              </w:rPr>
              <w:t xml:space="preserve">：</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乙方（盖章）：</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法定代表人或其委托代理人：</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法定代表人或其委托代理人：</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（签字</w:t>
            </w:r>
            <w:r>
              <w:rPr>
                <w:rFonts w:hint="eastAsia" w:ascii="仿宋" w:hAnsi="仿宋" w:eastAsia="仿宋" w:cs="仿宋"/>
                <w:sz w:val="24"/>
                <w:szCs w:val="24"/>
                <w:lang w:val="en-US" w:eastAsia="zh-CN"/>
              </w:rPr>
              <w:t xml:space="preserve">或盖章</w:t>
            </w:r>
            <w:r>
              <w:rPr>
                <w:rFonts w:hint="eastAsia" w:ascii="仿宋" w:hAnsi="仿宋" w:eastAsia="仿宋" w:cs="仿宋"/>
                <w:sz w:val="24"/>
                <w:szCs w:val="24"/>
              </w:rPr>
              <w:t xml:space="preserve">）</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（签字</w:t>
            </w:r>
            <w:r>
              <w:rPr>
                <w:rFonts w:hint="eastAsia" w:ascii="仿宋" w:hAnsi="仿宋" w:eastAsia="仿宋" w:cs="仿宋"/>
                <w:sz w:val="24"/>
                <w:szCs w:val="24"/>
                <w:lang w:val="en-US" w:eastAsia="zh-CN"/>
              </w:rPr>
              <w:t xml:space="preserve">或盖章</w:t>
            </w:r>
            <w:r>
              <w:rPr>
                <w:rFonts w:hint="eastAsia" w:ascii="仿宋" w:hAnsi="仿宋" w:eastAsia="仿宋" w:cs="仿宋"/>
                <w:sz w:val="24"/>
                <w:szCs w:val="24"/>
              </w:rPr>
              <w:t xml:space="preserve">）</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lang w:val="en-US" w:eastAsia="zh-CN"/>
              </w:rPr>
              <w:suppressLineNumbers w:val="0"/>
            </w:pPr>
            <w:r>
              <w:rPr>
                <w:rFonts w:hint="eastAsia" w:ascii="仿宋" w:hAnsi="仿宋" w:eastAsia="仿宋" w:cs="仿宋"/>
                <w:sz w:val="24"/>
                <w:szCs w:val="24"/>
              </w:rPr>
              <w:t xml:space="preserve">地  址：</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地  址：</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邮政编码：</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邮政编码：</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lang w:val="en-US" w:eastAsia="zh-CN"/>
              </w:rPr>
              <w:suppressLineNumbers w:val="0"/>
            </w:pPr>
            <w:r>
              <w:rPr>
                <w:rFonts w:hint="eastAsia" w:ascii="仿宋" w:hAnsi="仿宋" w:eastAsia="仿宋" w:cs="仿宋"/>
                <w:sz w:val="24"/>
                <w:szCs w:val="24"/>
              </w:rPr>
              <w:t xml:space="preserve">电  话：</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电  话：</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传  真：</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传  真：</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电子信箱：</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电子信箱：</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lang w:val="en-US" w:eastAsia="zh-CN"/>
              </w:rPr>
              <w:suppressLineNumbers w:val="0"/>
            </w:pPr>
            <w:r>
              <w:rPr>
                <w:rFonts w:hint="eastAsia" w:ascii="仿宋" w:hAnsi="仿宋" w:eastAsia="仿宋" w:cs="仿宋"/>
                <w:sz w:val="24"/>
                <w:szCs w:val="24"/>
              </w:rPr>
              <w:t xml:space="preserve">开户银行：</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开户银行：</w:t>
            </w:r>
            <w:r/>
          </w:p>
        </w:tc>
      </w:tr>
      <w:tr>
        <w:trPr/>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lang w:val="en-US" w:eastAsia="zh-CN"/>
              </w:rPr>
              <w:suppressLineNumbers w:val="0"/>
            </w:pPr>
            <w:r>
              <w:rPr>
                <w:rFonts w:hint="eastAsia" w:ascii="仿宋" w:hAnsi="仿宋" w:eastAsia="仿宋" w:cs="仿宋"/>
                <w:sz w:val="24"/>
                <w:szCs w:val="24"/>
              </w:rPr>
              <w:t xml:space="preserve">账  号：</w:t>
            </w:r>
            <w:r/>
          </w:p>
        </w:tc>
        <w:tc>
          <w:tcPr>
            <w:tcW w:w="4261" w:type="dxa"/>
            <w:vAlign w:val="top"/>
            <w:textDirection w:val="lrTb"/>
            <w:noWrap w:val="false"/>
          </w:tcPr>
          <w:p>
            <w:pPr>
              <w:ind w:left="0" w:right="0"/>
              <w:jc w:val="left"/>
              <w:keepLines w:val="0"/>
              <w:keepNext w:val="0"/>
              <w:spacing w:before="0" w:beforeAutospacing="0" w:after="0" w:afterAutospacing="0" w:line="360" w:lineRule="auto"/>
              <w:rPr>
                <w:rFonts w:hint="eastAsia" w:ascii="仿宋" w:hAnsi="仿宋" w:eastAsia="仿宋" w:cs="仿宋"/>
                <w:sz w:val="24"/>
                <w:szCs w:val="24"/>
              </w:rPr>
              <w:suppressLineNumbers w:val="0"/>
            </w:pPr>
            <w:r>
              <w:rPr>
                <w:rFonts w:hint="eastAsia" w:ascii="仿宋" w:hAnsi="仿宋" w:eastAsia="仿宋" w:cs="仿宋"/>
                <w:sz w:val="24"/>
                <w:szCs w:val="24"/>
              </w:rPr>
              <w:t xml:space="preserve">账  号：</w:t>
            </w:r>
            <w:r/>
          </w:p>
        </w:tc>
      </w:tr>
    </w:tbl>
    <w:p>
      <w:pPr>
        <w:spacing w:line="360" w:lineRule="auto"/>
        <w:tabs>
          <w:tab w:val="left" w:pos="900" w:leader="none"/>
          <w:tab w:val="left" w:pos="10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jc w:val="both"/>
        <w:spacing w:before="120" w:line="22" w:lineRule="atLeast"/>
        <w:widowControl w:val="off"/>
        <w:tabs>
          <w:tab w:val="left" w:pos="567" w:leader="none"/>
        </w:tabs>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221"/>
        <w:rPr>
          <w:rFonts w:hint="eastAsia"/>
        </w:rPr>
      </w:pPr>
      <w:r>
        <w:rPr>
          <w:rFonts w:hint="eastAsia"/>
        </w:rPr>
      </w:r>
      <w:r/>
    </w:p>
    <w:p>
      <w:pPr>
        <w:rPr>
          <w:rFonts w:hint="eastAsia"/>
        </w:rPr>
      </w:pPr>
      <w:r>
        <w:rPr>
          <w:rFonts w:hint="eastAsia"/>
        </w:rPr>
      </w:r>
      <w:r/>
    </w:p>
    <w:p>
      <w:pPr>
        <w:pStyle w:val="1221"/>
        <w:rPr>
          <w:rFonts w:hint="eastAsia"/>
        </w:rPr>
      </w:pPr>
      <w:r>
        <w:rPr>
          <w:rFonts w:hint="eastAsia"/>
        </w:rPr>
      </w:r>
      <w:r/>
    </w:p>
    <w:p>
      <w:pPr>
        <w:numPr>
          <w:ilvl w:val="0"/>
          <w:numId w:val="0"/>
        </w:numPr>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附件1：</w:t>
      </w:r>
      <w:r/>
    </w:p>
    <w:p>
      <w:pPr>
        <w:numPr>
          <w:ilvl w:val="0"/>
          <w:numId w:val="0"/>
        </w:num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不挂靠不转包不分包承诺书</w:t>
      </w:r>
      <w:r/>
    </w:p>
    <w:p>
      <w:pPr>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(发包人全称)</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本公司承诺使用自己企业名义参加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项目名称）的投标活动，不允许他人使用自己名义参与此项目的投标活动，如本公司中标此项目，由本公司组织实施和管理，在该项目实施过程中，我们除了响应招标文件中所有条款，履行合同内容外，保证不转包中标项目，不分包中标项目，并随时接受建设单位的监督。若我单位在项目实施过程中自食其言，出现转包、分包等违反规定的行为，建设单位有权终止合同的执行，全部扣除履约保证金并且取消我单位在建设单位的投标资格1-2年。我单位赔偿由此造成的一切经济损失，自动撤出现场。</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特此承诺!</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承包人：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(盖单位章)</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法定代表人或其委托代理人：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(签字或盖章)</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地址：</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邮政编码：</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电话：</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传真：</w:t>
      </w:r>
      <w:r/>
    </w:p>
    <w:p>
      <w:pPr>
        <w:jc w:val="both"/>
        <w:spacing w:before="120" w:line="360" w:lineRule="auto"/>
        <w:widowControl w:val="off"/>
        <w:tabs>
          <w:tab w:val="left" w:pos="56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签订日期：  年  月  日</w:t>
      </w:r>
      <w:r/>
    </w:p>
    <w:p>
      <w:pPr>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widowControl/>
        <w:rPr>
          <w:rFonts w:hint="eastAsia" w:ascii="仿宋" w:hAnsi="仿宋" w:eastAsia="仿宋" w:cs="仿宋"/>
          <w:sz w:val="24"/>
          <w:szCs w:val="24"/>
        </w:rPr>
      </w:pPr>
      <w:r>
        <w:rPr>
          <w:rFonts w:hint="eastAsia" w:ascii="仿宋" w:hAnsi="仿宋" w:eastAsia="仿宋" w:cs="仿宋"/>
          <w:sz w:val="24"/>
          <w:szCs w:val="24"/>
        </w:rPr>
      </w:r>
      <w:r/>
    </w:p>
    <w:p>
      <w:pPr>
        <w:widowControl/>
        <w:rPr>
          <w:rFonts w:hint="eastAsia" w:ascii="仿宋" w:hAnsi="仿宋" w:eastAsia="仿宋" w:cs="仿宋"/>
          <w:sz w:val="24"/>
          <w:szCs w:val="24"/>
        </w:rPr>
      </w:pPr>
      <w:r>
        <w:rPr>
          <w:rFonts w:hint="eastAsia" w:ascii="仿宋" w:hAnsi="仿宋" w:eastAsia="仿宋" w:cs="仿宋"/>
          <w:sz w:val="24"/>
          <w:szCs w:val="24"/>
        </w:rPr>
      </w:r>
      <w:r/>
    </w:p>
    <w:p>
      <w:pPr>
        <w:widowControl/>
        <w:rPr>
          <w:rFonts w:hint="eastAsia" w:ascii="仿宋" w:hAnsi="仿宋" w:eastAsia="仿宋" w:cs="仿宋"/>
          <w:sz w:val="24"/>
          <w:szCs w:val="24"/>
        </w:rPr>
      </w:pPr>
      <w:r>
        <w:rPr>
          <w:rFonts w:hint="eastAsia" w:ascii="仿宋" w:hAnsi="仿宋" w:eastAsia="仿宋" w:cs="仿宋"/>
          <w:sz w:val="24"/>
          <w:szCs w:val="24"/>
        </w:rPr>
      </w:r>
      <w:r/>
    </w:p>
    <w:p>
      <w:pPr>
        <w:widowControl/>
        <w:rPr>
          <w:rFonts w:hint="eastAsia" w:ascii="仿宋" w:hAnsi="仿宋" w:eastAsia="仿宋" w:cs="仿宋"/>
          <w:sz w:val="24"/>
          <w:szCs w:val="24"/>
        </w:rPr>
      </w:pPr>
      <w:r>
        <w:rPr>
          <w:rFonts w:hint="eastAsia" w:ascii="仿宋" w:hAnsi="仿宋" w:eastAsia="仿宋" w:cs="仿宋"/>
          <w:sz w:val="24"/>
          <w:szCs w:val="24"/>
        </w:rPr>
      </w:r>
      <w:r/>
    </w:p>
    <w:p>
      <w:pPr>
        <w:widowControl/>
        <w:rPr>
          <w:rFonts w:hint="eastAsia" w:ascii="仿宋" w:hAnsi="仿宋" w:eastAsia="仿宋" w:cs="仿宋"/>
          <w:sz w:val="24"/>
          <w:szCs w:val="24"/>
        </w:rPr>
      </w:pPr>
      <w:r>
        <w:rPr>
          <w:rFonts w:hint="eastAsia" w:ascii="仿宋" w:hAnsi="仿宋" w:eastAsia="仿宋" w:cs="仿宋"/>
          <w:sz w:val="24"/>
          <w:szCs w:val="24"/>
        </w:rPr>
      </w:r>
      <w:r/>
    </w:p>
    <w:p>
      <w:pPr>
        <w:jc w:val="left"/>
        <w:keepLines/>
        <w:keepNext/>
        <w:spacing w:before="360" w:after="120"/>
        <w:widowControl w:val="off"/>
        <w:rPr>
          <w:rFonts w:hint="eastAsia" w:ascii="仿宋" w:hAnsi="仿宋" w:eastAsia="仿宋" w:cs="仿宋"/>
          <w:b/>
          <w:sz w:val="24"/>
          <w:szCs w:val="24"/>
          <w:u w:val="single"/>
          <w:lang w:val="en-US" w:eastAsia="zh-CN" w:bidi="ar-SA"/>
        </w:rPr>
        <w:outlineLvl w:val="2"/>
      </w:pPr>
      <w:r>
        <w:rPr>
          <w:rFonts w:hint="eastAsia" w:ascii="仿宋" w:hAnsi="仿宋" w:eastAsia="仿宋" w:cs="仿宋"/>
          <w:b/>
          <w:sz w:val="24"/>
          <w:szCs w:val="24"/>
          <w:u w:val="single"/>
          <w:lang w:val="en-US" w:eastAsia="zh-CN" w:bidi="ar-SA"/>
        </w:rPr>
      </w:r>
      <w:r/>
    </w:p>
    <w:p>
      <w:pPr>
        <w:rPr>
          <w:rFonts w:hint="eastAsia" w:ascii="仿宋" w:hAnsi="仿宋" w:eastAsia="仿宋" w:cs="仿宋"/>
          <w:sz w:val="24"/>
          <w:szCs w:val="24"/>
        </w:rPr>
      </w:pPr>
      <w:r>
        <w:rPr>
          <w:rFonts w:hint="eastAsia" w:ascii="仿宋" w:hAnsi="仿宋" w:eastAsia="仿宋" w:cs="仿宋"/>
          <w:sz w:val="24"/>
          <w:szCs w:val="24"/>
        </w:rPr>
      </w:r>
      <w:r/>
    </w:p>
    <w:p>
      <w:pPr>
        <w:jc w:val="left"/>
        <w:keepLines/>
        <w:keepNext/>
        <w:spacing w:before="360" w:after="120"/>
        <w:widowControl w:val="off"/>
        <w:rPr>
          <w:rFonts w:hint="eastAsia" w:ascii="仿宋" w:hAnsi="仿宋" w:eastAsia="仿宋" w:cs="仿宋"/>
          <w:b/>
          <w:sz w:val="24"/>
          <w:szCs w:val="24"/>
          <w:u w:val="single"/>
          <w:lang w:val="en-US" w:eastAsia="zh-CN" w:bidi="ar-SA"/>
        </w:rPr>
        <w:outlineLvl w:val="2"/>
      </w:pPr>
      <w:r>
        <w:rPr>
          <w:rFonts w:hint="eastAsia" w:ascii="仿宋" w:hAnsi="仿宋" w:eastAsia="仿宋" w:cs="仿宋"/>
          <w:b/>
          <w:sz w:val="24"/>
          <w:szCs w:val="24"/>
          <w:u w:val="single"/>
          <w:lang w:val="en-US" w:eastAsia="zh-CN" w:bidi="ar-SA"/>
        </w:rPr>
      </w:r>
      <w:r/>
    </w:p>
    <w:p>
      <w:pPr>
        <w:rPr>
          <w:rFonts w:hint="eastAsia" w:ascii="仿宋" w:hAnsi="仿宋" w:eastAsia="仿宋" w:cs="仿宋"/>
          <w:sz w:val="24"/>
          <w:szCs w:val="24"/>
        </w:rPr>
      </w:pPr>
      <w:r>
        <w:rPr>
          <w:rFonts w:hint="eastAsia" w:ascii="仿宋" w:hAnsi="仿宋" w:eastAsia="仿宋" w:cs="仿宋"/>
          <w:sz w:val="24"/>
          <w:szCs w:val="24"/>
        </w:rPr>
      </w:r>
      <w:r/>
    </w:p>
    <w:p>
      <w:pPr>
        <w:widowControl/>
        <w:rPr>
          <w:rFonts w:hint="eastAsia" w:ascii="仿宋" w:hAnsi="仿宋" w:eastAsia="仿宋" w:cs="仿宋"/>
          <w:sz w:val="24"/>
          <w:szCs w:val="24"/>
          <w:highlight w:val="green"/>
        </w:rPr>
      </w:pPr>
      <w:r>
        <w:rPr>
          <w:rFonts w:hint="eastAsia" w:ascii="仿宋" w:hAnsi="仿宋" w:eastAsia="仿宋" w:cs="仿宋"/>
          <w:sz w:val="24"/>
          <w:szCs w:val="24"/>
          <w:highlight w:val="green"/>
        </w:rPr>
      </w:r>
      <w:r/>
    </w:p>
    <w:p>
      <w:pPr>
        <w:pStyle w:val="1221"/>
        <w:rPr>
          <w:rFonts w:hint="eastAsia" w:ascii="仿宋" w:hAnsi="仿宋" w:eastAsia="仿宋" w:cs="仿宋"/>
          <w:sz w:val="24"/>
          <w:szCs w:val="24"/>
          <w:highlight w:val="green"/>
        </w:rPr>
      </w:pPr>
      <w:r>
        <w:rPr>
          <w:rFonts w:hint="eastAsia" w:ascii="仿宋" w:hAnsi="仿宋" w:eastAsia="仿宋" w:cs="仿宋"/>
          <w:sz w:val="24"/>
          <w:szCs w:val="24"/>
          <w:highlight w:val="green"/>
        </w:rPr>
      </w:r>
      <w:r/>
    </w:p>
    <w:p>
      <w:pPr>
        <w:rPr>
          <w:rFonts w:hint="eastAsia"/>
        </w:rPr>
      </w:pPr>
      <w:r>
        <w:rPr>
          <w:rFonts w:hint="eastAsia"/>
        </w:rPr>
      </w:r>
      <w:r/>
    </w:p>
    <w:p>
      <w:pPr>
        <w:numPr>
          <w:ilvl w:val="0"/>
          <w:numId w:val="0"/>
        </w:numPr>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附件2：</w:t>
      </w:r>
      <w:r/>
    </w:p>
    <w:p>
      <w:pPr>
        <w:numPr>
          <w:ilvl w:val="0"/>
          <w:numId w:val="0"/>
        </w:numPr>
        <w:ind w:left="0" w:firstLine="547"/>
        <w:jc w:val="center"/>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安全生产合同</w:t>
      </w:r>
      <w:r/>
    </w:p>
    <w:p>
      <w:pPr>
        <w:numPr>
          <w:ilvl w:val="0"/>
          <w:numId w:val="0"/>
        </w:numPr>
        <w:ind w:firstLine="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采购人：</w:t>
      </w:r>
      <w:r/>
    </w:p>
    <w:p>
      <w:pPr>
        <w:numPr>
          <w:ilvl w:val="0"/>
          <w:numId w:val="0"/>
        </w:numPr>
        <w:ind w:firstLine="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为在服务合同的实施过程中创造安全、高效的实施环境，切实搞好本项目的安全管理工作，项目实施过程中达到“零责任事故，无人员重伤、无人员死亡事故”的安全目标，特此签订安全生产合同。具体如下：</w:t>
      </w:r>
      <w:r/>
    </w:p>
    <w:p>
      <w:pPr>
        <w:numPr>
          <w:ilvl w:val="0"/>
          <w:numId w:val="0"/>
        </w:numPr>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一、采购人职责</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1．严格遵守国家有关安全生产的法律法规，认真执行服务承包合同中的有关安全要求。</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2．按照“安全第一、预防为主”和坚持“管生产必需管安全”的原则进行安全生产管理，做到生产与安全工作同时计划、布置、检查、总结和评比。</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3．传达中央及地方有关安全生产的精神。</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4．组织对供应商现场安全生产检查，监督供应商及时处理发现的各种安全隐患。</w:t>
      </w:r>
      <w:r/>
    </w:p>
    <w:p>
      <w:pPr>
        <w:numPr>
          <w:ilvl w:val="0"/>
          <w:numId w:val="0"/>
        </w:numPr>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二、供应商职责</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1．严格遵守国家有关安全生产的法律法规、有关安全生产的规定，认真执行服务承包合同中的有关安全要求，接受采购人对安全生产工作的指导。</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技术服务人员、生产管理人员和具体操作人员，必须熟悉和遵守本条款的各项规定，做到生产与安全工作同时计划、布置、检查、总结和评比。</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3．建立健全安全生产责任制网络。从派往项目实施的项目负责人到服务工人</w:t>
      </w:r>
      <w:r>
        <w:rPr>
          <w:rFonts w:hint="eastAsia" w:ascii="仿宋" w:hAnsi="仿宋" w:eastAsia="仿宋" w:cs="仿宋"/>
          <w:sz w:val="24"/>
          <w:szCs w:val="24"/>
          <w:lang w:val="en-US" w:eastAsia="zh-CN"/>
        </w:rPr>
        <w:t xml:space="preserve">（包括临时雇请的民工）的安全生产管理系统必须做到纵向到底，一环不漏；各职能部门、人员的安全生产责任制做到横向到边，人人有责。实施单位的主要负责人是项目的安全生产负责人，对安全生产负领导责任，项目负责人是姓名的安全生产责任人，对安全生产负直接责任，专职安全员和安全员是现场的安全生产直接责任人，对安全生产具体负责。现场设置的安全机构，应按服务合同约定，配备安全员（其中专职安全员不少于1人），专职负责所有员工的安全和治安保卫工作及预防事故的发生。安全机构人员，有权按有关规定发布指令，并采取保护性措施防止事故发生。</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4．供应商在任何时侯都应采取各种合理的预防措施，防止其人员发生任何违法、违禁、暴力、违规或妨碍治安的行为。</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供应商参加服务的人员，必须按受安全技术教育，熟知和遵守本项目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6．加强服务中交通运输安全管理，各种运输机械等需划定运输路线行驶。</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7．对于易燃易爆的材料除应专门有效封闭、妥善保管之外，还应配备有足够的消防设施，所有施工人员都应熟悉消防设备的性能和使用方法。</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8．操作人员上岗，必须按规定穿戴防护用品。项目负责人和安全检查员应随时检查劳动防护用品的穿戴情况，不按规定穿戴防护用品的人员不得上岗。</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9．所有施工机具、设备和劳动保护用品应具备有效的安检合格证明，并经安全员签字同意后方可使用，服务期间应定期检查，保证其处于完好状态；不合格的机具、设备和劳动保护用品严禁使用。</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10．实施现场若涉及安全作业，必须具有相关的安全标志牌。</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11．建立主要危险源备案制度，要明确潜在隐患、防范措施和落实责任人。</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供应商必须按照本项目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0"/>
        </w:numPr>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三、违约责任</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如因供应商违约造成安全事故，将报请有关部门依法追究责任。</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本协议一式陆份，甲方执贰份、乙执贰份，贰份交代理机构。</w:t>
      </w:r>
      <w:r/>
    </w:p>
    <w:p>
      <w:pPr>
        <w:numPr>
          <w:ilvl w:val="0"/>
          <w:numId w:val="0"/>
        </w:numPr>
        <w:ind w:left="0" w:firstLine="547"/>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numPr>
          <w:ilvl w:val="0"/>
          <w:numId w:val="0"/>
        </w:numPr>
        <w:ind w:left="0" w:firstLine="864"/>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采购人：                              供应商：</w:t>
      </w:r>
      <w:r/>
    </w:p>
    <w:p>
      <w:pPr>
        <w:numPr>
          <w:ilvl w:val="0"/>
          <w:numId w:val="0"/>
        </w:numPr>
        <w:ind w:left="0" w:firstLine="864"/>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法人或委托代理人                      法人或委托代理人  </w:t>
      </w:r>
      <w:r/>
    </w:p>
    <w:p>
      <w:pPr>
        <w:numPr>
          <w:ilvl w:val="0"/>
          <w:numId w:val="0"/>
        </w:numPr>
        <w:ind w:firstLine="72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（签字或盖章）：                      （签字或盖章）：</w:t>
      </w:r>
      <w:r/>
    </w:p>
    <w:p>
      <w:pPr>
        <w:numPr>
          <w:ilvl w:val="0"/>
          <w:numId w:val="0"/>
        </w:numPr>
        <w:ind w:firstLine="960"/>
        <w:spacing w:line="360" w:lineRule="auto"/>
        <w:rPr>
          <w:rFonts w:hint="default" w:ascii="仿宋" w:hAnsi="仿宋" w:eastAsia="仿宋" w:cs="仿宋"/>
          <w:b/>
          <w:sz w:val="24"/>
          <w:szCs w:val="24"/>
          <w:highlight w:val="none"/>
          <w:lang w:val="en-US"/>
        </w:rPr>
        <w:sectPr>
          <w:headerReference w:type="default" r:id="rId14"/>
          <w:footerReference w:type="default" r:id="rId28"/>
          <w:footnotePr/>
          <w:endnotePr/>
          <w:type w:val="nextPage"/>
          <w:pgSz w:w="11905" w:h="16838" w:orient="portrait"/>
          <w:pgMar w:top="1440" w:right="1134" w:bottom="1440" w:left="1134" w:header="850" w:footer="992" w:gutter="0"/>
          <w:cols w:num="1" w:sep="0" w:space="1701" w:equalWidth="1"/>
          <w:docGrid w:linePitch="360"/>
        </w:sectPr>
      </w:pPr>
      <w:r>
        <w:rPr>
          <w:rFonts w:hint="eastAsia" w:ascii="仿宋" w:hAnsi="仿宋" w:eastAsia="仿宋" w:cs="仿宋"/>
          <w:sz w:val="24"/>
          <w:szCs w:val="24"/>
          <w:lang w:val="en-US" w:eastAsia="zh-CN"/>
        </w:rPr>
        <w:t xml:space="preserve">签订日期：                            签订日期：</w:t>
      </w:r>
      <w:bookmarkEnd w:id="823"/>
      <w:r/>
      <w:r/>
    </w:p>
    <w:p>
      <w:pPr>
        <w:ind w:firstLine="3373"/>
        <w:jc w:val="both"/>
        <w:spacing w:line="360" w:lineRule="auto"/>
        <w:rPr>
          <w:rFonts w:hint="eastAsia" w:ascii="仿宋" w:hAnsi="仿宋" w:eastAsia="仿宋" w:cs="仿宋"/>
          <w:b/>
          <w:sz w:val="24"/>
          <w:szCs w:val="24"/>
        </w:rPr>
        <w:outlineLvl w:val="0"/>
      </w:pPr>
      <w:r>
        <w:rPr>
          <w:rFonts w:hint="eastAsia" w:ascii="仿宋" w:hAnsi="仿宋" w:eastAsia="仿宋" w:cs="仿宋"/>
          <w:b/>
          <w:sz w:val="24"/>
          <w:szCs w:val="24"/>
        </w:rPr>
        <w:t xml:space="preserve">第七章投标文件格式</w:t>
      </w:r>
      <w:r/>
    </w:p>
    <w:p>
      <w:pPr>
        <w:ind w:left="142"/>
        <w:spacing w:line="36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b/>
          <w:sz w:val="24"/>
          <w:szCs w:val="24"/>
        </w:rPr>
        <w:t xml:space="preserve">投标人编制文件须知</w:t>
      </w:r>
      <w:r/>
    </w:p>
    <w:p>
      <w:pPr>
        <w:ind w:left="142"/>
        <w:spacing w:line="36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sz w:val="24"/>
          <w:szCs w:val="24"/>
        </w:rPr>
        <w:t xml:space="preserve">投标无效</w:t>
      </w:r>
      <w:r>
        <w:rPr>
          <w:rFonts w:hint="eastAsia" w:ascii="仿宋" w:hAnsi="仿宋" w:eastAsia="仿宋" w:cs="仿宋"/>
          <w:sz w:val="24"/>
          <w:szCs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4、实行电子化不见面交易方式的，加盖公章、签名等均通过投标文件编制工具加盖电子公章、</w:t>
      </w:r>
      <w:r>
        <w:rPr>
          <w:rFonts w:hint="eastAsia" w:ascii="仿宋" w:hAnsi="仿宋" w:eastAsia="仿宋" w:cs="仿宋"/>
          <w:color w:val="000000"/>
          <w:sz w:val="24"/>
          <w:szCs w:val="24"/>
        </w:rPr>
        <w:t xml:space="preserve">签字、签章或印鉴</w:t>
      </w:r>
      <w:r>
        <w:rPr>
          <w:rFonts w:hint="eastAsia" w:ascii="仿宋" w:hAnsi="仿宋" w:eastAsia="仿宋" w:cs="仿宋"/>
          <w:sz w:val="24"/>
          <w:szCs w:val="24"/>
        </w:rPr>
        <w:t xml:space="preserve">。</w:t>
      </w:r>
      <w:r/>
    </w:p>
    <w:p>
      <w:pPr>
        <w:jc w:val="left"/>
        <w:widowControl/>
        <w:rPr>
          <w:rFonts w:hint="eastAsia" w:ascii="仿宋" w:hAnsi="仿宋" w:eastAsia="仿宋" w:cs="仿宋"/>
          <w:b/>
          <w:sz w:val="24"/>
          <w:szCs w:val="24"/>
        </w:rPr>
      </w:pPr>
      <w:r>
        <w:rPr>
          <w:rFonts w:hint="eastAsia" w:ascii="仿宋" w:hAnsi="仿宋" w:eastAsia="仿宋" w:cs="仿宋"/>
          <w:sz w:val="24"/>
          <w:szCs w:val="24"/>
        </w:rPr>
        <w:br w:type="page" w:clear="all"/>
      </w:r>
      <w:r/>
    </w:p>
    <w:p>
      <w:pPr>
        <w:rPr>
          <w:rFonts w:hint="eastAsia" w:ascii="仿宋" w:hAnsi="仿宋" w:eastAsia="仿宋" w:cs="仿宋"/>
          <w:b/>
          <w:spacing w:val="20"/>
          <w:sz w:val="24"/>
          <w:szCs w:val="24"/>
        </w:rPr>
      </w:pPr>
      <w:r>
        <w:rPr>
          <w:rFonts w:hint="eastAsia" w:ascii="仿宋" w:hAnsi="仿宋" w:eastAsia="仿宋" w:cs="仿宋"/>
          <w:b/>
          <w:spacing w:val="20"/>
          <w:sz w:val="24"/>
          <w:szCs w:val="24"/>
        </w:rPr>
      </w:r>
      <w:r/>
    </w:p>
    <w:p>
      <w:pPr>
        <w:rPr>
          <w:rFonts w:hint="eastAsia" w:ascii="仿宋" w:hAnsi="仿宋" w:eastAsia="仿宋" w:cs="仿宋"/>
          <w:b/>
          <w:sz w:val="30"/>
          <w:szCs w:val="30"/>
        </w:rPr>
      </w:pPr>
      <w:r>
        <w:rPr>
          <w:rFonts w:hint="eastAsia" w:ascii="仿宋" w:hAnsi="仿宋" w:eastAsia="仿宋" w:cs="仿宋"/>
          <w:b/>
          <w:spacing w:val="20"/>
          <w:sz w:val="30"/>
          <w:szCs w:val="30"/>
        </w:rPr>
        <w:t xml:space="preserve">投标文件</w:t>
      </w:r>
      <w:r>
        <w:rPr>
          <w:rFonts w:hint="eastAsia" w:ascii="仿宋" w:hAnsi="仿宋" w:eastAsia="仿宋" w:cs="仿宋"/>
          <w:b/>
          <w:sz w:val="30"/>
          <w:szCs w:val="30"/>
        </w:rPr>
        <w:t xml:space="preserve">封面（非实质性格式）</w:t>
      </w:r>
      <w:r/>
    </w:p>
    <w:p>
      <w:pPr>
        <w:jc w:val="center"/>
        <w:rPr>
          <w:rFonts w:hint="eastAsia" w:ascii="仿宋" w:hAnsi="仿宋" w:eastAsia="仿宋" w:cs="仿宋"/>
          <w:sz w:val="30"/>
          <w:szCs w:val="30"/>
        </w:rPr>
      </w:pPr>
      <w:r>
        <w:rPr>
          <w:rFonts w:hint="eastAsia" w:ascii="仿宋" w:hAnsi="仿宋" w:eastAsia="仿宋" w:cs="仿宋"/>
          <w:sz w:val="30"/>
          <w:szCs w:val="30"/>
        </w:rPr>
      </w:r>
      <w:r/>
    </w:p>
    <w:p>
      <w:pPr>
        <w:jc w:val="center"/>
        <w:rPr>
          <w:rFonts w:hint="eastAsia" w:ascii="仿宋" w:hAnsi="仿宋" w:eastAsia="仿宋" w:cs="仿宋"/>
          <w:b/>
          <w:spacing w:val="60"/>
          <w:sz w:val="30"/>
          <w:szCs w:val="30"/>
        </w:rPr>
      </w:pPr>
      <w:r>
        <w:rPr>
          <w:rFonts w:hint="eastAsia" w:ascii="仿宋" w:hAnsi="仿宋" w:eastAsia="仿宋" w:cs="仿宋"/>
          <w:b/>
          <w:spacing w:val="60"/>
          <w:sz w:val="30"/>
          <w:szCs w:val="30"/>
        </w:rPr>
      </w:r>
      <w:r/>
    </w:p>
    <w:p>
      <w:pPr>
        <w:jc w:val="center"/>
        <w:rPr>
          <w:rFonts w:hint="eastAsia" w:ascii="仿宋" w:hAnsi="仿宋" w:eastAsia="仿宋" w:cs="仿宋"/>
          <w:b/>
          <w:spacing w:val="60"/>
          <w:sz w:val="30"/>
          <w:szCs w:val="30"/>
        </w:rPr>
      </w:pPr>
      <w:r>
        <w:rPr>
          <w:rFonts w:hint="eastAsia" w:ascii="仿宋" w:hAnsi="仿宋" w:eastAsia="仿宋" w:cs="仿宋"/>
          <w:b/>
          <w:spacing w:val="60"/>
          <w:sz w:val="30"/>
          <w:szCs w:val="30"/>
        </w:rPr>
      </w:r>
      <w:r/>
    </w:p>
    <w:p>
      <w:pPr>
        <w:jc w:val="center"/>
        <w:rPr>
          <w:rFonts w:hint="eastAsia" w:ascii="仿宋" w:hAnsi="仿宋" w:eastAsia="仿宋" w:cs="仿宋"/>
          <w:b/>
          <w:spacing w:val="60"/>
          <w:sz w:val="30"/>
          <w:szCs w:val="30"/>
        </w:rPr>
      </w:pPr>
      <w:r>
        <w:rPr>
          <w:rFonts w:hint="eastAsia" w:ascii="仿宋" w:hAnsi="仿宋" w:eastAsia="仿宋" w:cs="仿宋"/>
          <w:b/>
          <w:spacing w:val="60"/>
          <w:sz w:val="30"/>
          <w:szCs w:val="30"/>
        </w:rPr>
        <w:t xml:space="preserve">投标文件</w:t>
      </w:r>
      <w:r/>
    </w:p>
    <w:p>
      <w:pPr>
        <w:ind w:firstLine="963"/>
        <w:rPr>
          <w:rFonts w:hint="eastAsia" w:ascii="仿宋" w:hAnsi="仿宋" w:eastAsia="仿宋" w:cs="仿宋"/>
          <w:b/>
          <w:spacing w:val="60"/>
          <w:sz w:val="30"/>
          <w:szCs w:val="30"/>
        </w:rPr>
      </w:pPr>
      <w:r>
        <w:rPr>
          <w:rFonts w:hint="eastAsia" w:ascii="仿宋" w:hAnsi="仿宋" w:eastAsia="仿宋" w:cs="仿宋"/>
          <w:b/>
          <w:spacing w:val="60"/>
          <w:sz w:val="30"/>
          <w:szCs w:val="30"/>
        </w:rPr>
      </w:r>
      <w:r/>
    </w:p>
    <w:p>
      <w:pPr>
        <w:ind w:firstLine="963"/>
        <w:rPr>
          <w:rFonts w:hint="eastAsia" w:ascii="仿宋" w:hAnsi="仿宋" w:eastAsia="仿宋" w:cs="仿宋"/>
          <w:b/>
          <w:spacing w:val="60"/>
          <w:sz w:val="30"/>
          <w:szCs w:val="30"/>
        </w:rPr>
      </w:pPr>
      <w:r>
        <w:rPr>
          <w:rFonts w:hint="eastAsia" w:ascii="仿宋" w:hAnsi="仿宋" w:eastAsia="仿宋" w:cs="仿宋"/>
          <w:b/>
          <w:spacing w:val="60"/>
          <w:sz w:val="30"/>
          <w:szCs w:val="30"/>
        </w:rPr>
      </w:r>
      <w:r/>
    </w:p>
    <w:p>
      <w:pPr>
        <w:ind w:firstLine="542"/>
        <w:rPr>
          <w:rFonts w:hint="eastAsia" w:ascii="仿宋" w:hAnsi="仿宋" w:eastAsia="仿宋" w:cs="仿宋"/>
          <w:b/>
          <w:spacing w:val="20"/>
          <w:sz w:val="30"/>
          <w:szCs w:val="30"/>
        </w:rPr>
      </w:pPr>
      <w:r>
        <w:rPr>
          <w:rFonts w:hint="eastAsia" w:ascii="仿宋" w:hAnsi="仿宋" w:eastAsia="仿宋" w:cs="仿宋"/>
          <w:b/>
          <w:spacing w:val="20"/>
          <w:sz w:val="30"/>
          <w:szCs w:val="30"/>
        </w:rPr>
      </w:r>
      <w:r/>
    </w:p>
    <w:p>
      <w:pPr>
        <w:ind w:firstLine="542"/>
        <w:rPr>
          <w:rFonts w:hint="eastAsia" w:ascii="仿宋" w:hAnsi="仿宋" w:eastAsia="仿宋" w:cs="仿宋"/>
          <w:b/>
          <w:spacing w:val="20"/>
          <w:sz w:val="30"/>
          <w:szCs w:val="30"/>
        </w:rPr>
      </w:pPr>
      <w:r>
        <w:rPr>
          <w:rFonts w:hint="eastAsia" w:ascii="仿宋" w:hAnsi="仿宋" w:eastAsia="仿宋" w:cs="仿宋"/>
          <w:b/>
          <w:spacing w:val="20"/>
          <w:sz w:val="30"/>
          <w:szCs w:val="30"/>
        </w:rPr>
      </w:r>
      <w:r/>
    </w:p>
    <w:p>
      <w:pPr>
        <w:ind w:firstLine="1084"/>
        <w:rPr>
          <w:rFonts w:hint="eastAsia" w:ascii="仿宋" w:hAnsi="仿宋" w:eastAsia="仿宋" w:cs="仿宋"/>
          <w:b/>
          <w:sz w:val="30"/>
          <w:szCs w:val="30"/>
          <w:lang w:eastAsia="zh-CN"/>
        </w:rPr>
      </w:pPr>
      <w:r>
        <w:rPr>
          <w:rFonts w:hint="eastAsia" w:ascii="仿宋" w:hAnsi="仿宋" w:eastAsia="仿宋" w:cs="仿宋"/>
          <w:b/>
          <w:sz w:val="30"/>
          <w:szCs w:val="30"/>
        </w:rPr>
        <w:t xml:space="preserve">项目名称：</w:t>
      </w:r>
      <w:r/>
    </w:p>
    <w:p>
      <w:pPr>
        <w:ind w:firstLine="1084"/>
        <w:rPr>
          <w:rFonts w:hint="eastAsia" w:ascii="仿宋" w:hAnsi="仿宋" w:eastAsia="仿宋" w:cs="仿宋"/>
          <w:b/>
          <w:sz w:val="30"/>
          <w:szCs w:val="30"/>
          <w:u w:val="single"/>
          <w:lang w:eastAsia="zh-CN"/>
        </w:rPr>
      </w:pPr>
      <w:r>
        <w:rPr>
          <w:rFonts w:hint="eastAsia" w:ascii="仿宋" w:hAnsi="仿宋" w:eastAsia="仿宋" w:cs="仿宋"/>
          <w:b/>
          <w:sz w:val="30"/>
          <w:szCs w:val="30"/>
        </w:rPr>
        <w:t xml:space="preserve">项目编号：</w:t>
      </w:r>
      <w:r/>
    </w:p>
    <w:p>
      <w:pPr>
        <w:ind w:firstLine="1084"/>
        <w:rPr>
          <w:rFonts w:hint="eastAsia" w:ascii="仿宋" w:hAnsi="仿宋" w:eastAsia="仿宋" w:cs="仿宋"/>
          <w:b/>
          <w:sz w:val="30"/>
          <w:szCs w:val="30"/>
          <w:u w:val="single"/>
          <w:lang w:eastAsia="zh-CN"/>
        </w:rPr>
      </w:pPr>
      <w:r>
        <w:rPr>
          <w:rFonts w:hint="eastAsia" w:ascii="仿宋" w:hAnsi="仿宋" w:eastAsia="仿宋" w:cs="仿宋"/>
          <w:b/>
          <w:sz w:val="30"/>
          <w:szCs w:val="30"/>
        </w:rPr>
        <w:t xml:space="preserve">投标人名称：</w:t>
      </w:r>
      <w:r/>
    </w:p>
    <w:p>
      <w:pPr>
        <w:ind w:firstLine="1084"/>
        <w:rPr>
          <w:rFonts w:hint="eastAsia" w:ascii="仿宋" w:hAnsi="仿宋" w:eastAsia="仿宋" w:cs="仿宋"/>
          <w:b/>
          <w:sz w:val="30"/>
          <w:szCs w:val="30"/>
          <w:lang w:eastAsia="zh-CN"/>
        </w:rPr>
      </w:pPr>
      <w:r>
        <w:rPr>
          <w:rFonts w:hint="eastAsia" w:ascii="仿宋" w:hAnsi="仿宋" w:eastAsia="仿宋" w:cs="仿宋"/>
          <w:b/>
          <w:sz w:val="30"/>
          <w:szCs w:val="30"/>
        </w:rPr>
        <w:t xml:space="preserve">日期：</w:t>
      </w:r>
      <w:r/>
    </w:p>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b/>
          <w:sz w:val="24"/>
          <w:szCs w:val="24"/>
        </w:rPr>
      </w:pPr>
      <w:r>
        <w:rPr>
          <w:rFonts w:hint="eastAsia" w:ascii="仿宋" w:hAnsi="仿宋" w:eastAsia="仿宋" w:cs="仿宋"/>
          <w:b/>
          <w:spacing w:val="20"/>
          <w:sz w:val="24"/>
          <w:szCs w:val="24"/>
        </w:rPr>
        <w:br w:type="page" w:clear="all"/>
      </w:r>
      <w:r>
        <w:rPr>
          <w:rFonts w:hint="eastAsia" w:ascii="仿宋" w:hAnsi="仿宋" w:eastAsia="仿宋" w:cs="仿宋"/>
          <w:b/>
          <w:sz w:val="24"/>
          <w:szCs w:val="24"/>
        </w:rPr>
        <w:t xml:space="preserve">一、资格证明文件</w:t>
      </w:r>
      <w:r/>
    </w:p>
    <w:p>
      <w:pPr>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仿宋" w:hAnsi="仿宋" w:eastAsia="仿宋" w:cs="仿宋"/>
          <w:sz w:val="24"/>
          <w:szCs w:val="24"/>
        </w:rPr>
        <w:outlineLvl w:val="2"/>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满足《中华人民共和国政府采购法》第二十二条规定及法律法规的其他规定</w:t>
      </w:r>
      <w:r/>
    </w:p>
    <w:p>
      <w:pPr>
        <w:spacing w:line="360" w:lineRule="auto"/>
        <w:rPr>
          <w:rFonts w:hint="eastAsia" w:ascii="仿宋" w:hAnsi="仿宋" w:eastAsia="仿宋" w:cs="仿宋"/>
          <w:b/>
          <w:bCs/>
          <w:color w:val="000000"/>
          <w:sz w:val="24"/>
          <w:szCs w:val="24"/>
        </w:rPr>
        <w:outlineLvl w:val="2"/>
      </w:pPr>
      <w:r>
        <w:rPr>
          <w:rFonts w:hint="eastAsia" w:ascii="仿宋" w:hAnsi="仿宋" w:eastAsia="仿宋" w:cs="仿宋"/>
          <w:b/>
          <w:color w:val="000000"/>
          <w:sz w:val="24"/>
          <w:szCs w:val="24"/>
        </w:rPr>
        <w:t xml:space="preserve">1-1投标人资格声明函（实质性格式）</w:t>
      </w:r>
      <w:r/>
    </w:p>
    <w:p>
      <w:pPr>
        <w:jc w:val="center"/>
        <w:spacing w:before="120" w:line="360" w:lineRule="auto"/>
        <w:widowControl/>
        <w:rPr>
          <w:rFonts w:hint="eastAsia" w:ascii="仿宋" w:hAnsi="仿宋" w:eastAsia="仿宋" w:cs="仿宋"/>
          <w:sz w:val="24"/>
          <w:szCs w:val="24"/>
        </w:rPr>
      </w:pPr>
      <w:r>
        <w:rPr>
          <w:rFonts w:hint="eastAsia" w:ascii="仿宋" w:hAnsi="仿宋" w:eastAsia="仿宋" w:cs="仿宋"/>
          <w:b/>
          <w:sz w:val="24"/>
          <w:szCs w:val="24"/>
        </w:rPr>
        <w:t xml:space="preserve">投标人资格声明函</w:t>
      </w:r>
      <w:r/>
    </w:p>
    <w:p>
      <w:pPr>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致： </w:t>
      </w:r>
      <w:r>
        <w:rPr>
          <w:rFonts w:hint="eastAsia" w:ascii="仿宋" w:hAnsi="仿宋" w:eastAsia="仿宋" w:cs="仿宋"/>
          <w:sz w:val="24"/>
          <w:szCs w:val="24"/>
          <w:u w:val="single"/>
          <w:lang w:val="en-US" w:eastAsia="zh-CN" w:bidi="ar-SA"/>
        </w:rPr>
        <w:t xml:space="preserve">         （采购人名称）</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按照《中华人民共和国政府采购法》第二十二条和招标文件的规定，我单位郑重声明如下：</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一、我单位是按照中华人民共和国法律规定登记注册的，注册地点为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，全称为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，统一社会信用代码为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，法定代表人（单位负责人）为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，具有独立承担民事责任的能力</w:t>
      </w:r>
      <w:r>
        <w:rPr>
          <w:rFonts w:hint="eastAsia" w:ascii="仿宋" w:hAnsi="仿宋" w:eastAsia="仿宋" w:cs="仿宋"/>
          <w:b/>
          <w:sz w:val="24"/>
          <w:szCs w:val="24"/>
          <w:lang w:val="en-US" w:eastAsia="zh-CN" w:bidi="ar-SA"/>
        </w:rPr>
        <w:t xml:space="preserve">（如属于分公司经总公司授权参与项目，由总公司承担民事责任的，需提供总公司项目授权书）</w:t>
      </w:r>
      <w:r>
        <w:rPr>
          <w:rFonts w:hint="eastAsia" w:ascii="仿宋" w:hAnsi="仿宋" w:eastAsia="仿宋" w:cs="仿宋"/>
          <w:sz w:val="24"/>
          <w:szCs w:val="24"/>
          <w:lang w:val="en-US" w:eastAsia="zh-CN" w:bidi="ar-SA"/>
        </w:rPr>
        <w:t xml:space="preserve">。</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二、我单位具有良好的商业信誉（指投标人经营状况良好，无本资格声明第十条情形）和健全的财务会计制度。</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三、我单位依法进行纳税和社会保险申报并实际履行了义务。</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四、我单位具有履行本项目采购合同所必需的设备和专业技术能力，并具有履行合同的良好记录。为履行本项采购合同我单位具备如下主要设备和主要专业技术能力:</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主要设备有：</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主要专业技术能力有</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六、我单位具备法律、行政法规规定的其他条件。</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七、与我单位存在“单位负责人为同一人或者存在直接控股、管理关系”的其他单位信息如下（如无此情形的，填写“无”）：</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1、与我单位的法定代表人（单位负责人）为同一人的其他单位如下：</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2、我单位直接控股的其他单位如下：</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3、与我单位存在管理关系的其他单位如下：</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八、我单位不属于为本项目提供整体设计、规范编制或者项目管理、监理、检测等服务的投标人。</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九、我单位无以下不良信用记录情形：</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1、在“信用中国”网站被列入失信被执行人和重大税收违法案件当事人名单；</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2、在“中国政府采购网”网站被列入政府采购严重违法失信行为记录名单；</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3、不符合《政府采购法》第二十二条规定的条件。</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我单位保证上述声明的事项都是真实的，如有虚假，我单位愿意承担相应的法律责任，并承担因此所造成的一切损失。</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投标人：（加盖公章）</w:t>
      </w:r>
      <w:r/>
    </w:p>
    <w:p>
      <w:pPr>
        <w:ind w:firstLine="48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法定代表人（或单位负责人）签字或盖章：</w:t>
      </w:r>
      <w:r/>
    </w:p>
    <w:p>
      <w:pPr>
        <w:ind w:firstLine="4920"/>
        <w:jc w:val="left"/>
        <w:spacing w:line="4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仿宋" w:hAnsi="仿宋" w:eastAsia="仿宋" w:cs="仿宋"/>
          <w:sz w:val="24"/>
          <w:szCs w:val="24"/>
        </w:rPr>
        <w:sectPr>
          <w:footerReference w:type="default" r:id="rId29"/>
          <w:footnotePr/>
          <w:endnotePr/>
          <w:type w:val="nextPage"/>
          <w:pgSz w:w="11907" w:h="16840" w:orient="portrait"/>
          <w:pgMar w:top="1474" w:right="1417" w:bottom="1247" w:left="1417" w:header="851" w:footer="851" w:gutter="0"/>
          <w:cols w:num="1" w:sep="0" w:space="1701" w:equalWidth="1"/>
          <w:docGrid w:linePitch="360"/>
        </w:sectPr>
      </w:pPr>
      <w:r>
        <w:rPr>
          <w:rFonts w:hint="eastAsia" w:ascii="仿宋" w:hAnsi="仿宋" w:eastAsia="仿宋" w:cs="仿宋"/>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t xml:space="preserve">2落实政府采购政策需满足的资格要求</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rPr>
        <w:t xml:space="preserve">2-1中小企业声明函</w:t>
      </w:r>
      <w:r/>
    </w:p>
    <w:p>
      <w:pPr>
        <w:ind w:firstLine="4819"/>
        <w:jc w:val="left"/>
        <w:widowControl/>
        <w:rPr>
          <w:rFonts w:hint="eastAsia" w:ascii="仿宋" w:hAnsi="仿宋" w:eastAsia="仿宋" w:cs="仿宋"/>
          <w:b/>
          <w:bCs/>
          <w:sz w:val="24"/>
          <w:szCs w:val="24"/>
        </w:rPr>
      </w:pPr>
      <w:r>
        <w:rPr>
          <w:rFonts w:hint="eastAsia" w:ascii="仿宋" w:hAnsi="仿宋" w:eastAsia="仿宋" w:cs="仿宋"/>
          <w:b/>
          <w:bCs/>
          <w:color w:val="000000"/>
          <w:sz w:val="24"/>
          <w:szCs w:val="24"/>
        </w:rPr>
        <w:t xml:space="preserve">中小企业声明函</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本公司（联合体）郑重声明，根据《政府采购促进中小企业发展管理办法》（财库﹝2020﹞46 号）的规定，本公司（联合体）参加</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（单位名称）的</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（项目名称）采购活动，</w:t>
      </w:r>
      <w:r>
        <w:rPr>
          <w:rFonts w:hint="eastAsia" w:ascii="仿宋" w:hAnsi="仿宋" w:eastAsia="仿宋" w:cs="仿宋"/>
          <w:spacing w:val="6"/>
          <w:sz w:val="24"/>
          <w:szCs w:val="24"/>
          <w:lang w:val="en-US" w:eastAsia="zh-CN"/>
        </w:rPr>
        <w:t xml:space="preserve">项目</w:t>
      </w:r>
      <w:r>
        <w:rPr>
          <w:rFonts w:hint="eastAsia" w:ascii="仿宋" w:hAnsi="仿宋" w:eastAsia="仿宋" w:cs="仿宋"/>
          <w:spacing w:val="6"/>
          <w:sz w:val="24"/>
          <w:szCs w:val="24"/>
        </w:rPr>
        <w:t xml:space="preserve">的</w:t>
      </w:r>
      <w:r>
        <w:rPr>
          <w:rFonts w:hint="eastAsia" w:ascii="仿宋" w:hAnsi="仿宋" w:eastAsia="仿宋" w:cs="仿宋"/>
          <w:spacing w:val="6"/>
          <w:sz w:val="24"/>
          <w:szCs w:val="24"/>
          <w:lang w:val="en-US" w:eastAsia="zh-CN"/>
        </w:rPr>
        <w:t xml:space="preserve">实施</w:t>
      </w:r>
      <w:r>
        <w:rPr>
          <w:rFonts w:hint="eastAsia" w:ascii="仿宋" w:hAnsi="仿宋" w:eastAsia="仿宋" w:cs="仿宋"/>
          <w:spacing w:val="6"/>
          <w:sz w:val="24"/>
          <w:szCs w:val="24"/>
        </w:rPr>
        <w:t xml:space="preserve">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1.</w:t>
      </w:r>
      <w:r>
        <w:rPr>
          <w:rFonts w:hint="eastAsia" w:ascii="仿宋" w:hAnsi="仿宋" w:eastAsia="仿宋" w:cs="仿宋"/>
          <w:spacing w:val="6"/>
          <w:sz w:val="24"/>
          <w:szCs w:val="24"/>
          <w:u w:val="single"/>
        </w:rPr>
        <w:t xml:space="preserve">（标的名称）</w:t>
      </w:r>
      <w:r>
        <w:rPr>
          <w:rFonts w:hint="eastAsia" w:ascii="仿宋" w:hAnsi="仿宋" w:eastAsia="仿宋" w:cs="仿宋"/>
          <w:spacing w:val="6"/>
          <w:sz w:val="24"/>
          <w:szCs w:val="24"/>
        </w:rPr>
        <w:t xml:space="preserve">，属于</w:t>
      </w:r>
      <w:r>
        <w:rPr>
          <w:rFonts w:hint="eastAsia" w:ascii="仿宋" w:hAnsi="仿宋" w:eastAsia="仿宋" w:cs="仿宋"/>
          <w:spacing w:val="6"/>
          <w:sz w:val="24"/>
          <w:szCs w:val="24"/>
          <w:u w:val="single"/>
        </w:rPr>
        <w:t xml:space="preserve">（采购文件中明确的所属行业）</w:t>
      </w:r>
      <w:r>
        <w:rPr>
          <w:rFonts w:hint="eastAsia" w:ascii="仿宋" w:hAnsi="仿宋" w:eastAsia="仿宋" w:cs="仿宋"/>
          <w:spacing w:val="6"/>
          <w:sz w:val="24"/>
          <w:szCs w:val="24"/>
        </w:rPr>
        <w:t xml:space="preserve">行业；承建（承接）企业为</w:t>
      </w:r>
      <w:r>
        <w:rPr>
          <w:rFonts w:hint="eastAsia" w:ascii="仿宋" w:hAnsi="仿宋" w:eastAsia="仿宋" w:cs="仿宋"/>
          <w:spacing w:val="6"/>
          <w:sz w:val="24"/>
          <w:szCs w:val="24"/>
          <w:u w:val="single"/>
        </w:rPr>
        <w:t xml:space="preserve">（企业名称）</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，从业人员</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人，营业收入为</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万元，资产总额为</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万元</w:t>
      </w:r>
      <w:r>
        <w:rPr>
          <w:rFonts w:hint="eastAsia" w:ascii="仿宋" w:hAnsi="仿宋" w:eastAsia="仿宋" w:cs="仿宋"/>
          <w:spacing w:val="6"/>
          <w:sz w:val="24"/>
          <w:szCs w:val="24"/>
          <w:vertAlign w:val="superscript"/>
        </w:rPr>
        <w:t xml:space="preserve">1</w:t>
      </w:r>
      <w:r>
        <w:rPr>
          <w:rFonts w:hint="eastAsia" w:ascii="仿宋" w:hAnsi="仿宋" w:eastAsia="仿宋" w:cs="仿宋"/>
          <w:spacing w:val="6"/>
          <w:sz w:val="24"/>
          <w:szCs w:val="24"/>
        </w:rPr>
        <w:t xml:space="preserve">，属于</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（中型企业、小型企业、微型企业）；</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本企业对上述声明内容的真实性负责。如有虚假，将依法承担相应责任。</w:t>
      </w:r>
      <w:r/>
    </w:p>
    <w:p>
      <w:pPr>
        <w:ind w:right="360"/>
        <w:jc w:val="both"/>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投标人名称</w:t>
      </w:r>
      <w:r>
        <w:rPr>
          <w:rFonts w:hint="eastAsia" w:ascii="仿宋" w:hAnsi="仿宋" w:eastAsia="仿宋" w:cs="仿宋"/>
          <w:sz w:val="24"/>
          <w:szCs w:val="24"/>
          <w:lang w:val="en-US" w:eastAsia="zh-CN"/>
        </w:rPr>
        <w:t xml:space="preserve">（电子签章）</w:t>
      </w:r>
      <w:r>
        <w:rPr>
          <w:rFonts w:hint="eastAsia" w:ascii="仿宋" w:hAnsi="仿宋" w:eastAsia="仿宋" w:cs="仿宋"/>
          <w:color w:val="000000"/>
          <w:sz w:val="24"/>
          <w:szCs w:val="24"/>
          <w:highlight w:val="none"/>
          <w:lang w:val="zh-CN"/>
        </w:rPr>
        <w:t xml:space="preserve">：____________</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日期：_____年______月______日</w:t>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1220"/>
        <w:tblW w:w="8946"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从业人员、营业收入、资产总额填报上一年度数据，无上一年度数据的新成立企业可不填报。</w:t>
            </w:r>
            <w:r/>
          </w:p>
        </w:tc>
      </w:tr>
    </w:tbl>
    <w:p>
      <w:pPr>
        <w:ind w:firstLine="420"/>
        <w:jc w:val="left"/>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jc w:val="center"/>
        <w:spacing w:before="240" w:after="240" w:line="360" w:lineRule="auto"/>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rPr>
        <w:t xml:space="preserve">残疾人福利性单位声明函格式</w:t>
      </w:r>
      <w:r/>
    </w:p>
    <w:p>
      <w:pPr>
        <w:ind w:firstLine="50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本单位郑重声明，根据《财政部民政部中国残疾人联合会关于促进残疾人就业政府采购政策的通知》（财库</w:t>
      </w:r>
      <w:r>
        <w:rPr>
          <w:rFonts w:hint="eastAsia" w:ascii="仿宋" w:hAnsi="仿宋" w:eastAsia="仿宋" w:cs="仿宋"/>
          <w:sz w:val="24"/>
          <w:szCs w:val="24"/>
        </w:rPr>
        <w:t xml:space="preserve">〔2017〕141</w:t>
      </w:r>
      <w:r>
        <w:rPr>
          <w:rFonts w:hint="eastAsia" w:ascii="仿宋" w:hAnsi="仿宋" w:eastAsia="仿宋" w:cs="仿宋"/>
          <w:spacing w:val="6"/>
          <w:sz w:val="24"/>
          <w:szCs w:val="24"/>
        </w:rPr>
        <w:t xml:space="preserve">号）的规定，本单位</w:t>
      </w:r>
      <w:r>
        <w:rPr>
          <w:rFonts w:hint="eastAsia" w:ascii="仿宋" w:hAnsi="仿宋" w:eastAsia="仿宋" w:cs="仿宋"/>
          <w:b/>
          <w:sz w:val="24"/>
          <w:szCs w:val="24"/>
        </w:rPr>
        <w:t xml:space="preserve">（请进行勾选）</w:t>
      </w:r>
      <w:r>
        <w:rPr>
          <w:rFonts w:hint="eastAsia" w:ascii="仿宋" w:hAnsi="仿宋" w:eastAsia="仿宋" w:cs="仿宋"/>
          <w:spacing w:val="6"/>
          <w:sz w:val="24"/>
          <w:szCs w:val="24"/>
        </w:rPr>
        <w:t xml:space="preserve">：</w:t>
      </w:r>
      <w:r/>
    </w:p>
    <w:p>
      <w:pPr>
        <w:ind w:firstLine="482"/>
        <w:spacing w:line="588" w:lineRule="exact"/>
        <w:rPr>
          <w:rFonts w:hint="eastAsia" w:ascii="仿宋" w:hAnsi="仿宋" w:eastAsia="仿宋" w:cs="仿宋"/>
          <w:b/>
          <w:spacing w:val="6"/>
          <w:sz w:val="24"/>
          <w:szCs w:val="24"/>
        </w:rPr>
      </w:pPr>
      <w:r>
        <w:rPr>
          <w:rFonts w:hint="eastAsia" w:ascii="仿宋" w:hAnsi="仿宋" w:eastAsia="仿宋" w:cs="仿宋"/>
          <w:b/>
          <w:sz w:val="24"/>
          <w:szCs w:val="24"/>
        </w:rPr>
        <w:t xml:space="preserve">□</w:t>
      </w:r>
      <w:r>
        <w:rPr>
          <w:rFonts w:hint="eastAsia" w:ascii="仿宋" w:hAnsi="仿宋" w:eastAsia="仿宋" w:cs="仿宋"/>
          <w:b/>
          <w:spacing w:val="6"/>
          <w:sz w:val="24"/>
          <w:szCs w:val="24"/>
        </w:rPr>
        <w:t xml:space="preserve">不属于符合条件的残疾人福利性单位。</w:t>
      </w:r>
      <w:r/>
    </w:p>
    <w:p>
      <w:pPr>
        <w:ind w:firstLine="482"/>
        <w:spacing w:line="588" w:lineRule="exact"/>
        <w:rPr>
          <w:rFonts w:hint="eastAsia" w:ascii="仿宋" w:hAnsi="仿宋" w:eastAsia="仿宋" w:cs="仿宋"/>
          <w:spacing w:val="6"/>
          <w:sz w:val="24"/>
          <w:szCs w:val="24"/>
        </w:rPr>
      </w:pPr>
      <w:r>
        <w:rPr>
          <w:rFonts w:hint="eastAsia" w:ascii="仿宋" w:hAnsi="仿宋" w:eastAsia="仿宋" w:cs="仿宋"/>
          <w:b/>
          <w:sz w:val="24"/>
          <w:szCs w:val="24"/>
        </w:rPr>
        <w:t xml:space="preserve">□</w:t>
      </w:r>
      <w:r>
        <w:rPr>
          <w:rFonts w:hint="eastAsia" w:ascii="仿宋" w:hAnsi="仿宋" w:eastAsia="仿宋" w:cs="仿宋"/>
          <w:b/>
          <w:spacing w:val="6"/>
          <w:sz w:val="24"/>
          <w:szCs w:val="24"/>
        </w:rPr>
        <w:t xml:space="preserve">属于符合条件的残疾人福利性单位，</w:t>
      </w:r>
      <w:r>
        <w:rPr>
          <w:rFonts w:hint="eastAsia" w:ascii="仿宋" w:hAnsi="仿宋" w:eastAsia="仿宋" w:cs="仿宋"/>
          <w:spacing w:val="6"/>
          <w:sz w:val="24"/>
          <w:szCs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spacing w:val="6"/>
          <w:sz w:val="24"/>
          <w:szCs w:val="24"/>
        </w:rPr>
      </w:pPr>
      <w:r>
        <w:rPr>
          <w:rFonts w:hint="eastAsia" w:ascii="仿宋" w:hAnsi="仿宋" w:eastAsia="仿宋" w:cs="仿宋"/>
          <w:b/>
          <w:spacing w:val="6"/>
          <w:sz w:val="24"/>
          <w:szCs w:val="24"/>
        </w:rPr>
        <w:t xml:space="preserve">本单位对上述声明的真实性负责。如有虚假，将依法承担相应责任。</w:t>
      </w:r>
      <w:r/>
    </w:p>
    <w:p>
      <w:pPr>
        <w:ind w:firstLine="50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50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50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t xml:space="preserve">单位名称（加盖公章）：</w:t>
      </w:r>
      <w:r/>
    </w:p>
    <w:p>
      <w:pPr>
        <w:ind w:right="1560" w:firstLine="50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t xml:space="preserve">日期：</w:t>
      </w:r>
      <w:r/>
    </w:p>
    <w:p>
      <w:pPr>
        <w:ind w:right="1560" w:firstLine="50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50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50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50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r>
      <w:r/>
    </w:p>
    <w:p>
      <w:pPr>
        <w:spacing w:line="360" w:lineRule="auto"/>
        <w:tabs>
          <w:tab w:val="left" w:pos="82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p>
    <w:p>
      <w:pPr>
        <w:ind w:left="719" w:hanging="24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337"/>
        <w:jc w:val="both"/>
        <w:widowControl/>
        <w:rPr>
          <w:rFonts w:hint="eastAsia" w:ascii="仿宋" w:hAnsi="仿宋" w:eastAsia="仿宋" w:cs="仿宋"/>
          <w:b/>
          <w:sz w:val="24"/>
          <w:szCs w:val="24"/>
        </w:rPr>
      </w:pPr>
      <w:r>
        <w:rPr>
          <w:rFonts w:hint="eastAsia" w:ascii="仿宋" w:hAnsi="仿宋" w:eastAsia="仿宋" w:cs="仿宋"/>
          <w:b/>
          <w:sz w:val="24"/>
          <w:szCs w:val="24"/>
        </w:rPr>
        <w:t xml:space="preserve">二、商务技术文件格式</w:t>
      </w:r>
      <w:bookmarkStart w:id="824" w:name="_Ref467988698"/>
      <w:r/>
      <w:bookmarkStart w:id="825" w:name="_Toc142311058"/>
      <w:r/>
      <w:bookmarkStart w:id="826" w:name="_Toc226309800"/>
      <w:r/>
      <w:bookmarkStart w:id="827" w:name="_Toc150480794"/>
      <w:r/>
      <w:bookmarkStart w:id="828" w:name="_Toc480942349"/>
      <w:r/>
      <w:bookmarkStart w:id="829" w:name="_Toc150774761"/>
      <w:r/>
      <w:bookmarkStart w:id="830" w:name="_Toc226965829"/>
      <w:r/>
      <w:bookmarkStart w:id="831" w:name="_Toc226965746"/>
      <w:r/>
      <w:bookmarkStart w:id="832" w:name="_Toc127151556"/>
      <w:r/>
      <w:bookmarkStart w:id="833" w:name="_Toc520356217"/>
      <w:r/>
      <w:bookmarkStart w:id="834" w:name="_Toc195842921"/>
      <w:r/>
      <w:bookmarkStart w:id="835" w:name="_Toc226337252"/>
      <w:r/>
      <w:r/>
    </w:p>
    <w:p>
      <w:pPr>
        <w:jc w:val="center"/>
        <w:widowControl/>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t xml:space="preserve">1投标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仿宋" w:hAnsi="仿宋" w:eastAsia="仿宋" w:cs="仿宋"/>
          <w:color w:val="000000"/>
          <w:sz w:val="24"/>
          <w:szCs w:val="24"/>
        </w:rPr>
        <w:t xml:space="preserve">函（实质性格式）</w:t>
      </w:r>
      <w:r/>
    </w:p>
    <w:p>
      <w:pPr>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投标函</w:t>
      </w:r>
      <w:r/>
    </w:p>
    <w:p>
      <w:pPr>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rPr>
        <w:t xml:space="preserve">（采购人或采购代理机构）</w:t>
      </w:r>
      <w:r/>
    </w:p>
    <w:p>
      <w:pPr>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08"/>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1.我方已详细审查全部招标文件，自愿参与投标并承诺如下：</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（1）本投标有效期为自提交投标文件的截止之日起</w:t>
      </w:r>
      <w:r>
        <w:rPr>
          <w:rFonts w:hint="eastAsia" w:ascii="仿宋" w:hAnsi="仿宋" w:eastAsia="仿宋" w:cs="仿宋"/>
          <w:sz w:val="24"/>
          <w:szCs w:val="24"/>
        </w:rPr>
        <w:t xml:space="preserve">60</w:t>
      </w:r>
      <w:r>
        <w:rPr>
          <w:rFonts w:hint="eastAsia" w:ascii="仿宋" w:hAnsi="仿宋" w:eastAsia="仿宋" w:cs="仿宋"/>
          <w:color w:val="000000"/>
          <w:sz w:val="24"/>
          <w:szCs w:val="24"/>
        </w:rPr>
        <w:t xml:space="preserve">个日历日。</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（2）除合同条款及采购需求偏离表列出的偏离外，我方响应招标文件的全部要求。</w:t>
      </w:r>
      <w:r/>
    </w:p>
    <w:p>
      <w:pPr>
        <w:ind w:firstLine="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2.其他补充条款（如有）：___________。</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与本投标有关的一切正式往来信函请寄：</w:t>
      </w:r>
      <w:r/>
    </w:p>
    <w:p>
      <w:pPr>
        <w:ind w:left="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地址_________________________传真____________________________</w:t>
      </w:r>
      <w:r/>
    </w:p>
    <w:p>
      <w:pPr>
        <w:ind w:left="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电话_________________________电子函件________________________</w:t>
      </w:r>
      <w:r/>
    </w:p>
    <w:p>
      <w:pPr>
        <w:ind w:left="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投标人名称（加盖公章）___________</w:t>
      </w:r>
      <w:r/>
    </w:p>
    <w:p>
      <w:pPr>
        <w:ind w:left="420"/>
        <w:spacing w:line="360" w:lineRule="auto"/>
        <w:tabs>
          <w:tab w:val="left" w:pos="558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日期：_____年______月______日</w:t>
      </w:r>
      <w:r/>
    </w:p>
    <w:p>
      <w:pPr>
        <w:ind w:left="420"/>
        <w:spacing w:line="360" w:lineRule="auto"/>
        <w:tabs>
          <w:tab w:val="left" w:pos="558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jc w:val="left"/>
        <w:widowControl/>
        <w:rPr>
          <w:rFonts w:hint="eastAsia" w:ascii="仿宋" w:hAnsi="仿宋" w:eastAsia="仿宋" w:cs="仿宋"/>
          <w:color w:val="000000"/>
          <w:sz w:val="24"/>
          <w:szCs w:val="24"/>
        </w:rPr>
      </w:pPr>
      <w:r/>
      <w:bookmarkStart w:id="836" w:name="_Hlt520355938"/>
      <w:r/>
      <w:bookmarkEnd w:id="836"/>
      <w:r/>
      <w:bookmarkStart w:id="837" w:name="_Hlt520356243"/>
      <w:r/>
      <w:bookmarkEnd w:id="837"/>
      <w:r>
        <w:rPr>
          <w:rFonts w:hint="eastAsia" w:ascii="仿宋" w:hAnsi="仿宋" w:eastAsia="仿宋" w:cs="仿宋"/>
          <w:color w:val="000000"/>
          <w:sz w:val="24"/>
          <w:szCs w:val="24"/>
        </w:rPr>
        <w:br w:type="page" w:clear="all"/>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法定代表人资格证明书（实质性格式）</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法定代表人资格证明书</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单位名称:</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姓名:    性别:      年龄:     职务:</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（投标单位名称）</w:t>
      </w:r>
      <w:r>
        <w:rPr>
          <w:rFonts w:hint="eastAsia" w:ascii="仿宋" w:hAnsi="仿宋" w:eastAsia="仿宋" w:cs="仿宋"/>
          <w:sz w:val="24"/>
          <w:szCs w:val="24"/>
        </w:rPr>
        <w:t xml:space="preserve">的法定代表人。为参与</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的政府采购活动，</w:t>
      </w:r>
      <w:r>
        <w:rPr>
          <w:rFonts w:hint="eastAsia" w:ascii="仿宋" w:hAnsi="仿宋" w:eastAsia="仿宋" w:cs="仿宋"/>
          <w:color w:val="000000"/>
          <w:sz w:val="24"/>
          <w:szCs w:val="24"/>
        </w:rPr>
        <w:t xml:space="preserve">签署、澄清确认、递交、撤回、修改</w:t>
      </w:r>
      <w:r>
        <w:rPr>
          <w:rFonts w:hint="eastAsia" w:ascii="仿宋" w:hAnsi="仿宋" w:eastAsia="仿宋" w:cs="仿宋"/>
          <w:sz w:val="24"/>
          <w:szCs w:val="24"/>
        </w:rPr>
        <w:t xml:space="preserve">上述项目的投标文件、进行合同谈判、签署合同和处理与之有关的一切事务。</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特此证明。</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right="-46"/>
        <w:jc w:val="both"/>
        <w:spacing w:before="120" w:line="583" w:lineRule="auto"/>
        <w:widowControl w:val="off"/>
        <w:tabs>
          <w:tab w:val="left" w:pos="567" w:leader="none"/>
        </w:tabs>
        <w:rPr>
          <w:rFonts w:hint="eastAsia" w:ascii="仿宋" w:hAnsi="仿宋" w:eastAsia="仿宋" w:cs="仿宋"/>
          <w:spacing w:val="-3"/>
          <w:sz w:val="24"/>
          <w:szCs w:val="24"/>
          <w:lang w:val="en-US" w:eastAsia="zh-CN" w:bidi="ar-SA"/>
        </w:rPr>
      </w:pPr>
      <w:r>
        <w:rPr>
          <w:rFonts w:hint="eastAsia" w:ascii="仿宋" w:hAnsi="仿宋" w:eastAsia="仿宋" w:cs="仿宋"/>
          <w:sz w:val="24"/>
          <w:szCs w:val="24"/>
          <w:lang w:val="en-US" w:eastAsia="zh-CN" w:bidi="ar-SA"/>
        </w:rPr>
        <w:t xml:space="preserve">附：</w:t>
      </w:r>
      <w:r>
        <w:rPr>
          <w:rFonts w:hint="eastAsia" w:ascii="仿宋" w:hAnsi="仿宋" w:eastAsia="仿宋" w:cs="仿宋"/>
          <w:spacing w:val="-3"/>
          <w:sz w:val="24"/>
          <w:szCs w:val="24"/>
          <w:lang w:val="en-US" w:eastAsia="zh-CN" w:bidi="ar-SA"/>
        </w:rPr>
        <w:t xml:space="preserve">法</w:t>
      </w:r>
      <w:r>
        <w:rPr>
          <w:rFonts w:hint="eastAsia" w:ascii="仿宋" w:hAnsi="仿宋" w:eastAsia="仿宋" w:cs="仿宋"/>
          <w:sz w:val="24"/>
          <w:szCs w:val="24"/>
          <w:lang w:val="en-US" w:eastAsia="zh-CN" w:bidi="ar-SA"/>
        </w:rPr>
        <w:t xml:space="preserve">定</w:t>
      </w:r>
      <w:r>
        <w:rPr>
          <w:rFonts w:hint="eastAsia" w:ascii="仿宋" w:hAnsi="仿宋" w:eastAsia="仿宋" w:cs="仿宋"/>
          <w:spacing w:val="-3"/>
          <w:sz w:val="24"/>
          <w:szCs w:val="24"/>
          <w:lang w:val="en-US" w:eastAsia="zh-CN" w:bidi="ar-SA"/>
        </w:rPr>
        <w:t xml:space="preserve">代</w:t>
      </w:r>
      <w:r>
        <w:rPr>
          <w:rFonts w:hint="eastAsia" w:ascii="仿宋" w:hAnsi="仿宋" w:eastAsia="仿宋" w:cs="仿宋"/>
          <w:sz w:val="24"/>
          <w:szCs w:val="24"/>
          <w:lang w:val="en-US" w:eastAsia="zh-CN" w:bidi="ar-SA"/>
        </w:rPr>
        <w:t xml:space="preserve">表</w:t>
      </w:r>
      <w:r>
        <w:rPr>
          <w:rFonts w:hint="eastAsia" w:ascii="仿宋" w:hAnsi="仿宋" w:eastAsia="仿宋" w:cs="仿宋"/>
          <w:spacing w:val="-3"/>
          <w:sz w:val="24"/>
          <w:szCs w:val="24"/>
          <w:lang w:val="en-US" w:eastAsia="zh-CN" w:bidi="ar-SA"/>
        </w:rPr>
        <w:t xml:space="preserve">人</w:t>
      </w:r>
      <w:r>
        <w:rPr>
          <w:rFonts w:hint="eastAsia" w:ascii="仿宋" w:hAnsi="仿宋" w:eastAsia="仿宋" w:cs="仿宋"/>
          <w:sz w:val="24"/>
          <w:szCs w:val="24"/>
          <w:lang w:val="en-US" w:eastAsia="zh-CN" w:bidi="ar-SA"/>
        </w:rPr>
        <w:t xml:space="preserve">（</w:t>
      </w:r>
      <w:r>
        <w:rPr>
          <w:rFonts w:hint="eastAsia" w:ascii="仿宋" w:hAnsi="仿宋" w:eastAsia="仿宋" w:cs="仿宋"/>
          <w:spacing w:val="-3"/>
          <w:sz w:val="24"/>
          <w:szCs w:val="24"/>
          <w:lang w:val="en-US" w:eastAsia="zh-CN" w:bidi="ar-SA"/>
        </w:rPr>
        <w:t xml:space="preserve">单</w:t>
      </w:r>
      <w:r>
        <w:rPr>
          <w:rFonts w:hint="eastAsia" w:ascii="仿宋" w:hAnsi="仿宋" w:eastAsia="仿宋" w:cs="仿宋"/>
          <w:sz w:val="24"/>
          <w:szCs w:val="24"/>
          <w:lang w:val="en-US" w:eastAsia="zh-CN" w:bidi="ar-SA"/>
        </w:rPr>
        <w:t xml:space="preserve">位</w:t>
      </w:r>
      <w:r>
        <w:rPr>
          <w:rFonts w:hint="eastAsia" w:ascii="仿宋" w:hAnsi="仿宋" w:eastAsia="仿宋" w:cs="仿宋"/>
          <w:spacing w:val="-3"/>
          <w:sz w:val="24"/>
          <w:szCs w:val="24"/>
          <w:lang w:val="en-US" w:eastAsia="zh-CN" w:bidi="ar-SA"/>
        </w:rPr>
        <w:t xml:space="preserve">负</w:t>
      </w:r>
      <w:r>
        <w:rPr>
          <w:rFonts w:hint="eastAsia" w:ascii="仿宋" w:hAnsi="仿宋" w:eastAsia="仿宋" w:cs="仿宋"/>
          <w:sz w:val="24"/>
          <w:szCs w:val="24"/>
          <w:lang w:val="en-US" w:eastAsia="zh-CN" w:bidi="ar-SA"/>
        </w:rPr>
        <w:t xml:space="preserve">责人</w:t>
      </w:r>
      <w:r>
        <w:rPr>
          <w:rFonts w:hint="eastAsia" w:ascii="仿宋" w:hAnsi="仿宋" w:eastAsia="仿宋" w:cs="仿宋"/>
          <w:spacing w:val="-3"/>
          <w:sz w:val="24"/>
          <w:szCs w:val="24"/>
          <w:lang w:val="en-US" w:eastAsia="zh-CN" w:bidi="ar-SA"/>
        </w:rPr>
        <w:t xml:space="preserve">）有效期内的身份证正反面电子件。</w:t>
      </w:r>
      <w:r/>
    </w:p>
    <w:tbl>
      <w:tblPr>
        <w:tblStyle w:val="122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投标人：（加盖公章）</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法定代表人</w:t>
      </w:r>
      <w:r>
        <w:rPr>
          <w:rFonts w:hint="eastAsia" w:ascii="仿宋" w:hAnsi="仿宋" w:eastAsia="仿宋" w:cs="仿宋"/>
          <w:color w:val="000000"/>
          <w:sz w:val="24"/>
          <w:szCs w:val="24"/>
        </w:rPr>
        <w:t xml:space="preserve">签字、签章或印鉴</w:t>
      </w:r>
      <w:r>
        <w:rPr>
          <w:rFonts w:hint="eastAsia" w:ascii="仿宋" w:hAnsi="仿宋" w:eastAsia="仿宋" w:cs="仿宋"/>
          <w:sz w:val="24"/>
          <w:szCs w:val="24"/>
        </w:rPr>
        <w:t xml:space="preserve">：</w:t>
      </w:r>
      <w:r/>
    </w:p>
    <w:p>
      <w:pPr>
        <w:ind w:firstLine="432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jc w:val="left"/>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3.供应商为自然人的情形，可不提供本《授权委托书》。</w:t>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widowControl/>
        <w:rPr>
          <w:rFonts w:hint="eastAsia" w:ascii="仿宋" w:hAnsi="仿宋" w:eastAsia="仿宋" w:cs="仿宋"/>
          <w:color w:val="000000"/>
          <w:sz w:val="24"/>
          <w:szCs w:val="24"/>
        </w:rPr>
        <w:sectPr>
          <w:headerReference w:type="even" r:id="rId15"/>
          <w:headerReference w:type="first" r:id="rId16"/>
          <w:footerReference w:type="even" r:id="rId30"/>
          <w:footerReference w:type="first" r:id="rId31"/>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 w:val="24"/>
          <w:szCs w:val="24"/>
        </w:rPr>
      </w:r>
      <w:r/>
    </w:p>
    <w:p>
      <w:pPr>
        <w:pStyle w:val="1221"/>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3政府采购供应商信用承诺书（实质性格式）</w:t>
      </w:r>
      <w:r/>
    </w:p>
    <w:p>
      <w:pPr>
        <w:ind w:firstLine="321"/>
        <w:jc w:val="cente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ind w:firstLine="321"/>
        <w:jc w:val="center"/>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政府采购供应商信用承诺书</w:t>
      </w:r>
      <w:r/>
    </w:p>
    <w:p>
      <w:pPr>
        <w:ind w:firstLine="640"/>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五、承诺本单位自觉接受行政管理部门、行业组织、社会公众、新闻舆论的监督。</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七、承诺本单位在信用中国（江苏）网站中无违法违规、较重或严重失信记录。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八、承诺本单位提出政府采购质疑和投诉坚持依法依规、诚实信用原则。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九、根据政府采购相关法律法规的规定需要作出的其他承诺。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十一、承诺本单位同意将以上承诺事项上网公示，违背承诺约定行为将作为失信信息，记录到常州市公共信用信息系统，并予以公开。</w:t>
      </w:r>
      <w:r/>
    </w:p>
    <w:p>
      <w:pPr>
        <w:ind w:right="1050" w:firstLine="2880"/>
        <w:jc w:val="both"/>
        <w:spacing w:line="276"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投标人名称（加盖公章）</w:t>
      </w:r>
      <w:r>
        <w:rPr>
          <w:rFonts w:hint="eastAsia" w:ascii="仿宋" w:hAnsi="仿宋" w:eastAsia="仿宋" w:cs="仿宋"/>
          <w:color w:val="000000"/>
          <w:sz w:val="24"/>
          <w:szCs w:val="24"/>
          <w:lang w:val="zh-CN"/>
        </w:rPr>
        <w:t xml:space="preserve">：____________</w:t>
      </w:r>
      <w:r/>
    </w:p>
    <w:p>
      <w:pPr>
        <w:spacing w:before="25" w:after="25"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rPr>
        <w:t xml:space="preserve">日期：_____年______月______日</w:t>
      </w:r>
      <w:r/>
    </w:p>
    <w:p>
      <w:pPr>
        <w:jc w:val="left"/>
        <w:widowControl/>
        <w:rPr>
          <w:rFonts w:hint="eastAsia" w:ascii="仿宋" w:hAnsi="仿宋" w:eastAsia="仿宋" w:cs="仿宋"/>
          <w:color w:val="000000"/>
          <w:sz w:val="24"/>
          <w:szCs w:val="24"/>
        </w:rPr>
      </w:pPr>
      <w:r/>
      <w:bookmarkStart w:id="838" w:name="_Hlt520274393"/>
      <w:r/>
      <w:bookmarkEnd w:id="838"/>
      <w:r/>
      <w:bookmarkStart w:id="839" w:name="_Hlt520343000"/>
      <w:r/>
      <w:bookmarkEnd w:id="839"/>
      <w:r/>
      <w:bookmarkStart w:id="840" w:name="_Hlt520271212"/>
      <w:r/>
      <w:bookmarkEnd w:id="840"/>
      <w:r/>
      <w:bookmarkStart w:id="841" w:name="_Hlt520343392"/>
      <w:r/>
      <w:bookmarkEnd w:id="841"/>
      <w:r/>
      <w:bookmarkStart w:id="842" w:name="_Hlt520273711"/>
      <w:r/>
      <w:bookmarkEnd w:id="842"/>
      <w:r/>
      <w:bookmarkStart w:id="843" w:name="_Hlt520274407"/>
      <w:r/>
      <w:bookmarkEnd w:id="843"/>
      <w:r/>
      <w:bookmarkStart w:id="844" w:name="_Hlt520274065"/>
      <w:r/>
      <w:bookmarkEnd w:id="844"/>
      <w:r/>
      <w:bookmarkStart w:id="845" w:name="_Hlt520274121"/>
      <w:r/>
      <w:bookmarkEnd w:id="845"/>
      <w:r/>
      <w:bookmarkStart w:id="846" w:name="_Hlt520350918"/>
      <w:r/>
      <w:bookmarkEnd w:id="846"/>
      <w:r/>
      <w:bookmarkStart w:id="847" w:name="_Hlt520355504"/>
      <w:r/>
      <w:bookmarkEnd w:id="847"/>
      <w:r/>
      <w:bookmarkStart w:id="848" w:name="_Toc150480795"/>
      <w:r/>
      <w:bookmarkStart w:id="849" w:name="_Toc226337253"/>
      <w:r/>
      <w:bookmarkStart w:id="850" w:name="_Toc150774762"/>
      <w:r/>
      <w:bookmarkStart w:id="851" w:name="_Toc520356218"/>
      <w:r/>
      <w:bookmarkStart w:id="852" w:name="_Toc265228395"/>
      <w:r/>
      <w:bookmarkStart w:id="853" w:name="_Toc226965747"/>
      <w:r/>
      <w:bookmarkStart w:id="854" w:name="_Toc264969247"/>
      <w:r/>
      <w:bookmarkStart w:id="855" w:name="_Toc305158825"/>
      <w:r/>
      <w:bookmarkStart w:id="856" w:name="_Toc305158899"/>
      <w:r/>
      <w:bookmarkStart w:id="857" w:name="_Toc226965830"/>
      <w:r/>
      <w:bookmarkStart w:id="858" w:name="_Toc142311059"/>
      <w:r/>
      <w:bookmarkStart w:id="859" w:name="_Toc480942350"/>
      <w:r/>
      <w:bookmarkStart w:id="860" w:name="_Toc127151557"/>
      <w:r/>
      <w:bookmarkStart w:id="861" w:name="_Ref467988705"/>
      <w:r/>
      <w:bookmarkStart w:id="862" w:name="_Toc226309801"/>
      <w:r/>
      <w:bookmarkStart w:id="863" w:name="_Toc195842922"/>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4开标一览表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hint="eastAsia" w:ascii="仿宋" w:hAnsi="仿宋" w:eastAsia="仿宋" w:cs="仿宋"/>
          <w:color w:val="000000"/>
          <w:sz w:val="24"/>
          <w:szCs w:val="24"/>
        </w:rPr>
        <w:t xml:space="preserve">（实质性格式）</w:t>
      </w:r>
      <w:r/>
    </w:p>
    <w:p>
      <w:pPr>
        <w:jc w:val="center"/>
        <w:spacing w:line="360" w:lineRule="exact"/>
        <w:rPr>
          <w:rFonts w:hint="eastAsia" w:ascii="仿宋" w:hAnsi="仿宋" w:eastAsia="仿宋" w:cs="仿宋"/>
          <w:b/>
          <w:color w:val="000000"/>
          <w:sz w:val="24"/>
          <w:szCs w:val="24"/>
        </w:rPr>
      </w:pPr>
      <w:r/>
      <w:bookmarkStart w:id="864" w:name="_Toc265228396"/>
      <w:r/>
      <w:bookmarkStart w:id="865" w:name="_Toc226337254"/>
      <w:r/>
      <w:bookmarkStart w:id="866" w:name="_Toc305158900"/>
      <w:r/>
      <w:bookmarkStart w:id="867" w:name="_Toc226309802"/>
      <w:r/>
      <w:bookmarkStart w:id="868" w:name="_Toc226965748"/>
      <w:r/>
      <w:bookmarkStart w:id="869" w:name="_Toc264969248"/>
      <w:r/>
      <w:bookmarkStart w:id="870" w:name="_Toc164608672"/>
      <w:r/>
      <w:bookmarkStart w:id="871" w:name="_Toc164608827"/>
      <w:r/>
      <w:bookmarkStart w:id="872" w:name="_Toc226965831"/>
      <w:r/>
      <w:bookmarkStart w:id="873" w:name="_Toc195842923"/>
      <w:r/>
      <w:bookmarkStart w:id="874" w:name="_Toc305158826"/>
      <w:r/>
      <w:r/>
    </w:p>
    <w:p>
      <w:pPr>
        <w:jc w:val="center"/>
        <w:spacing w:line="3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
    </w:p>
    <w:p>
      <w:pPr>
        <w:ind w:left="0" w:firstLine="562"/>
        <w:keepLines w:val="0"/>
        <w:keepNext w:val="0"/>
        <w:pageBreakBefore w:val="0"/>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r>
      <w:r/>
    </w:p>
    <w:p>
      <w:pPr>
        <w:ind w:left="0" w:firstLine="562"/>
        <w:keepLines w:val="0"/>
        <w:keepNext w:val="0"/>
        <w:pageBreakBefore w:val="0"/>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r>
      <w:r/>
    </w:p>
    <w:p>
      <w:pPr>
        <w:ind w:left="0" w:firstLine="562"/>
        <w:keepLines w:val="0"/>
        <w:keepNext w:val="0"/>
        <w:pageBreakBefore w:val="0"/>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投标价格：</w:t>
      </w:r>
      <w:r>
        <w:rPr>
          <w:rFonts w:hint="eastAsia" w:ascii="仿宋" w:hAnsi="仿宋" w:eastAsia="仿宋" w:cs="仿宋"/>
          <w:b/>
          <w:bCs/>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lang w:val="en-US" w:eastAsia="zh-CN" w:bidi="ar-SA"/>
        </w:rPr>
        <w:t xml:space="preserve">元/年</w:t>
      </w:r>
      <w:r/>
    </w:p>
    <w:p>
      <w:pPr>
        <w:ind w:firstLine="482"/>
        <w:keepLines w:val="0"/>
        <w:keepNext w:val="0"/>
        <w:pageBreakBefore w:val="0"/>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r>
      <w:r/>
    </w:p>
    <w:p>
      <w:pPr>
        <w:ind w:firstLine="723"/>
        <w:keepLines w:val="0"/>
        <w:keepNext w:val="0"/>
        <w:pageBreakBefore w:val="0"/>
        <w:widowControl w:val="off"/>
        <w:rPr>
          <w:rFonts w:hint="default"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注意：1.投标人在系统里填写开标一览表时以年为时间单位。投标报价不得超过584万元/年。</w:t>
      </w:r>
      <w:r/>
    </w:p>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投标人名称（加盖公章）</w:t>
      </w:r>
      <w:r>
        <w:rPr>
          <w:rFonts w:hint="eastAsia" w:ascii="仿宋" w:hAnsi="仿宋" w:eastAsia="仿宋" w:cs="仿宋"/>
          <w:color w:val="000000"/>
          <w:sz w:val="24"/>
          <w:szCs w:val="24"/>
          <w:lang w:val="zh-CN"/>
        </w:rPr>
        <w:t xml:space="preserve">：____________</w:t>
      </w:r>
      <w:r/>
    </w:p>
    <w:p>
      <w:pPr>
        <w:spacing w:before="25" w:after="25"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rPr>
        <w:t xml:space="preserve">日期：_____年______月______日</w:t>
      </w:r>
      <w:r/>
    </w:p>
    <w:p>
      <w:pPr>
        <w:jc w:val="left"/>
        <w:widowControl/>
        <w:rPr>
          <w:rFonts w:hint="eastAsia" w:ascii="仿宋" w:hAnsi="仿宋" w:eastAsia="仿宋" w:cs="仿宋"/>
          <w:color w:val="000000"/>
          <w:sz w:val="24"/>
          <w:szCs w:val="24"/>
        </w:rPr>
      </w:pPr>
      <w:r/>
      <w:bookmarkStart w:id="875" w:name="_Toc142311060"/>
      <w:r/>
      <w:bookmarkStart w:id="876" w:name="_Toc127151558"/>
      <w:r/>
      <w:bookmarkStart w:id="877" w:name="_Toc305158901"/>
      <w:r/>
      <w:bookmarkStart w:id="878" w:name="_Toc195842924"/>
      <w:r/>
      <w:bookmarkStart w:id="879" w:name="_Toc265228397"/>
      <w:r/>
      <w:bookmarkStart w:id="880" w:name="_Toc150774763"/>
      <w:r/>
      <w:bookmarkStart w:id="881" w:name="_Toc226309803"/>
      <w:r/>
      <w:bookmarkStart w:id="882" w:name="_Toc305158827"/>
      <w:r/>
      <w:bookmarkStart w:id="883" w:name="_Toc150480796"/>
      <w:r/>
      <w:bookmarkStart w:id="884" w:name="_Toc264969249"/>
      <w:r/>
      <w:bookmarkStart w:id="885" w:name="_Toc226337255"/>
      <w:r/>
      <w:bookmarkStart w:id="886" w:name="_Toc226965749"/>
      <w:r/>
      <w:bookmarkStart w:id="887" w:name="_Toc226965832"/>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5投标分项报价表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hint="eastAsia" w:ascii="仿宋" w:hAnsi="仿宋" w:eastAsia="仿宋" w:cs="仿宋"/>
          <w:color w:val="000000"/>
          <w:sz w:val="24"/>
          <w:szCs w:val="24"/>
        </w:rPr>
        <w:t xml:space="preserve">（实质性格式）</w:t>
      </w:r>
      <w:r/>
    </w:p>
    <w:p>
      <w:pPr>
        <w:jc w:val="center"/>
        <w:spacing w:line="3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360" w:lineRule="exact"/>
        <w:rPr>
          <w:rFonts w:hint="eastAsia"/>
          <w:b/>
          <w:color w:val="000000"/>
          <w:sz w:val="36"/>
          <w:szCs w:val="36"/>
          <w:highlight w:val="none"/>
        </w:rPr>
      </w:pPr>
      <w:r/>
      <w:bookmarkStart w:id="888" w:name="_Toc226309806"/>
      <w:r/>
      <w:bookmarkStart w:id="889" w:name="_Toc226337258"/>
      <w:r/>
      <w:bookmarkStart w:id="890" w:name="_Toc226965835"/>
      <w:r/>
      <w:bookmarkStart w:id="891" w:name="_Toc265228400"/>
      <w:r/>
      <w:bookmarkStart w:id="892" w:name="_Toc150774765"/>
      <w:r/>
      <w:bookmarkStart w:id="893" w:name="_Toc127151562"/>
      <w:r/>
      <w:bookmarkStart w:id="894" w:name="_Toc150480798"/>
      <w:r/>
      <w:bookmarkStart w:id="895" w:name="_Toc226965752"/>
      <w:r/>
      <w:bookmarkStart w:id="896" w:name="_Toc305158830"/>
      <w:r/>
      <w:bookmarkStart w:id="897" w:name="_Toc264969252"/>
      <w:r/>
      <w:bookmarkStart w:id="898" w:name="_Toc142311062"/>
      <w:r/>
      <w:bookmarkStart w:id="899" w:name="_Toc195842927"/>
      <w:r/>
      <w:bookmarkStart w:id="900" w:name="_Toc305158904"/>
      <w:r/>
      <w:bookmarkStart w:id="901" w:name="_Toc265228399"/>
      <w:r/>
      <w:bookmarkStart w:id="902" w:name="_Toc305158829"/>
      <w:r/>
      <w:bookmarkStart w:id="903" w:name="_Toc226309805"/>
      <w:r/>
      <w:bookmarkStart w:id="904" w:name="_Toc150480797"/>
      <w:r/>
      <w:bookmarkStart w:id="905" w:name="_Toc226965834"/>
      <w:r/>
      <w:bookmarkStart w:id="906" w:name="_Toc150774764"/>
      <w:r/>
      <w:bookmarkStart w:id="907" w:name="_Toc305158903"/>
      <w:r/>
      <w:bookmarkStart w:id="908" w:name="_Toc142311061"/>
      <w:r/>
      <w:bookmarkStart w:id="909" w:name="_Toc195842926"/>
      <w:r/>
      <w:bookmarkStart w:id="910" w:name="_Toc226965751"/>
      <w:r/>
      <w:bookmarkStart w:id="911" w:name="_Toc264969251"/>
      <w:r/>
      <w:bookmarkStart w:id="912" w:name="_Toc127151561"/>
      <w:r/>
      <w:bookmarkStart w:id="913" w:name="_Toc226337257"/>
      <w:r/>
      <w:r/>
    </w:p>
    <w:p>
      <w:pPr>
        <w:jc w:val="center"/>
        <w:spacing w:line="36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投标分项报价表</w:t>
      </w:r>
      <w:r/>
    </w:p>
    <w:p>
      <w:pPr>
        <w:jc w:val="center"/>
        <w:spacing w:line="2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项目编号：___________ 项目名称：__________</w:t>
      </w:r>
      <w:r>
        <w:rPr>
          <w:rFonts w:hint="eastAsia" w:ascii="仿宋" w:hAnsi="仿宋" w:eastAsia="仿宋" w:cs="仿宋"/>
          <w:color w:val="000000"/>
          <w:sz w:val="24"/>
          <w:szCs w:val="24"/>
          <w:highlight w:val="none"/>
          <w:lang w:val="en-US" w:eastAsia="zh-CN"/>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bl>
      <w:tblPr>
        <w:tblStyle w:val="1220"/>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2373"/>
      </w:tblGrid>
      <w:tr>
        <w:trPr>
          <w:cantSplit/>
          <w:jc w:val="center"/>
          <w:trHeight w:val="1339"/>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投标价格</w:t>
            </w:r>
            <w:r/>
          </w:p>
        </w:tc>
      </w:tr>
      <w:tr>
        <w:trPr>
          <w:jc w:val="center"/>
          <w:trHeight w:val="53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环卫保洁</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（自行填写）</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        元/年</w:t>
            </w:r>
            <w:r/>
          </w:p>
        </w:tc>
      </w:tr>
      <w:tr>
        <w:trPr>
          <w:jc w:val="cente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绿化管护</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（自行填写）</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        元/年</w:t>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作业服务费</w:t>
            </w:r>
            <w:r>
              <w:rPr>
                <w:rFonts w:hint="eastAsia" w:ascii="仿宋" w:hAnsi="仿宋" w:eastAsia="仿宋" w:cs="仿宋"/>
                <w:sz w:val="24"/>
                <w:szCs w:val="24"/>
                <w:highlight w:val="none"/>
                <w:lang w:val="en-US" w:eastAsia="zh-CN"/>
              </w:rPr>
              <w:t xml:space="preserve">合计</w:t>
            </w:r>
            <w:r/>
          </w:p>
        </w:tc>
        <w:tc>
          <w:tcPr>
            <w:gridSpan w:val="3"/>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                       元/年</w:t>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rPr>
              <w:t xml:space="preserve">项目管理负责人（环卫保洁负责人）</w:t>
            </w:r>
            <w:r/>
          </w:p>
        </w:tc>
        <w:tc>
          <w:tcPr>
            <w:gridSpan w:val="3"/>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绿化管养负责人</w:t>
            </w:r>
            <w:r/>
          </w:p>
        </w:tc>
        <w:tc>
          <w:tcPr>
            <w:gridSpan w:val="3"/>
            <w:tcBorders>
              <w:top w:val="single" w:color="auto" w:sz="4" w:space="0"/>
              <w:left w:val="single" w:color="auto" w:sz="4" w:space="0"/>
              <w:bottom w:val="single" w:color="auto" w:sz="4" w:space="0"/>
              <w:right w:val="single" w:color="auto" w:sz="4" w:space="0"/>
            </w:tcBorders>
            <w:tcW w:w="44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400" w:lineRule="exact"/>
        <w:rPr>
          <w:rFonts w:hint="eastAsia" w:ascii="仿宋" w:hAnsi="仿宋" w:eastAsia="仿宋" w:cs="仿宋"/>
          <w:color w:val="auto"/>
          <w:sz w:val="24"/>
          <w:szCs w:val="24"/>
          <w:highlight w:val="yellow"/>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yellow"/>
        </w:rPr>
        <w:t xml:space="preserve">作业服务费</w:t>
      </w:r>
      <w:r>
        <w:rPr>
          <w:rFonts w:hint="eastAsia" w:ascii="仿宋" w:hAnsi="仿宋" w:eastAsia="仿宋" w:cs="仿宋"/>
          <w:color w:val="auto"/>
          <w:sz w:val="24"/>
          <w:szCs w:val="24"/>
          <w:highlight w:val="yellow"/>
          <w:lang w:val="en-US" w:eastAsia="zh-CN"/>
        </w:rPr>
        <w:t xml:space="preserve">合计</w:t>
      </w:r>
      <w:r>
        <w:rPr>
          <w:rFonts w:hint="eastAsia" w:ascii="仿宋" w:hAnsi="仿宋" w:eastAsia="仿宋" w:cs="仿宋"/>
          <w:color w:val="auto"/>
          <w:sz w:val="24"/>
          <w:szCs w:val="24"/>
          <w:highlight w:val="yellow"/>
        </w:rPr>
        <w:t xml:space="preserve">按一</w:t>
      </w:r>
      <w:r>
        <w:rPr>
          <w:rFonts w:hint="eastAsia" w:ascii="仿宋" w:hAnsi="仿宋" w:eastAsia="仿宋" w:cs="仿宋"/>
          <w:color w:val="auto"/>
          <w:sz w:val="24"/>
          <w:szCs w:val="24"/>
          <w:highlight w:val="yellow"/>
          <w:lang w:val="en-US" w:eastAsia="zh-CN"/>
        </w:rPr>
        <w:t xml:space="preserve">年</w:t>
      </w:r>
      <w:r>
        <w:rPr>
          <w:rFonts w:hint="eastAsia" w:ascii="仿宋" w:hAnsi="仿宋" w:eastAsia="仿宋" w:cs="仿宋"/>
          <w:color w:val="auto"/>
          <w:sz w:val="24"/>
          <w:szCs w:val="24"/>
          <w:highlight w:val="yellow"/>
        </w:rPr>
        <w:t xml:space="preserve">计算，各项费用的报价均以</w:t>
      </w:r>
      <w:r>
        <w:rPr>
          <w:rFonts w:hint="eastAsia" w:ascii="仿宋" w:hAnsi="仿宋" w:eastAsia="仿宋" w:cs="仿宋"/>
          <w:color w:val="auto"/>
          <w:sz w:val="24"/>
          <w:szCs w:val="24"/>
          <w:highlight w:val="yellow"/>
          <w:lang w:val="en-US" w:eastAsia="zh-CN"/>
        </w:rPr>
        <w:t xml:space="preserve">年</w:t>
      </w:r>
      <w:r>
        <w:rPr>
          <w:rFonts w:hint="eastAsia" w:ascii="仿宋" w:hAnsi="仿宋" w:eastAsia="仿宋" w:cs="仿宋"/>
          <w:color w:val="auto"/>
          <w:sz w:val="24"/>
          <w:szCs w:val="24"/>
          <w:highlight w:val="yellow"/>
        </w:rPr>
        <w:t xml:space="preserve">为时间单位。</w:t>
      </w:r>
      <w:r/>
    </w:p>
    <w:p>
      <w:pPr>
        <w:ind w:firstLine="5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2、报价金额大、小写不一致时，以大写金额为准；单项报价金额计算合计与投标总报价不一致时，以单项合计金额为准。</w:t>
      </w:r>
      <w:r/>
    </w:p>
    <w:p>
      <w:pPr>
        <w:ind w:firstLine="560"/>
        <w:spacing w:line="4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、报价金额全部采用人民币表示，投标报价精确到</w:t>
      </w:r>
      <w:r>
        <w:rPr>
          <w:rFonts w:hint="eastAsia" w:ascii="仿宋" w:hAnsi="仿宋" w:eastAsia="仿宋" w:cs="仿宋"/>
          <w:b/>
          <w:bCs/>
          <w:color w:val="auto"/>
          <w:sz w:val="24"/>
          <w:szCs w:val="24"/>
          <w:highlight w:val="none"/>
        </w:rPr>
        <w:t xml:space="preserve">以元为单位的整数</w:t>
      </w:r>
      <w:r>
        <w:rPr>
          <w:rFonts w:hint="eastAsia" w:ascii="仿宋" w:hAnsi="仿宋" w:eastAsia="仿宋" w:cs="仿宋"/>
          <w:color w:val="auto"/>
          <w:sz w:val="24"/>
          <w:szCs w:val="24"/>
          <w:highlight w:val="none"/>
        </w:rPr>
        <w:t xml:space="preserve">。</w:t>
      </w:r>
      <w:r/>
    </w:p>
    <w:p>
      <w:pPr>
        <w:ind w:firstLine="56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供应商必须严格执行国家、省、市关于用工工资标准等有关政策规定，并承担其雇员的劳动报酬、福利待遇、意外伤害险、所有符合要求的员工按劳动法缴纳社会保险、劳动保护、工伤抚恤等用人费用，承担未正确执行劳动法用工规定所产生的法律责任，维护和保障员工的合法权益。</w:t>
      </w:r>
      <w:r/>
    </w:p>
    <w:p>
      <w:pPr>
        <w:ind w:firstLine="56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5、投标报价应包括包括但不限于承包期内保洁服务、绿化养护的一切费用。</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投标人名称</w:t>
      </w:r>
      <w:r>
        <w:rPr>
          <w:rFonts w:hint="eastAsia" w:ascii="仿宋" w:hAnsi="仿宋" w:eastAsia="仿宋" w:cs="仿宋"/>
          <w:sz w:val="24"/>
          <w:szCs w:val="24"/>
          <w:lang w:val="en-US" w:eastAsia="zh-CN"/>
        </w:rPr>
        <w:t xml:space="preserve">（电子签章）</w:t>
      </w:r>
      <w:r>
        <w:rPr>
          <w:rFonts w:hint="eastAsia" w:ascii="仿宋" w:hAnsi="仿宋" w:eastAsia="仿宋" w:cs="仿宋"/>
          <w:color w:val="000000"/>
          <w:sz w:val="24"/>
          <w:szCs w:val="24"/>
          <w:highlight w:val="none"/>
          <w:lang w:val="zh-CN"/>
        </w:rPr>
        <w:t xml:space="preserve">：____________</w:t>
      </w:r>
      <w:r/>
    </w:p>
    <w:p>
      <w:pPr>
        <w:spacing w:line="360" w:lineRule="auto"/>
        <w:rPr>
          <w:rFonts w:hint="eastAsia" w:ascii="仿宋" w:hAnsi="仿宋" w:eastAsia="仿宋" w:cs="仿宋"/>
          <w:color w:val="000000"/>
          <w:sz w:val="28"/>
          <w:szCs w:val="28"/>
          <w:highlight w:val="none"/>
        </w:rPr>
        <w:outlineLvl w:val="2"/>
      </w:pPr>
      <w:r>
        <w:rPr>
          <w:rFonts w:hint="eastAsia" w:ascii="仿宋" w:hAnsi="仿宋" w:eastAsia="仿宋" w:cs="仿宋"/>
          <w:color w:val="000000"/>
          <w:sz w:val="24"/>
          <w:szCs w:val="24"/>
          <w:highlight w:val="none"/>
        </w:rPr>
        <w:t xml:space="preserve">日期：_____年______月______日 </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outlineLvl w:val="2"/>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spacing w:val="6"/>
          <w:sz w:val="24"/>
          <w:szCs w:val="24"/>
          <w:highlight w:val="none"/>
        </w:rPr>
        <w:outlineLvl w:val="2"/>
      </w:pP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ff0000"/>
          <w:sz w:val="24"/>
          <w:szCs w:val="24"/>
          <w:highlight w:val="none"/>
          <w:u w:val="single"/>
          <w:lang w:val="en-US" w:eastAsia="zh-CN" w:bidi="ar-SA"/>
        </w:rPr>
        <w:t xml:space="preserve">《项目人员配置表》及承诺函</w:t>
      </w:r>
      <w:r>
        <w:rPr>
          <w:rFonts w:hint="eastAsia" w:ascii="仿宋" w:hAnsi="仿宋" w:eastAsia="仿宋" w:cs="仿宋"/>
          <w:color w:val="000000"/>
          <w:sz w:val="24"/>
          <w:szCs w:val="24"/>
          <w:highlight w:val="none"/>
        </w:rPr>
        <w:t xml:space="preserve">（格式自拟）</w:t>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pStyle w:val="124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4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4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4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4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43"/>
        <w:rPr>
          <w:rFonts w:hint="eastAsia"/>
        </w:rPr>
      </w:pPr>
      <w:r>
        <w:rPr>
          <w:rFonts w:hint="eastAsia"/>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pStyle w:val="1243"/>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sz w:val="24"/>
          <w:szCs w:val="24"/>
          <w:lang w:val="en-US" w:eastAsia="zh-CN"/>
        </w:rPr>
        <w:sectPr>
          <w:footerReference w:type="default" r:id="rId32"/>
          <w:footnotePr/>
          <w:endnotePr/>
          <w:type w:val="nextPage"/>
          <w:pgSz w:w="11905" w:h="16838" w:orient="portrait"/>
          <w:pgMar w:top="1440" w:right="1134" w:bottom="1440" w:left="1134" w:header="850" w:footer="992" w:gutter="0"/>
          <w:cols w:num="1" w:sep="0" w:space="1701" w:equalWidth="1"/>
          <w:docGrid w:linePitch="360"/>
        </w:sectPr>
      </w:pPr>
      <w:r>
        <w:rPr>
          <w:rFonts w:hint="eastAsia" w:ascii="仿宋" w:hAnsi="仿宋" w:eastAsia="仿宋" w:cs="仿宋"/>
          <w:color w:val="000000"/>
          <w:sz w:val="24"/>
          <w:szCs w:val="24"/>
          <w:lang w:val="en-US" w:eastAsia="zh-CN"/>
        </w:rPr>
        <w:t xml:space="preserve">7、</w:t>
      </w:r>
      <w:r>
        <w:rPr>
          <w:rFonts w:hint="eastAsia" w:ascii="仿宋" w:hAnsi="仿宋" w:eastAsia="仿宋" w:cs="仿宋"/>
          <w:b/>
          <w:bCs/>
          <w:color w:val="ff0000"/>
          <w:sz w:val="24"/>
          <w:szCs w:val="24"/>
          <w:highlight w:val="none"/>
          <w:u w:val="single"/>
          <w:lang w:val="en-US" w:eastAsia="zh-CN" w:bidi="ar-SA"/>
        </w:rPr>
        <w:t xml:space="preserve">《车辆/装备配置表》</w:t>
      </w:r>
      <w:r>
        <w:rPr>
          <w:rFonts w:hint="eastAsia" w:ascii="仿宋" w:hAnsi="仿宋" w:eastAsia="仿宋" w:cs="仿宋"/>
          <w:sz w:val="24"/>
          <w:szCs w:val="24"/>
          <w:lang w:val="en-US" w:eastAsia="zh-CN"/>
        </w:rPr>
        <w:t xml:space="preserve">（格式自拟）</w:t>
      </w:r>
      <w:r/>
    </w:p>
    <w:p>
      <w:pPr>
        <w:pStyle w:val="1243"/>
        <w:rPr>
          <w:rFonts w:hint="eastAsia" w:eastAsia="仿宋"/>
          <w:lang w:val="en-US" w:eastAsia="zh-CN"/>
        </w:rPr>
      </w:pPr>
      <w:r>
        <w:rPr>
          <w:rFonts w:hint="eastAsia" w:eastAsia="仿宋"/>
          <w:lang w:val="en-US" w:eastAsia="zh-CN"/>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hint="eastAsia" w:ascii="仿宋" w:hAnsi="仿宋" w:eastAsia="仿宋" w:cs="仿宋"/>
          <w:color w:val="000000"/>
          <w:sz w:val="24"/>
          <w:szCs w:val="24"/>
        </w:rPr>
        <w:t xml:space="preserve">（实质性格式）</w:t>
      </w:r>
      <w:r/>
    </w:p>
    <w:p>
      <w:pPr>
        <w:jc w:val="center"/>
        <w:spacing w:line="360" w:lineRule="auto"/>
        <w:tabs>
          <w:tab w:val="left" w:pos="2775" w:leader="none"/>
          <w:tab w:val="center" w:pos="4153" w:leader="none"/>
        </w:tabs>
        <w:rPr>
          <w:rFonts w:hint="eastAsia" w:ascii="仿宋" w:hAnsi="仿宋" w:eastAsia="仿宋" w:cs="仿宋"/>
          <w:b/>
          <w:sz w:val="24"/>
          <w:szCs w:val="24"/>
          <w:u w:val="single"/>
          <w:lang w:val="en-US" w:eastAsia="zh-CN" w:bidi="ar-SA"/>
        </w:rPr>
      </w:pPr>
      <w:r>
        <w:rPr>
          <w:rFonts w:hint="eastAsia" w:ascii="仿宋" w:hAnsi="仿宋" w:eastAsia="仿宋" w:cs="仿宋"/>
          <w:b/>
          <w:color w:val="000000"/>
          <w:sz w:val="24"/>
          <w:szCs w:val="24"/>
        </w:rPr>
        <w:t xml:space="preserve">合同条款偏离表</w:t>
      </w:r>
      <w:r/>
    </w:p>
    <w:p>
      <w:pPr>
        <w:ind w:firstLine="360"/>
        <w:jc w:val="left"/>
        <w:spacing w:line="360" w:lineRule="auto"/>
        <w:tabs>
          <w:tab w:val="left" w:pos="1800" w:leader="none"/>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项目编号/包号：_____________________项目名称：_____________</w:t>
      </w:r>
      <w:r/>
    </w:p>
    <w:tbl>
      <w:tblPr>
        <w:tblStyle w:val="1220"/>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对本项目合同条款的偏离情况（请进行勾选）：</w:t>
            </w:r>
            <w:r/>
          </w:p>
          <w:p>
            <w:pPr>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□无偏离</w:t>
            </w:r>
            <w:r>
              <w:rPr>
                <w:rFonts w:hint="eastAsia" w:ascii="仿宋" w:hAnsi="仿宋" w:eastAsia="仿宋" w:cs="仿宋"/>
                <w:color w:val="000000"/>
                <w:sz w:val="24"/>
                <w:szCs w:val="24"/>
              </w:rPr>
              <w:t xml:space="preserve">（如无偏离，仅勾选无偏离即可）</w:t>
            </w:r>
            <w:r/>
          </w:p>
          <w:p>
            <w:pPr>
              <w:jc w:val="lef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□有偏离</w:t>
            </w:r>
            <w:r>
              <w:rPr>
                <w:rFonts w:hint="eastAsia" w:ascii="仿宋" w:hAnsi="仿宋" w:eastAsia="仿宋" w:cs="仿宋"/>
                <w:color w:val="000000"/>
                <w:sz w:val="24"/>
                <w:szCs w:val="24"/>
              </w:rPr>
              <w:t xml:space="preserve">（如有偏离，则应在本表中对偏离项逐一列明）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3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招标文件条目号（页码）</w:t>
            </w:r>
            <w:r/>
          </w:p>
        </w:tc>
        <w:tc>
          <w:tcPr>
            <w:tcW w:w="200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w:t>
            </w:r>
            <w:r/>
          </w:p>
        </w:tc>
        <w:tc>
          <w:tcPr>
            <w:tcW w:w="200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投标文件内容</w:t>
            </w:r>
            <w:r/>
          </w:p>
        </w:tc>
        <w:tc>
          <w:tcPr>
            <w:tcW w:w="24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偏离情况</w:t>
            </w:r>
            <w:r/>
          </w:p>
        </w:tc>
        <w:tc>
          <w:tcPr>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3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5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left"/>
        <w:tabs>
          <w:tab w:val="left" w:pos="1800" w:leader="none"/>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tabs>
          <w:tab w:val="left" w:pos="1800" w:leader="none"/>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p>
    <w:p>
      <w:pPr>
        <w:jc w:val="left"/>
        <w:tabs>
          <w:tab w:val="left" w:pos="1800" w:leader="none"/>
          <w:tab w:val="left" w:pos="5580"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仿宋" w:hAnsi="仿宋" w:eastAsia="仿宋" w:cs="仿宋"/>
          <w:color w:val="000000"/>
          <w:sz w:val="24"/>
          <w:szCs w:val="24"/>
        </w:rPr>
      </w:pPr>
      <w:r>
        <w:rPr>
          <w:rFonts w:hint="eastAsia" w:ascii="仿宋" w:hAnsi="仿宋" w:eastAsia="仿宋" w:cs="仿宋"/>
          <w:sz w:val="24"/>
          <w:szCs w:val="24"/>
        </w:rPr>
        <w:t xml:space="preserve">2.“偏离情况”列应</w:t>
      </w:r>
      <w:r>
        <w:rPr>
          <w:rFonts w:hint="eastAsia" w:ascii="仿宋" w:hAnsi="仿宋" w:eastAsia="仿宋" w:cs="仿宋"/>
          <w:color w:val="000000"/>
          <w:sz w:val="24"/>
          <w:szCs w:val="24"/>
        </w:rPr>
        <w:t xml:space="preserve">据实</w:t>
      </w:r>
      <w:r>
        <w:rPr>
          <w:rFonts w:hint="eastAsia" w:ascii="仿宋" w:hAnsi="仿宋" w:eastAsia="仿宋" w:cs="仿宋"/>
          <w:sz w:val="24"/>
          <w:szCs w:val="24"/>
        </w:rPr>
        <w:t xml:space="preserve">填写“正偏离”或“负偏离”。</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投标人名称（加盖公章）</w:t>
      </w:r>
      <w:r>
        <w:rPr>
          <w:rFonts w:hint="eastAsia" w:ascii="仿宋" w:hAnsi="仿宋" w:eastAsia="仿宋" w:cs="仿宋"/>
          <w:color w:val="000000"/>
          <w:sz w:val="24"/>
          <w:szCs w:val="24"/>
          <w:lang w:val="zh-CN"/>
        </w:rPr>
        <w:t xml:space="preserve">：____________</w:t>
      </w:r>
      <w:r/>
    </w:p>
    <w:p>
      <w:pPr>
        <w:spacing w:before="25" w:after="25"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rPr>
        <w:t xml:space="preserve">日期：_____年______月______日</w:t>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rPr>
        <w:br w:type="page" w:clear="all"/>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highlight w:val="none"/>
        </w:rPr>
        <w:t xml:space="preserve">采购需求偏离表（实质性格式）</w:t>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采购需求偏离表</w:t>
      </w:r>
      <w:r/>
    </w:p>
    <w:p>
      <w:pPr>
        <w:ind w:firstLine="315"/>
        <w:jc w:val="left"/>
        <w:spacing w:line="360" w:lineRule="auto"/>
        <w:tabs>
          <w:tab w:val="left" w:pos="1800" w:leader="none"/>
          <w:tab w:val="left" w:pos="558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项目编号/包号：_____________________     项目名称：____________</w:t>
      </w:r>
      <w:r/>
    </w:p>
    <w:tbl>
      <w:tblPr>
        <w:tblStyle w:val="1220"/>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jc w:val="center"/>
          <w:trHeight w:val="1053"/>
        </w:trPr>
        <w:tc>
          <w:tcPr>
            <w:tcW w:w="89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274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招标文件要求</w:t>
            </w:r>
            <w:r/>
          </w:p>
        </w:tc>
        <w:tc>
          <w:tcPr>
            <w:tcW w:w="24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投标响应内容</w:t>
            </w:r>
            <w:r/>
          </w:p>
        </w:tc>
        <w:tc>
          <w:tcPr>
            <w:tcW w:w="215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tc>
        <w:tc>
          <w:tcPr>
            <w:tcW w:w="116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891"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W w:w="274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eastAsia="zh-CN"/>
              </w:rPr>
              <w:t xml:space="preserve">采购需求中的所有内容</w:t>
            </w:r>
            <w:r/>
          </w:p>
        </w:tc>
        <w:tc>
          <w:tcPr>
            <w:tcW w:w="24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5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6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9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4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5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6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9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4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5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6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9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4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5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6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91"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4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5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60"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315"/>
        <w:jc w:val="left"/>
        <w:spacing w:line="360" w:lineRule="auto"/>
        <w:tabs>
          <w:tab w:val="left" w:pos="1800" w:leader="none"/>
          <w:tab w:val="left" w:pos="558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p>
    <w:p>
      <w:pPr>
        <w:jc w:val="left"/>
        <w:spacing w:line="360" w:lineRule="auto"/>
        <w:tabs>
          <w:tab w:val="left" w:pos="1800" w:leader="none"/>
          <w:tab w:val="left" w:pos="5580"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 </w:t>
      </w:r>
      <w:r>
        <w:rPr>
          <w:rFonts w:hint="eastAsia" w:ascii="仿宋" w:hAnsi="仿宋" w:eastAsia="仿宋" w:cs="仿宋"/>
          <w:sz w:val="24"/>
          <w:szCs w:val="24"/>
          <w:highlight w:val="none"/>
        </w:rPr>
        <w:t xml:space="preserve">对招标文件中的所有商务、技术要求，除本表所列明的所有偏离外，均视作供应商已对之理解和响应。此表中若无任何文字说明，内容为空白，</w:t>
      </w:r>
      <w:r>
        <w:rPr>
          <w:rFonts w:hint="eastAsia" w:ascii="仿宋" w:hAnsi="仿宋" w:eastAsia="仿宋" w:cs="仿宋"/>
          <w:b/>
          <w:sz w:val="24"/>
          <w:szCs w:val="24"/>
          <w:highlight w:val="none"/>
        </w:rPr>
        <w:t xml:space="preserve">投标无效。</w:t>
      </w:r>
      <w:r/>
    </w:p>
    <w:p>
      <w:pPr>
        <w:jc w:val="left"/>
        <w:spacing w:line="360" w:lineRule="auto"/>
        <w:tabs>
          <w:tab w:val="left" w:pos="1800" w:leader="none"/>
          <w:tab w:val="left" w:pos="55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lang w:eastAsia="zh-CN"/>
        </w:rPr>
        <w:t xml:space="preserve">“响应内容”列填写“完全响应”或</w:t>
      </w:r>
      <w:bookmarkStart w:id="914" w:name="OLE_LINK4"/>
      <w:r>
        <w:rPr>
          <w:rFonts w:hint="eastAsia" w:ascii="仿宋" w:hAnsi="仿宋" w:eastAsia="仿宋" w:cs="仿宋"/>
          <w:sz w:val="24"/>
          <w:szCs w:val="24"/>
          <w:lang w:eastAsia="zh-CN"/>
        </w:rPr>
        <w:t xml:space="preserve">“不完全响应”或“不响应”</w:t>
      </w:r>
      <w:bookmarkEnd w:id="914"/>
      <w:r>
        <w:rPr>
          <w:rFonts w:hint="eastAsia" w:ascii="仿宋" w:hAnsi="仿宋" w:eastAsia="仿宋" w:cs="仿宋"/>
          <w:sz w:val="24"/>
          <w:szCs w:val="24"/>
          <w:lang w:eastAsia="zh-CN"/>
        </w:rPr>
        <w:t xml:space="preserve">，若“不完全响应”或“不响应”，则应在“说明”列进行说明。</w:t>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“偏离情况”列应</w:t>
      </w:r>
      <w:r>
        <w:rPr>
          <w:rFonts w:hint="eastAsia" w:ascii="仿宋" w:hAnsi="仿宋" w:eastAsia="仿宋" w:cs="仿宋"/>
          <w:color w:val="000000"/>
          <w:sz w:val="24"/>
          <w:szCs w:val="24"/>
          <w:highlight w:val="none"/>
        </w:rPr>
        <w:t xml:space="preserve">据实</w:t>
      </w:r>
      <w:r>
        <w:rPr>
          <w:rFonts w:hint="eastAsia" w:ascii="仿宋" w:hAnsi="仿宋" w:eastAsia="仿宋" w:cs="仿宋"/>
          <w:sz w:val="24"/>
          <w:szCs w:val="24"/>
          <w:highlight w:val="none"/>
        </w:rPr>
        <w:t xml:space="preserve">填写“正偏离”或“负偏离”。若“无偏离”，则写明“无偏离”即可。</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投标人名称（加盖公章）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   </w:t>
      </w:r>
      <w:r/>
    </w:p>
    <w:p>
      <w:pPr>
        <w:spacing w:line="360" w:lineRule="auto"/>
        <w:rPr>
          <w:rFonts w:hint="eastAsia" w:ascii="仿宋" w:hAnsi="仿宋" w:eastAsia="仿宋" w:cs="仿宋"/>
          <w:color w:val="000000"/>
          <w:sz w:val="24"/>
          <w:szCs w:val="24"/>
          <w:lang w:val="en-US" w:eastAsia="zh-CN"/>
        </w:rPr>
        <w:outlineLvl w:val="2"/>
      </w:pPr>
      <w:r>
        <w:rPr>
          <w:rFonts w:hint="eastAsia" w:ascii="仿宋" w:hAnsi="仿宋" w:eastAsia="仿宋" w:cs="仿宋"/>
          <w:color w:val="000000"/>
          <w:sz w:val="24"/>
          <w:szCs w:val="24"/>
          <w:lang w:val="en-US" w:eastAsia="zh-CN"/>
        </w:rPr>
      </w:r>
      <w:r/>
    </w:p>
    <w:p>
      <w:pPr>
        <w:spacing w:line="360" w:lineRule="auto"/>
        <w:rPr>
          <w:rFonts w:hint="eastAsia" w:ascii="仿宋" w:hAnsi="仿宋" w:eastAsia="仿宋" w:cs="仿宋"/>
          <w:color w:val="000000"/>
          <w:sz w:val="24"/>
          <w:szCs w:val="24"/>
          <w:lang w:val="en-US" w:eastAsia="zh-CN"/>
        </w:rPr>
        <w:outlineLvl w:val="2"/>
      </w:pPr>
      <w:r>
        <w:rPr>
          <w:rFonts w:hint="eastAsia" w:ascii="仿宋" w:hAnsi="仿宋" w:eastAsia="仿宋" w:cs="仿宋"/>
          <w:color w:val="000000"/>
          <w:sz w:val="24"/>
          <w:szCs w:val="24"/>
          <w:lang w:val="en-US" w:eastAsia="zh-CN"/>
        </w:rPr>
      </w:r>
      <w:r/>
    </w:p>
    <w:p>
      <w:pPr>
        <w:pStyle w:val="1221"/>
        <w:jc w:val="both"/>
        <w:spacing w:before="320" w:after="20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rPr>
          <w:rFonts w:hint="eastAsia" w:ascii="仿宋" w:hAnsi="仿宋" w:eastAsia="仿宋" w:cs="仿宋"/>
          <w:b w:val="0"/>
          <w:sz w:val="24"/>
          <w:szCs w:val="24"/>
          <w:u w:val="none"/>
          <w:lang w:val="en-US" w:eastAsia="zh-CN" w:bidi="ar-SA"/>
        </w:rPr>
        <w:t xml:space="preserve">实质性条款响应情况表</w:t>
      </w:r>
      <w:r/>
    </w:p>
    <w:p>
      <w:pPr>
        <w:pStyle w:val="1221"/>
        <w:ind w:firstLine="3360"/>
        <w:jc w:val="both"/>
        <w:spacing w:before="320" w:after="200"/>
        <w:rPr>
          <w:rFonts w:hint="eastAsia" w:ascii="仿宋" w:hAnsi="仿宋" w:eastAsia="仿宋" w:cs="仿宋"/>
          <w:b w:val="0"/>
          <w:sz w:val="24"/>
          <w:szCs w:val="24"/>
          <w:u w:val="none"/>
          <w:lang w:val="en-US" w:eastAsia="zh-CN" w:bidi="ar-SA"/>
        </w:rPr>
      </w:pPr>
      <w:r>
        <w:rPr>
          <w:rFonts w:hint="eastAsia" w:ascii="仿宋" w:hAnsi="仿宋" w:eastAsia="仿宋" w:cs="仿宋"/>
          <w:b w:val="0"/>
          <w:sz w:val="24"/>
          <w:szCs w:val="24"/>
          <w:u w:val="none"/>
          <w:lang w:val="en-US" w:eastAsia="zh-CN" w:bidi="ar-SA"/>
        </w:rPr>
        <w:t xml:space="preserve">实质性条款响应情况表</w:t>
      </w:r>
      <w:r/>
    </w:p>
    <w:tbl>
      <w:tblPr>
        <w:tblStyle w:val="1220"/>
        <w:tblW w:w="100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7091"/>
        <w:gridCol w:w="1077"/>
        <w:gridCol w:w="791"/>
        <w:gridCol w:w="573"/>
      </w:tblGrid>
      <w:tr>
        <w:trPr>
          <w:trHeight w:val="567"/>
        </w:trPr>
        <w:tc>
          <w:tcPr>
            <w:tcW w:w="542"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sz w:val="24"/>
                <w:szCs w:val="24"/>
              </w:rPr>
              <w:suppressLineNumbers w:val="0"/>
            </w:pPr>
            <w:r/>
            <w:bookmarkStart w:id="915" w:name="_Hlk72092651"/>
            <w:r>
              <w:rPr>
                <w:rFonts w:hint="eastAsia" w:ascii="仿宋" w:hAnsi="仿宋" w:eastAsia="仿宋" w:cs="仿宋"/>
                <w:sz w:val="24"/>
                <w:szCs w:val="24"/>
              </w:rPr>
              <w:t xml:space="preserve">序号</w:t>
            </w:r>
            <w:r/>
          </w:p>
        </w:tc>
        <w:tc>
          <w:tcPr>
            <w:tcW w:w="7091"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实质性条款具体内容</w:t>
            </w:r>
            <w:r/>
          </w:p>
        </w:tc>
        <w:tc>
          <w:tcPr>
            <w:tcW w:w="1077"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rPr>
              <w:t xml:space="preserve">投标响应</w:t>
            </w:r>
            <w:r>
              <w:rPr>
                <w:rFonts w:hint="eastAsia" w:ascii="仿宋" w:hAnsi="仿宋" w:eastAsia="仿宋" w:cs="仿宋"/>
                <w:sz w:val="24"/>
                <w:szCs w:val="24"/>
                <w:lang w:val="en-US" w:eastAsia="zh-CN"/>
              </w:rPr>
              <w:t xml:space="preserve">情况</w:t>
            </w:r>
            <w:r/>
          </w:p>
        </w:tc>
        <w:tc>
          <w:tcPr>
            <w:tcW w:w="791"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偏离情况</w:t>
            </w:r>
            <w:r/>
          </w:p>
        </w:tc>
        <w:tc>
          <w:tcPr>
            <w:tcW w:w="573"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说明</w:t>
            </w:r>
            <w:bookmarkEnd w:id="915"/>
            <w:r/>
            <w:r/>
          </w:p>
        </w:tc>
      </w:tr>
      <w:tr>
        <w:trPr>
          <w:trHeight w:val="567"/>
        </w:trPr>
        <w:tc>
          <w:tcPr>
            <w:tcW w:w="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Cs/>
                <w:sz w:val="24"/>
                <w:szCs w:val="24"/>
                <w:lang w:val="en-US" w:eastAsia="zh-CN"/>
              </w:rPr>
              <w:suppressLineNumbers w:val="0"/>
            </w:pPr>
            <w:r>
              <w:rPr>
                <w:rFonts w:hint="eastAsia" w:ascii="仿宋" w:hAnsi="仿宋" w:eastAsia="仿宋" w:cs="仿宋"/>
                <w:bCs/>
                <w:sz w:val="24"/>
                <w:szCs w:val="24"/>
                <w:lang w:val="en-US" w:eastAsia="zh-CN"/>
              </w:rPr>
              <w:t xml:space="preserve">2</w:t>
            </w:r>
            <w:r/>
          </w:p>
        </w:tc>
        <w:tc>
          <w:tcPr>
            <w:tcW w:w="7091" w:type="dxa"/>
            <w:vAlign w:val="top"/>
            <w:textDirection w:val="lrTb"/>
            <w:noWrap w:val="false"/>
          </w:tcPr>
          <w:p>
            <w:pPr>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项目人员基本配置要求：</w:t>
            </w:r>
            <w:r/>
          </w:p>
          <w:p>
            <w:pPr>
              <w:jc w:val="left"/>
              <w:keepLines w:val="0"/>
              <w:keepNext w:val="0"/>
              <w:pageBreakBefore w:val="0"/>
              <w:spacing w:line="360" w:lineRule="auto"/>
              <w:widowControl w:val="off"/>
              <w:rPr>
                <w:rFonts w:hint="eastAsia" w:ascii="仿宋" w:hAnsi="仿宋" w:eastAsia="仿宋" w:cs="仿宋"/>
                <w:b w:val="0"/>
                <w:bCs w:val="0"/>
                <w:color w:val="ff0000"/>
                <w:sz w:val="24"/>
                <w:szCs w:val="24"/>
                <w:highlight w:val="none"/>
                <w:lang w:val="en-US" w:eastAsia="zh-CN"/>
              </w:rPr>
            </w:pPr>
            <w:r>
              <w:rPr>
                <w:rFonts w:hint="eastAsia" w:ascii="仿宋" w:hAnsi="仿宋" w:eastAsia="仿宋" w:cs="仿宋"/>
                <w:b w:val="0"/>
                <w:bCs w:val="0"/>
                <w:color w:val="ff0000"/>
                <w:sz w:val="24"/>
                <w:szCs w:val="24"/>
                <w:highlight w:val="none"/>
                <w:lang w:val="en-US" w:eastAsia="zh-CN"/>
              </w:rPr>
              <w:t xml:space="preserve">（1）提供《项目人员配置表》（格式自拟）及承诺函（承诺满足劳动力数量配备最低要求），并上传至符合条件模块中，否则作无效投标文件处理。</w:t>
            </w:r>
            <w:r/>
          </w:p>
          <w:p>
            <w:pPr>
              <w:jc w:val="both"/>
              <w:keepLines w:val="0"/>
              <w:keepNext w:val="0"/>
              <w:pageBreakBefore w:val="0"/>
              <w:spacing w:line="360" w:lineRule="exact"/>
              <w:widowControl w:val="off"/>
              <w:rPr>
                <w:rFonts w:hint="eastAsia" w:ascii="仿宋" w:hAnsi="仿宋" w:eastAsia="仿宋" w:cs="仿宋"/>
                <w:sz w:val="24"/>
                <w:szCs w:val="24"/>
                <w:lang w:val="en-US" w:eastAsia="zh-CN" w:bidi="ar-SA"/>
              </w:rPr>
              <w:outlineLvl w:val="1"/>
            </w:pPr>
            <w:r>
              <w:rPr>
                <w:rFonts w:hint="eastAsia" w:ascii="仿宋" w:hAnsi="仿宋" w:eastAsia="仿宋" w:cs="仿宋"/>
                <w:b w:val="0"/>
                <w:bCs w:val="0"/>
                <w:color w:val="ff0000"/>
                <w:sz w:val="24"/>
                <w:szCs w:val="24"/>
                <w:highlight w:val="none"/>
                <w:lang w:val="en-US" w:eastAsia="zh-CN"/>
              </w:rPr>
              <w:t xml:space="preserve">（2）提供项目管理负责人（环卫保洁负责人)、绿化管养负责人近半年来（从投标截止时间往前推）任意一月投标人为拟投入人员缴纳社会保险的凭证。并上传至符合条件模块中，否则作无效投标文件处理。</w:t>
            </w:r>
            <w:r/>
          </w:p>
        </w:tc>
        <w:tc>
          <w:tcPr>
            <w:tcW w:w="107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tcW w:w="791"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tcW w:w="57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r>
      <w:tr>
        <w:trPr>
          <w:trHeight w:val="567"/>
        </w:trPr>
        <w:tc>
          <w:tcPr>
            <w:tcW w:w="5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Cs/>
                <w:sz w:val="24"/>
                <w:szCs w:val="24"/>
                <w:lang w:val="en-US" w:eastAsia="zh-CN"/>
              </w:rPr>
              <w:suppressLineNumbers w:val="0"/>
            </w:pPr>
            <w:r>
              <w:rPr>
                <w:rFonts w:hint="eastAsia" w:ascii="仿宋" w:hAnsi="仿宋" w:eastAsia="仿宋" w:cs="仿宋"/>
                <w:bCs/>
                <w:sz w:val="24"/>
                <w:szCs w:val="24"/>
                <w:lang w:val="en-US" w:eastAsia="zh-CN"/>
              </w:rPr>
              <w:t xml:space="preserve">3</w:t>
            </w:r>
            <w:r/>
          </w:p>
        </w:tc>
        <w:tc>
          <w:tcPr>
            <w:tcW w:w="7091" w:type="dxa"/>
            <w:vAlign w:val="top"/>
            <w:textDirection w:val="lrTb"/>
            <w:noWrap w:val="false"/>
          </w:tcPr>
          <w:p>
            <w:pPr>
              <w:jc w:val="both"/>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作业</w:t>
            </w:r>
            <w:r>
              <w:rPr>
                <w:rFonts w:hint="eastAsia" w:ascii="仿宋" w:hAnsi="仿宋" w:eastAsia="仿宋" w:cs="仿宋"/>
                <w:b/>
                <w:bCs/>
                <w:color w:val="auto"/>
                <w:sz w:val="24"/>
                <w:szCs w:val="24"/>
                <w:lang w:val="en-US" w:eastAsia="zh-CN"/>
              </w:rPr>
              <w:t xml:space="preserve">车辆/装备</w:t>
            </w:r>
            <w:r>
              <w:rPr>
                <w:rFonts w:hint="eastAsia" w:ascii="仿宋" w:hAnsi="仿宋" w:eastAsia="仿宋" w:cs="仿宋"/>
                <w:b/>
                <w:bCs/>
                <w:sz w:val="24"/>
                <w:szCs w:val="24"/>
                <w:highlight w:val="none"/>
                <w:lang w:val="en-US" w:eastAsia="zh-CN"/>
              </w:rPr>
              <w:t xml:space="preserve">配置表：</w:t>
            </w:r>
            <w:r/>
          </w:p>
          <w:p>
            <w:pPr>
              <w:jc w:val="both"/>
              <w:spacing w:line="360" w:lineRule="auto"/>
              <w:rPr>
                <w:rFonts w:hint="eastAsia" w:ascii="仿宋" w:hAnsi="仿宋" w:eastAsia="仿宋" w:cs="仿宋"/>
                <w:b/>
                <w:bCs/>
                <w:color w:val="0000ff"/>
                <w:sz w:val="24"/>
                <w:szCs w:val="24"/>
                <w:highlight w:val="none"/>
                <w:u w:val="none"/>
                <w:lang w:val="en-US" w:eastAsia="zh-CN"/>
              </w:rPr>
            </w:pPr>
            <w:r>
              <w:rPr>
                <w:rFonts w:hint="eastAsia" w:ascii="仿宋" w:hAnsi="仿宋" w:eastAsia="仿宋" w:cs="仿宋"/>
                <w:b w:val="0"/>
                <w:bCs w:val="0"/>
                <w:color w:val="ff0000"/>
                <w:sz w:val="24"/>
                <w:szCs w:val="24"/>
                <w:highlight w:val="none"/>
                <w:lang w:val="en-US" w:eastAsia="zh-CN"/>
              </w:rPr>
              <w:t xml:space="preserve">提供《车辆/装备配置表》及车辆/装备的相关证明材料，并上传至符合条件模块中，否则作无效投标文件处理：（1）3吨清扫车、3吨清扫车、8吨洗扫车、3吨垃圾压缩车、原装洒水车、登高车、清运卡车或轻型载货专项作业车自有的须提供</w:t>
            </w:r>
            <w:r>
              <w:rPr>
                <w:rFonts w:hint="eastAsia" w:ascii="仿宋" w:hAnsi="仿宋" w:eastAsia="仿宋" w:cs="仿宋"/>
                <w:b w:val="0"/>
                <w:bCs w:val="0"/>
                <w:color w:val="ff0000"/>
                <w:sz w:val="24"/>
                <w:szCs w:val="24"/>
                <w:highlight w:val="none"/>
                <w:lang w:val="en-US" w:eastAsia="zh-CN"/>
              </w:rPr>
              <w:t xml:space="preserve">：车辆照片、行驶证、购置发票材料（如不能提供购置发票的则需提供购销合同材料）、体现车辆参数的相关证明材料。车辆租赁的须提供：车辆照片、行驶证、租赁合同(租赁期限需满足项目服务期限)材料、体现车辆参数的相关证明材料。（2）1.5吨电动垃圾收运车、电动保洁车、小型电瓶高压冲洗车、背负式鼓风机、打药机自有的须提供：车辆/装备照片、购置发票材料（如不能提供购置发票的则需提供购销合同材料）。租赁的须提供：车辆/装备照片、租赁合同(租赁期限需满足项目服务期限)材料。不提供或提供不符合采购文件要求的，作无效投标文件处理。</w:t>
            </w:r>
            <w:r/>
          </w:p>
        </w:tc>
        <w:tc>
          <w:tcPr>
            <w:tcW w:w="107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tcW w:w="791"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tcW w:w="57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r>
    </w:tbl>
    <w:p>
      <w:pPr>
        <w:pageBreakBefore w:val="0"/>
        <w:spacing w:beforeAutospacing="0" w:afterAutospacing="0" w:line="312"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0" w:firstLine="0"/>
        <w:pageBreakBefore w:val="0"/>
        <w:spacing w:beforeAutospacing="0" w:afterAutospacing="0" w:line="312"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投标人名称（加盖公章）：</w:t>
      </w:r>
      <w:r/>
    </w:p>
    <w:p>
      <w:pPr>
        <w:pageBreakBefore w:val="0"/>
        <w:spacing w:beforeAutospacing="0" w:afterAutospacing="0" w:line="312"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0" w:firstLine="0"/>
        <w:pageBreakBefore w:val="0"/>
        <w:spacing w:beforeAutospacing="0" w:afterAutospacing="0" w:line="312"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日      期：</w:t>
      </w:r>
      <w:r/>
    </w:p>
    <w:p>
      <w:pPr>
        <w:ind w:left="0" w:firstLine="0"/>
        <w:keepLines w:val="0"/>
        <w:keepNext w:val="0"/>
        <w:pageBreakBefore w:val="0"/>
        <w:spacing w:line="400" w:lineRule="exact"/>
        <w:widowControl w:val="off"/>
        <w:rPr>
          <w:rFonts w:hint="eastAsia" w:ascii="仿宋" w:hAnsi="仿宋" w:eastAsia="仿宋" w:cs="仿宋"/>
          <w:b/>
          <w:sz w:val="24"/>
          <w:szCs w:val="24"/>
        </w:rPr>
      </w:pPr>
      <w:r>
        <w:rPr>
          <w:rFonts w:hint="eastAsia" w:ascii="仿宋" w:hAnsi="仿宋" w:eastAsia="仿宋" w:cs="仿宋"/>
          <w:b/>
          <w:sz w:val="24"/>
          <w:szCs w:val="24"/>
        </w:rPr>
      </w:r>
      <w:r/>
    </w:p>
    <w:p>
      <w:pPr>
        <w:ind w:left="0" w:firstLine="0"/>
        <w:keepLines w:val="0"/>
        <w:keepNext w:val="0"/>
        <w:pageBreakBefore w:val="0"/>
        <w:spacing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注：</w:t>
      </w:r>
      <w:r/>
    </w:p>
    <w:p>
      <w:pPr>
        <w:ind w:left="0" w:firstLine="562"/>
        <w:keepLines w:val="0"/>
        <w:keepNext w:val="0"/>
        <w:pageBreakBefore w:val="0"/>
        <w:spacing w:beforeAutospacing="0" w:afterAutospacing="0"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p>
    <w:p>
      <w:pPr>
        <w:ind w:left="0" w:firstLine="562"/>
        <w:keepLines w:val="0"/>
        <w:keepNext w:val="0"/>
        <w:pageBreakBefore w:val="0"/>
        <w:spacing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3.“投标响应情况”一栏，应当如实填写“响应”或“不响应”。</w:t>
      </w:r>
      <w:r/>
    </w:p>
    <w:p>
      <w:pPr>
        <w:ind w:left="0" w:firstLine="562"/>
        <w:keepLines w:val="0"/>
        <w:keepNext w:val="0"/>
        <w:pageBreakBefore w:val="0"/>
        <w:spacing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spacing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5.评审委员会有权对投标响应情况作出判断（作出评审结论）。</w:t>
      </w:r>
      <w:r/>
    </w:p>
    <w:p>
      <w:pPr>
        <w:ind w:left="0" w:firstLine="562"/>
        <w:keepLines w:val="0"/>
        <w:keepNext w:val="0"/>
        <w:pageBreakBefore w:val="0"/>
        <w:spacing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6.《实质性条款响应情况表》内容与投标文件其他内容冲突的，以《实质性条款响应情况表》为准。</w:t>
      </w:r>
      <w:r/>
    </w:p>
    <w:p>
      <w:pPr>
        <w:ind w:left="0" w:firstLine="562"/>
        <w:keepLines w:val="0"/>
        <w:keepNext w:val="0"/>
        <w:pageBreakBefore w:val="0"/>
        <w:spacing w:line="240" w:lineRule="auto"/>
        <w:widowControl w:val="off"/>
        <w:rPr>
          <w:rFonts w:hint="eastAsia" w:ascii="仿宋" w:hAnsi="仿宋" w:eastAsia="仿宋" w:cs="仿宋"/>
          <w:b/>
          <w:bCs/>
          <w:color w:val="ff0000"/>
          <w:sz w:val="24"/>
          <w:szCs w:val="24"/>
          <w:highlight w:val="yellow"/>
          <w:lang w:val="en-US" w:eastAsia="zh-CN" w:bidi="ar-SA"/>
        </w:rPr>
        <w:outlineLvl w:val="9"/>
      </w:pPr>
      <w:r>
        <w:rPr>
          <w:rFonts w:hint="eastAsia" w:ascii="仿宋" w:hAnsi="仿宋" w:eastAsia="仿宋" w:cs="仿宋"/>
          <w:b/>
          <w:bCs/>
          <w:color w:val="ff0000"/>
          <w:sz w:val="24"/>
          <w:szCs w:val="24"/>
          <w:highlight w:val="yellow"/>
          <w:lang w:val="en-US" w:eastAsia="zh-CN" w:bidi="ar-SA"/>
        </w:rPr>
        <w:t xml:space="preserve">7.要求提供证明资料，按照要求提供至相应模块，以便评审；未要求提供证明材料的，投标人可以不提供。</w:t>
      </w:r>
      <w:r/>
    </w:p>
    <w:p>
      <w:pPr>
        <w:rPr>
          <w:rFonts w:hint="eastAsia" w:ascii="仿宋" w:hAnsi="仿宋" w:eastAsia="仿宋" w:cs="仿宋"/>
          <w:sz w:val="24"/>
          <w:szCs w:val="24"/>
        </w:rPr>
      </w:pPr>
      <w:r>
        <w:rPr>
          <w:rFonts w:hint="eastAsia" w:ascii="仿宋" w:hAnsi="仿宋" w:eastAsia="仿宋" w:cs="仿宋"/>
          <w:sz w:val="24"/>
          <w:szCs w:val="24"/>
        </w:rPr>
        <w:br w:type="page" w:clear="all"/>
      </w:r>
      <w:bookmarkStart w:id="916" w:name="_Toc288738839"/>
      <w:r/>
      <w:bookmarkStart w:id="917" w:name="_Toc288738397"/>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相关业绩案例一览表</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相关业绩案例一览表</w:t>
      </w:r>
      <w:bookmarkEnd w:id="916"/>
      <w:r/>
      <w:bookmarkEnd w:id="917"/>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p>
    <w:tbl>
      <w:tblPr>
        <w:tblStyle w:val="122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仿宋" w:hAnsi="仿宋" w:eastAsia="仿宋" w:cs="仿宋"/>
                <w:sz w:val="24"/>
                <w:szCs w:val="24"/>
              </w:rPr>
            </w:pPr>
            <w:r>
              <w:rPr>
                <w:rFonts w:hint="eastAsia" w:ascii="仿宋" w:hAnsi="仿宋" w:eastAsia="仿宋" w:cs="仿宋"/>
                <w:sz w:val="24"/>
                <w:szCs w:val="24"/>
              </w:rPr>
            </w:r>
            <w:r/>
          </w:p>
        </w:tc>
      </w:tr>
    </w:tbl>
    <w:p>
      <w:pPr>
        <w:tabs>
          <w:tab w:val="left" w:pos="9765" w:leader="none"/>
        </w:tabs>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before="25" w:after="25"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投标人名称（加盖公章）</w:t>
      </w:r>
      <w:r>
        <w:rPr>
          <w:rFonts w:hint="eastAsia" w:ascii="仿宋" w:hAnsi="仿宋" w:eastAsia="仿宋" w:cs="仿宋"/>
          <w:color w:val="000000"/>
          <w:sz w:val="24"/>
          <w:szCs w:val="24"/>
          <w:lang w:val="zh-CN"/>
        </w:rPr>
        <w:t xml:space="preserve">：____________</w:t>
      </w:r>
      <w:r/>
    </w:p>
    <w:p>
      <w:pPr>
        <w:spacing w:before="25" w:after="25"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rPr>
        <w:t xml:space="preserve">日期：_____年______月______日</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1221"/>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t xml:space="preserve">10招标文件要求提供、评分标准要求以及投标人认为应附的其他材料</w:t>
      </w:r>
      <w:r/>
    </w:p>
    <w:p>
      <w:pPr>
        <w:jc w:val="left"/>
        <w:widowControl/>
        <w:rPr>
          <w:rFonts w:hint="eastAsia" w:ascii="仿宋" w:hAnsi="仿宋" w:eastAsia="仿宋" w:cs="仿宋"/>
          <w:b/>
          <w:sz w:val="24"/>
          <w:szCs w:val="24"/>
        </w:rPr>
      </w:pPr>
      <w:r>
        <w:rPr>
          <w:rFonts w:hint="eastAsia" w:ascii="仿宋" w:hAnsi="仿宋" w:eastAsia="仿宋" w:cs="仿宋"/>
          <w:b/>
          <w:sz w:val="24"/>
          <w:szCs w:val="24"/>
        </w:rPr>
      </w:r>
      <w:r/>
    </w:p>
    <w:p>
      <w:pPr>
        <w:ind w:firstLine="843"/>
        <w:jc w:val="left"/>
        <w:spacing w:line="560" w:lineRule="exact"/>
        <w:rPr>
          <w:rFonts w:hint="eastAsia" w:ascii="仿宋" w:hAnsi="仿宋" w:eastAsia="仿宋" w:cs="仿宋"/>
          <w:b/>
          <w:bCs/>
          <w:sz w:val="24"/>
          <w:szCs w:val="24"/>
          <w:u w:val="single"/>
        </w:rPr>
      </w:pPr>
      <w:r>
        <w:rPr>
          <w:rFonts w:hint="eastAsia" w:ascii="仿宋" w:hAnsi="仿宋" w:eastAsia="仿宋" w:cs="仿宋"/>
          <w:b/>
          <w:bCs/>
          <w:sz w:val="24"/>
          <w:szCs w:val="24"/>
          <w:u w:val="single"/>
        </w:rPr>
      </w:r>
      <w:r/>
    </w:p>
    <w:p>
      <w:pPr>
        <w:rPr>
          <w:rFonts w:hint="eastAsia" w:ascii="仿宋" w:hAnsi="仿宋" w:eastAsia="仿宋" w:cs="仿宋"/>
          <w:sz w:val="24"/>
          <w:szCs w:val="24"/>
        </w:rPr>
      </w:pPr>
      <w:r>
        <w:rPr>
          <w:rFonts w:hint="eastAsia" w:ascii="仿宋" w:hAnsi="仿宋" w:eastAsia="仿宋" w:cs="仿宋"/>
          <w:sz w:val="24"/>
          <w:szCs w:val="24"/>
        </w:rPr>
      </w:r>
      <w:r/>
    </w:p>
    <w:sectPr>
      <w:footerReference w:type="default" r:id="rId33"/>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楷体_GB2312">
    <w:panose1 w:val="02010609060101010101"/>
  </w:font>
  <w:font w:name="ˎ̥">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ind w:right="360"/>
      <w:rPr>
        <w:rStyle w:val="1499"/>
      </w:rPr>
    </w:pPr>
    <w:r/>
    <w:r/>
  </w:p>
  <w:p>
    <w:pPr>
      <w:pStyle w:val="147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rPr>
        <w:rStyle w:val="1499"/>
      </w:rPr>
      <w:framePr w:wrap="around" w:vAnchor="text" w:hAnchor="margin" w:xAlign="center" w:y="1"/>
    </w:pPr>
    <w:r>
      <w:fldChar w:fldCharType="begin"/>
    </w:r>
    <w:r>
      <w:rPr>
        <w:rStyle w:val="1499"/>
      </w:rPr>
      <w:instrText xml:space="preserve">PAGE  </w:instrText>
    </w:r>
    <w:r>
      <w:fldChar w:fldCharType="end"/>
    </w:r>
    <w:r/>
  </w:p>
  <w:p>
    <w:pPr>
      <w:pStyle w:val="14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rPr>
        <w:rStyle w:val="1499"/>
      </w:rPr>
    </w:pPr>
    <w:r/>
    <w:r/>
  </w:p>
  <w:p>
    <w:pPr>
      <w:pStyle w:val="147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tabs>
        <w:tab w:val="center" w:pos="4536" w:leader="none"/>
      </w:tabs>
      <w:rPr>
        <w:rStyle w:val="1499"/>
      </w:rPr>
    </w:pPr>
    <w:r>
      <w:rPr>
        <w:rStyle w:val="1499"/>
        <w:rFonts w:hint="eastAsia"/>
      </w:rPr>
      <w:tab/>
    </w:r>
    <w:r/>
  </w:p>
  <w:p>
    <w:pPr>
      <w:pStyle w:val="1474"/>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4"/>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4"/>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tabs>
        <w:tab w:val="center" w:pos="4536" w:leader="none"/>
      </w:tabs>
      <w:rPr>
        <w:rStyle w:val="149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rPr>
        <w:rStyle w:val="1499"/>
        <w:rFonts w:hint="eastAsia"/>
      </w:rPr>
      <w:tab/>
    </w:r>
    <w:r/>
  </w:p>
  <w:p>
    <w:pPr>
      <w:pStyle w:val="1474"/>
      <w:ind w:right="360"/>
      <w:jc w:val="right"/>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rPr>
        <w:rStyle w:val="1499"/>
      </w:rPr>
      <w:framePr w:wrap="around" w:vAnchor="text" w:hAnchor="margin" w:xAlign="right" w:y="1"/>
    </w:pPr>
    <w:r>
      <w:rPr>
        <w:rStyle w:val="1499"/>
      </w:rPr>
      <w:fldChar w:fldCharType="begin"/>
    </w:r>
    <w:r>
      <w:rPr>
        <w:rStyle w:val="1499"/>
      </w:rPr>
      <w:instrText xml:space="preserve">PAGE  </w:instrText>
    </w:r>
    <w:r>
      <w:rPr>
        <w:rStyle w:val="1499"/>
      </w:rPr>
      <w:fldChar w:fldCharType="end"/>
    </w:r>
    <w:r/>
  </w:p>
  <w:p>
    <w:pPr>
      <w:pStyle w:val="1474"/>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27</w:t>
                          </w:r>
                          <w:r>
                            <w:rPr>
                              <w:rFonts w:hint="default" w:ascii="宋体" w:hAnsi="Times New Roman" w:eastAsia="宋体" w:cs="Times New Roman"/>
                              <w:sz w:val="18"/>
                              <w:szCs w:val="20"/>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27</w:t>
                    </w:r>
                    <w:r>
                      <w:rPr>
                        <w:rFonts w:hint="default" w:ascii="宋体" w:hAnsi="Times New Roman" w:eastAsia="宋体" w:cs="Times New Roman"/>
                        <w:sz w:val="18"/>
                        <w:szCs w:val="20"/>
                        <w:lang w:val="en-US" w:eastAsia="zh-CN" w:bidi="ar-SA"/>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26</w:t>
                          </w:r>
                          <w:r>
                            <w:rPr>
                              <w:rFonts w:hint="default" w:ascii="宋体" w:hAnsi="Times New Roman" w:eastAsia="宋体" w:cs="Times New Roman"/>
                              <w:sz w:val="18"/>
                              <w:szCs w:val="20"/>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26</w:t>
                    </w:r>
                    <w:r>
                      <w:rPr>
                        <w:rFonts w:hint="default" w:ascii="宋体" w:hAnsi="Times New Roman" w:eastAsia="宋体" w:cs="Times New Roman"/>
                        <w:sz w:val="18"/>
                        <w:szCs w:val="20"/>
                        <w:lang w:val="en-US" w:eastAsia="zh-CN" w:bidi="ar-SA"/>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ind w:left="5104"/>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Times New Roman" w:eastAsia="宋体" w:cs="Times New Roman"/>
        <w:sz w:val="18"/>
        <w:szCs w:val="20"/>
        <w:lang w:val="en-US" w:eastAsia="zh-CN" w:bidi="ar-SA"/>
      </w:rPr>
      <w:framePr w:wrap="around" w:vAnchor="text" w:hAnchor="margin" w:xAlign="right" w:y="1"/>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21"/>
        <w:szCs w:val="24"/>
        <w:lang w:val="en-US" w:eastAsia="zh-CN" w:bidi="ar-SA"/>
      </w:rPr>
      <w:fldChar w:fldCharType="end"/>
    </w:r>
    <w:r/>
  </w:p>
  <w:p>
    <w:pPr>
      <w:ind w:right="360"/>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rPr>
        <w:rFonts w:ascii="Times New Roman" w:hAnsi="Times New Roman" w:eastAsia="宋体" w:cs="Times New Roman"/>
      </w:rPr>
    </w:pPr>
    <w:r>
      <w:rPr>
        <w:rFonts w:ascii="Times New Roman" w:hAnsi="Times New Roman" w:eastAsia="宋体" w:cs="Times New Roman"/>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ind w:left="5104"/>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ind w:left="5104"/>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8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56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53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53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52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56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56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574"/>
      <w:isLgl w:val="false"/>
      <w:suff w:val="nothing"/>
      <w:lvlText w:val="%1.%2.%3.%4.%5.%6　"/>
      <w:lvlJc w:val="left"/>
      <w:pPr>
        <w:ind w:left="-25" w:firstLine="0"/>
      </w:pPr>
      <w:rPr>
        <w:rFonts w:ascii="Times New Roman" w:hAnsi="Times New Roman" w:eastAsia="宋体"/>
        <w:b/>
        <w:i w:val="0"/>
        <w:sz w:val="28"/>
      </w:rPr>
    </w:lvl>
    <w:lvl w:ilvl="6">
      <w:start w:val="1"/>
      <w:numFmt w:val="lowerLetter"/>
      <w:pStyle w:val="158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55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61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635"/>
      <w:isLgl w:val="false"/>
      <w:suff w:val="tab"/>
      <w:lvlText w:val="%1"/>
      <w:lvlJc w:val="left"/>
      <w:pPr>
        <w:ind w:left="680" w:hanging="680"/>
      </w:pPr>
      <w:rPr>
        <w:rFonts w:hint="eastAsia" w:ascii="宋体" w:hAnsi="宋体" w:eastAsia="宋体"/>
      </w:rPr>
    </w:lvl>
    <w:lvl w:ilvl="1">
      <w:start w:val="1"/>
      <w:numFmt w:val="decimal"/>
      <w:pStyle w:val="1636"/>
      <w:isLgl w:val="false"/>
      <w:suff w:val="tab"/>
      <w:lvlText w:val="%1.%2"/>
      <w:lvlJc w:val="left"/>
      <w:pPr>
        <w:ind w:left="851" w:hanging="851"/>
      </w:pPr>
      <w:rPr>
        <w:rFonts w:hint="eastAsia" w:ascii="宋体" w:hAnsi="宋体" w:eastAsia="宋体"/>
        <w:color w:val="000000"/>
      </w:rPr>
    </w:lvl>
    <w:lvl w:ilvl="2">
      <w:start w:val="1"/>
      <w:numFmt w:val="decimal"/>
      <w:pStyle w:val="163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53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ascii="宋体" w:hAnsi="宋体" w:eastAsia="宋体" w:cs="宋体"/>
        <w:sz w:val="21"/>
        <w:szCs w:val="21"/>
      </w:rPr>
    </w:lvl>
    <w:lvl w:ilvl="1">
      <w:start w:val="1"/>
      <w:numFmt w:val="decimal"/>
      <w:isLgl w:val="false"/>
      <w:suff w:val="tab"/>
      <w:lvlText w:val="%1.%2"/>
      <w:lvlJc w:val="left"/>
      <w:pPr>
        <w:ind w:left="1468" w:hanging="900"/>
        <w:tabs>
          <w:tab w:val="left" w:pos="1589" w:leader="none"/>
        </w:tabs>
      </w:pPr>
      <w:rPr>
        <w:rFonts w:ascii="宋体" w:hAnsi="宋体" w:eastAsia="宋体" w:cs="宋体"/>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5"/>
  </w:num>
  <w:num w:numId="3">
    <w:abstractNumId w:val="13"/>
  </w:num>
  <w:num w:numId="4">
    <w:abstractNumId w:val="3"/>
  </w:num>
  <w:num w:numId="5">
    <w:abstractNumId w:val="2"/>
  </w:num>
  <w:num w:numId="6">
    <w:abstractNumId w:val="8"/>
  </w:num>
  <w:num w:numId="7">
    <w:abstractNumId w:val="9"/>
  </w:num>
  <w:num w:numId="8">
    <w:abstractNumId w:val="15"/>
  </w:num>
  <w:num w:numId="9">
    <w:abstractNumId w:val="7"/>
  </w:num>
  <w:num w:numId="10">
    <w:abstractNumId w:val="0"/>
  </w:num>
  <w:num w:numId="11">
    <w:abstractNumId w:val="10"/>
  </w:num>
  <w:num w:numId="12">
    <w:abstractNumId w:val="14"/>
  </w:num>
  <w:num w:numId="13">
    <w:abstractNumId w:val="4"/>
  </w:num>
  <w:num w:numId="14">
    <w:abstractNumId w:val="1"/>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9" w:default="1">
    <w:name w:val="Normal"/>
    <w:next w:val="1221"/>
    <w:link w:val="16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name w:val="Heading 1"/>
    <w:basedOn w:val="1209"/>
    <w:next w:val="1209"/>
    <w:uiPriority w:val="9"/>
    <w:qFormat/>
    <w:pPr>
      <w:keepLines/>
      <w:keepNext/>
      <w:spacing w:before="480" w:after="200"/>
      <w:outlineLvl w:val="0"/>
    </w:pPr>
    <w:rPr>
      <w:rFonts w:ascii="Arial" w:hAnsi="Arial" w:eastAsia="Arial" w:cs="Arial"/>
      <w:sz w:val="40"/>
      <w:szCs w:val="40"/>
    </w:rPr>
  </w:style>
  <w:style w:type="paragraph" w:styleId="1211">
    <w:name w:val="Heading 2"/>
    <w:basedOn w:val="1209"/>
    <w:next w:val="1209"/>
    <w:uiPriority w:val="9"/>
    <w:unhideWhenUsed/>
    <w:qFormat/>
    <w:pPr>
      <w:keepLines/>
      <w:keepNext/>
      <w:spacing w:before="360" w:after="200"/>
      <w:outlineLvl w:val="1"/>
    </w:pPr>
    <w:rPr>
      <w:rFonts w:ascii="Arial" w:hAnsi="Arial" w:eastAsia="Arial" w:cs="Arial"/>
      <w:sz w:val="34"/>
    </w:rPr>
  </w:style>
  <w:style w:type="paragraph" w:styleId="1212">
    <w:name w:val="Heading 3"/>
    <w:basedOn w:val="1209"/>
    <w:next w:val="1209"/>
    <w:uiPriority w:val="9"/>
    <w:unhideWhenUsed/>
    <w:qFormat/>
    <w:pPr>
      <w:keepLines/>
      <w:keepNext/>
      <w:spacing w:before="320" w:after="200"/>
      <w:outlineLvl w:val="2"/>
    </w:pPr>
    <w:rPr>
      <w:rFonts w:ascii="Arial" w:hAnsi="Arial" w:eastAsia="Arial" w:cs="Arial"/>
      <w:sz w:val="30"/>
      <w:szCs w:val="30"/>
    </w:rPr>
  </w:style>
  <w:style w:type="paragraph" w:styleId="1213">
    <w:name w:val="Heading 4"/>
    <w:basedOn w:val="1209"/>
    <w:next w:val="1209"/>
    <w:uiPriority w:val="9"/>
    <w:unhideWhenUsed/>
    <w:qFormat/>
    <w:pPr>
      <w:keepLines/>
      <w:keepNext/>
      <w:spacing w:before="320" w:after="200"/>
      <w:outlineLvl w:val="3"/>
    </w:pPr>
    <w:rPr>
      <w:rFonts w:ascii="Arial" w:hAnsi="Arial" w:eastAsia="Arial" w:cs="Arial"/>
      <w:b/>
      <w:bCs/>
      <w:sz w:val="26"/>
      <w:szCs w:val="26"/>
    </w:rPr>
  </w:style>
  <w:style w:type="paragraph" w:styleId="1214">
    <w:name w:val="Heading 5"/>
    <w:basedOn w:val="1209"/>
    <w:next w:val="1209"/>
    <w:uiPriority w:val="9"/>
    <w:unhideWhenUsed/>
    <w:qFormat/>
    <w:pPr>
      <w:keepLines/>
      <w:keepNext/>
      <w:spacing w:before="320" w:after="200"/>
      <w:outlineLvl w:val="4"/>
    </w:pPr>
    <w:rPr>
      <w:rFonts w:ascii="Arial" w:hAnsi="Arial" w:eastAsia="Arial" w:cs="Arial"/>
      <w:b/>
      <w:bCs/>
      <w:sz w:val="24"/>
      <w:szCs w:val="24"/>
    </w:rPr>
  </w:style>
  <w:style w:type="paragraph" w:styleId="1215">
    <w:name w:val="Heading 6"/>
    <w:basedOn w:val="1209"/>
    <w:next w:val="1209"/>
    <w:uiPriority w:val="9"/>
    <w:unhideWhenUsed/>
    <w:qFormat/>
    <w:pPr>
      <w:keepLines/>
      <w:keepNext/>
      <w:spacing w:before="320" w:after="200"/>
      <w:outlineLvl w:val="5"/>
    </w:pPr>
    <w:rPr>
      <w:rFonts w:ascii="Arial" w:hAnsi="Arial" w:eastAsia="Arial" w:cs="Arial"/>
      <w:b/>
      <w:bCs/>
      <w:sz w:val="22"/>
      <w:szCs w:val="22"/>
    </w:rPr>
  </w:style>
  <w:style w:type="paragraph" w:styleId="1216">
    <w:name w:val="Heading 7"/>
    <w:basedOn w:val="1209"/>
    <w:next w:val="1209"/>
    <w:uiPriority w:val="9"/>
    <w:unhideWhenUsed/>
    <w:qFormat/>
    <w:pPr>
      <w:keepLines/>
      <w:keepNext/>
      <w:spacing w:before="320" w:after="200"/>
      <w:outlineLvl w:val="6"/>
    </w:pPr>
    <w:rPr>
      <w:rFonts w:ascii="Arial" w:hAnsi="Arial" w:eastAsia="Arial" w:cs="Arial"/>
      <w:b/>
      <w:bCs/>
      <w:i/>
      <w:iCs/>
      <w:sz w:val="22"/>
      <w:szCs w:val="22"/>
    </w:rPr>
  </w:style>
  <w:style w:type="paragraph" w:styleId="1217">
    <w:name w:val="Heading 8"/>
    <w:basedOn w:val="1209"/>
    <w:next w:val="1209"/>
    <w:uiPriority w:val="9"/>
    <w:unhideWhenUsed/>
    <w:qFormat/>
    <w:pPr>
      <w:keepLines/>
      <w:keepNext/>
      <w:spacing w:before="320" w:after="200"/>
      <w:outlineLvl w:val="7"/>
    </w:pPr>
    <w:rPr>
      <w:rFonts w:ascii="Arial" w:hAnsi="Arial" w:eastAsia="Arial" w:cs="Arial"/>
      <w:i/>
      <w:iCs/>
      <w:sz w:val="22"/>
      <w:szCs w:val="22"/>
    </w:rPr>
  </w:style>
  <w:style w:type="paragraph" w:styleId="1218">
    <w:name w:val="Heading 9"/>
    <w:basedOn w:val="1209"/>
    <w:next w:val="1209"/>
    <w:uiPriority w:val="9"/>
    <w:unhideWhenUsed/>
    <w:qFormat/>
    <w:pPr>
      <w:keepLines/>
      <w:keepNext/>
      <w:spacing w:before="320" w:after="200"/>
      <w:outlineLvl w:val="8"/>
    </w:pPr>
    <w:rPr>
      <w:rFonts w:ascii="Arial" w:hAnsi="Arial" w:eastAsia="Arial" w:cs="Arial"/>
      <w:i/>
      <w:iCs/>
      <w:sz w:val="21"/>
      <w:szCs w:val="21"/>
    </w:rPr>
  </w:style>
  <w:style w:type="character" w:styleId="1219" w:default="1">
    <w:name w:val="Default Paragraph Font"/>
    <w:uiPriority w:val="1"/>
    <w:unhideWhenUsed/>
    <w:qFormat/>
  </w:style>
  <w:style w:type="table" w:styleId="1220" w:default="1">
    <w:name w:val="Normal Table"/>
    <w:uiPriority w:val="99"/>
    <w:unhideWhenUsed/>
    <w:qFormat/>
    <w:tblPr>
      <w:tblCellMar>
        <w:left w:w="108" w:type="dxa"/>
        <w:top w:w="0" w:type="dxa"/>
        <w:right w:w="108" w:type="dxa"/>
        <w:bottom w:w="0" w:type="dxa"/>
      </w:tblCellMar>
    </w:tblPr>
  </w:style>
  <w:style w:type="paragraph" w:styleId="1221" w:customStyle="1">
    <w:name w:val="标题 311"/>
    <w:basedOn w:val="1209"/>
    <w:next w:val="1209"/>
    <w:link w:val="1254"/>
    <w:uiPriority w:val="9"/>
    <w:unhideWhenUsed/>
    <w:qFormat/>
    <w:pPr>
      <w:keepLines/>
      <w:keepNext/>
      <w:spacing w:before="320" w:after="200"/>
      <w:outlineLvl w:val="2"/>
    </w:pPr>
    <w:rPr>
      <w:rFonts w:ascii="Arial" w:hAnsi="Arial" w:eastAsia="Arial" w:cs="Arial"/>
      <w:sz w:val="30"/>
      <w:szCs w:val="30"/>
    </w:rPr>
  </w:style>
  <w:style w:type="paragraph" w:styleId="1222">
    <w:name w:val="toc 7"/>
    <w:basedOn w:val="1209"/>
    <w:next w:val="1209"/>
    <w:uiPriority w:val="39"/>
    <w:unhideWhenUsed/>
    <w:qFormat/>
    <w:pPr>
      <w:ind w:left="1701" w:right="0" w:firstLine="0"/>
      <w:spacing w:after="57"/>
    </w:pPr>
  </w:style>
  <w:style w:type="paragraph" w:styleId="1223">
    <w:name w:val="Caption"/>
    <w:basedOn w:val="1209"/>
    <w:next w:val="120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1224">
    <w:name w:val="toc 5"/>
    <w:basedOn w:val="1209"/>
    <w:next w:val="1209"/>
    <w:uiPriority w:val="39"/>
    <w:unhideWhenUsed/>
    <w:qFormat/>
    <w:pPr>
      <w:ind w:left="1134" w:right="0" w:firstLine="0"/>
      <w:spacing w:after="57"/>
    </w:pPr>
  </w:style>
  <w:style w:type="paragraph" w:styleId="1225">
    <w:name w:val="toc 3"/>
    <w:basedOn w:val="1209"/>
    <w:next w:val="1209"/>
    <w:uiPriority w:val="39"/>
    <w:unhideWhenUsed/>
    <w:qFormat/>
    <w:pPr>
      <w:ind w:left="567" w:right="0" w:firstLine="0"/>
      <w:spacing w:after="57"/>
    </w:pPr>
  </w:style>
  <w:style w:type="paragraph" w:styleId="1226">
    <w:name w:val="toc 8"/>
    <w:basedOn w:val="1209"/>
    <w:next w:val="1209"/>
    <w:uiPriority w:val="39"/>
    <w:unhideWhenUsed/>
    <w:qFormat/>
    <w:pPr>
      <w:ind w:left="1984" w:right="0" w:firstLine="0"/>
      <w:spacing w:after="57"/>
    </w:pPr>
  </w:style>
  <w:style w:type="paragraph" w:styleId="1227">
    <w:name w:val="endnote text"/>
    <w:basedOn w:val="1209"/>
    <w:uiPriority w:val="99"/>
    <w:unhideWhenUsed/>
    <w:qFormat/>
    <w:pPr>
      <w:spacing w:after="0" w:line="240" w:lineRule="auto"/>
    </w:pPr>
    <w:rPr>
      <w:sz w:val="20"/>
    </w:rPr>
  </w:style>
  <w:style w:type="paragraph" w:styleId="1228">
    <w:name w:val="Footer"/>
    <w:basedOn w:val="1209"/>
    <w:uiPriority w:val="99"/>
    <w:unhideWhenUsed/>
    <w:qFormat/>
    <w:pPr>
      <w:spacing w:after="0" w:line="240" w:lineRule="auto"/>
      <w:tabs>
        <w:tab w:val="center" w:pos="7143" w:leader="none"/>
        <w:tab w:val="right" w:pos="14287" w:leader="none"/>
      </w:tabs>
    </w:pPr>
  </w:style>
  <w:style w:type="paragraph" w:styleId="1229">
    <w:name w:val="Header"/>
    <w:basedOn w:val="1209"/>
    <w:uiPriority w:val="99"/>
    <w:unhideWhenUsed/>
    <w:qFormat/>
    <w:pPr>
      <w:spacing w:after="0" w:line="240" w:lineRule="auto"/>
      <w:tabs>
        <w:tab w:val="center" w:pos="7143" w:leader="none"/>
        <w:tab w:val="right" w:pos="14287" w:leader="none"/>
      </w:tabs>
    </w:pPr>
  </w:style>
  <w:style w:type="paragraph" w:styleId="1230">
    <w:name w:val="toc 1"/>
    <w:basedOn w:val="1209"/>
    <w:next w:val="1209"/>
    <w:uiPriority w:val="39"/>
    <w:unhideWhenUsed/>
    <w:qFormat/>
    <w:pPr>
      <w:ind w:left="0" w:right="0" w:firstLine="0"/>
      <w:spacing w:after="57"/>
    </w:pPr>
  </w:style>
  <w:style w:type="paragraph" w:styleId="1231">
    <w:name w:val="toc 4"/>
    <w:basedOn w:val="1209"/>
    <w:next w:val="1209"/>
    <w:uiPriority w:val="39"/>
    <w:unhideWhenUsed/>
    <w:qFormat/>
    <w:pPr>
      <w:ind w:left="850" w:right="0" w:firstLine="0"/>
      <w:spacing w:after="57"/>
    </w:pPr>
  </w:style>
  <w:style w:type="paragraph" w:styleId="1232">
    <w:name w:val="Subtitle"/>
    <w:basedOn w:val="1209"/>
    <w:next w:val="1209"/>
    <w:uiPriority w:val="11"/>
    <w:qFormat/>
    <w:pPr>
      <w:spacing w:before="200" w:after="200"/>
    </w:pPr>
    <w:rPr>
      <w:sz w:val="24"/>
      <w:szCs w:val="24"/>
    </w:rPr>
  </w:style>
  <w:style w:type="paragraph" w:styleId="1233">
    <w:name w:val="footnote text"/>
    <w:basedOn w:val="1209"/>
    <w:uiPriority w:val="99"/>
    <w:unhideWhenUsed/>
    <w:qFormat/>
    <w:pPr>
      <w:spacing w:after="40" w:line="240" w:lineRule="auto"/>
    </w:pPr>
    <w:rPr>
      <w:sz w:val="18"/>
    </w:rPr>
  </w:style>
  <w:style w:type="paragraph" w:styleId="1234">
    <w:name w:val="toc 6"/>
    <w:basedOn w:val="1209"/>
    <w:next w:val="1209"/>
    <w:uiPriority w:val="39"/>
    <w:unhideWhenUsed/>
    <w:qFormat/>
    <w:pPr>
      <w:ind w:left="1417" w:right="0" w:firstLine="0"/>
      <w:spacing w:after="57"/>
    </w:pPr>
  </w:style>
  <w:style w:type="paragraph" w:styleId="1235">
    <w:name w:val="table of figures"/>
    <w:basedOn w:val="1209"/>
    <w:next w:val="1209"/>
    <w:uiPriority w:val="99"/>
    <w:unhideWhenUsed/>
    <w:qFormat/>
    <w:pPr>
      <w:spacing w:after="0" w:afterAutospacing="0"/>
    </w:pPr>
  </w:style>
  <w:style w:type="paragraph" w:styleId="1236">
    <w:name w:val="toc 2"/>
    <w:basedOn w:val="1209"/>
    <w:next w:val="1209"/>
    <w:uiPriority w:val="39"/>
    <w:unhideWhenUsed/>
    <w:qFormat/>
    <w:pPr>
      <w:ind w:left="283" w:right="0" w:firstLine="0"/>
      <w:spacing w:after="57"/>
    </w:pPr>
  </w:style>
  <w:style w:type="paragraph" w:styleId="1237">
    <w:name w:val="toc 9"/>
    <w:basedOn w:val="1209"/>
    <w:next w:val="1209"/>
    <w:uiPriority w:val="39"/>
    <w:unhideWhenUsed/>
    <w:qFormat/>
    <w:pPr>
      <w:ind w:left="2268" w:right="0" w:firstLine="0"/>
      <w:spacing w:after="57"/>
    </w:pPr>
  </w:style>
  <w:style w:type="paragraph" w:styleId="1238">
    <w:name w:val="Title"/>
    <w:basedOn w:val="1209"/>
    <w:next w:val="1209"/>
    <w:uiPriority w:val="10"/>
    <w:qFormat/>
    <w:pPr>
      <w:contextualSpacing/>
      <w:spacing w:before="300" w:after="200"/>
    </w:pPr>
    <w:rPr>
      <w:sz w:val="48"/>
      <w:szCs w:val="48"/>
    </w:rPr>
  </w:style>
  <w:style w:type="table" w:styleId="12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0">
    <w:name w:val="endnote reference"/>
    <w:uiPriority w:val="99"/>
    <w:unhideWhenUsed/>
    <w:qFormat/>
    <w:rPr>
      <w:vertAlign w:val="superscript"/>
    </w:rPr>
  </w:style>
  <w:style w:type="character" w:styleId="1241">
    <w:name w:val="Hyperlink"/>
    <w:uiPriority w:val="99"/>
    <w:unhideWhenUsed/>
    <w:qFormat/>
    <w:rPr>
      <w:color w:val="0000ff" w:themeColor="hyperlink"/>
      <w:u w:val="single"/>
      <w14:textFill>
        <w14:solidFill>
          <w14:schemeClr w14:val="hlink"/>
        </w14:solidFill>
      </w14:textFill>
    </w:rPr>
  </w:style>
  <w:style w:type="character" w:styleId="1242">
    <w:name w:val="footnote reference"/>
    <w:uiPriority w:val="99"/>
    <w:unhideWhenUsed/>
    <w:qFormat/>
    <w:rPr>
      <w:vertAlign w:val="superscript"/>
    </w:rPr>
  </w:style>
  <w:style w:type="paragraph" w:styleId="1243" w:customStyle="1">
    <w:name w:val="标题 31"/>
    <w:basedOn w:val="1209"/>
    <w:next w:val="1209"/>
    <w:link w:val="1433"/>
    <w:uiPriority w:val="0"/>
    <w:qFormat/>
    <w:pPr>
      <w:jc w:val="left"/>
      <w:keepLines/>
      <w:keepNext/>
      <w:spacing w:before="360" w:after="120"/>
      <w:outlineLvl w:val="2"/>
    </w:pPr>
    <w:rPr>
      <w:rFonts w:ascii="宋体"/>
      <w:b/>
      <w:sz w:val="24"/>
      <w:szCs w:val="20"/>
      <w:u w:val="single"/>
    </w:rPr>
  </w:style>
  <w:style w:type="paragraph" w:styleId="1244" w:customStyle="1">
    <w:name w:val="标题 111"/>
    <w:basedOn w:val="1209"/>
    <w:next w:val="1209"/>
    <w:link w:val="1255"/>
    <w:uiPriority w:val="9"/>
    <w:qFormat/>
    <w:pPr>
      <w:keepLines/>
      <w:keepNext/>
      <w:spacing w:before="480" w:after="200"/>
      <w:outlineLvl w:val="0"/>
    </w:pPr>
    <w:rPr>
      <w:rFonts w:ascii="Arial" w:hAnsi="Arial" w:eastAsia="Arial" w:cs="Arial"/>
      <w:sz w:val="40"/>
      <w:szCs w:val="40"/>
    </w:rPr>
  </w:style>
  <w:style w:type="paragraph" w:styleId="1245" w:customStyle="1">
    <w:name w:val="标题 211"/>
    <w:basedOn w:val="1209"/>
    <w:next w:val="1209"/>
    <w:link w:val="1256"/>
    <w:uiPriority w:val="9"/>
    <w:unhideWhenUsed/>
    <w:qFormat/>
    <w:pPr>
      <w:keepLines/>
      <w:keepNext/>
      <w:spacing w:before="360" w:after="200"/>
      <w:outlineLvl w:val="1"/>
    </w:pPr>
    <w:rPr>
      <w:rFonts w:ascii="Arial" w:hAnsi="Arial" w:eastAsia="Arial" w:cs="Arial"/>
      <w:sz w:val="34"/>
    </w:rPr>
  </w:style>
  <w:style w:type="paragraph" w:styleId="1246" w:customStyle="1">
    <w:name w:val="标题 411"/>
    <w:basedOn w:val="1209"/>
    <w:next w:val="1209"/>
    <w:link w:val="1257"/>
    <w:uiPriority w:val="9"/>
    <w:unhideWhenUsed/>
    <w:qFormat/>
    <w:pPr>
      <w:keepLines/>
      <w:keepNext/>
      <w:spacing w:before="320" w:after="200"/>
      <w:outlineLvl w:val="3"/>
    </w:pPr>
    <w:rPr>
      <w:rFonts w:ascii="Arial" w:hAnsi="Arial" w:eastAsia="Arial" w:cs="Arial"/>
      <w:b/>
      <w:bCs/>
      <w:sz w:val="26"/>
      <w:szCs w:val="26"/>
    </w:rPr>
  </w:style>
  <w:style w:type="paragraph" w:styleId="1247" w:customStyle="1">
    <w:name w:val="标题 511"/>
    <w:basedOn w:val="1209"/>
    <w:next w:val="1209"/>
    <w:link w:val="1258"/>
    <w:uiPriority w:val="9"/>
    <w:unhideWhenUsed/>
    <w:qFormat/>
    <w:pPr>
      <w:keepLines/>
      <w:keepNext/>
      <w:spacing w:before="320" w:after="200"/>
      <w:outlineLvl w:val="4"/>
    </w:pPr>
    <w:rPr>
      <w:rFonts w:ascii="Arial" w:hAnsi="Arial" w:eastAsia="Arial" w:cs="Arial"/>
      <w:b/>
      <w:bCs/>
      <w:sz w:val="24"/>
      <w:szCs w:val="24"/>
    </w:rPr>
  </w:style>
  <w:style w:type="paragraph" w:styleId="1248" w:customStyle="1">
    <w:name w:val="标题 611"/>
    <w:basedOn w:val="1209"/>
    <w:next w:val="1209"/>
    <w:link w:val="1259"/>
    <w:uiPriority w:val="9"/>
    <w:unhideWhenUsed/>
    <w:qFormat/>
    <w:pPr>
      <w:keepLines/>
      <w:keepNext/>
      <w:spacing w:before="320" w:after="200"/>
      <w:outlineLvl w:val="5"/>
    </w:pPr>
    <w:rPr>
      <w:rFonts w:ascii="Arial" w:hAnsi="Arial" w:eastAsia="Arial" w:cs="Arial"/>
      <w:b/>
      <w:bCs/>
      <w:sz w:val="22"/>
      <w:szCs w:val="22"/>
    </w:rPr>
  </w:style>
  <w:style w:type="paragraph" w:styleId="1249" w:customStyle="1">
    <w:name w:val="标题 711"/>
    <w:basedOn w:val="1209"/>
    <w:next w:val="1209"/>
    <w:link w:val="1260"/>
    <w:uiPriority w:val="9"/>
    <w:unhideWhenUsed/>
    <w:qFormat/>
    <w:pPr>
      <w:keepLines/>
      <w:keepNext/>
      <w:spacing w:before="320" w:after="200"/>
      <w:outlineLvl w:val="6"/>
    </w:pPr>
    <w:rPr>
      <w:rFonts w:ascii="Arial" w:hAnsi="Arial" w:eastAsia="Arial" w:cs="Arial"/>
      <w:b/>
      <w:bCs/>
      <w:i/>
      <w:iCs/>
      <w:sz w:val="22"/>
      <w:szCs w:val="22"/>
    </w:rPr>
  </w:style>
  <w:style w:type="paragraph" w:styleId="1250" w:customStyle="1">
    <w:name w:val="标题 811"/>
    <w:basedOn w:val="1209"/>
    <w:next w:val="1209"/>
    <w:link w:val="1261"/>
    <w:uiPriority w:val="9"/>
    <w:unhideWhenUsed/>
    <w:qFormat/>
    <w:pPr>
      <w:keepLines/>
      <w:keepNext/>
      <w:spacing w:before="320" w:after="200"/>
      <w:outlineLvl w:val="7"/>
    </w:pPr>
    <w:rPr>
      <w:rFonts w:ascii="Arial" w:hAnsi="Arial" w:eastAsia="Arial" w:cs="Arial"/>
      <w:i/>
      <w:iCs/>
      <w:sz w:val="22"/>
      <w:szCs w:val="22"/>
    </w:rPr>
  </w:style>
  <w:style w:type="paragraph" w:styleId="1251" w:customStyle="1">
    <w:name w:val="标题 911"/>
    <w:basedOn w:val="1209"/>
    <w:next w:val="1209"/>
    <w:link w:val="1262"/>
    <w:uiPriority w:val="9"/>
    <w:unhideWhenUsed/>
    <w:qFormat/>
    <w:pPr>
      <w:keepLines/>
      <w:keepNext/>
      <w:spacing w:before="320" w:after="200"/>
      <w:outlineLvl w:val="8"/>
    </w:pPr>
    <w:rPr>
      <w:rFonts w:ascii="Arial" w:hAnsi="Arial" w:eastAsia="Arial" w:cs="Arial"/>
      <w:i/>
      <w:iCs/>
      <w:sz w:val="21"/>
      <w:szCs w:val="21"/>
    </w:rPr>
  </w:style>
  <w:style w:type="character" w:styleId="1252" w:customStyle="1">
    <w:name w:val="默认段落字体11"/>
    <w:link w:val="1209"/>
    <w:uiPriority w:val="1"/>
    <w:unhideWhenUsed/>
    <w:qFormat/>
  </w:style>
  <w:style w:type="table" w:styleId="1253" w:customStyle="1">
    <w:name w:val="普通表格11"/>
    <w:uiPriority w:val="99"/>
    <w:unhideWhenUsed/>
    <w:qFormat/>
    <w:tblPr/>
  </w:style>
  <w:style w:type="character" w:styleId="1254" w:customStyle="1">
    <w:name w:val="Heading 3 Char"/>
    <w:link w:val="1221"/>
    <w:uiPriority w:val="9"/>
    <w:qFormat/>
    <w:rPr>
      <w:rFonts w:ascii="Arial" w:hAnsi="Arial" w:eastAsia="Arial" w:cs="Arial"/>
      <w:sz w:val="30"/>
      <w:szCs w:val="30"/>
    </w:rPr>
  </w:style>
  <w:style w:type="character" w:styleId="1255" w:customStyle="1">
    <w:name w:val="Heading 1 Char"/>
    <w:link w:val="1244"/>
    <w:uiPriority w:val="9"/>
    <w:qFormat/>
    <w:rPr>
      <w:rFonts w:ascii="Arial" w:hAnsi="Arial" w:eastAsia="Arial" w:cs="Arial"/>
      <w:sz w:val="40"/>
      <w:szCs w:val="40"/>
    </w:rPr>
  </w:style>
  <w:style w:type="character" w:styleId="1256" w:customStyle="1">
    <w:name w:val="Heading 2 Char"/>
    <w:link w:val="1245"/>
    <w:uiPriority w:val="9"/>
    <w:qFormat/>
    <w:rPr>
      <w:rFonts w:ascii="Arial" w:hAnsi="Arial" w:eastAsia="Arial" w:cs="Arial"/>
      <w:sz w:val="34"/>
    </w:rPr>
  </w:style>
  <w:style w:type="character" w:styleId="1257" w:customStyle="1">
    <w:name w:val="Heading 4 Char"/>
    <w:link w:val="1246"/>
    <w:uiPriority w:val="9"/>
    <w:qFormat/>
    <w:rPr>
      <w:rFonts w:ascii="Arial" w:hAnsi="Arial" w:eastAsia="Arial" w:cs="Arial"/>
      <w:b/>
      <w:bCs/>
      <w:sz w:val="26"/>
      <w:szCs w:val="26"/>
    </w:rPr>
  </w:style>
  <w:style w:type="character" w:styleId="1258" w:customStyle="1">
    <w:name w:val="Heading 5 Char"/>
    <w:link w:val="1247"/>
    <w:uiPriority w:val="9"/>
    <w:qFormat/>
    <w:rPr>
      <w:rFonts w:ascii="Arial" w:hAnsi="Arial" w:eastAsia="Arial" w:cs="Arial"/>
      <w:b/>
      <w:bCs/>
      <w:sz w:val="24"/>
      <w:szCs w:val="24"/>
    </w:rPr>
  </w:style>
  <w:style w:type="character" w:styleId="1259" w:customStyle="1">
    <w:name w:val="Heading 6 Char"/>
    <w:link w:val="1248"/>
    <w:uiPriority w:val="9"/>
    <w:qFormat/>
    <w:rPr>
      <w:rFonts w:ascii="Arial" w:hAnsi="Arial" w:eastAsia="Arial" w:cs="Arial"/>
      <w:b/>
      <w:bCs/>
      <w:sz w:val="22"/>
      <w:szCs w:val="22"/>
    </w:rPr>
  </w:style>
  <w:style w:type="character" w:styleId="1260" w:customStyle="1">
    <w:name w:val="Heading 7 Char"/>
    <w:link w:val="1249"/>
    <w:uiPriority w:val="9"/>
    <w:qFormat/>
    <w:rPr>
      <w:rFonts w:ascii="Arial" w:hAnsi="Arial" w:eastAsia="Arial" w:cs="Arial"/>
      <w:b/>
      <w:bCs/>
      <w:i/>
      <w:iCs/>
      <w:sz w:val="22"/>
      <w:szCs w:val="22"/>
    </w:rPr>
  </w:style>
  <w:style w:type="character" w:styleId="1261" w:customStyle="1">
    <w:name w:val="Heading 8 Char"/>
    <w:link w:val="1250"/>
    <w:uiPriority w:val="9"/>
    <w:qFormat/>
    <w:rPr>
      <w:rFonts w:ascii="Arial" w:hAnsi="Arial" w:eastAsia="Arial" w:cs="Arial"/>
      <w:i/>
      <w:iCs/>
      <w:sz w:val="22"/>
      <w:szCs w:val="22"/>
    </w:rPr>
  </w:style>
  <w:style w:type="character" w:styleId="1262" w:customStyle="1">
    <w:name w:val="Heading 9 Char"/>
    <w:link w:val="1251"/>
    <w:uiPriority w:val="9"/>
    <w:qFormat/>
    <w:rPr>
      <w:rFonts w:ascii="Arial" w:hAnsi="Arial" w:eastAsia="Arial" w:cs="Arial"/>
      <w:i/>
      <w:iCs/>
      <w:sz w:val="21"/>
      <w:szCs w:val="21"/>
    </w:rPr>
  </w:style>
  <w:style w:type="paragraph" w:styleId="1263" w:customStyle="1">
    <w:name w:val="目录 711"/>
    <w:basedOn w:val="1209"/>
    <w:next w:val="1209"/>
    <w:uiPriority w:val="39"/>
    <w:unhideWhenUsed/>
    <w:qFormat/>
    <w:pPr>
      <w:ind w:left="1701" w:right="0" w:firstLine="0"/>
      <w:spacing w:after="57"/>
    </w:pPr>
  </w:style>
  <w:style w:type="paragraph" w:styleId="1264" w:customStyle="1">
    <w:name w:val="题注11"/>
    <w:basedOn w:val="1209"/>
    <w:next w:val="1209"/>
    <w:uiPriority w:val="35"/>
    <w:unhideWhenUsed/>
    <w:qFormat/>
    <w:pPr>
      <w:spacing w:line="276" w:lineRule="auto"/>
    </w:pPr>
    <w:rPr>
      <w:b/>
      <w:bCs/>
      <w:color w:val="4f81bd"/>
      <w:sz w:val="18"/>
      <w:szCs w:val="18"/>
    </w:rPr>
  </w:style>
  <w:style w:type="paragraph" w:styleId="1265" w:customStyle="1">
    <w:name w:val="正文文本缩进12"/>
    <w:basedOn w:val="1209"/>
    <w:uiPriority w:val="0"/>
    <w:qFormat/>
    <w:pPr>
      <w:ind w:left="420" w:firstLine="0"/>
      <w:spacing w:after="120" w:line="240" w:lineRule="auto"/>
    </w:pPr>
    <w:rPr>
      <w:rFonts w:eastAsia="宋体"/>
      <w:color w:val="000000"/>
      <w:sz w:val="21"/>
      <w:szCs w:val="24"/>
    </w:rPr>
  </w:style>
  <w:style w:type="paragraph" w:styleId="1266" w:customStyle="1">
    <w:name w:val="目录 511"/>
    <w:basedOn w:val="1209"/>
    <w:next w:val="1209"/>
    <w:uiPriority w:val="39"/>
    <w:unhideWhenUsed/>
    <w:qFormat/>
    <w:pPr>
      <w:ind w:left="1134" w:right="0" w:firstLine="0"/>
      <w:spacing w:after="57"/>
    </w:pPr>
  </w:style>
  <w:style w:type="paragraph" w:styleId="1267" w:customStyle="1">
    <w:name w:val="目录 311"/>
    <w:basedOn w:val="1209"/>
    <w:next w:val="1209"/>
    <w:uiPriority w:val="39"/>
    <w:unhideWhenUsed/>
    <w:qFormat/>
    <w:pPr>
      <w:ind w:left="567" w:right="0" w:firstLine="0"/>
      <w:spacing w:after="57"/>
    </w:pPr>
  </w:style>
  <w:style w:type="paragraph" w:styleId="1268" w:customStyle="1">
    <w:name w:val="纯文本12"/>
    <w:basedOn w:val="1209"/>
    <w:uiPriority w:val="0"/>
    <w:qFormat/>
    <w:rPr>
      <w:rFonts w:ascii="宋体" w:hAnsi="Courier New" w:eastAsia="楷体_GB2312"/>
      <w:sz w:val="28"/>
    </w:rPr>
  </w:style>
  <w:style w:type="paragraph" w:styleId="1269" w:customStyle="1">
    <w:name w:val="目录 811"/>
    <w:basedOn w:val="1209"/>
    <w:next w:val="1209"/>
    <w:uiPriority w:val="39"/>
    <w:unhideWhenUsed/>
    <w:qFormat/>
    <w:pPr>
      <w:ind w:left="1984" w:right="0" w:firstLine="0"/>
      <w:spacing w:after="57"/>
    </w:pPr>
  </w:style>
  <w:style w:type="paragraph" w:styleId="1270" w:customStyle="1">
    <w:name w:val="尾注文本1"/>
    <w:basedOn w:val="1209"/>
    <w:link w:val="1271"/>
    <w:uiPriority w:val="99"/>
    <w:unhideWhenUsed/>
    <w:qFormat/>
    <w:pPr>
      <w:spacing w:after="0" w:line="240" w:lineRule="auto"/>
    </w:pPr>
    <w:rPr>
      <w:sz w:val="20"/>
    </w:rPr>
  </w:style>
  <w:style w:type="character" w:styleId="1271" w:customStyle="1">
    <w:name w:val="Endnote Text Char"/>
    <w:link w:val="1270"/>
    <w:uiPriority w:val="99"/>
    <w:qFormat/>
    <w:rPr>
      <w:sz w:val="20"/>
    </w:rPr>
  </w:style>
  <w:style w:type="paragraph" w:styleId="1272" w:customStyle="1">
    <w:name w:val="页脚11"/>
    <w:basedOn w:val="1209"/>
    <w:link w:val="1292"/>
    <w:uiPriority w:val="99"/>
    <w:unhideWhenUsed/>
    <w:qFormat/>
    <w:pPr>
      <w:spacing w:after="0" w:line="240" w:lineRule="auto"/>
      <w:tabs>
        <w:tab w:val="center" w:pos="7143" w:leader="none"/>
        <w:tab w:val="right" w:pos="14287" w:leader="none"/>
      </w:tabs>
    </w:pPr>
  </w:style>
  <w:style w:type="character" w:styleId="1273" w:customStyle="1">
    <w:name w:val="Caption Char"/>
    <w:link w:val="1272"/>
    <w:uiPriority w:val="99"/>
    <w:qFormat/>
  </w:style>
  <w:style w:type="paragraph" w:styleId="1274" w:customStyle="1">
    <w:name w:val="页眉11"/>
    <w:basedOn w:val="1209"/>
    <w:link w:val="1275"/>
    <w:uiPriority w:val="99"/>
    <w:unhideWhenUsed/>
    <w:qFormat/>
    <w:pPr>
      <w:spacing w:after="0" w:line="240" w:lineRule="auto"/>
      <w:tabs>
        <w:tab w:val="center" w:pos="7143" w:leader="none"/>
        <w:tab w:val="right" w:pos="14287" w:leader="none"/>
      </w:tabs>
    </w:pPr>
  </w:style>
  <w:style w:type="character" w:styleId="1275" w:customStyle="1">
    <w:name w:val="Header Char"/>
    <w:link w:val="1274"/>
    <w:uiPriority w:val="99"/>
    <w:qFormat/>
  </w:style>
  <w:style w:type="paragraph" w:styleId="1276" w:customStyle="1">
    <w:name w:val="目录 111"/>
    <w:basedOn w:val="1209"/>
    <w:next w:val="1209"/>
    <w:uiPriority w:val="39"/>
    <w:unhideWhenUsed/>
    <w:qFormat/>
    <w:pPr>
      <w:ind w:left="0" w:right="0" w:firstLine="0"/>
      <w:spacing w:after="57"/>
    </w:pPr>
  </w:style>
  <w:style w:type="paragraph" w:styleId="1277" w:customStyle="1">
    <w:name w:val="目录 411"/>
    <w:basedOn w:val="1209"/>
    <w:next w:val="1209"/>
    <w:uiPriority w:val="39"/>
    <w:unhideWhenUsed/>
    <w:qFormat/>
    <w:pPr>
      <w:ind w:left="850" w:right="0" w:firstLine="0"/>
      <w:spacing w:after="57"/>
    </w:pPr>
  </w:style>
  <w:style w:type="paragraph" w:styleId="1278" w:customStyle="1">
    <w:name w:val="副标题1"/>
    <w:basedOn w:val="1209"/>
    <w:next w:val="1209"/>
    <w:link w:val="1279"/>
    <w:uiPriority w:val="11"/>
    <w:qFormat/>
    <w:pPr>
      <w:spacing w:before="200" w:after="200"/>
    </w:pPr>
    <w:rPr>
      <w:sz w:val="24"/>
      <w:szCs w:val="24"/>
    </w:rPr>
  </w:style>
  <w:style w:type="character" w:styleId="1279" w:customStyle="1">
    <w:name w:val="Subtitle Char"/>
    <w:link w:val="1278"/>
    <w:uiPriority w:val="11"/>
    <w:qFormat/>
    <w:rPr>
      <w:sz w:val="24"/>
      <w:szCs w:val="24"/>
    </w:rPr>
  </w:style>
  <w:style w:type="paragraph" w:styleId="1280" w:customStyle="1">
    <w:name w:val="脚注文本1"/>
    <w:basedOn w:val="1209"/>
    <w:link w:val="1281"/>
    <w:uiPriority w:val="99"/>
    <w:unhideWhenUsed/>
    <w:qFormat/>
    <w:pPr>
      <w:spacing w:after="40" w:line="240" w:lineRule="auto"/>
    </w:pPr>
    <w:rPr>
      <w:sz w:val="18"/>
    </w:rPr>
  </w:style>
  <w:style w:type="character" w:styleId="1281" w:customStyle="1">
    <w:name w:val="Footnote Text Char"/>
    <w:link w:val="1280"/>
    <w:uiPriority w:val="99"/>
    <w:qFormat/>
    <w:rPr>
      <w:sz w:val="18"/>
    </w:rPr>
  </w:style>
  <w:style w:type="paragraph" w:styleId="1282" w:customStyle="1">
    <w:name w:val="目录 611"/>
    <w:basedOn w:val="1209"/>
    <w:next w:val="1209"/>
    <w:uiPriority w:val="39"/>
    <w:unhideWhenUsed/>
    <w:qFormat/>
    <w:pPr>
      <w:ind w:left="1417" w:right="0" w:firstLine="0"/>
      <w:spacing w:after="57"/>
    </w:pPr>
  </w:style>
  <w:style w:type="paragraph" w:styleId="1283" w:customStyle="1">
    <w:name w:val="图表目录1"/>
    <w:basedOn w:val="1209"/>
    <w:next w:val="1209"/>
    <w:uiPriority w:val="99"/>
    <w:unhideWhenUsed/>
    <w:qFormat/>
    <w:pPr>
      <w:spacing w:after="0" w:afterAutospacing="0"/>
    </w:pPr>
  </w:style>
  <w:style w:type="paragraph" w:styleId="1284" w:customStyle="1">
    <w:name w:val="目录 211"/>
    <w:basedOn w:val="1209"/>
    <w:next w:val="1209"/>
    <w:uiPriority w:val="39"/>
    <w:unhideWhenUsed/>
    <w:qFormat/>
    <w:pPr>
      <w:ind w:left="283" w:right="0" w:firstLine="0"/>
      <w:spacing w:after="57"/>
    </w:pPr>
  </w:style>
  <w:style w:type="paragraph" w:styleId="1285" w:customStyle="1">
    <w:name w:val="目录 911"/>
    <w:basedOn w:val="1209"/>
    <w:next w:val="1209"/>
    <w:uiPriority w:val="39"/>
    <w:unhideWhenUsed/>
    <w:qFormat/>
    <w:pPr>
      <w:ind w:left="2268" w:right="0" w:firstLine="0"/>
      <w:spacing w:after="57"/>
    </w:pPr>
  </w:style>
  <w:style w:type="paragraph" w:styleId="1286" w:customStyle="1">
    <w:name w:val="标题11"/>
    <w:basedOn w:val="1209"/>
    <w:next w:val="1209"/>
    <w:link w:val="1287"/>
    <w:uiPriority w:val="10"/>
    <w:qFormat/>
    <w:pPr>
      <w:contextualSpacing/>
      <w:spacing w:before="300" w:after="200"/>
    </w:pPr>
    <w:rPr>
      <w:sz w:val="48"/>
      <w:szCs w:val="48"/>
    </w:rPr>
  </w:style>
  <w:style w:type="character" w:styleId="1287" w:customStyle="1">
    <w:name w:val="Title Char"/>
    <w:link w:val="1286"/>
    <w:uiPriority w:val="10"/>
    <w:qFormat/>
    <w:rPr>
      <w:sz w:val="48"/>
      <w:szCs w:val="48"/>
    </w:rPr>
  </w:style>
  <w:style w:type="table" w:styleId="1288" w:customStyle="1">
    <w:name w:val="网格型11"/>
    <w:uiPriority w:val="59"/>
    <w:qFormat/>
    <w:pPr>
      <w:spacing w:after="0" w:line="240" w:lineRule="auto"/>
    </w:pPr>
    <w:tblPr/>
  </w:style>
  <w:style w:type="character" w:styleId="1289" w:customStyle="1">
    <w:name w:val="尾注引用1"/>
    <w:link w:val="1209"/>
    <w:uiPriority w:val="99"/>
    <w:unhideWhenUsed/>
    <w:qFormat/>
    <w:rPr>
      <w:vertAlign w:val="superscript"/>
    </w:rPr>
  </w:style>
  <w:style w:type="character" w:styleId="1290" w:customStyle="1">
    <w:name w:val="超链接11"/>
    <w:link w:val="1209"/>
    <w:uiPriority w:val="99"/>
    <w:unhideWhenUsed/>
    <w:qFormat/>
    <w:rPr>
      <w:color w:val="0000ff"/>
      <w:u w:val="single"/>
    </w:rPr>
  </w:style>
  <w:style w:type="character" w:styleId="1291" w:customStyle="1">
    <w:name w:val="脚注引用1"/>
    <w:link w:val="1209"/>
    <w:uiPriority w:val="99"/>
    <w:unhideWhenUsed/>
    <w:qFormat/>
    <w:rPr>
      <w:vertAlign w:val="superscript"/>
    </w:rPr>
  </w:style>
  <w:style w:type="character" w:styleId="1292" w:customStyle="1">
    <w:name w:val="Footer Char"/>
    <w:link w:val="1272"/>
    <w:uiPriority w:val="99"/>
    <w:qFormat/>
  </w:style>
  <w:style w:type="character" w:styleId="1293" w:customStyle="1">
    <w:name w:val="font41"/>
    <w:basedOn w:val="1294"/>
    <w:link w:val="1209"/>
    <w:uiPriority w:val="0"/>
    <w:qFormat/>
    <w:rPr>
      <w:rFonts w:ascii="Times New Roman" w:hAnsi="Times New Roman" w:cs="Times New Roman"/>
      <w:color w:val="000000"/>
      <w:sz w:val="21"/>
      <w:szCs w:val="21"/>
      <w:u w:val="none"/>
    </w:rPr>
  </w:style>
  <w:style w:type="character" w:styleId="1294" w:customStyle="1">
    <w:name w:val="默认段落字体1"/>
    <w:link w:val="1209"/>
    <w:uiPriority w:val="1"/>
    <w:unhideWhenUsed/>
    <w:qFormat/>
  </w:style>
  <w:style w:type="paragraph" w:styleId="1295" w:customStyle="1">
    <w:name w:val="List Paragraph"/>
    <w:basedOn w:val="1209"/>
    <w:uiPriority w:val="34"/>
    <w:qFormat/>
    <w:pPr>
      <w:contextualSpacing/>
      <w:ind w:left="720"/>
    </w:pPr>
  </w:style>
  <w:style w:type="paragraph" w:styleId="1296" w:customStyle="1">
    <w:name w:val="No Spacing"/>
    <w:uiPriority w:val="1"/>
    <w:qFormat/>
    <w:pPr>
      <w:spacing w:before="0" w:after="0" w:line="240" w:lineRule="auto"/>
    </w:pPr>
    <w:rPr>
      <w:rFonts w:hint="default" w:ascii="Times New Roman" w:hAnsi="Times New Roman" w:eastAsia="宋体" w:cs="Times New Roman"/>
    </w:rPr>
  </w:style>
  <w:style w:type="paragraph" w:styleId="1297" w:customStyle="1">
    <w:name w:val="Quote"/>
    <w:basedOn w:val="1209"/>
    <w:next w:val="1209"/>
    <w:link w:val="1298"/>
    <w:uiPriority w:val="29"/>
    <w:qFormat/>
    <w:pPr>
      <w:ind w:left="720" w:right="720"/>
    </w:pPr>
    <w:rPr>
      <w:i/>
    </w:rPr>
  </w:style>
  <w:style w:type="character" w:styleId="1298" w:customStyle="1">
    <w:name w:val="Quote Char"/>
    <w:link w:val="1297"/>
    <w:uiPriority w:val="29"/>
    <w:qFormat/>
    <w:rPr>
      <w:i/>
    </w:rPr>
  </w:style>
  <w:style w:type="paragraph" w:styleId="1299" w:customStyle="1">
    <w:name w:val="Intense Quote"/>
    <w:basedOn w:val="1209"/>
    <w:next w:val="1209"/>
    <w:link w:val="13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00" w:customStyle="1">
    <w:name w:val="Intense Quote Char"/>
    <w:link w:val="1299"/>
    <w:uiPriority w:val="30"/>
    <w:qFormat/>
    <w:rPr>
      <w:i/>
    </w:rPr>
  </w:style>
  <w:style w:type="table" w:styleId="1301" w:customStyle="1">
    <w:name w:val="Table Grid Light"/>
    <w:uiPriority w:val="59"/>
    <w:qFormat/>
    <w:pPr>
      <w:spacing w:after="0" w:line="240" w:lineRule="auto"/>
    </w:pPr>
    <w:tblPr/>
  </w:style>
  <w:style w:type="table" w:styleId="1302" w:customStyle="1">
    <w:name w:val="Plain Table 1"/>
    <w:uiPriority w:val="59"/>
    <w:qFormat/>
    <w:pPr>
      <w:spacing w:after="0" w:line="240" w:lineRule="auto"/>
    </w:pPr>
    <w:tblPr/>
  </w:style>
  <w:style w:type="table" w:styleId="1303" w:customStyle="1">
    <w:name w:val="Plain Table 2"/>
    <w:uiPriority w:val="59"/>
    <w:qFormat/>
    <w:pPr>
      <w:spacing w:after="0" w:line="240" w:lineRule="auto"/>
    </w:pPr>
    <w:tblPr/>
  </w:style>
  <w:style w:type="table" w:styleId="1304" w:customStyle="1">
    <w:name w:val="Plain Table 3"/>
    <w:uiPriority w:val="99"/>
    <w:qFormat/>
    <w:pPr>
      <w:spacing w:after="0" w:line="240" w:lineRule="auto"/>
    </w:pPr>
    <w:tblPr/>
  </w:style>
  <w:style w:type="table" w:styleId="1305" w:customStyle="1">
    <w:name w:val="Plain Table 4"/>
    <w:uiPriority w:val="99"/>
    <w:qFormat/>
    <w:pPr>
      <w:spacing w:after="0" w:line="240" w:lineRule="auto"/>
    </w:pPr>
    <w:tblPr/>
  </w:style>
  <w:style w:type="table" w:styleId="1306" w:customStyle="1">
    <w:name w:val="Plain Table 5"/>
    <w:uiPriority w:val="99"/>
    <w:qFormat/>
    <w:pPr>
      <w:spacing w:after="0" w:line="240" w:lineRule="auto"/>
    </w:pPr>
    <w:tblPr/>
  </w:style>
  <w:style w:type="table" w:styleId="1307" w:customStyle="1">
    <w:name w:val="Grid Table 1 Light"/>
    <w:uiPriority w:val="99"/>
    <w:qFormat/>
    <w:pPr>
      <w:spacing w:after="0" w:line="240" w:lineRule="auto"/>
    </w:pPr>
    <w:tblPr/>
  </w:style>
  <w:style w:type="table" w:styleId="1308" w:customStyle="1">
    <w:name w:val="Grid Table 1 Light - Accent 1"/>
    <w:uiPriority w:val="99"/>
    <w:qFormat/>
    <w:pPr>
      <w:spacing w:after="0" w:line="240" w:lineRule="auto"/>
    </w:pPr>
    <w:tblPr/>
  </w:style>
  <w:style w:type="table" w:styleId="1309" w:customStyle="1">
    <w:name w:val="Grid Table 1 Light - Accent 2"/>
    <w:uiPriority w:val="99"/>
    <w:qFormat/>
    <w:pPr>
      <w:spacing w:after="0" w:line="240" w:lineRule="auto"/>
    </w:pPr>
    <w:tblPr/>
  </w:style>
  <w:style w:type="table" w:styleId="1310" w:customStyle="1">
    <w:name w:val="Grid Table 1 Light - Accent 3"/>
    <w:uiPriority w:val="99"/>
    <w:qFormat/>
    <w:pPr>
      <w:spacing w:after="0" w:line="240" w:lineRule="auto"/>
    </w:pPr>
    <w:tblPr/>
  </w:style>
  <w:style w:type="table" w:styleId="1311" w:customStyle="1">
    <w:name w:val="Grid Table 1 Light - Accent 4"/>
    <w:uiPriority w:val="99"/>
    <w:qFormat/>
    <w:pPr>
      <w:spacing w:after="0" w:line="240" w:lineRule="auto"/>
    </w:pPr>
    <w:tblPr/>
  </w:style>
  <w:style w:type="table" w:styleId="1312" w:customStyle="1">
    <w:name w:val="Grid Table 1 Light - Accent 5"/>
    <w:uiPriority w:val="99"/>
    <w:qFormat/>
    <w:pPr>
      <w:spacing w:after="0" w:line="240" w:lineRule="auto"/>
    </w:pPr>
    <w:tblPr/>
  </w:style>
  <w:style w:type="table" w:styleId="1313" w:customStyle="1">
    <w:name w:val="Grid Table 1 Light - Accent 6"/>
    <w:uiPriority w:val="99"/>
    <w:qFormat/>
    <w:pPr>
      <w:spacing w:after="0" w:line="240" w:lineRule="auto"/>
    </w:pPr>
    <w:tblPr/>
  </w:style>
  <w:style w:type="table" w:styleId="1314" w:customStyle="1">
    <w:name w:val="Grid Table 2"/>
    <w:uiPriority w:val="99"/>
    <w:qFormat/>
    <w:pPr>
      <w:spacing w:after="0" w:line="240" w:lineRule="auto"/>
    </w:pPr>
    <w:tblPr/>
  </w:style>
  <w:style w:type="table" w:styleId="1315" w:customStyle="1">
    <w:name w:val="Grid Table 2 - Accent 1"/>
    <w:uiPriority w:val="99"/>
    <w:qFormat/>
    <w:pPr>
      <w:spacing w:after="0" w:line="240" w:lineRule="auto"/>
    </w:pPr>
    <w:tblPr/>
  </w:style>
  <w:style w:type="table" w:styleId="1316" w:customStyle="1">
    <w:name w:val="Grid Table 2 - Accent 2"/>
    <w:uiPriority w:val="99"/>
    <w:qFormat/>
    <w:pPr>
      <w:spacing w:after="0" w:line="240" w:lineRule="auto"/>
    </w:pPr>
    <w:tblPr/>
  </w:style>
  <w:style w:type="table" w:styleId="1317" w:customStyle="1">
    <w:name w:val="Grid Table 2 - Accent 3"/>
    <w:uiPriority w:val="99"/>
    <w:qFormat/>
    <w:pPr>
      <w:spacing w:after="0" w:line="240" w:lineRule="auto"/>
    </w:pPr>
    <w:tblPr/>
  </w:style>
  <w:style w:type="table" w:styleId="1318" w:customStyle="1">
    <w:name w:val="Grid Table 2 - Accent 4"/>
    <w:uiPriority w:val="99"/>
    <w:qFormat/>
    <w:pPr>
      <w:spacing w:after="0" w:line="240" w:lineRule="auto"/>
    </w:pPr>
    <w:tblPr/>
  </w:style>
  <w:style w:type="table" w:styleId="1319" w:customStyle="1">
    <w:name w:val="Grid Table 2 - Accent 5"/>
    <w:uiPriority w:val="99"/>
    <w:qFormat/>
    <w:pPr>
      <w:spacing w:after="0" w:line="240" w:lineRule="auto"/>
    </w:pPr>
    <w:tblPr/>
  </w:style>
  <w:style w:type="table" w:styleId="1320" w:customStyle="1">
    <w:name w:val="Grid Table 2 - Accent 6"/>
    <w:uiPriority w:val="99"/>
    <w:qFormat/>
    <w:pPr>
      <w:spacing w:after="0" w:line="240" w:lineRule="auto"/>
    </w:pPr>
    <w:tblPr/>
  </w:style>
  <w:style w:type="table" w:styleId="1321" w:customStyle="1">
    <w:name w:val="Grid Table 3"/>
    <w:uiPriority w:val="99"/>
    <w:qFormat/>
    <w:pPr>
      <w:spacing w:after="0" w:line="240" w:lineRule="auto"/>
    </w:pPr>
    <w:tblPr/>
  </w:style>
  <w:style w:type="table" w:styleId="1322" w:customStyle="1">
    <w:name w:val="Grid Table 3 - Accent 1"/>
    <w:uiPriority w:val="99"/>
    <w:qFormat/>
    <w:pPr>
      <w:spacing w:after="0" w:line="240" w:lineRule="auto"/>
    </w:pPr>
    <w:tblPr/>
  </w:style>
  <w:style w:type="table" w:styleId="1323" w:customStyle="1">
    <w:name w:val="Grid Table 3 - Accent 2"/>
    <w:uiPriority w:val="99"/>
    <w:qFormat/>
    <w:pPr>
      <w:spacing w:after="0" w:line="240" w:lineRule="auto"/>
    </w:pPr>
    <w:tblPr/>
  </w:style>
  <w:style w:type="table" w:styleId="1324" w:customStyle="1">
    <w:name w:val="Grid Table 3 - Accent 3"/>
    <w:uiPriority w:val="99"/>
    <w:qFormat/>
    <w:pPr>
      <w:spacing w:after="0" w:line="240" w:lineRule="auto"/>
    </w:pPr>
    <w:tblPr/>
  </w:style>
  <w:style w:type="table" w:styleId="1325" w:customStyle="1">
    <w:name w:val="Grid Table 3 - Accent 4"/>
    <w:uiPriority w:val="99"/>
    <w:qFormat/>
    <w:pPr>
      <w:spacing w:after="0" w:line="240" w:lineRule="auto"/>
    </w:pPr>
    <w:tblPr/>
  </w:style>
  <w:style w:type="table" w:styleId="1326" w:customStyle="1">
    <w:name w:val="Grid Table 3 - Accent 5"/>
    <w:uiPriority w:val="99"/>
    <w:qFormat/>
    <w:pPr>
      <w:spacing w:after="0" w:line="240" w:lineRule="auto"/>
    </w:pPr>
    <w:tblPr/>
  </w:style>
  <w:style w:type="table" w:styleId="1327" w:customStyle="1">
    <w:name w:val="Grid Table 3 - Accent 6"/>
    <w:uiPriority w:val="99"/>
    <w:qFormat/>
    <w:pPr>
      <w:spacing w:after="0" w:line="240" w:lineRule="auto"/>
    </w:pPr>
    <w:tblPr/>
  </w:style>
  <w:style w:type="table" w:styleId="1328" w:customStyle="1">
    <w:name w:val="Grid Table 4"/>
    <w:uiPriority w:val="59"/>
    <w:qFormat/>
    <w:pPr>
      <w:spacing w:after="0" w:line="240" w:lineRule="auto"/>
    </w:pPr>
    <w:tblPr/>
  </w:style>
  <w:style w:type="table" w:styleId="1329" w:customStyle="1">
    <w:name w:val="Grid Table 4 - Accent 1"/>
    <w:uiPriority w:val="59"/>
    <w:qFormat/>
    <w:pPr>
      <w:spacing w:after="0" w:line="240" w:lineRule="auto"/>
    </w:pPr>
    <w:tblPr/>
  </w:style>
  <w:style w:type="table" w:styleId="1330" w:customStyle="1">
    <w:name w:val="Grid Table 4 - Accent 2"/>
    <w:uiPriority w:val="59"/>
    <w:qFormat/>
    <w:pPr>
      <w:spacing w:after="0" w:line="240" w:lineRule="auto"/>
    </w:pPr>
    <w:tblPr/>
  </w:style>
  <w:style w:type="table" w:styleId="1331" w:customStyle="1">
    <w:name w:val="Grid Table 4 - Accent 3"/>
    <w:uiPriority w:val="59"/>
    <w:qFormat/>
    <w:pPr>
      <w:spacing w:after="0" w:line="240" w:lineRule="auto"/>
    </w:pPr>
    <w:tblPr/>
  </w:style>
  <w:style w:type="table" w:styleId="1332" w:customStyle="1">
    <w:name w:val="Grid Table 4 - Accent 4"/>
    <w:uiPriority w:val="59"/>
    <w:qFormat/>
    <w:pPr>
      <w:spacing w:after="0" w:line="240" w:lineRule="auto"/>
    </w:pPr>
    <w:tblPr/>
  </w:style>
  <w:style w:type="table" w:styleId="1333" w:customStyle="1">
    <w:name w:val="Grid Table 4 - Accent 5"/>
    <w:uiPriority w:val="59"/>
    <w:qFormat/>
    <w:pPr>
      <w:spacing w:after="0" w:line="240" w:lineRule="auto"/>
    </w:pPr>
    <w:tblPr/>
  </w:style>
  <w:style w:type="table" w:styleId="1334" w:customStyle="1">
    <w:name w:val="Grid Table 4 - Accent 6"/>
    <w:uiPriority w:val="59"/>
    <w:qFormat/>
    <w:pPr>
      <w:spacing w:after="0" w:line="240" w:lineRule="auto"/>
    </w:pPr>
    <w:tblPr/>
  </w:style>
  <w:style w:type="table" w:styleId="1335" w:customStyle="1">
    <w:name w:val="Grid Table 5 Dark"/>
    <w:uiPriority w:val="99"/>
    <w:qFormat/>
    <w:pPr>
      <w:spacing w:after="0" w:line="240" w:lineRule="auto"/>
    </w:pPr>
    <w:tblPr/>
  </w:style>
  <w:style w:type="table" w:styleId="1336" w:customStyle="1">
    <w:name w:val="Grid Table 5 Dark- Accent 1"/>
    <w:uiPriority w:val="99"/>
    <w:qFormat/>
    <w:pPr>
      <w:spacing w:after="0" w:line="240" w:lineRule="auto"/>
    </w:pPr>
    <w:tblPr/>
  </w:style>
  <w:style w:type="table" w:styleId="1337" w:customStyle="1">
    <w:name w:val="Grid Table 5 Dark - Accent 2"/>
    <w:uiPriority w:val="99"/>
    <w:qFormat/>
    <w:pPr>
      <w:spacing w:after="0" w:line="240" w:lineRule="auto"/>
    </w:pPr>
    <w:tblPr/>
  </w:style>
  <w:style w:type="table" w:styleId="1338" w:customStyle="1">
    <w:name w:val="Grid Table 5 Dark - Accent 3"/>
    <w:uiPriority w:val="99"/>
    <w:qFormat/>
    <w:pPr>
      <w:spacing w:after="0" w:line="240" w:lineRule="auto"/>
    </w:pPr>
    <w:tblPr/>
  </w:style>
  <w:style w:type="table" w:styleId="1339" w:customStyle="1">
    <w:name w:val="Grid Table 5 Dark- Accent 4"/>
    <w:uiPriority w:val="99"/>
    <w:qFormat/>
    <w:pPr>
      <w:spacing w:after="0" w:line="240" w:lineRule="auto"/>
    </w:pPr>
    <w:tblPr/>
  </w:style>
  <w:style w:type="table" w:styleId="1340" w:customStyle="1">
    <w:name w:val="Grid Table 5 Dark - Accent 5"/>
    <w:uiPriority w:val="99"/>
    <w:qFormat/>
    <w:pPr>
      <w:spacing w:after="0" w:line="240" w:lineRule="auto"/>
    </w:pPr>
    <w:tblPr/>
  </w:style>
  <w:style w:type="table" w:styleId="1341" w:customStyle="1">
    <w:name w:val="Grid Table 5 Dark - Accent 6"/>
    <w:uiPriority w:val="99"/>
    <w:qFormat/>
    <w:pPr>
      <w:spacing w:after="0" w:line="240" w:lineRule="auto"/>
    </w:pPr>
    <w:tblPr/>
  </w:style>
  <w:style w:type="table" w:styleId="1342" w:customStyle="1">
    <w:name w:val="Grid Table 6 Colorful"/>
    <w:uiPriority w:val="99"/>
    <w:qFormat/>
    <w:pPr>
      <w:spacing w:after="0" w:line="240" w:lineRule="auto"/>
    </w:pPr>
    <w:tblPr/>
  </w:style>
  <w:style w:type="table" w:styleId="1343" w:customStyle="1">
    <w:name w:val="Grid Table 6 Colorful - Accent 1"/>
    <w:uiPriority w:val="99"/>
    <w:qFormat/>
    <w:pPr>
      <w:spacing w:after="0" w:line="240" w:lineRule="auto"/>
    </w:pPr>
    <w:tblPr/>
  </w:style>
  <w:style w:type="table" w:styleId="1344" w:customStyle="1">
    <w:name w:val="Grid Table 6 Colorful - Accent 2"/>
    <w:uiPriority w:val="99"/>
    <w:qFormat/>
    <w:pPr>
      <w:spacing w:after="0" w:line="240" w:lineRule="auto"/>
    </w:pPr>
    <w:tblPr/>
  </w:style>
  <w:style w:type="table" w:styleId="1345" w:customStyle="1">
    <w:name w:val="Grid Table 6 Colorful - Accent 3"/>
    <w:uiPriority w:val="99"/>
    <w:qFormat/>
    <w:pPr>
      <w:spacing w:after="0" w:line="240" w:lineRule="auto"/>
    </w:pPr>
    <w:tblPr/>
  </w:style>
  <w:style w:type="table" w:styleId="1346" w:customStyle="1">
    <w:name w:val="Grid Table 6 Colorful - Accent 4"/>
    <w:uiPriority w:val="99"/>
    <w:qFormat/>
    <w:pPr>
      <w:spacing w:after="0" w:line="240" w:lineRule="auto"/>
    </w:pPr>
    <w:tblPr/>
  </w:style>
  <w:style w:type="table" w:styleId="1347" w:customStyle="1">
    <w:name w:val="Grid Table 6 Colorful - Accent 5"/>
    <w:uiPriority w:val="99"/>
    <w:qFormat/>
    <w:pPr>
      <w:spacing w:after="0" w:line="240" w:lineRule="auto"/>
    </w:pPr>
    <w:tblPr/>
  </w:style>
  <w:style w:type="table" w:styleId="1348" w:customStyle="1">
    <w:name w:val="Grid Table 6 Colorful - Accent 6"/>
    <w:uiPriority w:val="99"/>
    <w:qFormat/>
    <w:pPr>
      <w:spacing w:after="0" w:line="240" w:lineRule="auto"/>
    </w:pPr>
    <w:tblPr/>
  </w:style>
  <w:style w:type="table" w:styleId="1349" w:customStyle="1">
    <w:name w:val="Grid Table 7 Colorful"/>
    <w:uiPriority w:val="99"/>
    <w:qFormat/>
    <w:pPr>
      <w:spacing w:after="0" w:line="240" w:lineRule="auto"/>
    </w:pPr>
    <w:tblPr/>
  </w:style>
  <w:style w:type="table" w:styleId="1350" w:customStyle="1">
    <w:name w:val="Grid Table 7 Colorful - Accent 1"/>
    <w:uiPriority w:val="99"/>
    <w:qFormat/>
    <w:pPr>
      <w:spacing w:after="0" w:line="240" w:lineRule="auto"/>
    </w:pPr>
    <w:tblPr/>
  </w:style>
  <w:style w:type="table" w:styleId="1351" w:customStyle="1">
    <w:name w:val="Grid Table 7 Colorful - Accent 2"/>
    <w:uiPriority w:val="99"/>
    <w:qFormat/>
    <w:pPr>
      <w:spacing w:after="0" w:line="240" w:lineRule="auto"/>
    </w:pPr>
    <w:tblPr/>
  </w:style>
  <w:style w:type="table" w:styleId="1352" w:customStyle="1">
    <w:name w:val="Grid Table 7 Colorful - Accent 3"/>
    <w:uiPriority w:val="99"/>
    <w:qFormat/>
    <w:pPr>
      <w:spacing w:after="0" w:line="240" w:lineRule="auto"/>
    </w:pPr>
    <w:tblPr/>
  </w:style>
  <w:style w:type="table" w:styleId="1353" w:customStyle="1">
    <w:name w:val="Grid Table 7 Colorful - Accent 4"/>
    <w:uiPriority w:val="99"/>
    <w:qFormat/>
    <w:pPr>
      <w:spacing w:after="0" w:line="240" w:lineRule="auto"/>
    </w:pPr>
    <w:tblPr/>
  </w:style>
  <w:style w:type="table" w:styleId="1354" w:customStyle="1">
    <w:name w:val="Grid Table 7 Colorful - Accent 5"/>
    <w:uiPriority w:val="99"/>
    <w:qFormat/>
    <w:pPr>
      <w:spacing w:after="0" w:line="240" w:lineRule="auto"/>
    </w:pPr>
    <w:tblPr/>
  </w:style>
  <w:style w:type="table" w:styleId="1355" w:customStyle="1">
    <w:name w:val="Grid Table 7 Colorful - Accent 6"/>
    <w:uiPriority w:val="99"/>
    <w:qFormat/>
    <w:pPr>
      <w:spacing w:after="0" w:line="240" w:lineRule="auto"/>
    </w:pPr>
    <w:tblPr/>
  </w:style>
  <w:style w:type="table" w:styleId="1356" w:customStyle="1">
    <w:name w:val="List Table 1 Light"/>
    <w:uiPriority w:val="99"/>
    <w:qFormat/>
    <w:pPr>
      <w:spacing w:after="0" w:line="240" w:lineRule="auto"/>
    </w:pPr>
    <w:tblPr/>
  </w:style>
  <w:style w:type="table" w:styleId="1357" w:customStyle="1">
    <w:name w:val="List Table 1 Light - Accent 1"/>
    <w:uiPriority w:val="99"/>
    <w:qFormat/>
    <w:pPr>
      <w:spacing w:after="0" w:line="240" w:lineRule="auto"/>
    </w:pPr>
    <w:tblPr/>
  </w:style>
  <w:style w:type="table" w:styleId="1358" w:customStyle="1">
    <w:name w:val="List Table 1 Light - Accent 2"/>
    <w:uiPriority w:val="99"/>
    <w:qFormat/>
    <w:pPr>
      <w:spacing w:after="0" w:line="240" w:lineRule="auto"/>
    </w:pPr>
    <w:tblPr/>
  </w:style>
  <w:style w:type="table" w:styleId="1359" w:customStyle="1">
    <w:name w:val="List Table 1 Light - Accent 3"/>
    <w:uiPriority w:val="99"/>
    <w:qFormat/>
    <w:pPr>
      <w:spacing w:after="0" w:line="240" w:lineRule="auto"/>
    </w:pPr>
    <w:tblPr/>
  </w:style>
  <w:style w:type="table" w:styleId="1360" w:customStyle="1">
    <w:name w:val="List Table 1 Light - Accent 4"/>
    <w:uiPriority w:val="99"/>
    <w:qFormat/>
    <w:pPr>
      <w:spacing w:after="0" w:line="240" w:lineRule="auto"/>
    </w:pPr>
    <w:tblPr/>
  </w:style>
  <w:style w:type="table" w:styleId="1361" w:customStyle="1">
    <w:name w:val="List Table 1 Light - Accent 5"/>
    <w:uiPriority w:val="99"/>
    <w:qFormat/>
    <w:pPr>
      <w:spacing w:after="0" w:line="240" w:lineRule="auto"/>
    </w:pPr>
    <w:tblPr/>
  </w:style>
  <w:style w:type="table" w:styleId="1362" w:customStyle="1">
    <w:name w:val="List Table 1 Light - Accent 6"/>
    <w:uiPriority w:val="99"/>
    <w:qFormat/>
    <w:pPr>
      <w:spacing w:after="0" w:line="240" w:lineRule="auto"/>
    </w:pPr>
    <w:tblPr/>
  </w:style>
  <w:style w:type="table" w:styleId="1363" w:customStyle="1">
    <w:name w:val="List Table 2"/>
    <w:uiPriority w:val="99"/>
    <w:qFormat/>
    <w:pPr>
      <w:spacing w:after="0" w:line="240" w:lineRule="auto"/>
    </w:pPr>
    <w:tblPr/>
  </w:style>
  <w:style w:type="table" w:styleId="1364" w:customStyle="1">
    <w:name w:val="List Table 2 - Accent 1"/>
    <w:uiPriority w:val="99"/>
    <w:qFormat/>
    <w:pPr>
      <w:spacing w:after="0" w:line="240" w:lineRule="auto"/>
    </w:pPr>
    <w:tblPr/>
  </w:style>
  <w:style w:type="table" w:styleId="1365" w:customStyle="1">
    <w:name w:val="List Table 2 - Accent 2"/>
    <w:uiPriority w:val="99"/>
    <w:qFormat/>
    <w:pPr>
      <w:spacing w:after="0" w:line="240" w:lineRule="auto"/>
    </w:pPr>
    <w:tblPr/>
  </w:style>
  <w:style w:type="table" w:styleId="1366" w:customStyle="1">
    <w:name w:val="List Table 2 - Accent 3"/>
    <w:uiPriority w:val="99"/>
    <w:qFormat/>
    <w:pPr>
      <w:spacing w:after="0" w:line="240" w:lineRule="auto"/>
    </w:pPr>
    <w:tblPr/>
  </w:style>
  <w:style w:type="table" w:styleId="1367" w:customStyle="1">
    <w:name w:val="List Table 2 - Accent 4"/>
    <w:uiPriority w:val="99"/>
    <w:qFormat/>
    <w:pPr>
      <w:spacing w:after="0" w:line="240" w:lineRule="auto"/>
    </w:pPr>
    <w:tblPr/>
  </w:style>
  <w:style w:type="table" w:styleId="1368" w:customStyle="1">
    <w:name w:val="List Table 2 - Accent 5"/>
    <w:uiPriority w:val="99"/>
    <w:qFormat/>
    <w:pPr>
      <w:spacing w:after="0" w:line="240" w:lineRule="auto"/>
    </w:pPr>
    <w:tblPr/>
  </w:style>
  <w:style w:type="table" w:styleId="1369" w:customStyle="1">
    <w:name w:val="List Table 2 - Accent 6"/>
    <w:uiPriority w:val="99"/>
    <w:qFormat/>
    <w:pPr>
      <w:spacing w:after="0" w:line="240" w:lineRule="auto"/>
    </w:pPr>
    <w:tblPr/>
  </w:style>
  <w:style w:type="table" w:styleId="1370" w:customStyle="1">
    <w:name w:val="List Table 3"/>
    <w:uiPriority w:val="99"/>
    <w:qFormat/>
    <w:pPr>
      <w:spacing w:after="0" w:line="240" w:lineRule="auto"/>
    </w:pPr>
    <w:tblPr/>
  </w:style>
  <w:style w:type="table" w:styleId="1371" w:customStyle="1">
    <w:name w:val="List Table 3 - Accent 1"/>
    <w:uiPriority w:val="99"/>
    <w:qFormat/>
    <w:pPr>
      <w:spacing w:after="0" w:line="240" w:lineRule="auto"/>
    </w:pPr>
    <w:tblPr/>
  </w:style>
  <w:style w:type="table" w:styleId="1372" w:customStyle="1">
    <w:name w:val="List Table 3 - Accent 2"/>
    <w:uiPriority w:val="99"/>
    <w:qFormat/>
    <w:pPr>
      <w:spacing w:after="0" w:line="240" w:lineRule="auto"/>
    </w:pPr>
    <w:tblPr/>
  </w:style>
  <w:style w:type="table" w:styleId="1373" w:customStyle="1">
    <w:name w:val="List Table 3 - Accent 3"/>
    <w:uiPriority w:val="99"/>
    <w:qFormat/>
    <w:pPr>
      <w:spacing w:after="0" w:line="240" w:lineRule="auto"/>
    </w:pPr>
    <w:tblPr/>
  </w:style>
  <w:style w:type="table" w:styleId="1374" w:customStyle="1">
    <w:name w:val="List Table 3 - Accent 4"/>
    <w:uiPriority w:val="99"/>
    <w:qFormat/>
    <w:pPr>
      <w:spacing w:after="0" w:line="240" w:lineRule="auto"/>
    </w:pPr>
    <w:tblPr/>
  </w:style>
  <w:style w:type="table" w:styleId="1375" w:customStyle="1">
    <w:name w:val="List Table 3 - Accent 5"/>
    <w:uiPriority w:val="99"/>
    <w:qFormat/>
    <w:pPr>
      <w:spacing w:after="0" w:line="240" w:lineRule="auto"/>
    </w:pPr>
    <w:tblPr/>
  </w:style>
  <w:style w:type="table" w:styleId="1376" w:customStyle="1">
    <w:name w:val="List Table 3 - Accent 6"/>
    <w:uiPriority w:val="99"/>
    <w:qFormat/>
    <w:pPr>
      <w:spacing w:after="0" w:line="240" w:lineRule="auto"/>
    </w:pPr>
    <w:tblPr/>
  </w:style>
  <w:style w:type="table" w:styleId="1377" w:customStyle="1">
    <w:name w:val="List Table 4"/>
    <w:uiPriority w:val="99"/>
    <w:qFormat/>
    <w:pPr>
      <w:spacing w:after="0" w:line="240" w:lineRule="auto"/>
    </w:pPr>
    <w:tblPr/>
  </w:style>
  <w:style w:type="table" w:styleId="1378" w:customStyle="1">
    <w:name w:val="List Table 4 - Accent 1"/>
    <w:uiPriority w:val="99"/>
    <w:qFormat/>
    <w:pPr>
      <w:spacing w:after="0" w:line="240" w:lineRule="auto"/>
    </w:pPr>
    <w:tblPr/>
  </w:style>
  <w:style w:type="table" w:styleId="1379" w:customStyle="1">
    <w:name w:val="List Table 4 - Accent 2"/>
    <w:uiPriority w:val="99"/>
    <w:qFormat/>
    <w:pPr>
      <w:spacing w:after="0" w:line="240" w:lineRule="auto"/>
    </w:pPr>
    <w:tblPr/>
  </w:style>
  <w:style w:type="table" w:styleId="1380" w:customStyle="1">
    <w:name w:val="List Table 4 - Accent 3"/>
    <w:uiPriority w:val="99"/>
    <w:qFormat/>
    <w:pPr>
      <w:spacing w:after="0" w:line="240" w:lineRule="auto"/>
    </w:pPr>
    <w:tblPr/>
  </w:style>
  <w:style w:type="table" w:styleId="1381" w:customStyle="1">
    <w:name w:val="List Table 4 - Accent 4"/>
    <w:uiPriority w:val="99"/>
    <w:qFormat/>
    <w:pPr>
      <w:spacing w:after="0" w:line="240" w:lineRule="auto"/>
    </w:pPr>
    <w:tblPr/>
  </w:style>
  <w:style w:type="table" w:styleId="1382" w:customStyle="1">
    <w:name w:val="List Table 4 - Accent 5"/>
    <w:uiPriority w:val="99"/>
    <w:qFormat/>
    <w:pPr>
      <w:spacing w:after="0" w:line="240" w:lineRule="auto"/>
    </w:pPr>
    <w:tblPr/>
  </w:style>
  <w:style w:type="table" w:styleId="1383" w:customStyle="1">
    <w:name w:val="List Table 4 - Accent 6"/>
    <w:uiPriority w:val="99"/>
    <w:qFormat/>
    <w:pPr>
      <w:spacing w:after="0" w:line="240" w:lineRule="auto"/>
    </w:pPr>
    <w:tblPr/>
  </w:style>
  <w:style w:type="table" w:styleId="1384" w:customStyle="1">
    <w:name w:val="List Table 5 Dark"/>
    <w:uiPriority w:val="99"/>
    <w:qFormat/>
    <w:pPr>
      <w:spacing w:after="0" w:line="240" w:lineRule="auto"/>
    </w:pPr>
    <w:tblPr/>
  </w:style>
  <w:style w:type="table" w:styleId="1385" w:customStyle="1">
    <w:name w:val="List Table 5 Dark - Accent 1"/>
    <w:uiPriority w:val="99"/>
    <w:qFormat/>
    <w:pPr>
      <w:spacing w:after="0" w:line="240" w:lineRule="auto"/>
    </w:pPr>
    <w:tblPr/>
  </w:style>
  <w:style w:type="table" w:styleId="1386" w:customStyle="1">
    <w:name w:val="List Table 5 Dark - Accent 2"/>
    <w:uiPriority w:val="99"/>
    <w:qFormat/>
    <w:pPr>
      <w:spacing w:after="0" w:line="240" w:lineRule="auto"/>
    </w:pPr>
    <w:tblPr/>
  </w:style>
  <w:style w:type="table" w:styleId="1387" w:customStyle="1">
    <w:name w:val="List Table 5 Dark - Accent 3"/>
    <w:uiPriority w:val="99"/>
    <w:qFormat/>
    <w:pPr>
      <w:spacing w:after="0" w:line="240" w:lineRule="auto"/>
    </w:pPr>
    <w:tblPr/>
  </w:style>
  <w:style w:type="table" w:styleId="1388" w:customStyle="1">
    <w:name w:val="List Table 5 Dark - Accent 4"/>
    <w:uiPriority w:val="99"/>
    <w:qFormat/>
    <w:pPr>
      <w:spacing w:after="0" w:line="240" w:lineRule="auto"/>
    </w:pPr>
    <w:tblPr/>
  </w:style>
  <w:style w:type="table" w:styleId="1389" w:customStyle="1">
    <w:name w:val="List Table 5 Dark - Accent 5"/>
    <w:uiPriority w:val="99"/>
    <w:qFormat/>
    <w:pPr>
      <w:spacing w:after="0" w:line="240" w:lineRule="auto"/>
    </w:pPr>
    <w:tblPr/>
  </w:style>
  <w:style w:type="table" w:styleId="1390" w:customStyle="1">
    <w:name w:val="List Table 5 Dark - Accent 6"/>
    <w:uiPriority w:val="99"/>
    <w:qFormat/>
    <w:pPr>
      <w:spacing w:after="0" w:line="240" w:lineRule="auto"/>
    </w:pPr>
    <w:tblPr/>
  </w:style>
  <w:style w:type="table" w:styleId="1391" w:customStyle="1">
    <w:name w:val="List Table 6 Colorful"/>
    <w:uiPriority w:val="99"/>
    <w:qFormat/>
    <w:pPr>
      <w:spacing w:after="0" w:line="240" w:lineRule="auto"/>
    </w:pPr>
    <w:tblPr/>
  </w:style>
  <w:style w:type="table" w:styleId="1392" w:customStyle="1">
    <w:name w:val="List Table 6 Colorful - Accent 1"/>
    <w:uiPriority w:val="99"/>
    <w:qFormat/>
    <w:pPr>
      <w:spacing w:after="0" w:line="240" w:lineRule="auto"/>
    </w:pPr>
    <w:tblPr/>
  </w:style>
  <w:style w:type="table" w:styleId="1393" w:customStyle="1">
    <w:name w:val="List Table 6 Colorful - Accent 2"/>
    <w:uiPriority w:val="99"/>
    <w:qFormat/>
    <w:pPr>
      <w:spacing w:after="0" w:line="240" w:lineRule="auto"/>
    </w:pPr>
    <w:tblPr/>
  </w:style>
  <w:style w:type="table" w:styleId="1394" w:customStyle="1">
    <w:name w:val="List Table 6 Colorful - Accent 3"/>
    <w:uiPriority w:val="99"/>
    <w:qFormat/>
    <w:pPr>
      <w:spacing w:after="0" w:line="240" w:lineRule="auto"/>
    </w:pPr>
    <w:tblPr/>
  </w:style>
  <w:style w:type="table" w:styleId="1395" w:customStyle="1">
    <w:name w:val="List Table 6 Colorful - Accent 4"/>
    <w:uiPriority w:val="99"/>
    <w:qFormat/>
    <w:pPr>
      <w:spacing w:after="0" w:line="240" w:lineRule="auto"/>
    </w:pPr>
    <w:tblPr/>
  </w:style>
  <w:style w:type="table" w:styleId="1396" w:customStyle="1">
    <w:name w:val="List Table 6 Colorful - Accent 5"/>
    <w:uiPriority w:val="99"/>
    <w:qFormat/>
    <w:pPr>
      <w:spacing w:after="0" w:line="240" w:lineRule="auto"/>
    </w:pPr>
    <w:tblPr/>
  </w:style>
  <w:style w:type="table" w:styleId="1397" w:customStyle="1">
    <w:name w:val="List Table 6 Colorful - Accent 6"/>
    <w:uiPriority w:val="99"/>
    <w:qFormat/>
    <w:pPr>
      <w:spacing w:after="0" w:line="240" w:lineRule="auto"/>
    </w:pPr>
    <w:tblPr/>
  </w:style>
  <w:style w:type="table" w:styleId="1398" w:customStyle="1">
    <w:name w:val="List Table 7 Colorful"/>
    <w:uiPriority w:val="99"/>
    <w:qFormat/>
    <w:pPr>
      <w:spacing w:after="0" w:line="240" w:lineRule="auto"/>
    </w:pPr>
    <w:tblPr/>
  </w:style>
  <w:style w:type="table" w:styleId="1399" w:customStyle="1">
    <w:name w:val="List Table 7 Colorful - Accent 1"/>
    <w:uiPriority w:val="99"/>
    <w:qFormat/>
    <w:pPr>
      <w:spacing w:after="0" w:line="240" w:lineRule="auto"/>
    </w:pPr>
    <w:tblPr/>
  </w:style>
  <w:style w:type="table" w:styleId="1400" w:customStyle="1">
    <w:name w:val="List Table 7 Colorful - Accent 2"/>
    <w:uiPriority w:val="99"/>
    <w:qFormat/>
    <w:pPr>
      <w:spacing w:after="0" w:line="240" w:lineRule="auto"/>
    </w:pPr>
    <w:tblPr/>
  </w:style>
  <w:style w:type="table" w:styleId="1401" w:customStyle="1">
    <w:name w:val="List Table 7 Colorful - Accent 3"/>
    <w:uiPriority w:val="99"/>
    <w:qFormat/>
    <w:pPr>
      <w:spacing w:after="0" w:line="240" w:lineRule="auto"/>
    </w:pPr>
    <w:tblPr/>
  </w:style>
  <w:style w:type="table" w:styleId="1402" w:customStyle="1">
    <w:name w:val="List Table 7 Colorful - Accent 4"/>
    <w:uiPriority w:val="99"/>
    <w:qFormat/>
    <w:pPr>
      <w:spacing w:after="0" w:line="240" w:lineRule="auto"/>
    </w:pPr>
    <w:tblPr/>
  </w:style>
  <w:style w:type="table" w:styleId="1403" w:customStyle="1">
    <w:name w:val="List Table 7 Colorful - Accent 5"/>
    <w:uiPriority w:val="99"/>
    <w:qFormat/>
    <w:pPr>
      <w:spacing w:after="0" w:line="240" w:lineRule="auto"/>
    </w:pPr>
    <w:tblPr/>
  </w:style>
  <w:style w:type="table" w:styleId="1404" w:customStyle="1">
    <w:name w:val="List Table 7 Colorful - Accent 6"/>
    <w:uiPriority w:val="99"/>
    <w:qFormat/>
    <w:pPr>
      <w:spacing w:after="0" w:line="240" w:lineRule="auto"/>
    </w:pPr>
    <w:tblPr/>
  </w:style>
  <w:style w:type="table" w:styleId="1405" w:customStyle="1">
    <w:name w:val="Lined - Accent"/>
    <w:uiPriority w:val="99"/>
    <w:qFormat/>
    <w:pPr>
      <w:spacing w:after="0" w:line="240" w:lineRule="auto"/>
    </w:pPr>
    <w:rPr>
      <w:color w:val="404040"/>
    </w:rPr>
    <w:tblPr/>
  </w:style>
  <w:style w:type="table" w:styleId="1406" w:customStyle="1">
    <w:name w:val="Lined - Accent 1"/>
    <w:uiPriority w:val="99"/>
    <w:qFormat/>
    <w:pPr>
      <w:spacing w:after="0" w:line="240" w:lineRule="auto"/>
    </w:pPr>
    <w:rPr>
      <w:color w:val="404040"/>
    </w:rPr>
    <w:tblPr/>
  </w:style>
  <w:style w:type="table" w:styleId="1407" w:customStyle="1">
    <w:name w:val="Lined - Accent 2"/>
    <w:uiPriority w:val="99"/>
    <w:qFormat/>
    <w:pPr>
      <w:spacing w:after="0" w:line="240" w:lineRule="auto"/>
    </w:pPr>
    <w:rPr>
      <w:color w:val="404040"/>
    </w:rPr>
    <w:tblPr/>
  </w:style>
  <w:style w:type="table" w:styleId="1408" w:customStyle="1">
    <w:name w:val="Lined - Accent 3"/>
    <w:uiPriority w:val="99"/>
    <w:qFormat/>
    <w:pPr>
      <w:spacing w:after="0" w:line="240" w:lineRule="auto"/>
    </w:pPr>
    <w:rPr>
      <w:color w:val="404040"/>
    </w:rPr>
    <w:tblPr/>
  </w:style>
  <w:style w:type="table" w:styleId="1409" w:customStyle="1">
    <w:name w:val="Lined - Accent 4"/>
    <w:uiPriority w:val="99"/>
    <w:qFormat/>
    <w:pPr>
      <w:spacing w:after="0" w:line="240" w:lineRule="auto"/>
    </w:pPr>
    <w:rPr>
      <w:color w:val="404040"/>
    </w:rPr>
    <w:tblPr/>
  </w:style>
  <w:style w:type="table" w:styleId="1410" w:customStyle="1">
    <w:name w:val="Lined - Accent 5"/>
    <w:uiPriority w:val="99"/>
    <w:qFormat/>
    <w:pPr>
      <w:spacing w:after="0" w:line="240" w:lineRule="auto"/>
    </w:pPr>
    <w:rPr>
      <w:color w:val="404040"/>
    </w:rPr>
    <w:tblPr/>
  </w:style>
  <w:style w:type="table" w:styleId="1411" w:customStyle="1">
    <w:name w:val="Lined - Accent 6"/>
    <w:uiPriority w:val="99"/>
    <w:qFormat/>
    <w:pPr>
      <w:spacing w:after="0" w:line="240" w:lineRule="auto"/>
    </w:pPr>
    <w:rPr>
      <w:color w:val="404040"/>
    </w:rPr>
    <w:tblPr/>
  </w:style>
  <w:style w:type="table" w:styleId="1412" w:customStyle="1">
    <w:name w:val="Bordered &amp; Lined - Accent"/>
    <w:uiPriority w:val="99"/>
    <w:qFormat/>
    <w:pPr>
      <w:spacing w:after="0" w:line="240" w:lineRule="auto"/>
    </w:pPr>
    <w:rPr>
      <w:color w:val="404040"/>
    </w:rPr>
    <w:tblPr/>
  </w:style>
  <w:style w:type="table" w:styleId="1413" w:customStyle="1">
    <w:name w:val="Bordered &amp; Lined - Accent 1"/>
    <w:uiPriority w:val="99"/>
    <w:qFormat/>
    <w:pPr>
      <w:spacing w:after="0" w:line="240" w:lineRule="auto"/>
    </w:pPr>
    <w:rPr>
      <w:color w:val="404040"/>
    </w:rPr>
    <w:tblPr/>
  </w:style>
  <w:style w:type="table" w:styleId="1414" w:customStyle="1">
    <w:name w:val="Bordered &amp; Lined - Accent 2"/>
    <w:uiPriority w:val="99"/>
    <w:qFormat/>
    <w:pPr>
      <w:spacing w:after="0" w:line="240" w:lineRule="auto"/>
    </w:pPr>
    <w:rPr>
      <w:color w:val="404040"/>
    </w:rPr>
    <w:tblPr/>
  </w:style>
  <w:style w:type="table" w:styleId="1415" w:customStyle="1">
    <w:name w:val="Bordered &amp; Lined - Accent 3"/>
    <w:uiPriority w:val="99"/>
    <w:qFormat/>
    <w:pPr>
      <w:spacing w:after="0" w:line="240" w:lineRule="auto"/>
    </w:pPr>
    <w:rPr>
      <w:color w:val="404040"/>
    </w:rPr>
    <w:tblPr/>
  </w:style>
  <w:style w:type="table" w:styleId="1416" w:customStyle="1">
    <w:name w:val="Bordered &amp; Lined - Accent 4"/>
    <w:uiPriority w:val="99"/>
    <w:qFormat/>
    <w:pPr>
      <w:spacing w:after="0" w:line="240" w:lineRule="auto"/>
    </w:pPr>
    <w:rPr>
      <w:color w:val="404040"/>
    </w:rPr>
    <w:tblPr/>
  </w:style>
  <w:style w:type="table" w:styleId="1417" w:customStyle="1">
    <w:name w:val="Bordered &amp; Lined - Accent 5"/>
    <w:uiPriority w:val="99"/>
    <w:qFormat/>
    <w:pPr>
      <w:spacing w:after="0" w:line="240" w:lineRule="auto"/>
    </w:pPr>
    <w:rPr>
      <w:color w:val="404040"/>
    </w:rPr>
    <w:tblPr/>
  </w:style>
  <w:style w:type="table" w:styleId="1418" w:customStyle="1">
    <w:name w:val="Bordered &amp; Lined - Accent 6"/>
    <w:uiPriority w:val="99"/>
    <w:qFormat/>
    <w:pPr>
      <w:spacing w:after="0" w:line="240" w:lineRule="auto"/>
    </w:pPr>
    <w:rPr>
      <w:color w:val="404040"/>
    </w:rPr>
    <w:tblPr/>
  </w:style>
  <w:style w:type="table" w:styleId="1419" w:customStyle="1">
    <w:name w:val="Bordered"/>
    <w:uiPriority w:val="99"/>
    <w:qFormat/>
    <w:pPr>
      <w:spacing w:after="0" w:line="240" w:lineRule="auto"/>
    </w:pPr>
    <w:tblPr/>
  </w:style>
  <w:style w:type="table" w:styleId="1420" w:customStyle="1">
    <w:name w:val="Bordered - Accent 1"/>
    <w:uiPriority w:val="99"/>
    <w:qFormat/>
    <w:pPr>
      <w:spacing w:after="0" w:line="240" w:lineRule="auto"/>
    </w:pPr>
    <w:tblPr/>
  </w:style>
  <w:style w:type="table" w:styleId="1421" w:customStyle="1">
    <w:name w:val="Bordered - Accent 2"/>
    <w:uiPriority w:val="99"/>
    <w:qFormat/>
    <w:pPr>
      <w:spacing w:after="0" w:line="240" w:lineRule="auto"/>
    </w:pPr>
    <w:tblPr/>
  </w:style>
  <w:style w:type="table" w:styleId="1422" w:customStyle="1">
    <w:name w:val="Bordered - Accent 3"/>
    <w:uiPriority w:val="99"/>
    <w:qFormat/>
    <w:pPr>
      <w:spacing w:after="0" w:line="240" w:lineRule="auto"/>
    </w:pPr>
    <w:tblPr/>
  </w:style>
  <w:style w:type="table" w:styleId="1423" w:customStyle="1">
    <w:name w:val="Bordered - Accent 4"/>
    <w:uiPriority w:val="99"/>
    <w:qFormat/>
    <w:pPr>
      <w:spacing w:after="0" w:line="240" w:lineRule="auto"/>
    </w:pPr>
    <w:tblPr/>
  </w:style>
  <w:style w:type="table" w:styleId="1424" w:customStyle="1">
    <w:name w:val="Bordered - Accent 5"/>
    <w:uiPriority w:val="99"/>
    <w:qFormat/>
    <w:pPr>
      <w:spacing w:after="0" w:line="240" w:lineRule="auto"/>
    </w:pPr>
    <w:tblPr/>
  </w:style>
  <w:style w:type="table" w:styleId="1425" w:customStyle="1">
    <w:name w:val="Bordered - Accent 6"/>
    <w:uiPriority w:val="99"/>
    <w:qFormat/>
    <w:pPr>
      <w:spacing w:after="0" w:line="240" w:lineRule="auto"/>
    </w:pPr>
    <w:tblPr/>
  </w:style>
  <w:style w:type="paragraph" w:styleId="1426" w:customStyle="1">
    <w:name w:val="TOC Heading"/>
    <w:uiPriority w:val="39"/>
    <w:unhideWhenUsed/>
    <w:qFormat/>
    <w:rPr>
      <w:rFonts w:hint="default" w:ascii="Times New Roman" w:hAnsi="Times New Roman" w:eastAsia="宋体" w:cs="Times New Roman"/>
    </w:rPr>
  </w:style>
  <w:style w:type="paragraph" w:styleId="1427" w:customStyle="1">
    <w:name w:val="标题 11"/>
    <w:basedOn w:val="1209"/>
    <w:next w:val="1209"/>
    <w:link w:val="1428"/>
    <w:uiPriority w:val="0"/>
    <w:qFormat/>
    <w:pPr>
      <w:jc w:val="center"/>
      <w:keepLines/>
      <w:keepNext/>
      <w:spacing w:before="240" w:after="120" w:line="300" w:lineRule="auto"/>
      <w:outlineLvl w:val="0"/>
    </w:pPr>
    <w:rPr>
      <w:rFonts w:ascii="宋体"/>
      <w:b/>
      <w:sz w:val="32"/>
      <w:szCs w:val="20"/>
    </w:rPr>
  </w:style>
  <w:style w:type="character" w:styleId="1428" w:customStyle="1">
    <w:name w:val="标题 1 Char"/>
    <w:link w:val="1427"/>
    <w:uiPriority w:val="0"/>
    <w:qFormat/>
    <w:rPr>
      <w:rFonts w:ascii="宋体"/>
      <w:b/>
      <w:sz w:val="32"/>
    </w:rPr>
  </w:style>
  <w:style w:type="paragraph" w:styleId="1429" w:customStyle="1">
    <w:name w:val="标题 21"/>
    <w:basedOn w:val="1209"/>
    <w:next w:val="1430"/>
    <w:link w:val="1431"/>
    <w:uiPriority w:val="0"/>
    <w:qFormat/>
    <w:pPr>
      <w:jc w:val="center"/>
      <w:keepLines/>
      <w:keepNext/>
      <w:spacing w:before="120" w:line="300" w:lineRule="auto"/>
      <w:outlineLvl w:val="1"/>
    </w:pPr>
    <w:rPr>
      <w:rFonts w:ascii="Arial" w:hAnsi="Arial" w:eastAsia="黑体"/>
      <w:b/>
      <w:sz w:val="30"/>
      <w:szCs w:val="20"/>
    </w:rPr>
  </w:style>
  <w:style w:type="paragraph" w:styleId="1430" w:customStyle="1">
    <w:name w:val="正文缩进11"/>
    <w:basedOn w:val="1209"/>
    <w:next w:val="1209"/>
    <w:link w:val="1432"/>
    <w:uiPriority w:val="0"/>
    <w:qFormat/>
    <w:pPr>
      <w:ind w:firstLine="420"/>
      <w:jc w:val="left"/>
    </w:pPr>
    <w:rPr>
      <w:rFonts w:ascii="宋体"/>
      <w:sz w:val="24"/>
    </w:rPr>
  </w:style>
  <w:style w:type="character" w:styleId="1431" w:customStyle="1">
    <w:name w:val="标题 2 Char1"/>
    <w:link w:val="1429"/>
    <w:uiPriority w:val="0"/>
    <w:qFormat/>
    <w:rPr>
      <w:rFonts w:ascii="Arial" w:hAnsi="Arial" w:eastAsia="黑体"/>
      <w:b/>
      <w:sz w:val="30"/>
      <w:lang w:val="en-US" w:eastAsia="zh-CN" w:bidi="ar-SA"/>
    </w:rPr>
  </w:style>
  <w:style w:type="character" w:styleId="1432" w:customStyle="1">
    <w:name w:val="正文缩进 Char1"/>
    <w:link w:val="1430"/>
    <w:uiPriority w:val="0"/>
    <w:qFormat/>
    <w:rPr>
      <w:rFonts w:ascii="宋体" w:eastAsia="宋体"/>
      <w:sz w:val="24"/>
      <w:szCs w:val="24"/>
      <w:lang w:val="en-US" w:eastAsia="zh-CN" w:bidi="ar-SA"/>
    </w:rPr>
  </w:style>
  <w:style w:type="character" w:styleId="1433" w:customStyle="1">
    <w:name w:val="标题 3 Char1"/>
    <w:link w:val="1243"/>
    <w:uiPriority w:val="0"/>
    <w:qFormat/>
    <w:rPr>
      <w:rFonts w:ascii="宋体" w:eastAsia="宋体"/>
      <w:b/>
      <w:sz w:val="24"/>
      <w:u w:val="single"/>
      <w:lang w:val="en-US" w:eastAsia="zh-CN" w:bidi="ar-SA"/>
    </w:rPr>
  </w:style>
  <w:style w:type="paragraph" w:styleId="1434" w:customStyle="1">
    <w:name w:val="标题 41"/>
    <w:basedOn w:val="1209"/>
    <w:next w:val="1209"/>
    <w:link w:val="1435"/>
    <w:uiPriority w:val="0"/>
    <w:qFormat/>
    <w:pPr>
      <w:keepLines/>
      <w:keepNext/>
      <w:spacing w:before="280" w:after="290" w:line="376" w:lineRule="atLeast"/>
      <w:outlineLvl w:val="3"/>
    </w:pPr>
    <w:rPr>
      <w:rFonts w:ascii="Arial" w:hAnsi="Arial" w:eastAsia="黑体"/>
      <w:b/>
      <w:sz w:val="28"/>
      <w:szCs w:val="20"/>
    </w:rPr>
  </w:style>
  <w:style w:type="character" w:styleId="1435" w:customStyle="1">
    <w:name w:val="标题 4 Char"/>
    <w:link w:val="1434"/>
    <w:uiPriority w:val="0"/>
    <w:qFormat/>
    <w:rPr>
      <w:rFonts w:ascii="Arial" w:hAnsi="Arial" w:eastAsia="黑体"/>
      <w:b/>
      <w:sz w:val="28"/>
    </w:rPr>
  </w:style>
  <w:style w:type="paragraph" w:styleId="1436" w:customStyle="1">
    <w:name w:val="标题 51"/>
    <w:basedOn w:val="1209"/>
    <w:next w:val="1209"/>
    <w:link w:val="1437"/>
    <w:uiPriority w:val="0"/>
    <w:qFormat/>
    <w:pPr>
      <w:keepLines/>
      <w:keepNext/>
      <w:spacing w:before="280" w:after="290" w:line="376" w:lineRule="atLeast"/>
      <w:outlineLvl w:val="4"/>
    </w:pPr>
    <w:rPr>
      <w:b/>
      <w:sz w:val="28"/>
      <w:szCs w:val="20"/>
    </w:rPr>
  </w:style>
  <w:style w:type="character" w:styleId="1437" w:customStyle="1">
    <w:name w:val="标题 5 Char"/>
    <w:link w:val="1436"/>
    <w:uiPriority w:val="0"/>
    <w:qFormat/>
    <w:rPr>
      <w:b/>
      <w:sz w:val="28"/>
    </w:rPr>
  </w:style>
  <w:style w:type="paragraph" w:styleId="1438" w:customStyle="1">
    <w:name w:val="标题 61"/>
    <w:basedOn w:val="1209"/>
    <w:next w:val="1209"/>
    <w:link w:val="1439"/>
    <w:uiPriority w:val="0"/>
    <w:qFormat/>
    <w:pPr>
      <w:keepLines/>
      <w:keepNext/>
      <w:spacing w:before="240" w:after="64" w:line="320" w:lineRule="atLeast"/>
      <w:outlineLvl w:val="5"/>
    </w:pPr>
    <w:rPr>
      <w:rFonts w:ascii="Arial" w:hAnsi="Arial" w:eastAsia="黑体"/>
      <w:b/>
      <w:sz w:val="24"/>
      <w:szCs w:val="20"/>
    </w:rPr>
  </w:style>
  <w:style w:type="character" w:styleId="1439" w:customStyle="1">
    <w:name w:val="标题 6 Char"/>
    <w:link w:val="1438"/>
    <w:uiPriority w:val="0"/>
    <w:qFormat/>
    <w:rPr>
      <w:rFonts w:ascii="Arial" w:hAnsi="Arial" w:eastAsia="黑体"/>
      <w:b/>
      <w:sz w:val="24"/>
    </w:rPr>
  </w:style>
  <w:style w:type="paragraph" w:styleId="1440" w:customStyle="1">
    <w:name w:val="标题 71"/>
    <w:basedOn w:val="1209"/>
    <w:next w:val="1209"/>
    <w:link w:val="1441"/>
    <w:uiPriority w:val="0"/>
    <w:qFormat/>
    <w:pPr>
      <w:keepLines/>
      <w:keepNext/>
      <w:spacing w:before="240" w:after="64" w:line="320" w:lineRule="atLeast"/>
      <w:outlineLvl w:val="6"/>
    </w:pPr>
    <w:rPr>
      <w:b/>
      <w:sz w:val="24"/>
      <w:szCs w:val="20"/>
    </w:rPr>
  </w:style>
  <w:style w:type="character" w:styleId="1441" w:customStyle="1">
    <w:name w:val="标题 7 Char"/>
    <w:link w:val="1440"/>
    <w:uiPriority w:val="0"/>
    <w:qFormat/>
    <w:rPr>
      <w:b/>
      <w:sz w:val="24"/>
    </w:rPr>
  </w:style>
  <w:style w:type="paragraph" w:styleId="1442" w:customStyle="1">
    <w:name w:val="标题 81"/>
    <w:basedOn w:val="1209"/>
    <w:next w:val="1209"/>
    <w:link w:val="1443"/>
    <w:uiPriority w:val="0"/>
    <w:qFormat/>
    <w:pPr>
      <w:keepLines/>
      <w:keepNext/>
      <w:spacing w:before="240" w:after="64" w:line="320" w:lineRule="atLeast"/>
      <w:outlineLvl w:val="7"/>
    </w:pPr>
    <w:rPr>
      <w:rFonts w:ascii="Arial" w:hAnsi="Arial" w:eastAsia="黑体"/>
      <w:sz w:val="24"/>
      <w:szCs w:val="20"/>
    </w:rPr>
  </w:style>
  <w:style w:type="character" w:styleId="1443" w:customStyle="1">
    <w:name w:val="标题 8 Char"/>
    <w:link w:val="1442"/>
    <w:uiPriority w:val="0"/>
    <w:qFormat/>
    <w:rPr>
      <w:rFonts w:ascii="Arial" w:hAnsi="Arial" w:eastAsia="黑体"/>
      <w:sz w:val="24"/>
    </w:rPr>
  </w:style>
  <w:style w:type="paragraph" w:styleId="1444" w:customStyle="1">
    <w:name w:val="标题 91"/>
    <w:basedOn w:val="1209"/>
    <w:next w:val="1209"/>
    <w:link w:val="1445"/>
    <w:uiPriority w:val="0"/>
    <w:qFormat/>
    <w:pPr>
      <w:keepLines/>
      <w:keepNext/>
      <w:spacing w:before="240" w:after="64" w:line="320" w:lineRule="atLeast"/>
      <w:outlineLvl w:val="8"/>
    </w:pPr>
    <w:rPr>
      <w:rFonts w:ascii="Arial" w:hAnsi="Arial" w:eastAsia="黑体"/>
      <w:szCs w:val="20"/>
    </w:rPr>
  </w:style>
  <w:style w:type="character" w:styleId="1445" w:customStyle="1">
    <w:name w:val="标题 9 Char"/>
    <w:link w:val="1444"/>
    <w:uiPriority w:val="0"/>
    <w:qFormat/>
    <w:rPr>
      <w:rFonts w:ascii="Arial" w:hAnsi="Arial" w:eastAsia="黑体"/>
      <w:sz w:val="21"/>
    </w:rPr>
  </w:style>
  <w:style w:type="table" w:styleId="1446" w:customStyle="1">
    <w:name w:val="普通表格1"/>
    <w:uiPriority w:val="99"/>
    <w:unhideWhenUsed/>
    <w:qFormat/>
    <w:tblPr/>
  </w:style>
  <w:style w:type="paragraph" w:styleId="1447" w:customStyle="1">
    <w:name w:val="目录 71"/>
    <w:basedOn w:val="1209"/>
    <w:next w:val="1209"/>
    <w:uiPriority w:val="0"/>
    <w:qFormat/>
    <w:pPr>
      <w:ind w:left="2520"/>
    </w:pPr>
  </w:style>
  <w:style w:type="paragraph" w:styleId="1448" w:customStyle="1">
    <w:name w:val="引文目录1"/>
    <w:basedOn w:val="1209"/>
    <w:next w:val="1209"/>
    <w:uiPriority w:val="0"/>
    <w:qFormat/>
    <w:pPr>
      <w:ind w:left="420"/>
    </w:pPr>
  </w:style>
  <w:style w:type="paragraph" w:styleId="1449" w:customStyle="1">
    <w:name w:val="题注1"/>
    <w:basedOn w:val="1209"/>
    <w:next w:val="1209"/>
    <w:uiPriority w:val="0"/>
    <w:qFormat/>
    <w:pPr>
      <w:spacing w:line="480" w:lineRule="auto"/>
    </w:pPr>
    <w:rPr>
      <w:rFonts w:ascii="华文中宋" w:hAnsi="华文中宋" w:eastAsia="华文中宋"/>
      <w:sz w:val="36"/>
      <w:szCs w:val="20"/>
    </w:rPr>
  </w:style>
  <w:style w:type="paragraph" w:styleId="1450" w:customStyle="1">
    <w:name w:val="文档结构图1"/>
    <w:basedOn w:val="1209"/>
    <w:next w:val="1209"/>
    <w:link w:val="1451"/>
    <w:uiPriority w:val="0"/>
    <w:qFormat/>
    <w:pPr>
      <w:shd w:val="clear" w:color="auto" w:fill="000080"/>
    </w:pPr>
  </w:style>
  <w:style w:type="character" w:styleId="1451" w:customStyle="1">
    <w:name w:val="文档结构图 Char"/>
    <w:link w:val="1450"/>
    <w:uiPriority w:val="0"/>
    <w:qFormat/>
    <w:rPr>
      <w:sz w:val="21"/>
      <w:szCs w:val="24"/>
      <w:shd w:val="clear" w:color="auto" w:fill="000080"/>
    </w:rPr>
  </w:style>
  <w:style w:type="paragraph" w:styleId="1452" w:customStyle="1">
    <w:name w:val="批注文字1"/>
    <w:basedOn w:val="1209"/>
    <w:link w:val="1453"/>
    <w:uiPriority w:val="99"/>
    <w:qFormat/>
    <w:pPr>
      <w:jc w:val="left"/>
    </w:pPr>
  </w:style>
  <w:style w:type="character" w:styleId="1453" w:customStyle="1">
    <w:name w:val="批注文字 Char1"/>
    <w:link w:val="1452"/>
    <w:uiPriority w:val="99"/>
    <w:qFormat/>
    <w:rPr>
      <w:sz w:val="21"/>
      <w:szCs w:val="24"/>
    </w:rPr>
  </w:style>
  <w:style w:type="paragraph" w:styleId="1454" w:customStyle="1">
    <w:name w:val="正文文本 31"/>
    <w:basedOn w:val="1209"/>
    <w:link w:val="1455"/>
    <w:uiPriority w:val="0"/>
    <w:qFormat/>
    <w:pPr>
      <w:spacing w:after="120"/>
    </w:pPr>
    <w:rPr>
      <w:sz w:val="16"/>
      <w:szCs w:val="16"/>
    </w:rPr>
  </w:style>
  <w:style w:type="character" w:styleId="1455" w:customStyle="1">
    <w:name w:val="正文文本 3 Char"/>
    <w:link w:val="1454"/>
    <w:uiPriority w:val="0"/>
    <w:qFormat/>
    <w:rPr>
      <w:sz w:val="16"/>
      <w:szCs w:val="16"/>
    </w:rPr>
  </w:style>
  <w:style w:type="paragraph" w:styleId="1456" w:customStyle="1">
    <w:name w:val="正文文本1"/>
    <w:basedOn w:val="1209"/>
    <w:next w:val="1209"/>
    <w:link w:val="1457"/>
    <w:uiPriority w:val="0"/>
    <w:qFormat/>
    <w:pPr>
      <w:spacing w:before="120" w:line="22" w:lineRule="atLeast"/>
      <w:tabs>
        <w:tab w:val="left" w:pos="567" w:leader="none"/>
      </w:tabs>
    </w:pPr>
    <w:rPr>
      <w:rFonts w:ascii="宋体" w:hAnsi="宋体"/>
      <w:sz w:val="24"/>
    </w:rPr>
  </w:style>
  <w:style w:type="character" w:styleId="1457" w:customStyle="1">
    <w:name w:val="正文文本 Char"/>
    <w:link w:val="1456"/>
    <w:uiPriority w:val="0"/>
    <w:qFormat/>
    <w:rPr>
      <w:rFonts w:ascii="宋体" w:hAnsi="宋体"/>
      <w:sz w:val="24"/>
      <w:szCs w:val="24"/>
    </w:rPr>
  </w:style>
  <w:style w:type="paragraph" w:styleId="1458" w:customStyle="1">
    <w:name w:val="正文文本缩进11"/>
    <w:basedOn w:val="1209"/>
    <w:link w:val="1459"/>
    <w:uiPriority w:val="0"/>
    <w:qFormat/>
    <w:pPr>
      <w:ind w:firstLine="570"/>
      <w:spacing w:line="360" w:lineRule="auto"/>
    </w:pPr>
    <w:rPr>
      <w:sz w:val="24"/>
    </w:rPr>
  </w:style>
  <w:style w:type="character" w:styleId="1459" w:customStyle="1">
    <w:name w:val="正文文本缩进 Char2"/>
    <w:link w:val="1458"/>
    <w:uiPriority w:val="0"/>
    <w:qFormat/>
    <w:rPr>
      <w:rFonts w:eastAsia="宋体"/>
      <w:sz w:val="24"/>
      <w:szCs w:val="24"/>
      <w:lang w:val="en-US" w:eastAsia="zh-CN" w:bidi="ar-SA"/>
    </w:rPr>
  </w:style>
  <w:style w:type="paragraph" w:styleId="1460" w:customStyle="1">
    <w:name w:val="列表 21"/>
    <w:basedOn w:val="1209"/>
    <w:uiPriority w:val="0"/>
    <w:qFormat/>
    <w:pPr>
      <w:ind w:left="100" w:hanging="200"/>
    </w:pPr>
  </w:style>
  <w:style w:type="paragraph" w:styleId="1461" w:customStyle="1">
    <w:name w:val="文本块1"/>
    <w:basedOn w:val="1209"/>
    <w:uiPriority w:val="0"/>
    <w:qFormat/>
    <w:pPr>
      <w:ind w:left="480" w:right="-341" w:firstLine="513"/>
      <w:widowControl/>
    </w:pPr>
    <w:rPr>
      <w:sz w:val="24"/>
      <w:szCs w:val="20"/>
    </w:rPr>
  </w:style>
  <w:style w:type="paragraph" w:styleId="1462" w:customStyle="1">
    <w:name w:val="索引 41"/>
    <w:basedOn w:val="1209"/>
    <w:next w:val="1209"/>
    <w:uiPriority w:val="99"/>
    <w:unhideWhenUsed/>
    <w:qFormat/>
    <w:pPr>
      <w:ind w:left="600"/>
    </w:pPr>
  </w:style>
  <w:style w:type="paragraph" w:styleId="1463" w:customStyle="1">
    <w:name w:val="目录 51"/>
    <w:basedOn w:val="1209"/>
    <w:next w:val="1209"/>
    <w:uiPriority w:val="0"/>
    <w:qFormat/>
    <w:pPr>
      <w:ind w:left="1680"/>
    </w:pPr>
  </w:style>
  <w:style w:type="paragraph" w:styleId="1464" w:customStyle="1">
    <w:name w:val="目录 31"/>
    <w:basedOn w:val="1209"/>
    <w:next w:val="1209"/>
    <w:uiPriority w:val="39"/>
    <w:qFormat/>
    <w:pPr>
      <w:ind w:left="840"/>
    </w:pPr>
  </w:style>
  <w:style w:type="paragraph" w:styleId="1465" w:customStyle="1">
    <w:name w:val="纯文本11"/>
    <w:basedOn w:val="1209"/>
    <w:next w:val="1430"/>
    <w:link w:val="1466"/>
    <w:uiPriority w:val="0"/>
    <w:qFormat/>
    <w:rPr>
      <w:rFonts w:hint="eastAsia" w:ascii="宋体" w:hAnsi="Courier New"/>
      <w:szCs w:val="20"/>
    </w:rPr>
  </w:style>
  <w:style w:type="character" w:styleId="1466" w:customStyle="1">
    <w:name w:val="纯文本 Char"/>
    <w:link w:val="1465"/>
    <w:uiPriority w:val="0"/>
    <w:qFormat/>
    <w:rPr>
      <w:rFonts w:hint="eastAsia" w:ascii="宋体" w:hAnsi="Courier New" w:eastAsia="宋体" w:cs="宋体"/>
      <w:sz w:val="21"/>
    </w:rPr>
  </w:style>
  <w:style w:type="paragraph" w:styleId="1467" w:customStyle="1">
    <w:name w:val="目录 81"/>
    <w:basedOn w:val="1209"/>
    <w:next w:val="1209"/>
    <w:uiPriority w:val="0"/>
    <w:qFormat/>
    <w:pPr>
      <w:ind w:left="2940"/>
    </w:pPr>
  </w:style>
  <w:style w:type="paragraph" w:styleId="1468" w:customStyle="1">
    <w:name w:val="日期1"/>
    <w:basedOn w:val="1209"/>
    <w:next w:val="1209"/>
    <w:link w:val="1469"/>
    <w:uiPriority w:val="0"/>
    <w:qFormat/>
    <w:pPr>
      <w:ind w:left="100"/>
    </w:pPr>
    <w:rPr>
      <w:rFonts w:ascii="仿宋_GB2312" w:hAnsi="宋体" w:eastAsia="仿宋_GB2312"/>
      <w:color w:val="000000"/>
      <w:sz w:val="24"/>
    </w:rPr>
  </w:style>
  <w:style w:type="character" w:styleId="1469" w:customStyle="1">
    <w:name w:val="日期 Char"/>
    <w:link w:val="1468"/>
    <w:uiPriority w:val="0"/>
    <w:qFormat/>
    <w:rPr>
      <w:rFonts w:ascii="仿宋_GB2312" w:hAnsi="宋体" w:eastAsia="仿宋_GB2312"/>
      <w:color w:val="000000"/>
      <w:sz w:val="24"/>
      <w:szCs w:val="24"/>
    </w:rPr>
  </w:style>
  <w:style w:type="paragraph" w:styleId="1470" w:customStyle="1">
    <w:name w:val="正文文本缩进 21"/>
    <w:basedOn w:val="1209"/>
    <w:link w:val="1471"/>
    <w:uiPriority w:val="0"/>
    <w:qFormat/>
    <w:pPr>
      <w:ind w:firstLine="480"/>
    </w:pPr>
    <w:rPr>
      <w:rFonts w:ascii="仿宋_GB2312" w:eastAsia="仿宋_GB2312"/>
      <w:sz w:val="24"/>
    </w:rPr>
  </w:style>
  <w:style w:type="character" w:styleId="1471" w:customStyle="1">
    <w:name w:val="正文文本缩进 2 Char"/>
    <w:link w:val="1470"/>
    <w:uiPriority w:val="0"/>
    <w:qFormat/>
    <w:rPr>
      <w:rFonts w:ascii="仿宋_GB2312" w:eastAsia="仿宋_GB2312"/>
      <w:sz w:val="24"/>
      <w:szCs w:val="24"/>
    </w:rPr>
  </w:style>
  <w:style w:type="paragraph" w:styleId="1472" w:customStyle="1">
    <w:name w:val="批注框文本1"/>
    <w:basedOn w:val="1209"/>
    <w:link w:val="1473"/>
    <w:uiPriority w:val="0"/>
    <w:qFormat/>
    <w:rPr>
      <w:sz w:val="18"/>
      <w:szCs w:val="18"/>
    </w:rPr>
  </w:style>
  <w:style w:type="character" w:styleId="1473" w:customStyle="1">
    <w:name w:val="批注框文本 Char"/>
    <w:link w:val="1472"/>
    <w:uiPriority w:val="0"/>
    <w:qFormat/>
    <w:rPr>
      <w:sz w:val="18"/>
      <w:szCs w:val="18"/>
    </w:rPr>
  </w:style>
  <w:style w:type="paragraph" w:styleId="1474" w:customStyle="1">
    <w:name w:val="页脚1"/>
    <w:basedOn w:val="1209"/>
    <w:link w:val="1475"/>
    <w:uiPriority w:val="99"/>
    <w:qFormat/>
    <w:pPr>
      <w:jc w:val="left"/>
      <w:tabs>
        <w:tab w:val="center" w:pos="4153" w:leader="none"/>
        <w:tab w:val="right" w:pos="8306" w:leader="none"/>
      </w:tabs>
    </w:pPr>
    <w:rPr>
      <w:rFonts w:ascii="宋体"/>
      <w:sz w:val="18"/>
      <w:szCs w:val="20"/>
    </w:rPr>
  </w:style>
  <w:style w:type="character" w:styleId="1475" w:customStyle="1">
    <w:name w:val="页脚 Char1"/>
    <w:link w:val="1474"/>
    <w:uiPriority w:val="99"/>
    <w:qFormat/>
    <w:rPr>
      <w:rFonts w:ascii="宋体" w:eastAsia="宋体"/>
      <w:sz w:val="18"/>
      <w:lang w:val="en-US" w:eastAsia="zh-CN" w:bidi="ar-SA"/>
    </w:rPr>
  </w:style>
  <w:style w:type="paragraph" w:styleId="1476" w:customStyle="1">
    <w:name w:val="页眉1"/>
    <w:basedOn w:val="1209"/>
    <w:link w:val="1477"/>
    <w:uiPriority w:val="0"/>
    <w:qFormat/>
    <w:pPr>
      <w:jc w:val="center"/>
      <w:tabs>
        <w:tab w:val="center" w:pos="4153" w:leader="none"/>
        <w:tab w:val="right" w:pos="8306" w:leader="none"/>
      </w:tabs>
      <w:pBdr>
        <w:bottom w:val="single" w:color="000000" w:sz="6" w:space="1"/>
      </w:pBdr>
    </w:pPr>
    <w:rPr>
      <w:sz w:val="18"/>
      <w:szCs w:val="18"/>
    </w:rPr>
  </w:style>
  <w:style w:type="character" w:styleId="1477" w:customStyle="1">
    <w:name w:val="页眉 Char1"/>
    <w:link w:val="1476"/>
    <w:uiPriority w:val="0"/>
    <w:qFormat/>
    <w:rPr>
      <w:rFonts w:eastAsia="宋体"/>
      <w:sz w:val="18"/>
      <w:szCs w:val="18"/>
      <w:lang w:val="en-US" w:eastAsia="zh-CN" w:bidi="ar-SA"/>
    </w:rPr>
  </w:style>
  <w:style w:type="paragraph" w:styleId="1478" w:customStyle="1">
    <w:name w:val="目录 11"/>
    <w:basedOn w:val="1209"/>
    <w:next w:val="1209"/>
    <w:uiPriority w:val="39"/>
    <w:qFormat/>
    <w:pPr>
      <w:spacing w:line="300" w:lineRule="auto"/>
      <w:tabs>
        <w:tab w:val="left" w:pos="1050" w:leader="none"/>
        <w:tab w:val="right" w:pos="8937" w:leader="dot"/>
      </w:tabs>
    </w:pPr>
    <w:rPr>
      <w:rFonts w:ascii="宋体" w:hAnsi="宋体"/>
      <w:b/>
      <w:sz w:val="24"/>
    </w:rPr>
  </w:style>
  <w:style w:type="paragraph" w:styleId="1479" w:customStyle="1">
    <w:name w:val="目录 41"/>
    <w:basedOn w:val="1209"/>
    <w:next w:val="1209"/>
    <w:uiPriority w:val="0"/>
    <w:qFormat/>
    <w:pPr>
      <w:ind w:left="1260"/>
    </w:pPr>
  </w:style>
  <w:style w:type="paragraph" w:styleId="1480" w:customStyle="1">
    <w:name w:val="目录 61"/>
    <w:basedOn w:val="1209"/>
    <w:next w:val="1209"/>
    <w:uiPriority w:val="0"/>
    <w:qFormat/>
    <w:pPr>
      <w:ind w:left="2100"/>
    </w:pPr>
  </w:style>
  <w:style w:type="paragraph" w:styleId="1481" w:customStyle="1">
    <w:name w:val="正文文本缩进 31"/>
    <w:basedOn w:val="1209"/>
    <w:link w:val="1482"/>
    <w:uiPriority w:val="0"/>
    <w:qFormat/>
    <w:pPr>
      <w:ind w:left="720" w:firstLine="480"/>
      <w:jc w:val="left"/>
      <w:spacing w:before="120" w:line="22" w:lineRule="atLeast"/>
    </w:pPr>
    <w:rPr>
      <w:rFonts w:ascii="宋体"/>
      <w:sz w:val="24"/>
      <w:szCs w:val="20"/>
    </w:rPr>
  </w:style>
  <w:style w:type="character" w:styleId="1482" w:customStyle="1">
    <w:name w:val="正文文本缩进 3 Char"/>
    <w:link w:val="1481"/>
    <w:uiPriority w:val="0"/>
    <w:qFormat/>
    <w:rPr>
      <w:rFonts w:ascii="宋体"/>
      <w:sz w:val="24"/>
    </w:rPr>
  </w:style>
  <w:style w:type="paragraph" w:styleId="1483" w:customStyle="1">
    <w:name w:val="目录 21"/>
    <w:basedOn w:val="1209"/>
    <w:next w:val="1209"/>
    <w:uiPriority w:val="39"/>
    <w:qFormat/>
    <w:pPr>
      <w:ind w:left="420"/>
      <w:spacing w:line="312" w:lineRule="auto"/>
      <w:tabs>
        <w:tab w:val="right" w:pos="8937" w:leader="dot"/>
      </w:tabs>
    </w:pPr>
  </w:style>
  <w:style w:type="paragraph" w:styleId="1484" w:customStyle="1">
    <w:name w:val="目录 91"/>
    <w:basedOn w:val="1209"/>
    <w:next w:val="1209"/>
    <w:uiPriority w:val="0"/>
    <w:qFormat/>
    <w:pPr>
      <w:ind w:left="3360"/>
    </w:pPr>
  </w:style>
  <w:style w:type="paragraph" w:styleId="1485" w:customStyle="1">
    <w:name w:val="正文文本 21"/>
    <w:basedOn w:val="1209"/>
    <w:next w:val="1456"/>
    <w:uiPriority w:val="0"/>
    <w:qFormat/>
    <w:pPr>
      <w:jc w:val="both"/>
      <w:spacing w:after="120" w:line="480" w:lineRule="auto"/>
      <w:widowControl w:val="off"/>
    </w:pPr>
    <w:rPr>
      <w:sz w:val="21"/>
    </w:rPr>
  </w:style>
  <w:style w:type="paragraph" w:styleId="1486" w:customStyle="1">
    <w:name w:val="HTML 预设格式1"/>
    <w:basedOn w:val="1209"/>
    <w:link w:val="14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87" w:customStyle="1">
    <w:name w:val="HTML 预设格式 Char"/>
    <w:link w:val="1486"/>
    <w:uiPriority w:val="0"/>
    <w:qFormat/>
    <w:rPr>
      <w:rFonts w:ascii="宋体" w:hAnsi="宋体" w:cs="宋体"/>
      <w:sz w:val="24"/>
      <w:szCs w:val="24"/>
    </w:rPr>
  </w:style>
  <w:style w:type="paragraph" w:styleId="1488" w:customStyle="1">
    <w:name w:val="普通(网站)1"/>
    <w:basedOn w:val="1209"/>
    <w:uiPriority w:val="99"/>
    <w:unhideWhenUsed/>
    <w:qFormat/>
    <w:pPr>
      <w:jc w:val="left"/>
      <w:spacing w:before="100" w:beforeAutospacing="1" w:after="100" w:afterAutospacing="1"/>
      <w:widowControl/>
    </w:pPr>
    <w:rPr>
      <w:rFonts w:ascii="宋体" w:hAnsi="宋体" w:cs="宋体"/>
      <w:sz w:val="24"/>
    </w:rPr>
  </w:style>
  <w:style w:type="paragraph" w:styleId="1489" w:customStyle="1">
    <w:name w:val="索引 11"/>
    <w:basedOn w:val="1209"/>
    <w:next w:val="1209"/>
    <w:uiPriority w:val="0"/>
    <w:qFormat/>
    <w:rPr>
      <w:szCs w:val="20"/>
    </w:rPr>
  </w:style>
  <w:style w:type="paragraph" w:styleId="1490" w:customStyle="1">
    <w:name w:val="标题1"/>
    <w:basedOn w:val="1209"/>
    <w:next w:val="1209"/>
    <w:link w:val="1491"/>
    <w:uiPriority w:val="0"/>
    <w:qFormat/>
    <w:pPr>
      <w:jc w:val="center"/>
      <w:outlineLvl w:val="0"/>
    </w:pPr>
    <w:rPr>
      <w:b/>
      <w:sz w:val="32"/>
      <w:szCs w:val="20"/>
    </w:rPr>
  </w:style>
  <w:style w:type="character" w:styleId="1491" w:customStyle="1">
    <w:name w:val="标题 Char1"/>
    <w:link w:val="1490"/>
    <w:uiPriority w:val="0"/>
    <w:qFormat/>
    <w:rPr>
      <w:b/>
      <w:sz w:val="32"/>
    </w:rPr>
  </w:style>
  <w:style w:type="paragraph" w:styleId="1492" w:customStyle="1">
    <w:name w:val="批注主题1"/>
    <w:basedOn w:val="1452"/>
    <w:next w:val="1452"/>
    <w:link w:val="1493"/>
    <w:uiPriority w:val="0"/>
    <w:qFormat/>
    <w:rPr>
      <w:b/>
      <w:bCs/>
    </w:rPr>
  </w:style>
  <w:style w:type="character" w:styleId="1493" w:customStyle="1">
    <w:name w:val="批注主题 Char"/>
    <w:link w:val="1492"/>
    <w:uiPriority w:val="0"/>
    <w:qFormat/>
    <w:rPr>
      <w:rFonts w:ascii="Times New Roman" w:hAnsi="Times New Roman" w:eastAsia="宋体" w:cs="Times New Roman"/>
      <w:b/>
      <w:bCs/>
      <w:sz w:val="21"/>
      <w:szCs w:val="24"/>
      <w:lang w:val="en-US" w:eastAsia="zh-CN" w:bidi="ar-SA"/>
    </w:rPr>
  </w:style>
  <w:style w:type="paragraph" w:styleId="1494" w:customStyle="1">
    <w:name w:val="正文首行缩进 21"/>
    <w:basedOn w:val="1209"/>
    <w:next w:val="1209"/>
    <w:link w:val="1495"/>
    <w:uiPriority w:val="0"/>
    <w:qFormat/>
    <w:pPr>
      <w:ind w:left="420" w:firstLine="420"/>
      <w:spacing w:after="120" w:line="480" w:lineRule="exact"/>
    </w:pPr>
    <w:rPr>
      <w:sz w:val="24"/>
    </w:rPr>
  </w:style>
  <w:style w:type="character" w:styleId="1495" w:customStyle="1">
    <w:name w:val="正文首行缩进 2 Char"/>
    <w:link w:val="1494"/>
    <w:uiPriority w:val="0"/>
    <w:qFormat/>
    <w:rPr>
      <w:rFonts w:eastAsia="宋体"/>
      <w:sz w:val="24"/>
      <w:szCs w:val="24"/>
      <w:lang w:val="en-US" w:eastAsia="zh-CN" w:bidi="ar-SA"/>
    </w:rPr>
  </w:style>
  <w:style w:type="table" w:styleId="1496" w:customStyle="1">
    <w:name w:val="网格型1"/>
    <w:basedOn w:val="1446"/>
    <w:uiPriority w:val="0"/>
    <w:qFormat/>
    <w:tblPr/>
  </w:style>
  <w:style w:type="table" w:styleId="1497" w:customStyle="1">
    <w:name w:val="中等深浅网格 1 - 强调文字颜色 21"/>
    <w:basedOn w:val="1446"/>
    <w:uiPriority w:val="0"/>
    <w:qFormat/>
    <w:rPr>
      <w:sz w:val="21"/>
      <w:szCs w:val="24"/>
    </w:rPr>
    <w:tblPr/>
  </w:style>
  <w:style w:type="character" w:styleId="1498" w:customStyle="1">
    <w:name w:val="要点1"/>
    <w:link w:val="1209"/>
    <w:uiPriority w:val="0"/>
    <w:qFormat/>
    <w:rPr>
      <w:b/>
      <w:bCs/>
    </w:rPr>
  </w:style>
  <w:style w:type="character" w:styleId="1499" w:customStyle="1">
    <w:name w:val="页码1"/>
    <w:link w:val="1209"/>
    <w:uiPriority w:val="0"/>
    <w:qFormat/>
  </w:style>
  <w:style w:type="character" w:styleId="1500" w:customStyle="1">
    <w:name w:val="已访问的超链接1"/>
    <w:link w:val="1209"/>
    <w:uiPriority w:val="0"/>
    <w:qFormat/>
    <w:rPr>
      <w:color w:val="800080"/>
      <w:u w:val="single"/>
    </w:rPr>
  </w:style>
  <w:style w:type="character" w:styleId="1501" w:customStyle="1">
    <w:name w:val="强调1"/>
    <w:link w:val="1209"/>
    <w:uiPriority w:val="0"/>
    <w:qFormat/>
    <w:rPr>
      <w:color w:val="cc0033"/>
    </w:rPr>
  </w:style>
  <w:style w:type="character" w:styleId="1502" w:customStyle="1">
    <w:name w:val="超链接1"/>
    <w:link w:val="1209"/>
    <w:uiPriority w:val="99"/>
    <w:qFormat/>
    <w:rPr>
      <w:color w:val="0000ff"/>
      <w:u w:val="single"/>
    </w:rPr>
  </w:style>
  <w:style w:type="character" w:styleId="1503" w:customStyle="1">
    <w:name w:val="批注引用1"/>
    <w:link w:val="1209"/>
    <w:uiPriority w:val="99"/>
    <w:qFormat/>
    <w:rPr>
      <w:sz w:val="21"/>
      <w:szCs w:val="21"/>
    </w:rPr>
  </w:style>
  <w:style w:type="character" w:styleId="1504" w:customStyle="1">
    <w:name w:val="HTML 引文1"/>
    <w:link w:val="1209"/>
    <w:uiPriority w:val="0"/>
    <w:qFormat/>
    <w:rPr>
      <w:i/>
      <w:iCs/>
    </w:rPr>
  </w:style>
  <w:style w:type="character" w:styleId="1505" w:customStyle="1">
    <w:name w:val="批注文字 字符"/>
    <w:link w:val="1209"/>
    <w:uiPriority w:val="99"/>
    <w:qFormat/>
    <w:rPr>
      <w:rFonts w:ascii="Times New Roman" w:hAnsi="Times New Roman" w:eastAsia="宋体" w:cs="Times New Roman"/>
      <w:sz w:val="24"/>
      <w:lang w:val="en-US" w:eastAsia="zh-CN" w:bidi="ar-SA"/>
    </w:rPr>
  </w:style>
  <w:style w:type="paragraph" w:styleId="150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507" w:customStyle="1">
    <w:name w:val="c21"/>
    <w:link w:val="1209"/>
    <w:uiPriority w:val="0"/>
    <w:qFormat/>
    <w:rPr>
      <w:rFonts w:ascii="ˎ̥" w:hAnsi="ˎ̥"/>
      <w:color w:val="000000"/>
      <w:sz w:val="20"/>
      <w:szCs w:val="20"/>
      <w:u w:val="none"/>
    </w:rPr>
  </w:style>
  <w:style w:type="character" w:styleId="1508" w:customStyle="1">
    <w:name w:val="title4"/>
    <w:link w:val="1209"/>
    <w:uiPriority w:val="0"/>
    <w:qFormat/>
    <w:rPr>
      <w:b/>
      <w:bCs/>
      <w:color w:val="1d87b3"/>
      <w:sz w:val="15"/>
      <w:szCs w:val="15"/>
    </w:rPr>
  </w:style>
  <w:style w:type="character" w:styleId="1509" w:customStyle="1">
    <w:name w:val="标题 2 Char Char"/>
    <w:link w:val="1209"/>
    <w:uiPriority w:val="0"/>
    <w:qFormat/>
    <w:rPr>
      <w:rFonts w:ascii="Arial" w:hAnsi="Arial" w:eastAsia="黑体"/>
      <w:b/>
      <w:bCs/>
      <w:sz w:val="32"/>
      <w:szCs w:val="32"/>
      <w:lang w:val="en-US" w:eastAsia="zh-CN" w:bidi="ar-SA"/>
    </w:rPr>
  </w:style>
  <w:style w:type="character" w:styleId="1510" w:customStyle="1">
    <w:name w:val="black1"/>
    <w:link w:val="1209"/>
    <w:uiPriority w:val="0"/>
    <w:qFormat/>
    <w:rPr>
      <w:color w:val="000000"/>
    </w:rPr>
  </w:style>
  <w:style w:type="character" w:styleId="1511" w:customStyle="1">
    <w:name w:val="street-address"/>
    <w:link w:val="1209"/>
    <w:uiPriority w:val="0"/>
    <w:qFormat/>
  </w:style>
  <w:style w:type="character" w:styleId="1512" w:customStyle="1">
    <w:name w:val="locality"/>
    <w:link w:val="1209"/>
    <w:uiPriority w:val="0"/>
    <w:qFormat/>
  </w:style>
  <w:style w:type="character" w:styleId="1513" w:customStyle="1">
    <w:name w:val="正文文本缩进 Char1"/>
    <w:link w:val="1514"/>
    <w:uiPriority w:val="0"/>
    <w:qFormat/>
    <w:rPr>
      <w:rFonts w:ascii="宋体" w:hAnsi="宋体" w:eastAsia="宋体"/>
      <w:sz w:val="24"/>
      <w:szCs w:val="24"/>
      <w:lang w:bidi="ar-SA"/>
    </w:rPr>
  </w:style>
  <w:style w:type="paragraph" w:styleId="1514" w:customStyle="1">
    <w:name w:val="正文文本缩进1"/>
    <w:basedOn w:val="1209"/>
    <w:link w:val="1513"/>
    <w:uiPriority w:val="0"/>
    <w:qFormat/>
    <w:pPr>
      <w:ind w:firstLine="480"/>
      <w:spacing w:line="480" w:lineRule="exact"/>
    </w:pPr>
    <w:rPr>
      <w:rFonts w:ascii="宋体" w:hAnsi="宋体"/>
      <w:sz w:val="24"/>
    </w:rPr>
  </w:style>
  <w:style w:type="character" w:styleId="1515" w:customStyle="1">
    <w:name w:val="Char Char11"/>
    <w:link w:val="1209"/>
    <w:uiPriority w:val="0"/>
    <w:qFormat/>
    <w:rPr>
      <w:rFonts w:ascii="宋体" w:eastAsia="宋体"/>
      <w:b/>
      <w:sz w:val="24"/>
      <w:u w:val="single"/>
      <w:lang w:val="en-US" w:eastAsia="zh-CN" w:bidi="ar-SA"/>
    </w:rPr>
  </w:style>
  <w:style w:type="character" w:styleId="1516" w:customStyle="1">
    <w:name w:val="txt"/>
    <w:link w:val="1209"/>
    <w:uiPriority w:val="0"/>
    <w:qFormat/>
  </w:style>
  <w:style w:type="character" w:styleId="1517" w:customStyle="1">
    <w:name w:val="正文缩进 Char Char"/>
    <w:link w:val="1518"/>
    <w:uiPriority w:val="0"/>
    <w:qFormat/>
    <w:rPr>
      <w:rFonts w:ascii="宋体" w:eastAsia="宋体"/>
      <w:color w:val="000000"/>
      <w:sz w:val="28"/>
      <w:lang w:bidi="ar-SA"/>
    </w:rPr>
  </w:style>
  <w:style w:type="paragraph" w:styleId="1518" w:customStyle="1">
    <w:name w:val="正文缩进1"/>
    <w:basedOn w:val="1209"/>
    <w:link w:val="1517"/>
    <w:uiPriority w:val="0"/>
    <w:qFormat/>
    <w:pPr>
      <w:ind w:firstLine="567"/>
      <w:spacing w:line="480" w:lineRule="exact"/>
      <w:widowControl/>
    </w:pPr>
    <w:rPr>
      <w:rFonts w:ascii="宋体"/>
      <w:color w:val="000000"/>
      <w:sz w:val="28"/>
      <w:szCs w:val="20"/>
    </w:rPr>
  </w:style>
  <w:style w:type="character" w:styleId="1519" w:customStyle="1">
    <w:name w:val="普通文字1 Char1"/>
    <w:link w:val="1209"/>
    <w:uiPriority w:val="0"/>
    <w:qFormat/>
    <w:rPr>
      <w:rFonts w:ascii="宋体" w:hAnsi="Courier New" w:eastAsia="宋体"/>
      <w:sz w:val="21"/>
      <w:lang w:val="en-US" w:eastAsia="zh-CN" w:bidi="ar-SA"/>
    </w:rPr>
  </w:style>
  <w:style w:type="character" w:styleId="1520" w:customStyle="1">
    <w:name w:val="chanpin1"/>
    <w:link w:val="1209"/>
    <w:uiPriority w:val="0"/>
    <w:qFormat/>
    <w:rPr>
      <w:rFonts w:ascii="ˎ̥" w:hAnsi="ˎ̥"/>
      <w:color w:val="000000"/>
      <w:sz w:val="20"/>
      <w:szCs w:val="20"/>
      <w:u w:val="none"/>
    </w:rPr>
  </w:style>
  <w:style w:type="character" w:styleId="1521" w:customStyle="1">
    <w:name w:val="列出段落 Char1"/>
    <w:link w:val="1522"/>
    <w:uiPriority w:val="34"/>
    <w:qFormat/>
    <w:rPr>
      <w:rFonts w:ascii="Calibri" w:hAnsi="Calibri" w:eastAsia="宋体"/>
      <w:sz w:val="21"/>
      <w:szCs w:val="22"/>
      <w:lang w:val="en-US" w:eastAsia="zh-CN" w:bidi="ar-SA"/>
    </w:rPr>
  </w:style>
  <w:style w:type="paragraph" w:styleId="1522" w:customStyle="1">
    <w:name w:val="列出段落"/>
    <w:basedOn w:val="1209"/>
    <w:link w:val="1521"/>
    <w:uiPriority w:val="34"/>
    <w:qFormat/>
    <w:pPr>
      <w:ind w:firstLine="420"/>
    </w:pPr>
    <w:rPr>
      <w:rFonts w:ascii="Calibri" w:hAnsi="Calibri"/>
      <w:szCs w:val="22"/>
    </w:rPr>
  </w:style>
  <w:style w:type="character" w:styleId="1523" w:customStyle="1">
    <w:name w:val="标题 3 Char Char"/>
    <w:link w:val="1209"/>
    <w:uiPriority w:val="0"/>
    <w:qFormat/>
    <w:rPr>
      <w:rFonts w:eastAsia="宋体"/>
      <w:b/>
      <w:bCs/>
      <w:sz w:val="32"/>
      <w:szCs w:val="32"/>
      <w:lang w:val="en-US" w:eastAsia="zh-CN" w:bidi="ar-SA"/>
    </w:rPr>
  </w:style>
  <w:style w:type="character" w:styleId="1524" w:customStyle="1">
    <w:name w:val="段1 Char"/>
    <w:link w:val="1209"/>
    <w:uiPriority w:val="0"/>
    <w:qFormat/>
    <w:rPr>
      <w:rFonts w:ascii="宋体" w:eastAsia="宋体"/>
      <w:sz w:val="24"/>
      <w:lang w:val="en-US" w:eastAsia="zh-CN" w:bidi="ar-SA"/>
    </w:rPr>
  </w:style>
  <w:style w:type="character" w:styleId="1525" w:customStyle="1">
    <w:name w:val="chanpin拷贝"/>
    <w:link w:val="1209"/>
    <w:uiPriority w:val="0"/>
    <w:qFormat/>
  </w:style>
  <w:style w:type="character" w:styleId="1526" w:customStyle="1">
    <w:name w:val="纯文本 Char1"/>
    <w:link w:val="1209"/>
    <w:uiPriority w:val="0"/>
    <w:qFormat/>
    <w:rPr>
      <w:rFonts w:ascii="宋体" w:hAnsi="Courier New" w:eastAsia="宋体"/>
      <w:sz w:val="21"/>
      <w:lang w:val="en-US" w:eastAsia="zh-CN" w:bidi="ar-SA"/>
    </w:rPr>
  </w:style>
  <w:style w:type="character" w:styleId="1527" w:customStyle="1">
    <w:name w:val="apple-style-span"/>
    <w:link w:val="1209"/>
    <w:uiPriority w:val="0"/>
    <w:qFormat/>
    <w:rPr>
      <w:rFonts w:cs="Times New Roman"/>
    </w:rPr>
  </w:style>
  <w:style w:type="paragraph" w:styleId="1528" w:customStyle="1">
    <w:name w:val="二级条标题"/>
    <w:basedOn w:val="1529"/>
    <w:next w:val="120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529" w:customStyle="1">
    <w:name w:val="一级条标题"/>
    <w:basedOn w:val="1530"/>
    <w:next w:val="1209"/>
    <w:uiPriority w:val="0"/>
    <w:qFormat/>
    <w:pPr>
      <w:numPr>
        <w:ilvl w:val="1"/>
      </w:numPr>
      <w:ind w:left="0" w:hanging="840"/>
      <w:tabs>
        <w:tab w:val="left" w:pos="360" w:leader="none"/>
        <w:tab w:val="left" w:pos="840" w:leader="none"/>
      </w:tabs>
      <w:outlineLvl w:val="1"/>
    </w:pPr>
  </w:style>
  <w:style w:type="paragraph" w:styleId="1530" w:customStyle="1">
    <w:name w:val="章标题"/>
    <w:next w:val="120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531" w:customStyle="1">
    <w:name w:val="font7"/>
    <w:basedOn w:val="1209"/>
    <w:uiPriority w:val="0"/>
    <w:qFormat/>
    <w:pPr>
      <w:jc w:val="left"/>
      <w:spacing w:before="100" w:beforeAutospacing="1" w:after="100" w:afterAutospacing="1"/>
      <w:widowControl/>
    </w:pPr>
    <w:rPr>
      <w:rFonts w:eastAsia="Arial Unicode MS"/>
      <w:b/>
      <w:bCs/>
      <w:color w:val="000000"/>
      <w:sz w:val="20"/>
      <w:szCs w:val="20"/>
    </w:rPr>
  </w:style>
  <w:style w:type="paragraph" w:styleId="1532" w:customStyle="1">
    <w:name w:val="字元 字元"/>
    <w:basedOn w:val="1209"/>
    <w:uiPriority w:val="0"/>
    <w:qFormat/>
    <w:rPr>
      <w:rFonts w:ascii="Tahoma" w:hAnsi="Tahoma"/>
      <w:sz w:val="24"/>
      <w:szCs w:val="20"/>
    </w:rPr>
  </w:style>
  <w:style w:type="paragraph" w:styleId="1533" w:customStyle="1">
    <w:name w:val="Char3 Char Char Char"/>
    <w:basedOn w:val="1209"/>
    <w:uiPriority w:val="0"/>
    <w:qFormat/>
    <w:rPr>
      <w:rFonts w:ascii="Tahoma" w:hAnsi="Tahoma"/>
      <w:sz w:val="24"/>
      <w:szCs w:val="20"/>
    </w:rPr>
  </w:style>
  <w:style w:type="paragraph" w:styleId="1534" w:customStyle="1">
    <w:name w:val="font6"/>
    <w:basedOn w:val="1209"/>
    <w:uiPriority w:val="0"/>
    <w:qFormat/>
    <w:pPr>
      <w:jc w:val="left"/>
      <w:spacing w:before="100" w:beforeAutospacing="1" w:after="100" w:afterAutospacing="1"/>
      <w:widowControl/>
    </w:pPr>
    <w:rPr>
      <w:rFonts w:ascii="宋体" w:hAnsi="宋体" w:cs="宋体"/>
      <w:sz w:val="20"/>
      <w:szCs w:val="20"/>
    </w:rPr>
  </w:style>
  <w:style w:type="paragraph" w:styleId="1535" w:customStyle="1">
    <w:name w:val="项目编号2"/>
    <w:basedOn w:val="1536"/>
    <w:uiPriority w:val="0"/>
    <w:qFormat/>
    <w:pPr>
      <w:numPr>
        <w:numId w:val="2"/>
      </w:numPr>
    </w:pPr>
  </w:style>
  <w:style w:type="paragraph" w:styleId="1536" w:customStyle="1">
    <w:name w:val="项目编号1"/>
    <w:basedOn w:val="1209"/>
    <w:uiPriority w:val="0"/>
    <w:qFormat/>
    <w:pPr>
      <w:numPr>
        <w:ilvl w:val="0"/>
        <w:numId w:val="3"/>
      </w:numPr>
      <w:spacing w:before="100" w:beforeAutospacing="1" w:after="100" w:afterAutospacing="1" w:line="360" w:lineRule="auto"/>
    </w:pPr>
    <w:rPr>
      <w:sz w:val="24"/>
    </w:rPr>
  </w:style>
  <w:style w:type="paragraph" w:styleId="1537" w:customStyle="1">
    <w:name w:val="图中文字"/>
    <w:basedOn w:val="1209"/>
    <w:uiPriority w:val="0"/>
    <w:qFormat/>
    <w:pPr>
      <w:jc w:val="center"/>
      <w:spacing w:line="0" w:lineRule="atLeast"/>
    </w:pPr>
    <w:rPr>
      <w:sz w:val="24"/>
      <w:szCs w:val="20"/>
    </w:rPr>
  </w:style>
  <w:style w:type="paragraph" w:styleId="1538" w:customStyle="1">
    <w:name w:val="xl46"/>
    <w:basedOn w:val="120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39" w:customStyle="1">
    <w:name w:val="xl25"/>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40" w:customStyle="1">
    <w:name w:val="Char2"/>
    <w:basedOn w:val="1209"/>
    <w:uiPriority w:val="0"/>
    <w:qFormat/>
    <w:rPr>
      <w:rFonts w:ascii="Tahoma" w:hAnsi="Tahoma"/>
      <w:sz w:val="24"/>
      <w:szCs w:val="20"/>
    </w:rPr>
  </w:style>
  <w:style w:type="paragraph" w:styleId="1541" w:customStyle="1">
    <w:name w:val="xl35"/>
    <w:basedOn w:val="12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42" w:customStyle="1">
    <w:name w:val="xl40"/>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43" w:customStyle="1">
    <w:name w:val="xl52"/>
    <w:basedOn w:val="12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544" w:customStyle="1">
    <w:name w:val="xl43"/>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45" w:customStyle="1">
    <w:name w:val="background1"/>
    <w:basedOn w:val="1209"/>
    <w:uiPriority w:val="0"/>
    <w:qFormat/>
    <w:pPr>
      <w:jc w:val="left"/>
      <w:spacing w:before="100" w:beforeAutospacing="1" w:after="100" w:afterAutospacing="1"/>
      <w:widowControl/>
    </w:pPr>
    <w:rPr>
      <w:rFonts w:ascii="宋体" w:hAnsi="宋体" w:cs="宋体"/>
      <w:sz w:val="24"/>
    </w:rPr>
  </w:style>
  <w:style w:type="paragraph" w:styleId="1546" w:customStyle="1">
    <w:name w:val="Char Char Char Char Char Char Char"/>
    <w:basedOn w:val="1209"/>
    <w:uiPriority w:val="0"/>
    <w:qFormat/>
    <w:pPr>
      <w:ind w:firstLine="200"/>
      <w:spacing w:line="360" w:lineRule="auto"/>
    </w:pPr>
    <w:rPr>
      <w:rFonts w:eastAsia="仿宋_GB2312"/>
      <w:sz w:val="24"/>
    </w:rPr>
  </w:style>
  <w:style w:type="paragraph" w:styleId="1547" w:customStyle="1">
    <w:name w:val="xl38"/>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548" w:customStyle="1">
    <w:name w:val="xl36"/>
    <w:basedOn w:val="120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49" w:customStyle="1">
    <w:name w:val="正文 + 宋体"/>
    <w:basedOn w:val="1209"/>
    <w:uiPriority w:val="0"/>
    <w:qFormat/>
    <w:pPr>
      <w:ind w:left="360" w:hanging="360"/>
      <w:jc w:val="left"/>
      <w:widowControl/>
    </w:pPr>
    <w:rPr>
      <w:rFonts w:ascii="宋体" w:hAnsi="宋体" w:cs="宋体"/>
      <w:b/>
      <w:bCs/>
      <w:color w:val="000000"/>
      <w:sz w:val="18"/>
      <w:szCs w:val="18"/>
    </w:rPr>
  </w:style>
  <w:style w:type="paragraph" w:styleId="1550" w:customStyle="1">
    <w:name w:val="正文列项_数字"/>
    <w:basedOn w:val="120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551" w:customStyle="1">
    <w:name w:val="xl39"/>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52" w:customStyle="1">
    <w:name w:val="xl37"/>
    <w:basedOn w:val="12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53" w:customStyle="1">
    <w:name w:val="xl32"/>
    <w:basedOn w:val="12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54" w:customStyle="1">
    <w:name w:val="font8"/>
    <w:basedOn w:val="1209"/>
    <w:uiPriority w:val="0"/>
    <w:qFormat/>
    <w:pPr>
      <w:jc w:val="left"/>
      <w:spacing w:before="100" w:beforeAutospacing="1" w:after="100" w:afterAutospacing="1"/>
      <w:widowControl/>
    </w:pPr>
    <w:rPr>
      <w:sz w:val="36"/>
      <w:szCs w:val="36"/>
    </w:rPr>
  </w:style>
  <w:style w:type="paragraph" w:styleId="1555" w:customStyle="1">
    <w:name w:val="Char"/>
    <w:basedOn w:val="1209"/>
    <w:uiPriority w:val="0"/>
    <w:qFormat/>
    <w:pPr>
      <w:tabs>
        <w:tab w:val="left" w:pos="360" w:leader="none"/>
      </w:tabs>
    </w:pPr>
    <w:rPr>
      <w:sz w:val="24"/>
    </w:rPr>
  </w:style>
  <w:style w:type="paragraph" w:styleId="1556" w:customStyle="1">
    <w:name w:val="Char Char Char Char Char Char Char Char Char Char Char Char Char Char Char Char"/>
    <w:basedOn w:val="1209"/>
    <w:uiPriority w:val="0"/>
    <w:qFormat/>
    <w:pPr>
      <w:jc w:val="center"/>
      <w:spacing w:after="160" w:line="240" w:lineRule="exact"/>
      <w:widowControl/>
    </w:pPr>
    <w:rPr>
      <w:rFonts w:ascii="宋体" w:hAnsi="宋体"/>
      <w:b/>
      <w:sz w:val="30"/>
      <w:szCs w:val="30"/>
      <w:lang w:eastAsia="en-US"/>
    </w:rPr>
  </w:style>
  <w:style w:type="paragraph" w:styleId="1557" w:customStyle="1">
    <w:name w:val="xl45"/>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58" w:customStyle="1">
    <w:name w:val="Char Char1 Char Char Char Char Char Char"/>
    <w:basedOn w:val="1209"/>
    <w:uiPriority w:val="0"/>
    <w:qFormat/>
    <w:pPr>
      <w:jc w:val="left"/>
      <w:spacing w:after="160" w:line="240" w:lineRule="exact"/>
      <w:widowControl/>
    </w:pPr>
    <w:rPr>
      <w:rFonts w:ascii="Verdana" w:hAnsi="Verdana" w:eastAsia="仿宋_GB2312"/>
      <w:sz w:val="24"/>
      <w:szCs w:val="20"/>
      <w:lang w:eastAsia="en-US"/>
    </w:rPr>
  </w:style>
  <w:style w:type="paragraph" w:styleId="1559" w:customStyle="1">
    <w:name w:val="Char Char1"/>
    <w:basedOn w:val="1450"/>
    <w:uiPriority w:val="0"/>
    <w:qFormat/>
    <w:rPr>
      <w:rFonts w:ascii="Tahoma" w:hAnsi="Tahoma"/>
      <w:sz w:val="24"/>
    </w:rPr>
  </w:style>
  <w:style w:type="paragraph" w:styleId="1560" w:customStyle="1">
    <w:name w:val="xl26"/>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561" w:customStyle="1">
    <w:name w:val="xl30"/>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62" w:customStyle="1">
    <w:name w:val="xl41"/>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63" w:customStyle="1">
    <w:name w:val="样式 宋体 五号 行距: 单倍行距"/>
    <w:basedOn w:val="1209"/>
    <w:uiPriority w:val="0"/>
    <w:qFormat/>
    <w:pPr>
      <w:jc w:val="left"/>
    </w:pPr>
    <w:rPr>
      <w:rFonts w:ascii="宋体" w:hAnsi="宋体"/>
      <w:szCs w:val="20"/>
    </w:rPr>
  </w:style>
  <w:style w:type="paragraph" w:styleId="1564" w:customStyle="1">
    <w:name w:val="Char1 Char Char Char1"/>
    <w:basedOn w:val="1209"/>
    <w:uiPriority w:val="0"/>
    <w:qFormat/>
    <w:rPr>
      <w:rFonts w:ascii="Tahoma" w:hAnsi="Tahoma" w:cs="仿宋_GB2312"/>
      <w:sz w:val="24"/>
      <w:szCs w:val="28"/>
    </w:rPr>
  </w:style>
  <w:style w:type="paragraph" w:styleId="1565" w:customStyle="1">
    <w:name w:val="四级条标题"/>
    <w:basedOn w:val="1566"/>
    <w:next w:val="1209"/>
    <w:uiPriority w:val="0"/>
    <w:qFormat/>
    <w:pPr>
      <w:numPr>
        <w:ilvl w:val="4"/>
      </w:numPr>
      <w:ind w:left="0" w:hanging="840"/>
      <w:tabs>
        <w:tab w:val="left" w:pos="360" w:leader="none"/>
        <w:tab w:val="left" w:pos="840" w:leader="none"/>
      </w:tabs>
      <w:outlineLvl w:val="4"/>
    </w:pPr>
  </w:style>
  <w:style w:type="paragraph" w:styleId="1566" w:customStyle="1">
    <w:name w:val="三级条标题"/>
    <w:basedOn w:val="1528"/>
    <w:next w:val="1209"/>
    <w:uiPriority w:val="0"/>
    <w:qFormat/>
    <w:pPr>
      <w:numPr>
        <w:ilvl w:val="3"/>
        <w:numId w:val="1"/>
      </w:numPr>
      <w:ind w:left="0" w:hanging="840"/>
      <w:outlineLvl w:val="3"/>
    </w:pPr>
  </w:style>
  <w:style w:type="paragraph" w:styleId="156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568" w:customStyle="1">
    <w:name w:val="样式 标题 2 + 宋体 五号 行距: 单倍行距"/>
    <w:basedOn w:val="1429"/>
    <w:uiPriority w:val="0"/>
    <w:qFormat/>
    <w:pPr>
      <w:numPr>
        <w:ilvl w:val="1"/>
        <w:numId w:val="4"/>
      </w:numPr>
      <w:jc w:val="left"/>
      <w:spacing w:before="260" w:after="260" w:line="240" w:lineRule="auto"/>
    </w:pPr>
    <w:rPr>
      <w:rFonts w:ascii="宋体" w:hAnsi="宋体" w:eastAsia="宋体"/>
      <w:bCs/>
      <w:sz w:val="21"/>
    </w:rPr>
  </w:style>
  <w:style w:type="paragraph" w:styleId="1569" w:customStyle="1">
    <w:name w:val="List Paragraph1"/>
    <w:basedOn w:val="1209"/>
    <w:uiPriority w:val="0"/>
    <w:qFormat/>
    <w:pPr>
      <w:ind w:firstLine="420"/>
    </w:pPr>
    <w:rPr>
      <w:rFonts w:ascii="Calibri" w:hAnsi="Calibri"/>
      <w:szCs w:val="22"/>
    </w:rPr>
  </w:style>
  <w:style w:type="paragraph" w:styleId="1570" w:customStyle="1">
    <w:name w:val="项目符号1"/>
    <w:basedOn w:val="1571"/>
    <w:uiPriority w:val="0"/>
    <w:qFormat/>
    <w:pPr>
      <w:ind w:left="-25" w:firstLine="0"/>
    </w:pPr>
  </w:style>
  <w:style w:type="paragraph" w:styleId="1571" w:customStyle="1">
    <w:name w:val="正文文本样式"/>
    <w:basedOn w:val="1209"/>
    <w:uiPriority w:val="0"/>
    <w:qFormat/>
    <w:pPr>
      <w:ind w:firstLine="482"/>
      <w:spacing w:line="360" w:lineRule="auto"/>
    </w:pPr>
    <w:rPr>
      <w:rFonts w:cs="宋体"/>
      <w:sz w:val="24"/>
      <w:szCs w:val="20"/>
    </w:rPr>
  </w:style>
  <w:style w:type="paragraph" w:styleId="1572" w:customStyle="1">
    <w:name w:val="xl27"/>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73" w:customStyle="1">
    <w:name w:val="font5"/>
    <w:basedOn w:val="1209"/>
    <w:uiPriority w:val="0"/>
    <w:qFormat/>
    <w:pPr>
      <w:jc w:val="left"/>
      <w:spacing w:before="100" w:beforeAutospacing="1" w:after="100" w:afterAutospacing="1"/>
      <w:widowControl/>
    </w:pPr>
    <w:rPr>
      <w:rFonts w:ascii="宋体" w:hAnsi="宋体" w:cs="宋体"/>
      <w:sz w:val="18"/>
      <w:szCs w:val="18"/>
    </w:rPr>
  </w:style>
  <w:style w:type="paragraph" w:styleId="1574" w:customStyle="1">
    <w:name w:val="五级条标题"/>
    <w:basedOn w:val="1565"/>
    <w:next w:val="1209"/>
    <w:uiPriority w:val="0"/>
    <w:qFormat/>
    <w:pPr>
      <w:numPr>
        <w:ilvl w:val="5"/>
      </w:numPr>
      <w:ind w:left="0" w:hanging="840"/>
      <w:outlineLvl w:val="5"/>
    </w:pPr>
  </w:style>
  <w:style w:type="paragraph" w:styleId="1575" w:customStyle="1">
    <w:name w:val="xl49"/>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576" w:customStyle="1">
    <w:name w:val="文档正文"/>
    <w:basedOn w:val="1209"/>
    <w:uiPriority w:val="0"/>
    <w:qFormat/>
    <w:pPr>
      <w:spacing w:before="120" w:after="120" w:line="180" w:lineRule="auto"/>
    </w:pPr>
    <w:rPr>
      <w:rFonts w:ascii="Arial" w:hAnsi="Arial"/>
      <w:szCs w:val="20"/>
    </w:rPr>
  </w:style>
  <w:style w:type="paragraph" w:styleId="1577" w:customStyle="1">
    <w:name w:val="xl33"/>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78" w:customStyle="1">
    <w:name w:val="xl42"/>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579" w:customStyle="1">
    <w:name w:val="Char Char Char1 Char"/>
    <w:basedOn w:val="1209"/>
    <w:uiPriority w:val="0"/>
    <w:qFormat/>
    <w:rPr>
      <w:rFonts w:ascii="Tahoma" w:hAnsi="Tahoma"/>
      <w:sz w:val="24"/>
      <w:szCs w:val="20"/>
    </w:rPr>
  </w:style>
  <w:style w:type="paragraph" w:styleId="1580" w:customStyle="1">
    <w:name w:val="xl44"/>
    <w:basedOn w:val="12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581" w:customStyle="1">
    <w:name w:val="1名"/>
    <w:basedOn w:val="1209"/>
    <w:uiPriority w:val="0"/>
    <w:qFormat/>
    <w:pPr>
      <w:numPr>
        <w:ilvl w:val="0"/>
        <w:numId w:val="5"/>
      </w:numPr>
      <w:spacing w:before="120"/>
    </w:pPr>
    <w:rPr>
      <w:rFonts w:ascii="宋体"/>
      <w:sz w:val="28"/>
      <w:szCs w:val="20"/>
    </w:rPr>
  </w:style>
  <w:style w:type="paragraph" w:styleId="1582" w:customStyle="1">
    <w:name w:val="font9"/>
    <w:basedOn w:val="120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583" w:customStyle="1">
    <w:name w:val="Char Char Char1 Char1"/>
    <w:basedOn w:val="1209"/>
    <w:uiPriority w:val="0"/>
    <w:qFormat/>
    <w:rPr>
      <w:rFonts w:ascii="Tahoma" w:hAnsi="Tahoma"/>
      <w:sz w:val="24"/>
      <w:szCs w:val="20"/>
    </w:rPr>
  </w:style>
  <w:style w:type="paragraph" w:styleId="1584" w:customStyle="1">
    <w:name w:val="Char Char Char Char Char Char Char Char Char Char"/>
    <w:basedOn w:val="1209"/>
    <w:uiPriority w:val="0"/>
    <w:qFormat/>
  </w:style>
  <w:style w:type="paragraph" w:styleId="1585" w:customStyle="1">
    <w:name w:val="Char Char1 Char Char Char Char Char Char Char Char"/>
    <w:basedOn w:val="1209"/>
    <w:uiPriority w:val="0"/>
    <w:qFormat/>
    <w:pPr>
      <w:jc w:val="left"/>
      <w:spacing w:after="160" w:line="240" w:lineRule="exact"/>
      <w:widowControl/>
    </w:pPr>
    <w:rPr>
      <w:rFonts w:ascii="Verdana" w:hAnsi="Verdana"/>
      <w:sz w:val="20"/>
      <w:szCs w:val="20"/>
      <w:lang w:eastAsia="en-US"/>
    </w:rPr>
  </w:style>
  <w:style w:type="paragraph" w:styleId="1586" w:customStyle="1">
    <w:name w:val="Char1"/>
    <w:basedOn w:val="1209"/>
    <w:uiPriority w:val="0"/>
    <w:qFormat/>
    <w:pPr>
      <w:tabs>
        <w:tab w:val="left" w:pos="360" w:leader="none"/>
      </w:tabs>
    </w:pPr>
    <w:rPr>
      <w:sz w:val="24"/>
    </w:rPr>
  </w:style>
  <w:style w:type="paragraph" w:styleId="1587" w:customStyle="1">
    <w:name w:val="正文列项_字母"/>
    <w:basedOn w:val="120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588" w:customStyle="1">
    <w:name w:val="xl28"/>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89" w:customStyle="1">
    <w:name w:val="xl47"/>
    <w:basedOn w:val="12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90" w:customStyle="1">
    <w:name w:val="默认段落字体 Para Char Char Char Char"/>
    <w:basedOn w:val="1209"/>
    <w:uiPriority w:val="0"/>
    <w:qFormat/>
    <w:rPr>
      <w:rFonts w:ascii="Arial" w:hAnsi="Arial" w:cs="Arial"/>
      <w:szCs w:val="21"/>
    </w:rPr>
  </w:style>
  <w:style w:type="paragraph" w:styleId="1591" w:customStyle="1">
    <w:name w:val="xl48"/>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592" w:customStyle="1">
    <w:name w:val="xl31"/>
    <w:basedOn w:val="12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93" w:customStyle="1">
    <w:name w:val="xl53"/>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94" w:customStyle="1">
    <w:name w:val="Char Char Char"/>
    <w:basedOn w:val="1209"/>
    <w:uiPriority w:val="0"/>
    <w:qFormat/>
    <w:rPr>
      <w:rFonts w:ascii="Tahoma" w:hAnsi="Tahoma"/>
      <w:sz w:val="24"/>
      <w:szCs w:val="20"/>
    </w:rPr>
  </w:style>
  <w:style w:type="paragraph" w:styleId="1595" w:customStyle="1">
    <w:name w:val="xl50"/>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596" w:customStyle="1">
    <w:name w:val="缺省文本"/>
    <w:basedOn w:val="1209"/>
    <w:uiPriority w:val="0"/>
    <w:qFormat/>
    <w:pPr>
      <w:jc w:val="left"/>
    </w:pPr>
    <w:rPr>
      <w:sz w:val="24"/>
    </w:rPr>
  </w:style>
  <w:style w:type="paragraph" w:styleId="1597" w:customStyle="1">
    <w:name w:val="Char Char Char1"/>
    <w:basedOn w:val="1209"/>
    <w:uiPriority w:val="0"/>
    <w:qFormat/>
    <w:rPr>
      <w:rFonts w:ascii="Tahoma" w:hAnsi="Tahoma"/>
      <w:sz w:val="24"/>
      <w:szCs w:val="20"/>
    </w:rPr>
  </w:style>
  <w:style w:type="paragraph" w:styleId="1598" w:customStyle="1">
    <w:name w:val="Char Char Char Char Char Char Char1"/>
    <w:basedOn w:val="1209"/>
    <w:uiPriority w:val="0"/>
    <w:qFormat/>
    <w:pPr>
      <w:ind w:firstLine="200"/>
      <w:spacing w:line="360" w:lineRule="auto"/>
    </w:pPr>
    <w:rPr>
      <w:rFonts w:eastAsia="仿宋_GB2312"/>
      <w:sz w:val="24"/>
    </w:rPr>
  </w:style>
  <w:style w:type="paragraph" w:styleId="1599" w:customStyle="1">
    <w:name w:val="xl51"/>
    <w:basedOn w:val="12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00" w:customStyle="1">
    <w:name w:val="样式2"/>
    <w:basedOn w:val="1489"/>
    <w:uiPriority w:val="0"/>
    <w:qFormat/>
    <w:pPr>
      <w:jc w:val="center"/>
      <w:spacing w:line="360" w:lineRule="auto"/>
    </w:pPr>
    <w:rPr>
      <w:sz w:val="24"/>
    </w:rPr>
  </w:style>
  <w:style w:type="paragraph" w:styleId="1601" w:customStyle="1">
    <w:name w:val="xl24"/>
    <w:basedOn w:val="12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02" w:customStyle="1">
    <w:name w:val="xl29"/>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03" w:customStyle="1">
    <w:name w:val="正文 + 楷体_GB2312"/>
    <w:basedOn w:val="1209"/>
    <w:uiPriority w:val="0"/>
    <w:qFormat/>
    <w:pPr>
      <w:jc w:val="left"/>
      <w:widowControl/>
    </w:pPr>
    <w:rPr>
      <w:rFonts w:ascii="楷体_GB2312" w:eastAsia="楷体_GB2312" w:cs="Arial"/>
      <w:sz w:val="24"/>
    </w:rPr>
  </w:style>
  <w:style w:type="paragraph" w:styleId="1604" w:customStyle="1">
    <w:name w:val="xl34"/>
    <w:basedOn w:val="12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605" w:customStyle="1">
    <w:name w:val="1 Char Char Char Char"/>
    <w:basedOn w:val="1209"/>
    <w:uiPriority w:val="0"/>
    <w:qFormat/>
    <w:rPr>
      <w:rFonts w:ascii="Tahoma" w:hAnsi="Tahoma"/>
      <w:sz w:val="24"/>
      <w:szCs w:val="20"/>
    </w:rPr>
  </w:style>
  <w:style w:type="paragraph" w:styleId="1606" w:customStyle="1">
    <w:name w:val="列出段落1"/>
    <w:basedOn w:val="1209"/>
    <w:uiPriority w:val="0"/>
    <w:qFormat/>
    <w:pPr>
      <w:ind w:firstLine="420"/>
    </w:pPr>
    <w:rPr>
      <w:rFonts w:ascii="Calibri" w:hAnsi="Calibri"/>
      <w:szCs w:val="22"/>
    </w:rPr>
  </w:style>
  <w:style w:type="paragraph" w:styleId="1607" w:customStyle="1">
    <w:name w:val="default"/>
    <w:basedOn w:val="1209"/>
    <w:uiPriority w:val="0"/>
    <w:qFormat/>
    <w:pPr>
      <w:jc w:val="left"/>
      <w:spacing w:before="100" w:beforeAutospacing="1" w:after="100" w:afterAutospacing="1"/>
      <w:widowControl/>
    </w:pPr>
    <w:rPr>
      <w:rFonts w:ascii="宋体" w:hAnsi="宋体" w:cs="宋体"/>
      <w:sz w:val="24"/>
    </w:rPr>
  </w:style>
  <w:style w:type="paragraph" w:styleId="1608" w:customStyle="1">
    <w:name w:val="字元 字元1"/>
    <w:basedOn w:val="1209"/>
    <w:uiPriority w:val="0"/>
    <w:qFormat/>
    <w:rPr>
      <w:rFonts w:ascii="Tahoma" w:hAnsi="Tahoma"/>
      <w:sz w:val="24"/>
      <w:szCs w:val="20"/>
    </w:rPr>
  </w:style>
  <w:style w:type="paragraph" w:styleId="1609" w:customStyle="1">
    <w:name w:val="_Style 160"/>
    <w:uiPriority w:val="0"/>
    <w:qFormat/>
    <w:rPr>
      <w:rFonts w:hint="default" w:ascii="Times New Roman" w:hAnsi="Times New Roman" w:eastAsia="宋体" w:cs="Times New Roman"/>
      <w:sz w:val="21"/>
      <w:szCs w:val="24"/>
      <w:lang w:val="en-US" w:eastAsia="zh-CN" w:bidi="ar-SA"/>
    </w:rPr>
  </w:style>
  <w:style w:type="paragraph" w:styleId="1610" w:customStyle="1">
    <w:name w:val="项目编号3"/>
    <w:basedOn w:val="1571"/>
    <w:uiPriority w:val="0"/>
    <w:qFormat/>
    <w:pPr>
      <w:numPr>
        <w:ilvl w:val="0"/>
        <w:numId w:val="6"/>
      </w:numPr>
    </w:pPr>
  </w:style>
  <w:style w:type="paragraph" w:styleId="1611" w:customStyle="1">
    <w:name w:val="Char21"/>
    <w:basedOn w:val="1209"/>
    <w:uiPriority w:val="0"/>
    <w:qFormat/>
    <w:rPr>
      <w:rFonts w:ascii="Tahoma" w:hAnsi="Tahoma"/>
      <w:sz w:val="24"/>
      <w:szCs w:val="20"/>
    </w:rPr>
  </w:style>
  <w:style w:type="paragraph" w:styleId="1612" w:customStyle="1">
    <w:name w:val="表格文字"/>
    <w:basedOn w:val="1458"/>
    <w:uiPriority w:val="0"/>
    <w:qFormat/>
    <w:pPr>
      <w:ind w:firstLine="0"/>
      <w:spacing w:before="20" w:after="20" w:line="240" w:lineRule="auto"/>
    </w:pPr>
    <w:rPr>
      <w:rFonts w:ascii="Century Gothic" w:hAnsi="Century Gothic"/>
      <w:sz w:val="20"/>
      <w:szCs w:val="20"/>
    </w:rPr>
  </w:style>
  <w:style w:type="paragraph" w:styleId="1613" w:customStyle="1">
    <w:name w:val="Char Char Char Char Char Char Char Char Char Char1"/>
    <w:basedOn w:val="1209"/>
    <w:uiPriority w:val="0"/>
    <w:qFormat/>
    <w:rPr>
      <w:rFonts w:ascii="宋体" w:hAnsi="宋体" w:cs="Courier New"/>
      <w:sz w:val="32"/>
      <w:szCs w:val="32"/>
    </w:rPr>
  </w:style>
  <w:style w:type="paragraph" w:styleId="1614" w:customStyle="1">
    <w:name w:val="正文文本样式 加粗"/>
    <w:basedOn w:val="1571"/>
    <w:uiPriority w:val="0"/>
    <w:qFormat/>
    <w:rPr>
      <w:b/>
    </w:rPr>
  </w:style>
  <w:style w:type="paragraph" w:styleId="1615" w:customStyle="1">
    <w:name w:val="Char2 Char Char Char Char Char Char"/>
    <w:basedOn w:val="1209"/>
    <w:uiPriority w:val="0"/>
    <w:qFormat/>
    <w:pPr>
      <w:jc w:val="center"/>
      <w:spacing w:line="400" w:lineRule="exact"/>
      <w:widowControl/>
    </w:pPr>
  </w:style>
  <w:style w:type="paragraph" w:styleId="1616" w:customStyle="1">
    <w:name w:val="Char Char4"/>
    <w:basedOn w:val="1209"/>
    <w:uiPriority w:val="0"/>
    <w:qFormat/>
    <w:pPr>
      <w:jc w:val="center"/>
      <w:spacing w:line="400" w:lineRule="exact"/>
      <w:widowControl/>
    </w:pPr>
  </w:style>
  <w:style w:type="paragraph" w:styleId="1617" w:customStyle="1">
    <w:name w:val="Char3 Char Char Char1"/>
    <w:basedOn w:val="1209"/>
    <w:uiPriority w:val="0"/>
    <w:qFormat/>
    <w:rPr>
      <w:rFonts w:ascii="Tahoma" w:hAnsi="Tahoma"/>
      <w:sz w:val="24"/>
      <w:szCs w:val="20"/>
    </w:rPr>
  </w:style>
  <w:style w:type="paragraph" w:styleId="161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9" w:customStyle="1">
    <w:name w:val="22222222222222"/>
    <w:basedOn w:val="1209"/>
    <w:uiPriority w:val="0"/>
    <w:qFormat/>
    <w:pPr>
      <w:ind w:firstLine="480"/>
      <w:jc w:val="left"/>
      <w:spacing w:line="360" w:lineRule="auto"/>
      <w:widowControl/>
    </w:pPr>
    <w:rPr>
      <w:color w:val="ff0000"/>
      <w:sz w:val="24"/>
      <w:szCs w:val="20"/>
    </w:rPr>
  </w:style>
  <w:style w:type="character" w:styleId="1620" w:customStyle="1">
    <w:name w:val="中等深浅网格 1 - 强调文字颜色 2 Char"/>
    <w:link w:val="1621"/>
    <w:uiPriority w:val="0"/>
    <w:qFormat/>
    <w:rPr>
      <w:sz w:val="21"/>
      <w:szCs w:val="24"/>
      <w:lang w:val="zh-CN" w:eastAsia="zh-CN" w:bidi="ar-SA"/>
    </w:rPr>
  </w:style>
  <w:style w:type="paragraph" w:styleId="1621" w:customStyle="1">
    <w:name w:val="1"/>
    <w:link w:val="1620"/>
    <w:uiPriority w:val="0"/>
    <w:qFormat/>
    <w:rPr>
      <w:rFonts w:hint="default" w:ascii="Times New Roman" w:hAnsi="Times New Roman" w:eastAsia="宋体" w:cs="Times New Roman"/>
      <w:sz w:val="21"/>
      <w:szCs w:val="24"/>
      <w:lang w:val="zh-CN" w:eastAsia="zh-CN" w:bidi="ar-SA"/>
    </w:rPr>
  </w:style>
  <w:style w:type="paragraph" w:styleId="1622" w:customStyle="1">
    <w:name w:val="图文"/>
    <w:basedOn w:val="1209"/>
    <w:uiPriority w:val="0"/>
    <w:qFormat/>
    <w:pPr>
      <w:spacing w:after="50" w:line="360" w:lineRule="auto"/>
    </w:pPr>
    <w:rPr>
      <w:sz w:val="24"/>
    </w:rPr>
  </w:style>
  <w:style w:type="paragraph" w:styleId="1623" w:customStyle="1">
    <w:name w:val="xl23"/>
    <w:basedOn w:val="1209"/>
    <w:uiPriority w:val="0"/>
    <w:qFormat/>
    <w:pPr>
      <w:spacing w:before="100" w:beforeAutospacing="1" w:after="100" w:afterAutospacing="1" w:line="360" w:lineRule="auto"/>
      <w:widowControl/>
    </w:pPr>
    <w:rPr>
      <w:sz w:val="24"/>
      <w:szCs w:val="20"/>
    </w:rPr>
  </w:style>
  <w:style w:type="paragraph" w:styleId="1624" w:customStyle="1">
    <w:name w:val="正文表格"/>
    <w:basedOn w:val="1209"/>
    <w:link w:val="1625"/>
    <w:uiPriority w:val="0"/>
    <w:qFormat/>
    <w:pPr>
      <w:jc w:val="left"/>
    </w:pPr>
    <w:rPr>
      <w:rFonts w:ascii="宋体" w:hAnsi="宋体"/>
      <w:color w:val="000000"/>
      <w:szCs w:val="21"/>
    </w:rPr>
  </w:style>
  <w:style w:type="character" w:styleId="1625" w:customStyle="1">
    <w:name w:val="正文表格 Char"/>
    <w:link w:val="1624"/>
    <w:uiPriority w:val="0"/>
    <w:qFormat/>
    <w:rPr>
      <w:rFonts w:ascii="宋体" w:hAnsi="宋体"/>
      <w:color w:val="000000"/>
      <w:sz w:val="21"/>
      <w:szCs w:val="21"/>
    </w:rPr>
  </w:style>
  <w:style w:type="paragraph" w:styleId="1626" w:customStyle="1">
    <w:name w:val="正文重点"/>
    <w:basedOn w:val="1209"/>
    <w:link w:val="1627"/>
    <w:uiPriority w:val="0"/>
    <w:qFormat/>
    <w:pPr>
      <w:ind w:firstLine="482"/>
      <w:jc w:val="left"/>
      <w:spacing w:line="360" w:lineRule="auto"/>
    </w:pPr>
    <w:rPr>
      <w:b/>
      <w:sz w:val="24"/>
      <w:szCs w:val="20"/>
    </w:rPr>
  </w:style>
  <w:style w:type="character" w:styleId="1627" w:customStyle="1">
    <w:name w:val="正文重点 Char"/>
    <w:link w:val="1626"/>
    <w:uiPriority w:val="0"/>
    <w:qFormat/>
    <w:rPr>
      <w:b/>
      <w:sz w:val="24"/>
    </w:rPr>
  </w:style>
  <w:style w:type="paragraph" w:styleId="1628" w:customStyle="1">
    <w:name w:val="标题1-附件"/>
    <w:basedOn w:val="1427"/>
    <w:uiPriority w:val="0"/>
    <w:qFormat/>
    <w:pPr>
      <w:jc w:val="left"/>
    </w:pPr>
    <w:rPr>
      <w:sz w:val="24"/>
      <w:szCs w:val="24"/>
    </w:rPr>
  </w:style>
  <w:style w:type="paragraph" w:styleId="1629" w:customStyle="1">
    <w:name w:val="正文小标题"/>
    <w:basedOn w:val="1209"/>
    <w:next w:val="1430"/>
    <w:link w:val="1630"/>
    <w:uiPriority w:val="0"/>
    <w:qFormat/>
    <w:pPr>
      <w:ind w:firstLine="482"/>
      <w:jc w:val="left"/>
      <w:spacing w:before="312" w:after="312"/>
    </w:pPr>
    <w:rPr>
      <w:rFonts w:ascii="宋体" w:hAnsi="宋体"/>
      <w:b/>
      <w:i/>
      <w:color w:val="ff0000"/>
      <w:sz w:val="24"/>
      <w:szCs w:val="20"/>
    </w:rPr>
  </w:style>
  <w:style w:type="character" w:styleId="1630" w:customStyle="1">
    <w:name w:val="正文小标题 Char"/>
    <w:link w:val="1629"/>
    <w:uiPriority w:val="0"/>
    <w:qFormat/>
    <w:rPr>
      <w:rFonts w:ascii="宋体" w:hAnsi="宋体"/>
      <w:b/>
      <w:i/>
      <w:color w:val="ff0000"/>
      <w:sz w:val="24"/>
    </w:rPr>
  </w:style>
  <w:style w:type="paragraph" w:styleId="1631" w:customStyle="1">
    <w:name w:val="正文大标题"/>
    <w:basedOn w:val="1629"/>
    <w:next w:val="1430"/>
    <w:link w:val="1632"/>
    <w:uiPriority w:val="0"/>
    <w:qFormat/>
    <w:pPr>
      <w:jc w:val="center"/>
    </w:pPr>
    <w:rPr>
      <w:i w:val="0"/>
      <w:color w:val="000000"/>
      <w:sz w:val="28"/>
      <w:szCs w:val="21"/>
    </w:rPr>
  </w:style>
  <w:style w:type="character" w:styleId="1632" w:customStyle="1">
    <w:name w:val="正文大标题 Char"/>
    <w:link w:val="1631"/>
    <w:uiPriority w:val="0"/>
    <w:qFormat/>
    <w:rPr>
      <w:rFonts w:ascii="宋体" w:hAnsi="宋体"/>
      <w:b/>
      <w:color w:val="000000"/>
      <w:sz w:val="28"/>
      <w:szCs w:val="21"/>
    </w:rPr>
  </w:style>
  <w:style w:type="paragraph" w:styleId="1633" w:customStyle="1">
    <w:name w:val="注释"/>
    <w:basedOn w:val="1209"/>
    <w:link w:val="1634"/>
    <w:uiPriority w:val="0"/>
    <w:qFormat/>
    <w:pPr>
      <w:ind w:left="420" w:hanging="420"/>
      <w:jc w:val="left"/>
    </w:pPr>
    <w:rPr>
      <w:rFonts w:ascii="宋体" w:hAnsi="宋体"/>
      <w:szCs w:val="21"/>
    </w:rPr>
  </w:style>
  <w:style w:type="character" w:styleId="1634" w:customStyle="1">
    <w:name w:val="注释 Char"/>
    <w:link w:val="1633"/>
    <w:uiPriority w:val="0"/>
    <w:qFormat/>
    <w:rPr>
      <w:rFonts w:ascii="宋体" w:hAnsi="宋体"/>
      <w:sz w:val="21"/>
      <w:szCs w:val="21"/>
    </w:rPr>
  </w:style>
  <w:style w:type="paragraph" w:styleId="1635" w:customStyle="1">
    <w:name w:val="正文须知-1级"/>
    <w:basedOn w:val="1209"/>
    <w:next w:val="1209"/>
    <w:uiPriority w:val="0"/>
    <w:qFormat/>
    <w:pPr>
      <w:numPr>
        <w:ilvl w:val="0"/>
        <w:numId w:val="7"/>
      </w:numPr>
      <w:spacing w:line="300" w:lineRule="auto"/>
    </w:pPr>
    <w:rPr>
      <w:rFonts w:ascii="宋体" w:hAnsi="Calibri"/>
      <w:sz w:val="24"/>
      <w:szCs w:val="21"/>
    </w:rPr>
  </w:style>
  <w:style w:type="paragraph" w:styleId="1636" w:customStyle="1">
    <w:name w:val="正文须知-2级"/>
    <w:basedOn w:val="1209"/>
    <w:uiPriority w:val="0"/>
    <w:qFormat/>
    <w:pPr>
      <w:numPr>
        <w:ilvl w:val="1"/>
        <w:numId w:val="7"/>
      </w:numPr>
      <w:spacing w:line="300" w:lineRule="auto"/>
    </w:pPr>
    <w:rPr>
      <w:rFonts w:ascii="宋体" w:hAnsi="Calibri"/>
      <w:sz w:val="24"/>
      <w:szCs w:val="21"/>
    </w:rPr>
  </w:style>
  <w:style w:type="paragraph" w:styleId="1637" w:customStyle="1">
    <w:name w:val="正文须知-3级"/>
    <w:basedOn w:val="1209"/>
    <w:uiPriority w:val="0"/>
    <w:qFormat/>
    <w:pPr>
      <w:numPr>
        <w:ilvl w:val="2"/>
        <w:numId w:val="7"/>
      </w:numPr>
      <w:ind w:hanging="355"/>
      <w:spacing w:line="300" w:lineRule="auto"/>
    </w:pPr>
    <w:rPr>
      <w:rFonts w:ascii="宋体" w:hAnsi="Calibri"/>
      <w:sz w:val="24"/>
      <w:szCs w:val="21"/>
    </w:rPr>
  </w:style>
  <w:style w:type="character" w:styleId="1638" w:customStyle="1">
    <w:name w:val="纯文本 字符"/>
    <w:link w:val="1209"/>
    <w:uiPriority w:val="99"/>
    <w:qFormat/>
    <w:rPr>
      <w:rFonts w:ascii="宋体" w:hAnsi="Courier New" w:eastAsia="宋体" w:cs="Times New Roman"/>
      <w:sz w:val="21"/>
      <w:szCs w:val="21"/>
      <w:lang w:val="en-US" w:eastAsia="zh-CN" w:bidi="ar-SA"/>
    </w:rPr>
  </w:style>
  <w:style w:type="paragraph" w:styleId="1639" w:customStyle="1">
    <w:name w:val="表格1"/>
    <w:basedOn w:val="1209"/>
    <w:uiPriority w:val="0"/>
    <w:qFormat/>
    <w:pPr>
      <w:ind w:firstLine="480"/>
      <w:jc w:val="center"/>
    </w:pPr>
    <w:rPr>
      <w:sz w:val="24"/>
      <w:szCs w:val="20"/>
    </w:rPr>
  </w:style>
  <w:style w:type="character" w:styleId="1640" w:customStyle="1">
    <w:name w:val="纯文本 字符1"/>
    <w:link w:val="1209"/>
    <w:uiPriority w:val="0"/>
    <w:qFormat/>
    <w:rPr>
      <w:rFonts w:ascii="宋体" w:hAnsi="Courier New"/>
    </w:rPr>
  </w:style>
  <w:style w:type="character" w:styleId="1641" w:customStyle="1">
    <w:name w:val="bjh-p"/>
    <w:link w:val="1209"/>
    <w:uiPriority w:val="0"/>
    <w:qFormat/>
  </w:style>
  <w:style w:type="paragraph" w:styleId="1642" w:customStyle="1">
    <w:name w:val="无标题条"/>
    <w:next w:val="1209"/>
    <w:uiPriority w:val="0"/>
    <w:qFormat/>
    <w:pPr>
      <w:jc w:val="both"/>
    </w:pPr>
    <w:rPr>
      <w:rFonts w:hint="default" w:ascii="Times New Roman" w:hAnsi="Times New Roman" w:eastAsia="宋体" w:cs="Times New Roman"/>
      <w:sz w:val="21"/>
      <w:lang w:val="en-US" w:eastAsia="zh-CN" w:bidi="ar-SA"/>
    </w:rPr>
  </w:style>
  <w:style w:type="character" w:styleId="1643" w:customStyle="1">
    <w:name w:val="正文格式 Char"/>
    <w:link w:val="1644"/>
    <w:uiPriority w:val="0"/>
    <w:qFormat/>
    <w:rPr>
      <w:rFonts w:ascii="宋体" w:hAnsi="宋体"/>
      <w:sz w:val="24"/>
      <w:szCs w:val="24"/>
      <w:lang w:val="en-GB"/>
    </w:rPr>
  </w:style>
  <w:style w:type="paragraph" w:styleId="1644" w:customStyle="1">
    <w:name w:val="正文格式"/>
    <w:basedOn w:val="1209"/>
    <w:link w:val="1643"/>
    <w:uiPriority w:val="0"/>
    <w:qFormat/>
    <w:pPr>
      <w:ind w:firstLine="480"/>
      <w:spacing w:line="360" w:lineRule="auto"/>
    </w:pPr>
    <w:rPr>
      <w:rFonts w:ascii="宋体" w:hAnsi="宋体"/>
      <w:sz w:val="24"/>
      <w:lang w:val="en-GB"/>
    </w:rPr>
  </w:style>
  <w:style w:type="character" w:styleId="1645" w:customStyle="1">
    <w:name w:val="标题 3 Char"/>
    <w:link w:val="1209"/>
    <w:uiPriority w:val="0"/>
    <w:qFormat/>
    <w:rPr>
      <w:rFonts w:ascii="宋体" w:eastAsia="宋体"/>
      <w:b/>
      <w:sz w:val="24"/>
      <w:u w:val="single"/>
      <w:lang w:val="en-US" w:eastAsia="zh-CN" w:bidi="ar-SA"/>
    </w:rPr>
  </w:style>
  <w:style w:type="character" w:styleId="1646" w:customStyle="1">
    <w:name w:val="正文缩进 Char"/>
    <w:link w:val="1209"/>
    <w:uiPriority w:val="0"/>
    <w:qFormat/>
    <w:rPr>
      <w:rFonts w:ascii="宋体" w:eastAsia="宋体"/>
      <w:sz w:val="24"/>
      <w:szCs w:val="24"/>
      <w:lang w:val="en-US" w:eastAsia="zh-CN" w:bidi="ar-SA"/>
    </w:rPr>
  </w:style>
  <w:style w:type="character" w:styleId="1647" w:customStyle="1">
    <w:name w:val="Char Char111"/>
    <w:link w:val="1209"/>
    <w:uiPriority w:val="0"/>
    <w:qFormat/>
    <w:rPr>
      <w:rFonts w:ascii="宋体" w:eastAsia="宋体"/>
      <w:b/>
      <w:sz w:val="24"/>
      <w:u w:val="single"/>
      <w:lang w:val="en-US" w:eastAsia="zh-CN" w:bidi="ar-SA"/>
    </w:rPr>
  </w:style>
  <w:style w:type="character" w:styleId="1648" w:customStyle="1">
    <w:name w:val="正文文本缩进 Char"/>
    <w:link w:val="1209"/>
    <w:uiPriority w:val="0"/>
    <w:qFormat/>
    <w:rPr>
      <w:rFonts w:eastAsia="宋体"/>
      <w:sz w:val="24"/>
      <w:szCs w:val="24"/>
      <w:lang w:val="en-US" w:eastAsia="zh-CN" w:bidi="ar-SA"/>
    </w:rPr>
  </w:style>
  <w:style w:type="character" w:styleId="1649" w:customStyle="1">
    <w:name w:val="列出段落 Char"/>
    <w:link w:val="1209"/>
    <w:uiPriority w:val="0"/>
    <w:qFormat/>
    <w:rPr>
      <w:rFonts w:ascii="Calibri" w:hAnsi="Calibri" w:eastAsia="宋体"/>
      <w:sz w:val="21"/>
      <w:szCs w:val="22"/>
      <w:lang w:val="en-US" w:eastAsia="zh-CN" w:bidi="ar-SA"/>
    </w:rPr>
  </w:style>
  <w:style w:type="character" w:styleId="1650" w:customStyle="1">
    <w:name w:val="页眉 Char"/>
    <w:link w:val="1209"/>
    <w:uiPriority w:val="0"/>
    <w:qFormat/>
    <w:rPr>
      <w:rFonts w:eastAsia="宋体"/>
      <w:sz w:val="18"/>
      <w:szCs w:val="18"/>
      <w:lang w:val="en-US" w:eastAsia="zh-CN" w:bidi="ar-SA"/>
    </w:rPr>
  </w:style>
  <w:style w:type="character" w:styleId="1651" w:customStyle="1">
    <w:name w:val="标题 2 Char"/>
    <w:link w:val="1209"/>
    <w:uiPriority w:val="0"/>
    <w:qFormat/>
    <w:rPr>
      <w:rFonts w:ascii="Arial" w:hAnsi="Arial" w:eastAsia="黑体"/>
      <w:b/>
      <w:sz w:val="30"/>
      <w:lang w:val="en-US" w:eastAsia="zh-CN" w:bidi="ar-SA"/>
    </w:rPr>
  </w:style>
  <w:style w:type="paragraph" w:styleId="1652" w:customStyle="1">
    <w:name w:val="字元 字元2"/>
    <w:basedOn w:val="1209"/>
    <w:uiPriority w:val="0"/>
    <w:qFormat/>
    <w:rPr>
      <w:rFonts w:ascii="Tahoma" w:hAnsi="Tahoma"/>
      <w:sz w:val="24"/>
      <w:szCs w:val="20"/>
    </w:rPr>
  </w:style>
  <w:style w:type="paragraph" w:styleId="1653" w:customStyle="1">
    <w:name w:val="Char3 Char Char Char2"/>
    <w:basedOn w:val="1209"/>
    <w:uiPriority w:val="0"/>
    <w:qFormat/>
    <w:rPr>
      <w:rFonts w:ascii="Tahoma" w:hAnsi="Tahoma"/>
      <w:sz w:val="24"/>
      <w:szCs w:val="20"/>
    </w:rPr>
  </w:style>
  <w:style w:type="paragraph" w:styleId="1654" w:customStyle="1">
    <w:name w:val="正文文本缩进2"/>
    <w:basedOn w:val="1209"/>
    <w:uiPriority w:val="0"/>
    <w:qFormat/>
    <w:pPr>
      <w:ind w:firstLine="480"/>
      <w:spacing w:line="480" w:lineRule="exact"/>
    </w:pPr>
    <w:rPr>
      <w:rFonts w:ascii="宋体" w:hAnsi="宋体"/>
      <w:sz w:val="24"/>
      <w:lang w:val="zh-CN" w:eastAsia="zh-CN"/>
    </w:rPr>
  </w:style>
  <w:style w:type="paragraph" w:styleId="1655" w:customStyle="1">
    <w:name w:val="Char3"/>
    <w:basedOn w:val="1209"/>
    <w:uiPriority w:val="0"/>
    <w:qFormat/>
    <w:pPr>
      <w:tabs>
        <w:tab w:val="left" w:pos="360" w:leader="none"/>
      </w:tabs>
    </w:pPr>
    <w:rPr>
      <w:sz w:val="24"/>
    </w:rPr>
  </w:style>
  <w:style w:type="paragraph" w:styleId="1656" w:customStyle="1">
    <w:name w:val="Char Char Char Char Char Char Char Char Char Char Char Char Char Char Char Char1"/>
    <w:basedOn w:val="1209"/>
    <w:uiPriority w:val="0"/>
    <w:qFormat/>
    <w:pPr>
      <w:jc w:val="center"/>
      <w:spacing w:after="160" w:line="240" w:lineRule="exact"/>
      <w:widowControl/>
    </w:pPr>
    <w:rPr>
      <w:rFonts w:ascii="宋体" w:hAnsi="宋体"/>
      <w:b/>
      <w:sz w:val="30"/>
      <w:szCs w:val="30"/>
      <w:lang w:eastAsia="en-US"/>
    </w:rPr>
  </w:style>
  <w:style w:type="paragraph" w:styleId="1657" w:customStyle="1">
    <w:name w:val="Char Char1 Char Char Char Char Char Char1"/>
    <w:basedOn w:val="1209"/>
    <w:uiPriority w:val="0"/>
    <w:qFormat/>
    <w:pPr>
      <w:jc w:val="left"/>
      <w:spacing w:after="160" w:line="240" w:lineRule="exact"/>
      <w:widowControl/>
    </w:pPr>
    <w:rPr>
      <w:rFonts w:ascii="Verdana" w:hAnsi="Verdana" w:eastAsia="仿宋_GB2312"/>
      <w:sz w:val="24"/>
      <w:szCs w:val="20"/>
      <w:lang w:eastAsia="en-US"/>
    </w:rPr>
  </w:style>
  <w:style w:type="paragraph" w:styleId="1658" w:customStyle="1">
    <w:name w:val="列出段落2"/>
    <w:basedOn w:val="1209"/>
    <w:uiPriority w:val="0"/>
    <w:qFormat/>
    <w:pPr>
      <w:ind w:firstLine="420"/>
    </w:pPr>
    <w:rPr>
      <w:rFonts w:ascii="Calibri" w:hAnsi="Calibri"/>
      <w:szCs w:val="22"/>
    </w:rPr>
  </w:style>
  <w:style w:type="paragraph" w:styleId="1659" w:customStyle="1">
    <w:name w:val="Char Char Char1 Char2"/>
    <w:basedOn w:val="1209"/>
    <w:uiPriority w:val="0"/>
    <w:qFormat/>
    <w:rPr>
      <w:rFonts w:ascii="Tahoma" w:hAnsi="Tahoma"/>
      <w:sz w:val="24"/>
      <w:szCs w:val="20"/>
    </w:rPr>
  </w:style>
  <w:style w:type="paragraph" w:styleId="1660" w:customStyle="1">
    <w:name w:val="Char Char Char2"/>
    <w:basedOn w:val="1209"/>
    <w:uiPriority w:val="0"/>
    <w:qFormat/>
    <w:rPr>
      <w:rFonts w:ascii="Tahoma" w:hAnsi="Tahoma"/>
      <w:sz w:val="24"/>
      <w:szCs w:val="20"/>
    </w:rPr>
  </w:style>
  <w:style w:type="paragraph" w:styleId="1661" w:customStyle="1">
    <w:name w:val="Char Char Char Char Char Char Char2"/>
    <w:basedOn w:val="1209"/>
    <w:uiPriority w:val="0"/>
    <w:qFormat/>
    <w:pPr>
      <w:ind w:firstLine="200"/>
      <w:spacing w:line="360" w:lineRule="auto"/>
    </w:pPr>
    <w:rPr>
      <w:rFonts w:eastAsia="仿宋_GB2312"/>
      <w:sz w:val="24"/>
    </w:rPr>
  </w:style>
  <w:style w:type="paragraph" w:styleId="1662" w:customStyle="1">
    <w:name w:val="正文缩进2"/>
    <w:basedOn w:val="1209"/>
    <w:uiPriority w:val="0"/>
    <w:qFormat/>
    <w:pPr>
      <w:ind w:firstLine="567"/>
      <w:spacing w:line="480" w:lineRule="exact"/>
      <w:widowControl/>
    </w:pPr>
    <w:rPr>
      <w:rFonts w:ascii="宋体"/>
      <w:color w:val="000000"/>
      <w:sz w:val="28"/>
      <w:szCs w:val="20"/>
      <w:lang w:val="zh-CN" w:eastAsia="zh-CN"/>
    </w:rPr>
  </w:style>
  <w:style w:type="paragraph" w:styleId="1663" w:customStyle="1">
    <w:name w:val="Revision"/>
    <w:uiPriority w:val="0"/>
    <w:qFormat/>
    <w:rPr>
      <w:rFonts w:hint="default" w:ascii="Times New Roman" w:hAnsi="Times New Roman" w:eastAsia="宋体" w:cs="Times New Roman"/>
      <w:sz w:val="21"/>
      <w:szCs w:val="24"/>
      <w:lang w:val="en-US" w:eastAsia="zh-CN" w:bidi="ar-SA"/>
    </w:rPr>
  </w:style>
  <w:style w:type="paragraph" w:styleId="1664" w:customStyle="1">
    <w:name w:val="Char22"/>
    <w:basedOn w:val="1209"/>
    <w:uiPriority w:val="0"/>
    <w:qFormat/>
    <w:rPr>
      <w:rFonts w:ascii="Tahoma" w:hAnsi="Tahoma"/>
      <w:sz w:val="24"/>
      <w:szCs w:val="20"/>
    </w:rPr>
  </w:style>
  <w:style w:type="paragraph" w:styleId="1665" w:customStyle="1">
    <w:name w:val="Char Char Char Char Char Char Char Char Char Char2"/>
    <w:basedOn w:val="1209"/>
    <w:uiPriority w:val="0"/>
    <w:qFormat/>
    <w:rPr>
      <w:rFonts w:ascii="宋体" w:hAnsi="宋体" w:cs="Courier New"/>
      <w:sz w:val="32"/>
      <w:szCs w:val="32"/>
    </w:rPr>
  </w:style>
  <w:style w:type="paragraph" w:styleId="1666" w:customStyle="1">
    <w:name w:val="Char2 Char Char Char Char Char Char1"/>
    <w:basedOn w:val="1209"/>
    <w:uiPriority w:val="0"/>
    <w:qFormat/>
    <w:pPr>
      <w:jc w:val="center"/>
      <w:spacing w:line="400" w:lineRule="exact"/>
      <w:widowControl/>
    </w:pPr>
  </w:style>
  <w:style w:type="character" w:styleId="1667" w:customStyle="1">
    <w:name w:val="页脚 Char"/>
    <w:link w:val="1209"/>
    <w:uiPriority w:val="0"/>
    <w:qFormat/>
    <w:rPr>
      <w:rFonts w:ascii="宋体" w:eastAsia="宋体"/>
      <w:sz w:val="18"/>
      <w:lang w:val="en-US" w:eastAsia="zh-CN" w:bidi="ar-SA"/>
    </w:rPr>
  </w:style>
  <w:style w:type="paragraph" w:styleId="1668" w:customStyle="1">
    <w:name w:val="Char Char41"/>
    <w:basedOn w:val="1209"/>
    <w:uiPriority w:val="0"/>
    <w:qFormat/>
    <w:pPr>
      <w:jc w:val="center"/>
      <w:spacing w:line="400" w:lineRule="exact"/>
      <w:widowControl/>
    </w:pPr>
  </w:style>
  <w:style w:type="character" w:styleId="1669" w:customStyle="1">
    <w:name w:val="批注文字 Char"/>
    <w:link w:val="1209"/>
    <w:uiPriority w:val="99"/>
    <w:qFormat/>
    <w:rPr>
      <w:sz w:val="21"/>
      <w:szCs w:val="24"/>
    </w:rPr>
  </w:style>
  <w:style w:type="character" w:styleId="1670" w:customStyle="1">
    <w:name w:val="标题 Char"/>
    <w:link w:val="1209"/>
    <w:uiPriority w:val="0"/>
    <w:qFormat/>
    <w:rPr>
      <w:b/>
      <w:sz w:val="32"/>
    </w:rPr>
  </w:style>
  <w:style w:type="paragraph" w:styleId="1671" w:customStyle="1">
    <w:name w:val="图例"/>
    <w:basedOn w:val="1209"/>
    <w:uiPriority w:val="0"/>
    <w:qFormat/>
    <w:pPr>
      <w:jc w:val="center"/>
      <w:spacing w:before="120" w:after="120" w:line="360" w:lineRule="auto"/>
    </w:pPr>
    <w:rPr>
      <w:rFonts w:eastAsia="仿宋_GB2312"/>
      <w:b/>
      <w:sz w:val="24"/>
      <w:szCs w:val="20"/>
    </w:rPr>
  </w:style>
  <w:style w:type="table" w:styleId="1672" w:customStyle="1">
    <w:name w:val="Table Normal"/>
    <w:uiPriority w:val="2"/>
    <w:unhideWhenUsed/>
    <w:qFormat/>
    <w:pPr>
      <w:widowControl w:val="off"/>
    </w:pPr>
    <w:rPr>
      <w:rFonts w:ascii="Calibri" w:hAnsi="Calibri"/>
      <w:sz w:val="22"/>
      <w:szCs w:val="22"/>
      <w:lang w:val="en-US" w:eastAsia="en-US" w:bidi="ar-SA"/>
    </w:rPr>
    <w:tblPr/>
  </w:style>
  <w:style w:type="paragraph" w:styleId="1673" w:customStyle="1">
    <w:name w:val="Table Paragraph"/>
    <w:basedOn w:val="1209"/>
    <w:uiPriority w:val="1"/>
    <w:qFormat/>
    <w:pPr>
      <w:jc w:val="left"/>
    </w:pPr>
    <w:rPr>
      <w:rFonts w:ascii="宋体" w:hAnsi="宋体" w:cs="宋体"/>
      <w:sz w:val="22"/>
      <w:szCs w:val="22"/>
      <w:lang w:eastAsia="en-US"/>
    </w:rPr>
  </w:style>
  <w:style w:type="paragraph" w:styleId="1674" w:customStyle="1">
    <w:name w:val="成文日期"/>
    <w:basedOn w:val="1209"/>
    <w:link w:val="1675"/>
    <w:uiPriority w:val="0"/>
    <w:qFormat/>
    <w:pPr>
      <w:ind w:right="400" w:firstLine="200"/>
      <w:jc w:val="right"/>
      <w:spacing w:line="570" w:lineRule="exact"/>
    </w:pPr>
    <w:rPr>
      <w:rFonts w:ascii="仿宋_GB2312" w:eastAsia="仿宋_GB2312"/>
      <w:sz w:val="32"/>
      <w:szCs w:val="20"/>
    </w:rPr>
  </w:style>
  <w:style w:type="character" w:styleId="1675" w:customStyle="1">
    <w:name w:val="成文日期 Char"/>
    <w:link w:val="1674"/>
    <w:uiPriority w:val="0"/>
    <w:qFormat/>
    <w:rPr>
      <w:rFonts w:ascii="仿宋_GB2312" w:eastAsia="仿宋_GB2312"/>
      <w:sz w:val="32"/>
    </w:rPr>
  </w:style>
  <w:style w:type="paragraph" w:styleId="1676"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677" w:customStyle="1">
    <w:name w:val="正文字缩2字"/>
    <w:basedOn w:val="1209"/>
    <w:uiPriority w:val="0"/>
    <w:qFormat/>
    <w:pPr>
      <w:ind w:left="200" w:firstLine="200"/>
      <w:spacing w:before="60" w:after="60" w:line="360" w:lineRule="auto"/>
    </w:pPr>
    <w:rPr>
      <w:szCs w:val="24"/>
    </w:rPr>
  </w:style>
  <w:style w:type="paragraph" w:styleId="1678" w:customStyle="1">
    <w:name w:val="列出段落11"/>
    <w:basedOn w:val="1209"/>
    <w:uiPriority w:val="34"/>
    <w:qFormat/>
    <w:pPr>
      <w:ind w:firstLine="420"/>
    </w:pPr>
    <w:rPr>
      <w:szCs w:val="22"/>
    </w:rPr>
  </w:style>
  <w:style w:type="paragraph" w:styleId="1679" w:customStyle="1">
    <w:name w:val="正文缩进2格"/>
    <w:basedOn w:val="1209"/>
    <w:next w:val="1209"/>
    <w:uiPriority w:val="0"/>
    <w:qFormat/>
    <w:pPr>
      <w:ind w:firstLine="639"/>
      <w:spacing w:line="600" w:lineRule="exact"/>
    </w:pPr>
    <w:rPr>
      <w:rFonts w:ascii="仿宋_GB2312" w:hAnsi="宋体" w:eastAsia="仿宋_GB2312"/>
      <w:sz w:val="31"/>
      <w:szCs w:val="28"/>
    </w:rPr>
  </w:style>
  <w:style w:type="paragraph" w:styleId="1680" w:customStyle="1">
    <w:name w:val="_Style 9"/>
    <w:basedOn w:val="1209"/>
    <w:next w:val="1522"/>
    <w:uiPriority w:val="34"/>
    <w:qFormat/>
    <w:pPr>
      <w:ind w:firstLine="420"/>
    </w:pPr>
    <w:rPr>
      <w:rFonts w:ascii="Calibri" w:hAnsi="Calibri"/>
      <w:szCs w:val="22"/>
    </w:rPr>
  </w:style>
  <w:style w:type="paragraph" w:styleId="1681" w:customStyle="1">
    <w:name w:val="首行缩进"/>
    <w:basedOn w:val="1209"/>
    <w:uiPriority w:val="0"/>
    <w:qFormat/>
    <w:pPr>
      <w:ind w:firstLine="480"/>
    </w:pPr>
    <w:rPr>
      <w:lang w:val="zh-CN"/>
    </w:rPr>
  </w:style>
  <w:style w:type="paragraph" w:styleId="1682" w:customStyle="1">
    <w:name w:val="投标文件正文"/>
    <w:basedOn w:val="1209"/>
    <w:uiPriority w:val="0"/>
    <w:qFormat/>
    <w:pPr>
      <w:ind w:firstLine="560"/>
      <w:spacing w:line="440" w:lineRule="exact"/>
    </w:pPr>
    <w:rPr>
      <w:rFonts w:ascii="仿宋_GB2312" w:eastAsia="仿宋_GB2312"/>
      <w:bCs/>
      <w:sz w:val="28"/>
      <w:szCs w:val="28"/>
    </w:rPr>
  </w:style>
  <w:style w:type="paragraph" w:styleId="1683" w:customStyle="1">
    <w:name w:val="Table Text"/>
    <w:basedOn w:val="1209"/>
    <w:uiPriority w:val="0"/>
    <w:semiHidden/>
    <w:qFormat/>
    <w:rPr>
      <w:rFonts w:ascii="宋体" w:hAnsi="宋体" w:eastAsia="宋体" w:cs="宋体"/>
      <w:sz w:val="19"/>
      <w:szCs w:val="19"/>
      <w:lang w:val="en-US" w:eastAsia="en-US" w:bidi="ar-SA"/>
    </w:rPr>
  </w:style>
  <w:style w:type="paragraph" w:styleId="1684" w:customStyle="1">
    <w:name w:val="段标题"/>
    <w:basedOn w:val="1209"/>
    <w:next w:val="1430"/>
    <w:uiPriority w:val="0"/>
    <w:qFormat/>
    <w:pPr>
      <w:jc w:val="left"/>
    </w:pPr>
    <w:rPr>
      <w:rFonts w:ascii="黑体" w:hAnsi="宋体" w:eastAsia="黑体"/>
    </w:rPr>
  </w:style>
  <w:style w:type="paragraph" w:styleId="1685"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character" w:styleId="1686" w:customStyle="1">
    <w:name w:val="font51"/>
    <w:link w:val="1209"/>
    <w:uiPriority w:val="0"/>
    <w:qFormat/>
    <w:rPr>
      <w:rFonts w:hint="eastAsia" w:ascii="宋体" w:hAnsi="宋体" w:eastAsia="宋体" w:cs="宋体"/>
      <w:color w:val="000000"/>
      <w:sz w:val="24"/>
      <w:szCs w:val="24"/>
      <w:u w:val="none"/>
    </w:rPr>
  </w:style>
  <w:style w:type="character" w:styleId="1687" w:customStyle="1">
    <w:name w:val="font11"/>
    <w:link w:val="1209"/>
    <w:uiPriority w:val="0"/>
    <w:qFormat/>
    <w:rPr>
      <w:rFonts w:ascii="Calibri" w:hAnsi="Calibri" w:cs="Calibri"/>
      <w:color w:val="000000"/>
      <w:sz w:val="24"/>
      <w:szCs w:val="24"/>
      <w:u w:val="none"/>
    </w:rPr>
  </w:style>
  <w:style w:type="paragraph" w:styleId="1688" w:customStyle="1">
    <w:name w:val="段"/>
    <w:next w:val="1209"/>
    <w:uiPriority w:val="0"/>
    <w:qFormat/>
    <w:pPr>
      <w:ind w:firstLine="200"/>
      <w:jc w:val="both"/>
    </w:pPr>
    <w:rPr>
      <w:rFonts w:hint="default" w:ascii="宋体" w:hAnsi="Times New Roman" w:eastAsia="宋体" w:cs="Times New Roman"/>
      <w:sz w:val="21"/>
      <w:lang w:val="en-US" w:eastAsia="zh-CN" w:bidi="ar-SA"/>
    </w:rPr>
  </w:style>
  <w:style w:type="character" w:styleId="1689" w:customStyle="1">
    <w:name w:val="font61"/>
    <w:basedOn w:val="1294"/>
    <w:link w:val="1209"/>
    <w:uiPriority w:val="0"/>
    <w:qFormat/>
    <w:rPr>
      <w:rFonts w:hint="eastAsia" w:ascii="宋体" w:hAnsi="宋体" w:eastAsia="宋体" w:cs="宋体"/>
      <w:color w:val="000000"/>
      <w:sz w:val="21"/>
      <w:szCs w:val="21"/>
      <w:u w:val="none"/>
      <w:vertAlign w:val="superscript"/>
    </w:rPr>
  </w:style>
  <w:style w:type="character" w:styleId="1690" w:customStyle="1">
    <w:name w:val="font21"/>
    <w:basedOn w:val="1294"/>
    <w:link w:val="1209"/>
    <w:uiPriority w:val="0"/>
    <w:qFormat/>
    <w:rPr>
      <w:rFonts w:hint="eastAsia" w:ascii="宋体" w:hAnsi="宋体" w:eastAsia="宋体" w:cs="宋体"/>
      <w:b/>
      <w:bCs/>
      <w:color w:val="000000"/>
      <w:sz w:val="21"/>
      <w:szCs w:val="21"/>
      <w:u w:val="none"/>
    </w:rPr>
  </w:style>
  <w:style w:type="character" w:styleId="1691" w:customStyle="1">
    <w:name w:val="font31"/>
    <w:basedOn w:val="1294"/>
    <w:link w:val="1209"/>
    <w:uiPriority w:val="0"/>
    <w:qFormat/>
    <w:rPr>
      <w:rFonts w:hint="eastAsia" w:ascii="宋体" w:hAnsi="宋体" w:eastAsia="宋体" w:cs="宋体"/>
      <w:color w:val="000000"/>
      <w:sz w:val="24"/>
      <w:szCs w:val="24"/>
      <w:u w:val="none"/>
    </w:rPr>
  </w:style>
  <w:style w:type="paragraph" w:styleId="1692" w:customStyle="1">
    <w:name w:val="纯文本1"/>
    <w:basedOn w:val="1209"/>
    <w:uiPriority w:val="0"/>
    <w:qFormat/>
    <w:rPr>
      <w:rFonts w:ascii="宋体" w:hAnsi="Courier New" w:eastAsia="楷体_GB2312"/>
      <w:sz w:val="28"/>
    </w:rPr>
  </w:style>
  <w:style w:type="paragraph" w:styleId="1693"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paragraph" w:styleId="1694" w:customStyle="1">
    <w:name w:val="表格"/>
    <w:uiPriority w:val="0"/>
    <w:qFormat/>
    <w:pPr>
      <w:jc w:val="center"/>
      <w:widowControl w:val="off"/>
    </w:pPr>
    <w:rPr>
      <w:rFonts w:hint="default" w:ascii="Times New Roman" w:hAnsi="Times New Roman" w:eastAsia="宋体" w:cs="Times New Roman"/>
      <w:sz w:val="21"/>
      <w:szCs w:val="24"/>
      <w:lang w:val="en-US" w:eastAsia="zh-CN" w:bidi="ar-SA"/>
    </w:rPr>
  </w:style>
  <w:style w:type="numbering" w:styleId="16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customXml" Target="../customXml/item1.xml" /><Relationship Id="rId3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汤林云</cp:lastModifiedBy>
  <cp:revision>8</cp:revision>
  <dcterms:created xsi:type="dcterms:W3CDTF">2024-07-31T00:33:00Z</dcterms:created>
  <dcterms:modified xsi:type="dcterms:W3CDTF">2025-05-14T00:13:51Z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eyJoZGlkIjoiNzM2ZWRlMjVmODZkYThhZjhkMzNmNzI2NWQ4N2MxN2YiLCJ1c2VySWQiOiIxMjEwOTAzNzYxIn0=</vt:lpwstr>
  </property>
  <property fmtid="{D5CDD505-2E9C-101B-9397-08002B2CF9AE}" pid="3" name="KSOProductBuildVer">
    <vt:lpwstr>2052-12.1.0.20784</vt:lpwstr>
  </property>
  <property fmtid="{D5CDD505-2E9C-101B-9397-08002B2CF9AE}" pid="4" name="ICV">
    <vt:lpwstr>DB087CA824C54BC3A8AD68D9D44B33B1_13</vt:lpwstr>
  </property>
</Properties>
</file>